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6">
        <w:r>
          <w:rPr>
            <w:rFonts w:ascii="Arial" w:cs="Arial" w:eastAsia="Arial" w:hAnsi="Arial"/>
            <w:sz w:val="17"/>
            <w:szCs w:val="17"/>
            <w:b w:val="1"/>
            <w:bCs w:val="1"/>
            <w:u w:val="single" w:color="auto"/>
            <w:color w:val="0000EE"/>
          </w:rPr>
          <w:t>Table of Contents</w:t>
        </w:r>
      </w:hyperlink>
    </w:p>
    <w:p>
      <w:pPr>
        <w:spacing w:after="0" w:line="276"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As filed with the Securities and Exchange Commission on September 13, 2021</w:t>
      </w:r>
    </w:p>
    <w:p>
      <w:pPr>
        <w:jc w:val="right"/>
        <w:spacing w:after="0"/>
        <w:rPr>
          <w:sz w:val="20"/>
          <w:szCs w:val="20"/>
          <w:color w:val="auto"/>
        </w:rPr>
      </w:pPr>
      <w:r>
        <w:rPr>
          <w:rFonts w:ascii="Arial" w:cs="Arial" w:eastAsia="Arial" w:hAnsi="Arial"/>
          <w:sz w:val="14"/>
          <w:szCs w:val="14"/>
          <w:b w:val="1"/>
          <w:bCs w:val="1"/>
          <w:color w:val="auto"/>
        </w:rPr>
        <w:t>Registration No. 333-258990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275590</wp:posOffset>
            </wp:positionH>
            <wp:positionV relativeFrom="paragraph">
              <wp:posOffset>46990</wp:posOffset>
            </wp:positionV>
            <wp:extent cx="6591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87630</wp:posOffset>
            </wp:positionV>
            <wp:extent cx="65913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1300" cy="8255"/>
                    </a:xfrm>
                    <a:prstGeom prst="rect">
                      <a:avLst/>
                    </a:prstGeom>
                    <a:noFill/>
                  </pic:spPr>
                </pic:pic>
              </a:graphicData>
            </a:graphic>
          </wp:anchor>
        </w:drawing>
      </w:r>
    </w:p>
    <w:p>
      <w:pPr>
        <w:spacing w:after="0" w:line="191"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UNITED STATES</w:t>
      </w:r>
    </w:p>
    <w:p>
      <w:pPr>
        <w:spacing w:after="0" w:line="24"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SECURITIES AND EXCHANGE COMMISSION</w:t>
      </w:r>
    </w:p>
    <w:p>
      <w:pPr>
        <w:spacing w:after="0" w:line="8" w:lineRule="exact"/>
        <w:rPr>
          <w:sz w:val="24"/>
          <w:szCs w:val="24"/>
          <w:color w:val="auto"/>
        </w:rPr>
      </w:pPr>
    </w:p>
    <w:p>
      <w:pPr>
        <w:jc w:val="center"/>
        <w:ind w:right="-4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125095</wp:posOffset>
            </wp:positionV>
            <wp:extent cx="13893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37"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Amendment No. 3</w:t>
      </w:r>
    </w:p>
    <w:p>
      <w:pPr>
        <w:spacing w:after="0" w:line="24"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to</w:t>
      </w:r>
    </w:p>
    <w:p>
      <w:pPr>
        <w:spacing w:after="0" w:line="8"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FORM S-1</w:t>
      </w:r>
    </w:p>
    <w:p>
      <w:pPr>
        <w:spacing w:after="0" w:line="8" w:lineRule="exact"/>
        <w:rPr>
          <w:sz w:val="24"/>
          <w:szCs w:val="24"/>
          <w:color w:val="auto"/>
        </w:rPr>
      </w:pPr>
    </w:p>
    <w:p>
      <w:pPr>
        <w:jc w:val="center"/>
        <w:ind w:right="-419"/>
        <w:spacing w:after="0"/>
        <w:rPr>
          <w:sz w:val="20"/>
          <w:szCs w:val="20"/>
          <w:color w:val="auto"/>
        </w:rPr>
      </w:pPr>
      <w:r>
        <w:rPr>
          <w:rFonts w:ascii="Arial" w:cs="Arial" w:eastAsia="Arial" w:hAnsi="Arial"/>
          <w:sz w:val="17"/>
          <w:szCs w:val="17"/>
          <w:b w:val="1"/>
          <w:bCs w:val="1"/>
          <w:color w:val="auto"/>
        </w:rPr>
        <w:t>REGISTRATION STATEMENT</w:t>
      </w:r>
    </w:p>
    <w:p>
      <w:pPr>
        <w:spacing w:after="0" w:line="8" w:lineRule="exact"/>
        <w:rPr>
          <w:sz w:val="24"/>
          <w:szCs w:val="24"/>
          <w:color w:val="auto"/>
        </w:rPr>
      </w:pPr>
    </w:p>
    <w:p>
      <w:pPr>
        <w:jc w:val="center"/>
        <w:ind w:right="-419"/>
        <w:spacing w:after="0"/>
        <w:rPr>
          <w:sz w:val="20"/>
          <w:szCs w:val="20"/>
          <w:color w:val="auto"/>
        </w:rPr>
      </w:pPr>
      <w:r>
        <w:rPr>
          <w:rFonts w:ascii="Arial" w:cs="Arial" w:eastAsia="Arial" w:hAnsi="Arial"/>
          <w:sz w:val="15"/>
          <w:szCs w:val="15"/>
          <w:b w:val="1"/>
          <w:bCs w:val="1"/>
          <w:i w:val="1"/>
          <w:iCs w:val="1"/>
          <w:color w:val="auto"/>
        </w:rPr>
        <w:t>UNDER</w:t>
      </w:r>
    </w:p>
    <w:p>
      <w:pPr>
        <w:spacing w:after="0" w:line="14" w:lineRule="exact"/>
        <w:rPr>
          <w:sz w:val="24"/>
          <w:szCs w:val="24"/>
          <w:color w:val="auto"/>
        </w:rPr>
      </w:pPr>
    </w:p>
    <w:p>
      <w:pPr>
        <w:jc w:val="center"/>
        <w:ind w:right="-419"/>
        <w:spacing w:after="0"/>
        <w:rPr>
          <w:sz w:val="20"/>
          <w:szCs w:val="20"/>
          <w:color w:val="auto"/>
        </w:rPr>
      </w:pPr>
      <w:r>
        <w:rPr>
          <w:rFonts w:ascii="Arial" w:cs="Arial" w:eastAsia="Arial" w:hAnsi="Arial"/>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127635</wp:posOffset>
            </wp:positionV>
            <wp:extent cx="13893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49" w:lineRule="exact"/>
        <w:rPr>
          <w:sz w:val="24"/>
          <w:szCs w:val="24"/>
          <w:color w:val="auto"/>
        </w:rPr>
      </w:pPr>
    </w:p>
    <w:p>
      <w:pPr>
        <w:jc w:val="center"/>
        <w:ind w:right="-419"/>
        <w:spacing w:after="0"/>
        <w:rPr>
          <w:sz w:val="20"/>
          <w:szCs w:val="20"/>
          <w:color w:val="auto"/>
        </w:rPr>
      </w:pPr>
      <w:r>
        <w:rPr>
          <w:rFonts w:ascii="Arial" w:cs="Arial" w:eastAsia="Arial" w:hAnsi="Arial"/>
          <w:sz w:val="24"/>
          <w:szCs w:val="24"/>
          <w:b w:val="1"/>
          <w:bCs w:val="1"/>
          <w:color w:val="auto"/>
        </w:rPr>
        <w:t>Definitive Healthcare Corp.</w:t>
      </w:r>
    </w:p>
    <w:p>
      <w:pPr>
        <w:spacing w:after="0" w:line="19"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104140</wp:posOffset>
            </wp:positionV>
            <wp:extent cx="1389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29" w:lineRule="exact"/>
        <w:rPr>
          <w:sz w:val="24"/>
          <w:szCs w:val="24"/>
          <w:color w:val="auto"/>
        </w:rPr>
      </w:pPr>
    </w:p>
    <w:tbl>
      <w:tblPr>
        <w:tblLayout w:type="fixed"/>
        <w:tblInd w:w="1280" w:type="dxa"/>
        <w:tblCellMar>
          <w:top w:w="0" w:type="dxa"/>
          <w:left w:w="0" w:type="dxa"/>
          <w:bottom w:w="0" w:type="dxa"/>
          <w:right w:w="0" w:type="dxa"/>
        </w:tblCellMar>
      </w:tblPr>
      <w:tr>
        <w:trPr>
          <w:trHeight w:val="161"/>
        </w:trPr>
        <w:tc>
          <w:tcPr>
            <w:tcW w:w="2700" w:type="dxa"/>
            <w:vAlign w:val="bottom"/>
          </w:tcPr>
          <w:p>
            <w:pPr>
              <w:jc w:val="center"/>
              <w:ind w:right="812"/>
              <w:spacing w:after="0"/>
              <w:rPr>
                <w:sz w:val="20"/>
                <w:szCs w:val="20"/>
                <w:color w:val="auto"/>
              </w:rPr>
            </w:pPr>
            <w:r>
              <w:rPr>
                <w:rFonts w:ascii="Arial" w:cs="Arial" w:eastAsia="Arial" w:hAnsi="Arial"/>
                <w:sz w:val="14"/>
                <w:szCs w:val="14"/>
                <w:b w:val="1"/>
                <w:bCs w:val="1"/>
                <w:color w:val="auto"/>
                <w:w w:val="87"/>
              </w:rPr>
              <w:t>Delaware</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3"/>
              </w:rPr>
              <w:t>7372</w:t>
            </w:r>
          </w:p>
        </w:tc>
        <w:tc>
          <w:tcPr>
            <w:tcW w:w="2280" w:type="dxa"/>
            <w:vAlign w:val="bottom"/>
          </w:tcPr>
          <w:p>
            <w:pPr>
              <w:jc w:val="center"/>
              <w:ind w:left="872"/>
              <w:spacing w:after="0"/>
              <w:rPr>
                <w:sz w:val="20"/>
                <w:szCs w:val="20"/>
                <w:color w:val="auto"/>
              </w:rPr>
            </w:pPr>
            <w:r>
              <w:rPr>
                <w:rFonts w:ascii="Arial" w:cs="Arial" w:eastAsia="Arial" w:hAnsi="Arial"/>
                <w:sz w:val="14"/>
                <w:szCs w:val="14"/>
                <w:b w:val="1"/>
                <w:bCs w:val="1"/>
                <w:color w:val="auto"/>
                <w:w w:val="88"/>
              </w:rPr>
              <w:t>86-3988281</w:t>
            </w:r>
          </w:p>
        </w:tc>
      </w:tr>
      <w:tr>
        <w:trPr>
          <w:trHeight w:val="140"/>
        </w:trPr>
        <w:tc>
          <w:tcPr>
            <w:tcW w:w="2700" w:type="dxa"/>
            <w:vAlign w:val="bottom"/>
          </w:tcPr>
          <w:p>
            <w:pPr>
              <w:jc w:val="center"/>
              <w:ind w:right="792"/>
              <w:spacing w:after="0" w:line="140" w:lineRule="exact"/>
              <w:rPr>
                <w:sz w:val="20"/>
                <w:szCs w:val="20"/>
                <w:color w:val="auto"/>
              </w:rPr>
            </w:pPr>
            <w:r>
              <w:rPr>
                <w:rFonts w:ascii="Arial" w:cs="Arial" w:eastAsia="Arial" w:hAnsi="Arial"/>
                <w:sz w:val="14"/>
                <w:szCs w:val="14"/>
                <w:b w:val="1"/>
                <w:bCs w:val="1"/>
                <w:color w:val="auto"/>
                <w:w w:val="88"/>
              </w:rPr>
              <w:t>(State or Other Jurisdiction of</w:t>
            </w:r>
          </w:p>
        </w:tc>
        <w:tc>
          <w:tcPr>
            <w:tcW w:w="35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2"/>
              </w:rPr>
              <w:t>(Primary Standard Industrial</w:t>
            </w:r>
          </w:p>
        </w:tc>
        <w:tc>
          <w:tcPr>
            <w:tcW w:w="2280" w:type="dxa"/>
            <w:vAlign w:val="bottom"/>
          </w:tcPr>
          <w:p>
            <w:pPr>
              <w:jc w:val="center"/>
              <w:ind w:left="872"/>
              <w:spacing w:after="0" w:line="140" w:lineRule="exact"/>
              <w:rPr>
                <w:sz w:val="20"/>
                <w:szCs w:val="20"/>
                <w:color w:val="auto"/>
              </w:rPr>
            </w:pPr>
            <w:r>
              <w:rPr>
                <w:rFonts w:ascii="Arial" w:cs="Arial" w:eastAsia="Arial" w:hAnsi="Arial"/>
                <w:sz w:val="14"/>
                <w:szCs w:val="14"/>
                <w:b w:val="1"/>
                <w:bCs w:val="1"/>
                <w:color w:val="auto"/>
                <w:w w:val="91"/>
              </w:rPr>
              <w:t>(I.R.S. Employer</w:t>
            </w:r>
          </w:p>
        </w:tc>
      </w:tr>
      <w:tr>
        <w:trPr>
          <w:trHeight w:val="175"/>
        </w:trPr>
        <w:tc>
          <w:tcPr>
            <w:tcW w:w="2700" w:type="dxa"/>
            <w:vAlign w:val="bottom"/>
          </w:tcPr>
          <w:p>
            <w:pPr>
              <w:jc w:val="center"/>
              <w:ind w:right="812"/>
              <w:spacing w:after="0"/>
              <w:rPr>
                <w:sz w:val="20"/>
                <w:szCs w:val="20"/>
                <w:color w:val="auto"/>
              </w:rPr>
            </w:pPr>
            <w:r>
              <w:rPr>
                <w:rFonts w:ascii="Arial" w:cs="Arial" w:eastAsia="Arial" w:hAnsi="Arial"/>
                <w:sz w:val="14"/>
                <w:szCs w:val="14"/>
                <w:b w:val="1"/>
                <w:bCs w:val="1"/>
                <w:color w:val="auto"/>
                <w:w w:val="89"/>
              </w:rPr>
              <w:t>Incorporation or Organization)</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280" w:type="dxa"/>
            <w:vAlign w:val="bottom"/>
          </w:tcPr>
          <w:p>
            <w:pPr>
              <w:jc w:val="center"/>
              <w:ind w:left="872"/>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34"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550 Cochituate Rd</w:t>
      </w:r>
    </w:p>
    <w:p>
      <w:pPr>
        <w:jc w:val="center"/>
        <w:ind w:right="-419"/>
        <w:spacing w:after="0" w:line="208" w:lineRule="auto"/>
        <w:rPr>
          <w:sz w:val="20"/>
          <w:szCs w:val="20"/>
          <w:color w:val="auto"/>
        </w:rPr>
      </w:pPr>
      <w:r>
        <w:rPr>
          <w:rFonts w:ascii="Arial" w:cs="Arial" w:eastAsia="Arial" w:hAnsi="Arial"/>
          <w:sz w:val="14"/>
          <w:szCs w:val="14"/>
          <w:b w:val="1"/>
          <w:bCs w:val="1"/>
          <w:color w:val="auto"/>
        </w:rPr>
        <w:t>Framingham, MA 01701</w:t>
      </w:r>
    </w:p>
    <w:p>
      <w:pPr>
        <w:jc w:val="center"/>
        <w:ind w:right="-419"/>
        <w:spacing w:after="0" w:line="209" w:lineRule="auto"/>
        <w:rPr>
          <w:sz w:val="20"/>
          <w:szCs w:val="20"/>
          <w:color w:val="auto"/>
        </w:rPr>
      </w:pPr>
      <w:r>
        <w:rPr>
          <w:rFonts w:ascii="Arial" w:cs="Arial" w:eastAsia="Arial" w:hAnsi="Arial"/>
          <w:sz w:val="14"/>
          <w:szCs w:val="14"/>
          <w:b w:val="1"/>
          <w:bCs w:val="1"/>
          <w:color w:val="auto"/>
        </w:rPr>
        <w:t>(508) 720-4224</w:t>
      </w:r>
    </w:p>
    <w:p>
      <w:pPr>
        <w:jc w:val="center"/>
        <w:ind w:right="-4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103505</wp:posOffset>
            </wp:positionV>
            <wp:extent cx="1389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550 Cochituate Rd</w:t>
      </w:r>
    </w:p>
    <w:p>
      <w:pPr>
        <w:jc w:val="center"/>
        <w:ind w:right="-419"/>
        <w:spacing w:after="0" w:line="208" w:lineRule="auto"/>
        <w:rPr>
          <w:sz w:val="20"/>
          <w:szCs w:val="20"/>
          <w:color w:val="auto"/>
        </w:rPr>
      </w:pPr>
      <w:r>
        <w:rPr>
          <w:rFonts w:ascii="Arial" w:cs="Arial" w:eastAsia="Arial" w:hAnsi="Arial"/>
          <w:sz w:val="14"/>
          <w:szCs w:val="14"/>
          <w:b w:val="1"/>
          <w:bCs w:val="1"/>
          <w:color w:val="auto"/>
        </w:rPr>
        <w:t>Framingham, MA 01701</w:t>
      </w:r>
    </w:p>
    <w:p>
      <w:pPr>
        <w:jc w:val="center"/>
        <w:ind w:right="-419"/>
        <w:spacing w:after="0" w:line="209" w:lineRule="auto"/>
        <w:rPr>
          <w:sz w:val="20"/>
          <w:szCs w:val="20"/>
          <w:color w:val="auto"/>
        </w:rPr>
      </w:pPr>
      <w:r>
        <w:rPr>
          <w:rFonts w:ascii="Arial" w:cs="Arial" w:eastAsia="Arial" w:hAnsi="Arial"/>
          <w:sz w:val="14"/>
          <w:szCs w:val="14"/>
          <w:b w:val="1"/>
          <w:bCs w:val="1"/>
          <w:color w:val="auto"/>
        </w:rPr>
        <w:t>(508) 720-4224</w:t>
      </w:r>
    </w:p>
    <w:p>
      <w:pPr>
        <w:jc w:val="center"/>
        <w:ind w:right="-4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103505</wp:posOffset>
            </wp:positionV>
            <wp:extent cx="1389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1" w:lineRule="exact"/>
        <w:rPr>
          <w:sz w:val="24"/>
          <w:szCs w:val="24"/>
          <w:color w:val="auto"/>
        </w:rPr>
      </w:pPr>
    </w:p>
    <w:tbl>
      <w:tblPr>
        <w:tblLayout w:type="fixed"/>
        <w:tblInd w:w="134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3200" w:type="dxa"/>
            <w:vAlign w:val="bottom"/>
          </w:tcPr>
          <w:p>
            <w:pPr>
              <w:ind w:left="1300"/>
              <w:spacing w:after="0"/>
              <w:rPr>
                <w:sz w:val="20"/>
                <w:szCs w:val="20"/>
                <w:color w:val="auto"/>
              </w:rPr>
            </w:pPr>
            <w:r>
              <w:rPr>
                <w:rFonts w:ascii="Arial" w:cs="Arial" w:eastAsia="Arial" w:hAnsi="Arial"/>
                <w:sz w:val="14"/>
                <w:szCs w:val="14"/>
                <w:b w:val="1"/>
                <w:bCs w:val="1"/>
                <w:i w:val="1"/>
                <w:iCs w:val="1"/>
                <w:color w:val="auto"/>
              </w:rPr>
              <w:t>Copies to:</w:t>
            </w:r>
          </w:p>
        </w:tc>
        <w:tc>
          <w:tcPr>
            <w:tcW w:w="3020" w:type="dxa"/>
            <w:vAlign w:val="bottom"/>
          </w:tcPr>
          <w:p>
            <w:pPr>
              <w:spacing w:after="0"/>
              <w:rPr>
                <w:sz w:val="15"/>
                <w:szCs w:val="15"/>
                <w:color w:val="auto"/>
              </w:rPr>
            </w:pPr>
          </w:p>
        </w:tc>
      </w:tr>
      <w:tr>
        <w:trPr>
          <w:trHeight w:val="181"/>
        </w:trPr>
        <w:tc>
          <w:tcPr>
            <w:tcW w:w="2700" w:type="dxa"/>
            <w:vAlign w:val="bottom"/>
          </w:tcPr>
          <w:p>
            <w:pPr>
              <w:jc w:val="center"/>
              <w:ind w:right="912"/>
              <w:spacing w:after="0"/>
              <w:rPr>
                <w:sz w:val="20"/>
                <w:szCs w:val="20"/>
                <w:color w:val="auto"/>
              </w:rPr>
            </w:pPr>
            <w:r>
              <w:rPr>
                <w:rFonts w:ascii="Arial" w:cs="Arial" w:eastAsia="Arial" w:hAnsi="Arial"/>
                <w:sz w:val="14"/>
                <w:szCs w:val="14"/>
                <w:b w:val="1"/>
                <w:bCs w:val="1"/>
                <w:color w:val="auto"/>
                <w:w w:val="88"/>
              </w:rPr>
              <w:t>Alexander D. Lynch</w:t>
            </w:r>
          </w:p>
        </w:tc>
        <w:tc>
          <w:tcPr>
            <w:tcW w:w="3200" w:type="dxa"/>
            <w:vAlign w:val="bottom"/>
          </w:tcPr>
          <w:p>
            <w:pPr>
              <w:jc w:val="center"/>
              <w:ind w:left="112"/>
              <w:spacing w:after="0"/>
              <w:rPr>
                <w:sz w:val="20"/>
                <w:szCs w:val="20"/>
                <w:color w:val="auto"/>
              </w:rPr>
            </w:pPr>
            <w:r>
              <w:rPr>
                <w:rFonts w:ascii="Arial" w:cs="Arial" w:eastAsia="Arial" w:hAnsi="Arial"/>
                <w:sz w:val="14"/>
                <w:szCs w:val="14"/>
                <w:b w:val="1"/>
                <w:bCs w:val="1"/>
                <w:color w:val="auto"/>
                <w:w w:val="89"/>
              </w:rPr>
              <w:t>David M. Samuels</w:t>
            </w:r>
          </w:p>
        </w:tc>
        <w:tc>
          <w:tcPr>
            <w:tcW w:w="3020" w:type="dxa"/>
            <w:vAlign w:val="bottom"/>
          </w:tcPr>
          <w:p>
            <w:pPr>
              <w:jc w:val="center"/>
              <w:ind w:left="732"/>
              <w:spacing w:after="0"/>
              <w:rPr>
                <w:sz w:val="20"/>
                <w:szCs w:val="20"/>
                <w:color w:val="auto"/>
              </w:rPr>
            </w:pPr>
            <w:r>
              <w:rPr>
                <w:rFonts w:ascii="Arial" w:cs="Arial" w:eastAsia="Arial" w:hAnsi="Arial"/>
                <w:sz w:val="14"/>
                <w:szCs w:val="14"/>
                <w:b w:val="1"/>
                <w:bCs w:val="1"/>
                <w:color w:val="auto"/>
                <w:w w:val="91"/>
              </w:rPr>
              <w:t>Cathy A. Birkeland</w:t>
            </w:r>
          </w:p>
        </w:tc>
      </w:tr>
      <w:tr>
        <w:trPr>
          <w:trHeight w:val="140"/>
        </w:trPr>
        <w:tc>
          <w:tcPr>
            <w:tcW w:w="2700" w:type="dxa"/>
            <w:vAlign w:val="bottom"/>
          </w:tcPr>
          <w:p>
            <w:pPr>
              <w:jc w:val="center"/>
              <w:ind w:right="932"/>
              <w:spacing w:after="0" w:line="140" w:lineRule="exact"/>
              <w:rPr>
                <w:sz w:val="20"/>
                <w:szCs w:val="20"/>
                <w:color w:val="auto"/>
              </w:rPr>
            </w:pPr>
            <w:r>
              <w:rPr>
                <w:rFonts w:ascii="Arial" w:cs="Arial" w:eastAsia="Arial" w:hAnsi="Arial"/>
                <w:sz w:val="14"/>
                <w:szCs w:val="14"/>
                <w:b w:val="1"/>
                <w:bCs w:val="1"/>
                <w:color w:val="auto"/>
                <w:w w:val="89"/>
              </w:rPr>
              <w:t>Barbra J. Broudy</w:t>
            </w:r>
          </w:p>
        </w:tc>
        <w:tc>
          <w:tcPr>
            <w:tcW w:w="3200" w:type="dxa"/>
            <w:vAlign w:val="bottom"/>
          </w:tcPr>
          <w:p>
            <w:pPr>
              <w:jc w:val="center"/>
              <w:ind w:left="132"/>
              <w:spacing w:after="0" w:line="140" w:lineRule="exact"/>
              <w:rPr>
                <w:sz w:val="20"/>
                <w:szCs w:val="20"/>
                <w:color w:val="auto"/>
              </w:rPr>
            </w:pPr>
            <w:r>
              <w:rPr>
                <w:rFonts w:ascii="Arial" w:cs="Arial" w:eastAsia="Arial" w:hAnsi="Arial"/>
                <w:sz w:val="14"/>
                <w:szCs w:val="14"/>
                <w:b w:val="1"/>
                <w:bCs w:val="1"/>
                <w:color w:val="auto"/>
                <w:w w:val="89"/>
              </w:rPr>
              <w:t>Chief Legal Officer</w:t>
            </w:r>
          </w:p>
        </w:tc>
        <w:tc>
          <w:tcPr>
            <w:tcW w:w="3020" w:type="dxa"/>
            <w:vAlign w:val="bottom"/>
          </w:tcPr>
          <w:p>
            <w:pPr>
              <w:jc w:val="center"/>
              <w:ind w:left="732"/>
              <w:spacing w:after="0" w:line="140" w:lineRule="exact"/>
              <w:rPr>
                <w:sz w:val="20"/>
                <w:szCs w:val="20"/>
                <w:color w:val="auto"/>
              </w:rPr>
            </w:pPr>
            <w:r>
              <w:rPr>
                <w:rFonts w:ascii="Arial" w:cs="Arial" w:eastAsia="Arial" w:hAnsi="Arial"/>
                <w:sz w:val="14"/>
                <w:szCs w:val="14"/>
                <w:b w:val="1"/>
                <w:bCs w:val="1"/>
                <w:color w:val="auto"/>
                <w:w w:val="83"/>
              </w:rPr>
              <w:t>Senet Bischoff</w:t>
            </w:r>
          </w:p>
        </w:tc>
      </w:tr>
      <w:tr>
        <w:trPr>
          <w:trHeight w:val="140"/>
        </w:trPr>
        <w:tc>
          <w:tcPr>
            <w:tcW w:w="2700" w:type="dxa"/>
            <w:vAlign w:val="bottom"/>
          </w:tcPr>
          <w:p>
            <w:pPr>
              <w:jc w:val="center"/>
              <w:ind w:right="912"/>
              <w:spacing w:after="0" w:line="140" w:lineRule="exact"/>
              <w:rPr>
                <w:sz w:val="20"/>
                <w:szCs w:val="20"/>
                <w:color w:val="auto"/>
              </w:rPr>
            </w:pPr>
            <w:r>
              <w:rPr>
                <w:rFonts w:ascii="Arial" w:cs="Arial" w:eastAsia="Arial" w:hAnsi="Arial"/>
                <w:sz w:val="14"/>
                <w:szCs w:val="14"/>
                <w:b w:val="1"/>
                <w:bCs w:val="1"/>
                <w:color w:val="auto"/>
                <w:w w:val="90"/>
              </w:rPr>
              <w:t>Weil, Gotshal &amp; Manges LLP</w:t>
            </w:r>
          </w:p>
        </w:tc>
        <w:tc>
          <w:tcPr>
            <w:tcW w:w="3200" w:type="dxa"/>
            <w:vAlign w:val="bottom"/>
          </w:tcPr>
          <w:p>
            <w:pPr>
              <w:jc w:val="center"/>
              <w:ind w:left="132"/>
              <w:spacing w:after="0" w:line="140" w:lineRule="exact"/>
              <w:rPr>
                <w:sz w:val="20"/>
                <w:szCs w:val="20"/>
                <w:color w:val="auto"/>
              </w:rPr>
            </w:pPr>
            <w:r>
              <w:rPr>
                <w:rFonts w:ascii="Arial" w:cs="Arial" w:eastAsia="Arial" w:hAnsi="Arial"/>
                <w:sz w:val="14"/>
                <w:szCs w:val="14"/>
                <w:b w:val="1"/>
                <w:bCs w:val="1"/>
                <w:color w:val="auto"/>
                <w:w w:val="88"/>
              </w:rPr>
              <w:t>550 Cochituate Rd</w:t>
            </w:r>
          </w:p>
        </w:tc>
        <w:tc>
          <w:tcPr>
            <w:tcW w:w="3020" w:type="dxa"/>
            <w:vAlign w:val="bottom"/>
          </w:tcPr>
          <w:p>
            <w:pPr>
              <w:jc w:val="center"/>
              <w:ind w:left="752"/>
              <w:spacing w:after="0" w:line="140" w:lineRule="exact"/>
              <w:rPr>
                <w:sz w:val="20"/>
                <w:szCs w:val="20"/>
                <w:color w:val="auto"/>
              </w:rPr>
            </w:pPr>
            <w:r>
              <w:rPr>
                <w:rFonts w:ascii="Arial" w:cs="Arial" w:eastAsia="Arial" w:hAnsi="Arial"/>
                <w:sz w:val="14"/>
                <w:szCs w:val="14"/>
                <w:b w:val="1"/>
                <w:bCs w:val="1"/>
                <w:color w:val="auto"/>
                <w:w w:val="88"/>
              </w:rPr>
              <w:t>Alexa Berlin</w:t>
            </w:r>
          </w:p>
        </w:tc>
      </w:tr>
      <w:tr>
        <w:trPr>
          <w:trHeight w:val="140"/>
        </w:trPr>
        <w:tc>
          <w:tcPr>
            <w:tcW w:w="2700" w:type="dxa"/>
            <w:vAlign w:val="bottom"/>
          </w:tcPr>
          <w:p>
            <w:pPr>
              <w:jc w:val="center"/>
              <w:ind w:right="932"/>
              <w:spacing w:after="0" w:line="140" w:lineRule="exact"/>
              <w:rPr>
                <w:sz w:val="20"/>
                <w:szCs w:val="20"/>
                <w:color w:val="auto"/>
              </w:rPr>
            </w:pPr>
            <w:r>
              <w:rPr>
                <w:rFonts w:ascii="Arial" w:cs="Arial" w:eastAsia="Arial" w:hAnsi="Arial"/>
                <w:sz w:val="14"/>
                <w:szCs w:val="14"/>
                <w:b w:val="1"/>
                <w:bCs w:val="1"/>
                <w:color w:val="auto"/>
                <w:w w:val="87"/>
              </w:rPr>
              <w:t>767 Fifth Avenue</w:t>
            </w:r>
          </w:p>
        </w:tc>
        <w:tc>
          <w:tcPr>
            <w:tcW w:w="3200" w:type="dxa"/>
            <w:vAlign w:val="bottom"/>
          </w:tcPr>
          <w:p>
            <w:pPr>
              <w:jc w:val="center"/>
              <w:ind w:left="112"/>
              <w:spacing w:after="0" w:line="140" w:lineRule="exact"/>
              <w:rPr>
                <w:sz w:val="20"/>
                <w:szCs w:val="20"/>
                <w:color w:val="auto"/>
              </w:rPr>
            </w:pPr>
            <w:r>
              <w:rPr>
                <w:rFonts w:ascii="Arial" w:cs="Arial" w:eastAsia="Arial" w:hAnsi="Arial"/>
                <w:sz w:val="14"/>
                <w:szCs w:val="14"/>
                <w:b w:val="1"/>
                <w:bCs w:val="1"/>
                <w:color w:val="auto"/>
                <w:w w:val="90"/>
              </w:rPr>
              <w:t>Framingham, MA 01701</w:t>
            </w:r>
          </w:p>
        </w:tc>
        <w:tc>
          <w:tcPr>
            <w:tcW w:w="3020" w:type="dxa"/>
            <w:vAlign w:val="bottom"/>
          </w:tcPr>
          <w:p>
            <w:pPr>
              <w:jc w:val="center"/>
              <w:ind w:left="732"/>
              <w:spacing w:after="0" w:line="140" w:lineRule="exact"/>
              <w:rPr>
                <w:sz w:val="20"/>
                <w:szCs w:val="20"/>
                <w:color w:val="auto"/>
              </w:rPr>
            </w:pPr>
            <w:r>
              <w:rPr>
                <w:rFonts w:ascii="Arial" w:cs="Arial" w:eastAsia="Arial" w:hAnsi="Arial"/>
                <w:sz w:val="14"/>
                <w:szCs w:val="14"/>
                <w:b w:val="1"/>
                <w:bCs w:val="1"/>
                <w:color w:val="auto"/>
                <w:w w:val="93"/>
              </w:rPr>
              <w:t>Latham &amp; Watkins LLP</w:t>
            </w:r>
          </w:p>
        </w:tc>
      </w:tr>
      <w:tr>
        <w:trPr>
          <w:trHeight w:val="140"/>
        </w:trPr>
        <w:tc>
          <w:tcPr>
            <w:tcW w:w="2700" w:type="dxa"/>
            <w:vAlign w:val="bottom"/>
          </w:tcPr>
          <w:p>
            <w:pPr>
              <w:jc w:val="center"/>
              <w:ind w:right="912"/>
              <w:spacing w:after="0" w:line="140" w:lineRule="exact"/>
              <w:rPr>
                <w:sz w:val="20"/>
                <w:szCs w:val="20"/>
                <w:color w:val="auto"/>
              </w:rPr>
            </w:pPr>
            <w:r>
              <w:rPr>
                <w:rFonts w:ascii="Arial" w:cs="Arial" w:eastAsia="Arial" w:hAnsi="Arial"/>
                <w:sz w:val="14"/>
                <w:szCs w:val="14"/>
                <w:b w:val="1"/>
                <w:bCs w:val="1"/>
                <w:color w:val="auto"/>
                <w:w w:val="89"/>
              </w:rPr>
              <w:t>New York, New York 10153</w:t>
            </w:r>
          </w:p>
        </w:tc>
        <w:tc>
          <w:tcPr>
            <w:tcW w:w="3200" w:type="dxa"/>
            <w:vAlign w:val="bottom"/>
          </w:tcPr>
          <w:p>
            <w:pPr>
              <w:jc w:val="center"/>
              <w:ind w:left="112"/>
              <w:spacing w:after="0" w:line="140" w:lineRule="exact"/>
              <w:rPr>
                <w:sz w:val="20"/>
                <w:szCs w:val="20"/>
                <w:color w:val="auto"/>
              </w:rPr>
            </w:pPr>
            <w:r>
              <w:rPr>
                <w:rFonts w:ascii="Arial" w:cs="Arial" w:eastAsia="Arial" w:hAnsi="Arial"/>
                <w:sz w:val="14"/>
                <w:szCs w:val="14"/>
                <w:b w:val="1"/>
                <w:bCs w:val="1"/>
                <w:color w:val="auto"/>
                <w:w w:val="89"/>
              </w:rPr>
              <w:t>(508) 720-4224</w:t>
            </w:r>
          </w:p>
        </w:tc>
        <w:tc>
          <w:tcPr>
            <w:tcW w:w="3020" w:type="dxa"/>
            <w:vAlign w:val="bottom"/>
          </w:tcPr>
          <w:p>
            <w:pPr>
              <w:jc w:val="center"/>
              <w:ind w:left="732"/>
              <w:spacing w:after="0" w:line="140" w:lineRule="exact"/>
              <w:rPr>
                <w:sz w:val="20"/>
                <w:szCs w:val="20"/>
                <w:color w:val="auto"/>
              </w:rPr>
            </w:pPr>
            <w:r>
              <w:rPr>
                <w:rFonts w:ascii="Arial" w:cs="Arial" w:eastAsia="Arial" w:hAnsi="Arial"/>
                <w:sz w:val="14"/>
                <w:szCs w:val="14"/>
                <w:b w:val="1"/>
                <w:bCs w:val="1"/>
                <w:color w:val="auto"/>
                <w:w w:val="87"/>
              </w:rPr>
              <w:t>330 North Wabash Avenue, Suite 2800</w:t>
            </w:r>
          </w:p>
        </w:tc>
      </w:tr>
      <w:tr>
        <w:trPr>
          <w:trHeight w:val="140"/>
        </w:trPr>
        <w:tc>
          <w:tcPr>
            <w:tcW w:w="2700" w:type="dxa"/>
            <w:vAlign w:val="bottom"/>
          </w:tcPr>
          <w:p>
            <w:pPr>
              <w:jc w:val="center"/>
              <w:ind w:right="932"/>
              <w:spacing w:after="0" w:line="140" w:lineRule="exact"/>
              <w:rPr>
                <w:sz w:val="20"/>
                <w:szCs w:val="20"/>
                <w:color w:val="auto"/>
              </w:rPr>
            </w:pPr>
            <w:r>
              <w:rPr>
                <w:rFonts w:ascii="Arial" w:cs="Arial" w:eastAsia="Arial" w:hAnsi="Arial"/>
                <w:sz w:val="14"/>
                <w:szCs w:val="14"/>
                <w:b w:val="1"/>
                <w:bCs w:val="1"/>
                <w:color w:val="auto"/>
                <w:w w:val="88"/>
              </w:rPr>
              <w:t>(212) 310-8000 (Phone)</w:t>
            </w:r>
          </w:p>
        </w:tc>
        <w:tc>
          <w:tcPr>
            <w:tcW w:w="3200" w:type="dxa"/>
            <w:vAlign w:val="bottom"/>
          </w:tcPr>
          <w:p>
            <w:pPr>
              <w:spacing w:after="0"/>
              <w:rPr>
                <w:sz w:val="12"/>
                <w:szCs w:val="12"/>
                <w:color w:val="auto"/>
              </w:rPr>
            </w:pPr>
          </w:p>
        </w:tc>
        <w:tc>
          <w:tcPr>
            <w:tcW w:w="3020" w:type="dxa"/>
            <w:vAlign w:val="bottom"/>
          </w:tcPr>
          <w:p>
            <w:pPr>
              <w:jc w:val="center"/>
              <w:ind w:left="732"/>
              <w:spacing w:after="0" w:line="140" w:lineRule="exact"/>
              <w:rPr>
                <w:sz w:val="20"/>
                <w:szCs w:val="20"/>
                <w:color w:val="auto"/>
              </w:rPr>
            </w:pPr>
            <w:r>
              <w:rPr>
                <w:rFonts w:ascii="Arial" w:cs="Arial" w:eastAsia="Arial" w:hAnsi="Arial"/>
                <w:sz w:val="14"/>
                <w:szCs w:val="14"/>
                <w:b w:val="1"/>
                <w:bCs w:val="1"/>
                <w:color w:val="auto"/>
                <w:w w:val="86"/>
              </w:rPr>
              <w:t>Chicago, Illinois 60611</w:t>
            </w:r>
          </w:p>
        </w:tc>
      </w:tr>
      <w:tr>
        <w:trPr>
          <w:trHeight w:val="140"/>
        </w:trPr>
        <w:tc>
          <w:tcPr>
            <w:tcW w:w="2700" w:type="dxa"/>
            <w:vAlign w:val="bottom"/>
          </w:tcPr>
          <w:p>
            <w:pPr>
              <w:jc w:val="center"/>
              <w:ind w:right="912"/>
              <w:spacing w:after="0" w:line="140" w:lineRule="exact"/>
              <w:rPr>
                <w:sz w:val="20"/>
                <w:szCs w:val="20"/>
                <w:color w:val="auto"/>
              </w:rPr>
            </w:pPr>
            <w:r>
              <w:rPr>
                <w:rFonts w:ascii="Arial" w:cs="Arial" w:eastAsia="Arial" w:hAnsi="Arial"/>
                <w:sz w:val="14"/>
                <w:szCs w:val="14"/>
                <w:b w:val="1"/>
                <w:bCs w:val="1"/>
                <w:color w:val="auto"/>
                <w:w w:val="90"/>
              </w:rPr>
              <w:t>(212) 310-8007 (Fax)</w:t>
            </w:r>
          </w:p>
        </w:tc>
        <w:tc>
          <w:tcPr>
            <w:tcW w:w="3200" w:type="dxa"/>
            <w:vAlign w:val="bottom"/>
          </w:tcPr>
          <w:p>
            <w:pPr>
              <w:spacing w:after="0"/>
              <w:rPr>
                <w:sz w:val="12"/>
                <w:szCs w:val="12"/>
                <w:color w:val="auto"/>
              </w:rPr>
            </w:pPr>
          </w:p>
        </w:tc>
        <w:tc>
          <w:tcPr>
            <w:tcW w:w="3020" w:type="dxa"/>
            <w:vAlign w:val="bottom"/>
          </w:tcPr>
          <w:p>
            <w:pPr>
              <w:jc w:val="center"/>
              <w:ind w:left="732"/>
              <w:spacing w:after="0" w:line="140" w:lineRule="exact"/>
              <w:rPr>
                <w:sz w:val="20"/>
                <w:szCs w:val="20"/>
                <w:color w:val="auto"/>
              </w:rPr>
            </w:pPr>
            <w:r>
              <w:rPr>
                <w:rFonts w:ascii="Arial" w:cs="Arial" w:eastAsia="Arial" w:hAnsi="Arial"/>
                <w:sz w:val="14"/>
                <w:szCs w:val="14"/>
                <w:b w:val="1"/>
                <w:bCs w:val="1"/>
                <w:color w:val="auto"/>
                <w:w w:val="88"/>
              </w:rPr>
              <w:t>(312) 876-7700 (Phone)</w:t>
            </w:r>
          </w:p>
        </w:tc>
      </w:tr>
      <w:tr>
        <w:trPr>
          <w:trHeight w:val="175"/>
        </w:trPr>
        <w:tc>
          <w:tcPr>
            <w:tcW w:w="27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3020" w:type="dxa"/>
            <w:vAlign w:val="bottom"/>
          </w:tcPr>
          <w:p>
            <w:pPr>
              <w:jc w:val="center"/>
              <w:ind w:left="732"/>
              <w:spacing w:after="0"/>
              <w:rPr>
                <w:sz w:val="20"/>
                <w:szCs w:val="20"/>
                <w:color w:val="auto"/>
              </w:rPr>
            </w:pPr>
            <w:r>
              <w:rPr>
                <w:rFonts w:ascii="Arial" w:cs="Arial" w:eastAsia="Arial" w:hAnsi="Arial"/>
                <w:sz w:val="14"/>
                <w:szCs w:val="14"/>
                <w:b w:val="1"/>
                <w:bCs w:val="1"/>
                <w:color w:val="auto"/>
                <w:w w:val="88"/>
              </w:rPr>
              <w:t>(312) 993-9767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120015</wp:posOffset>
            </wp:positionV>
            <wp:extent cx="1389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18"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jc w:val="center"/>
        <w:ind w:right="-41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31" w:lineRule="exact"/>
        <w:rPr>
          <w:sz w:val="24"/>
          <w:szCs w:val="24"/>
          <w:color w:val="auto"/>
        </w:rPr>
      </w:pPr>
    </w:p>
    <w:p>
      <w:pPr>
        <w:ind w:left="440" w:right="300" w:firstLine="415"/>
        <w:spacing w:after="0" w:line="171"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440" w:right="540" w:firstLine="415"/>
        <w:spacing w:after="0" w:line="171"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left="440" w:right="120" w:firstLine="415"/>
        <w:spacing w:after="0" w:line="171"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28" w:lineRule="exact"/>
        <w:rPr>
          <w:sz w:val="24"/>
          <w:szCs w:val="24"/>
          <w:color w:val="auto"/>
        </w:rPr>
      </w:pPr>
    </w:p>
    <w:p>
      <w:pPr>
        <w:ind w:left="440" w:right="100" w:firstLine="415"/>
        <w:spacing w:after="0" w:line="171"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440" w:right="380" w:firstLine="415"/>
        <w:spacing w:after="0" w:line="23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440" w:type="dxa"/>
        <w:tblCellMar>
          <w:top w:w="0" w:type="dxa"/>
          <w:left w:w="0" w:type="dxa"/>
          <w:bottom w:w="0" w:type="dxa"/>
          <w:right w:w="0" w:type="dxa"/>
        </w:tblCellMar>
      </w:tblPr>
      <w:tr>
        <w:trPr>
          <w:trHeight w:val="191"/>
        </w:trPr>
        <w:tc>
          <w:tcPr>
            <w:tcW w:w="1400" w:type="dxa"/>
            <w:vAlign w:val="bottom"/>
          </w:tcPr>
          <w:p>
            <w:pPr>
              <w:spacing w:after="0"/>
              <w:rPr>
                <w:sz w:val="20"/>
                <w:szCs w:val="20"/>
                <w:color w:val="auto"/>
              </w:rPr>
            </w:pPr>
            <w:r>
              <w:rPr>
                <w:rFonts w:ascii="Arial" w:cs="Arial" w:eastAsia="Arial" w:hAnsi="Arial"/>
                <w:sz w:val="14"/>
                <w:szCs w:val="14"/>
                <w:color w:val="auto"/>
                <w:w w:val="99"/>
              </w:rPr>
              <w:t>Large accelerated filer</w:t>
            </w:r>
          </w:p>
        </w:tc>
        <w:tc>
          <w:tcPr>
            <w:tcW w:w="36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332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1"/>
        </w:trPr>
        <w:tc>
          <w:tcPr>
            <w:tcW w:w="14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3320"/>
              <w:spacing w:after="0"/>
              <w:rPr>
                <w:sz w:val="20"/>
                <w:szCs w:val="20"/>
                <w:color w:val="auto"/>
              </w:rPr>
            </w:pPr>
            <w:r>
              <w:rPr>
                <w:rFonts w:ascii="Arial" w:cs="Arial" w:eastAsia="Arial" w:hAnsi="Arial"/>
                <w:sz w:val="14"/>
                <w:szCs w:val="14"/>
                <w:color w:val="auto"/>
                <w:w w:val="98"/>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4"/>
        </w:trPr>
        <w:tc>
          <w:tcPr>
            <w:tcW w:w="14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4980" w:type="dxa"/>
            <w:vAlign w:val="bottom"/>
          </w:tcPr>
          <w:p>
            <w:pPr>
              <w:ind w:left="3320"/>
              <w:spacing w:after="0"/>
              <w:rPr>
                <w:sz w:val="20"/>
                <w:szCs w:val="20"/>
                <w:color w:val="auto"/>
              </w:rPr>
            </w:pPr>
            <w:r>
              <w:rPr>
                <w:rFonts w:ascii="Arial" w:cs="Arial" w:eastAsia="Arial" w:hAnsi="Arial"/>
                <w:sz w:val="14"/>
                <w:szCs w:val="14"/>
                <w:color w:val="auto"/>
                <w:w w:val="98"/>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7" w:lineRule="exact"/>
        <w:rPr>
          <w:sz w:val="24"/>
          <w:szCs w:val="24"/>
          <w:color w:val="auto"/>
        </w:rPr>
      </w:pPr>
    </w:p>
    <w:p>
      <w:pPr>
        <w:ind w:left="440" w:right="560" w:firstLine="415"/>
        <w:spacing w:after="0" w:line="17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2876550</wp:posOffset>
            </wp:positionH>
            <wp:positionV relativeFrom="paragraph">
              <wp:posOffset>102235</wp:posOffset>
            </wp:positionV>
            <wp:extent cx="1389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10"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CALCULATION OF REGISTRATION FEE</w:t>
      </w:r>
    </w:p>
    <w:p>
      <w:pPr>
        <w:spacing w:after="0" w:line="43" w:lineRule="exact"/>
        <w:rPr>
          <w:sz w:val="24"/>
          <w:szCs w:val="24"/>
          <w:color w:val="auto"/>
        </w:rPr>
      </w:pPr>
    </w:p>
    <w:tbl>
      <w:tblPr>
        <w:tblLayout w:type="fixed"/>
        <w:tblInd w:w="4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105"/>
        </w:trPr>
        <w:tc>
          <w:tcPr>
            <w:tcW w:w="20" w:type="dxa"/>
            <w:vAlign w:val="bottom"/>
          </w:tcPr>
          <w:p>
            <w:pPr>
              <w:spacing w:after="0"/>
              <w:rPr>
                <w:sz w:val="9"/>
                <w:szCs w:val="9"/>
                <w:color w:val="auto"/>
              </w:rPr>
            </w:pPr>
          </w:p>
        </w:tc>
        <w:tc>
          <w:tcPr>
            <w:tcW w:w="3960" w:type="dxa"/>
            <w:vAlign w:val="bottom"/>
            <w:tcBorders>
              <w:right w:val="single" w:sz="8" w:color="auto"/>
            </w:tcBorders>
          </w:tcPr>
          <w:p>
            <w:pPr>
              <w:spacing w:after="0"/>
              <w:rPr>
                <w:sz w:val="9"/>
                <w:szCs w:val="9"/>
                <w:color w:val="auto"/>
              </w:rPr>
            </w:pPr>
          </w:p>
        </w:tc>
        <w:tc>
          <w:tcPr>
            <w:tcW w:w="14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7"/>
              </w:rPr>
              <w:t>Proposed</w:t>
            </w:r>
          </w:p>
        </w:tc>
        <w:tc>
          <w:tcPr>
            <w:tcW w:w="17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w w:val="97"/>
              </w:rPr>
              <w:t>Proposed</w:t>
            </w:r>
          </w:p>
        </w:tc>
        <w:tc>
          <w:tcPr>
            <w:tcW w:w="1540" w:type="dxa"/>
            <w:vAlign w:val="bottom"/>
          </w:tcPr>
          <w:p>
            <w:pPr>
              <w:spacing w:after="0"/>
              <w:rPr>
                <w:sz w:val="9"/>
                <w:szCs w:val="9"/>
                <w:color w:val="auto"/>
              </w:rPr>
            </w:pPr>
          </w:p>
        </w:tc>
      </w:tr>
      <w:tr>
        <w:trPr>
          <w:trHeight w:val="140"/>
        </w:trPr>
        <w:tc>
          <w:tcPr>
            <w:tcW w:w="20" w:type="dxa"/>
            <w:vAlign w:val="bottom"/>
          </w:tcPr>
          <w:p>
            <w:pPr>
              <w:spacing w:after="0"/>
              <w:rPr>
                <w:sz w:val="12"/>
                <w:szCs w:val="12"/>
                <w:color w:val="auto"/>
              </w:rPr>
            </w:pPr>
          </w:p>
        </w:tc>
        <w:tc>
          <w:tcPr>
            <w:tcW w:w="396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6"/>
              </w:rPr>
              <w:t>Title of Each Class of</w:t>
            </w:r>
          </w:p>
        </w:tc>
        <w:tc>
          <w:tcPr>
            <w:tcW w:w="1460" w:type="dxa"/>
            <w:vAlign w:val="bottom"/>
            <w:tcBorders>
              <w:right w:val="single" w:sz="8" w:color="auto"/>
            </w:tcBorders>
          </w:tcPr>
          <w:p>
            <w:pPr>
              <w:ind w:left="360"/>
              <w:spacing w:after="0" w:line="140" w:lineRule="exact"/>
              <w:rPr>
                <w:sz w:val="20"/>
                <w:szCs w:val="20"/>
                <w:color w:val="auto"/>
              </w:rPr>
            </w:pPr>
            <w:r>
              <w:rPr>
                <w:rFonts w:ascii="Arial" w:cs="Arial" w:eastAsia="Arial" w:hAnsi="Arial"/>
                <w:sz w:val="14"/>
                <w:szCs w:val="14"/>
                <w:b w:val="1"/>
                <w:bCs w:val="1"/>
                <w:color w:val="auto"/>
              </w:rPr>
              <w:t>Amount to be</w:t>
            </w:r>
          </w:p>
        </w:tc>
        <w:tc>
          <w:tcPr>
            <w:tcW w:w="16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2"/>
              </w:rPr>
              <w:t>Maximum Offering</w:t>
            </w:r>
          </w:p>
        </w:tc>
        <w:tc>
          <w:tcPr>
            <w:tcW w:w="176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88"/>
              </w:rPr>
              <w:t>Maximum Aggregate</w:t>
            </w:r>
          </w:p>
        </w:tc>
        <w:tc>
          <w:tcPr>
            <w:tcW w:w="1540" w:type="dxa"/>
            <w:vAlign w:val="bottom"/>
          </w:tcPr>
          <w:p>
            <w:pPr>
              <w:jc w:val="center"/>
              <w:ind w:left="9"/>
              <w:spacing w:after="0" w:line="140" w:lineRule="exact"/>
              <w:rPr>
                <w:sz w:val="20"/>
                <w:szCs w:val="20"/>
                <w:color w:val="auto"/>
              </w:rPr>
            </w:pPr>
            <w:r>
              <w:rPr>
                <w:rFonts w:ascii="Arial" w:cs="Arial" w:eastAsia="Arial" w:hAnsi="Arial"/>
                <w:sz w:val="14"/>
                <w:szCs w:val="14"/>
                <w:b w:val="1"/>
                <w:bCs w:val="1"/>
                <w:color w:val="auto"/>
                <w:w w:val="88"/>
              </w:rPr>
              <w:t>Amount of</w:t>
            </w:r>
          </w:p>
        </w:tc>
      </w:tr>
      <w:tr>
        <w:trPr>
          <w:trHeight w:val="165"/>
        </w:trPr>
        <w:tc>
          <w:tcPr>
            <w:tcW w:w="20" w:type="dxa"/>
            <w:vAlign w:val="bottom"/>
          </w:tcPr>
          <w:p>
            <w:pPr>
              <w:spacing w:after="0"/>
              <w:rPr>
                <w:sz w:val="14"/>
                <w:szCs w:val="14"/>
                <w:color w:val="auto"/>
              </w:rPr>
            </w:pPr>
          </w:p>
        </w:tc>
        <w:tc>
          <w:tcPr>
            <w:tcW w:w="3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Securities to be 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Registered(1)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Price Per Share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Price(1)(2)</w:t>
            </w:r>
          </w:p>
        </w:tc>
        <w:tc>
          <w:tcPr>
            <w:tcW w:w="154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86"/>
              </w:rPr>
              <w:t>Registration Fee(3)</w:t>
            </w:r>
          </w:p>
        </w:tc>
      </w:tr>
      <w:tr>
        <w:trPr>
          <w:trHeight w:val="194"/>
        </w:trPr>
        <w:tc>
          <w:tcPr>
            <w:tcW w:w="20" w:type="dxa"/>
            <w:vAlign w:val="bottom"/>
          </w:tcPr>
          <w:p>
            <w:pPr>
              <w:spacing w:after="0"/>
              <w:rPr>
                <w:sz w:val="16"/>
                <w:szCs w:val="16"/>
                <w:color w:val="auto"/>
              </w:rPr>
            </w:pPr>
          </w:p>
        </w:tc>
        <w:tc>
          <w:tcPr>
            <w:tcW w:w="3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Class A common stock, $0.001 par value per share</w:t>
            </w:r>
          </w:p>
        </w:tc>
        <w:tc>
          <w:tcPr>
            <w:tcW w:w="1460" w:type="dxa"/>
            <w:vAlign w:val="bottom"/>
            <w:tcBorders>
              <w:bottom w:val="single" w:sz="8" w:color="auto"/>
              <w:right w:val="single" w:sz="8" w:color="auto"/>
            </w:tcBorders>
          </w:tcPr>
          <w:p>
            <w:pPr>
              <w:jc w:val="right"/>
              <w:ind w:right="289"/>
              <w:spacing w:after="0"/>
              <w:rPr>
                <w:sz w:val="20"/>
                <w:szCs w:val="20"/>
                <w:color w:val="auto"/>
              </w:rPr>
            </w:pPr>
            <w:r>
              <w:rPr>
                <w:rFonts w:ascii="Arial" w:cs="Arial" w:eastAsia="Arial" w:hAnsi="Arial"/>
                <w:sz w:val="15"/>
                <w:szCs w:val="15"/>
                <w:color w:val="auto"/>
              </w:rPr>
              <w:t>17,888,888</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1"/>
              </w:rPr>
              <w:t>$26.00</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89"/>
              </w:rPr>
              <w:t>$465,111,088</w:t>
            </w:r>
          </w:p>
        </w:tc>
        <w:tc>
          <w:tcPr>
            <w:tcW w:w="1540" w:type="dxa"/>
            <w:vAlign w:val="bottom"/>
            <w:tcBorders>
              <w:bottom w:val="single" w:sz="8" w:color="auto"/>
            </w:tcBorders>
          </w:tcPr>
          <w:p>
            <w:pPr>
              <w:jc w:val="center"/>
              <w:ind w:left="9"/>
              <w:spacing w:after="0"/>
              <w:rPr>
                <w:sz w:val="20"/>
                <w:szCs w:val="20"/>
                <w:color w:val="auto"/>
              </w:rPr>
            </w:pPr>
            <w:r>
              <w:rPr>
                <w:rFonts w:ascii="Arial" w:cs="Arial" w:eastAsia="Arial" w:hAnsi="Arial"/>
                <w:sz w:val="15"/>
                <w:szCs w:val="15"/>
                <w:color w:val="auto"/>
                <w:w w:val="92"/>
              </w:rPr>
              <w:t>$50,743</w:t>
            </w: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ind w:left="840" w:hanging="406"/>
        <w:spacing w:after="0" w:line="218" w:lineRule="auto"/>
        <w:tabs>
          <w:tab w:leader="none" w:pos="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457(a) promulgated under the Securities Act of 1933, as amended.</w:t>
      </w:r>
    </w:p>
    <w:p>
      <w:pPr>
        <w:ind w:left="840" w:hanging="406"/>
        <w:spacing w:after="0" w:line="208" w:lineRule="auto"/>
        <w:tabs>
          <w:tab w:leader="none" w:pos="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Class A common stock that may be issuable upon exercise of an option to purchase additional shares granted to the underwriters.</w:t>
      </w:r>
    </w:p>
    <w:p>
      <w:pPr>
        <w:ind w:left="840" w:hanging="406"/>
        <w:spacing w:after="0"/>
        <w:tabs>
          <w:tab w:leader="none" w:pos="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Of this amount, $46,840 was previously paid.</w:t>
      </w:r>
    </w:p>
    <w:p>
      <w:pPr>
        <w:spacing w:after="0" w:line="29" w:lineRule="exact"/>
        <w:rPr>
          <w:sz w:val="24"/>
          <w:szCs w:val="24"/>
          <w:color w:val="auto"/>
        </w:rPr>
      </w:pPr>
    </w:p>
    <w:p>
      <w:pPr>
        <w:ind w:left="440" w:right="60" w:firstLine="415"/>
        <w:spacing w:after="0" w:line="275"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275590</wp:posOffset>
            </wp:positionH>
            <wp:positionV relativeFrom="paragraph">
              <wp:posOffset>34925</wp:posOffset>
            </wp:positionV>
            <wp:extent cx="65913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74930</wp:posOffset>
            </wp:positionV>
            <wp:extent cx="6591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1300" cy="8255"/>
                    </a:xfrm>
                    <a:prstGeom prst="rect">
                      <a:avLst/>
                    </a:prstGeom>
                    <a:noFill/>
                  </pic:spPr>
                </pic:pic>
              </a:graphicData>
            </a:graphic>
          </wp:anchor>
        </w:drawing>
      </w:r>
    </w:p>
    <w:p>
      <w:pPr>
        <w:sectPr>
          <w:pgSz w:w="11900" w:h="16838" w:orient="portrait"/>
          <w:cols w:equalWidth="0" w:num="1">
            <w:col w:w="10820"/>
          </w:cols>
          <w:pgMar w:left="320" w:top="225" w:right="75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right="60"/>
        <w:spacing w:after="0" w:line="288" w:lineRule="auto"/>
        <w:rPr>
          <w:sz w:val="20"/>
          <w:szCs w:val="20"/>
          <w:color w:val="auto"/>
        </w:rPr>
      </w:pPr>
      <w:r>
        <w:rPr>
          <w:rFonts w:ascii="Arial" w:cs="Arial" w:eastAsia="Arial" w:hAnsi="Arial"/>
          <w:sz w:val="16"/>
          <w:szCs w:val="16"/>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77"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FF4338"/>
        </w:rPr>
        <w:t>Subject to Completion, September 13, 2021</w:t>
      </w:r>
    </w:p>
    <w:p>
      <w:pPr>
        <w:ind w:left="440"/>
        <w:spacing w:after="0"/>
        <w:rPr>
          <w:sz w:val="20"/>
          <w:szCs w:val="20"/>
          <w:color w:val="auto"/>
        </w:rPr>
      </w:pPr>
      <w:r>
        <w:rPr>
          <w:rFonts w:ascii="Arial" w:cs="Arial" w:eastAsia="Arial" w:hAnsi="Arial"/>
          <w:sz w:val="14"/>
          <w:szCs w:val="14"/>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63500</wp:posOffset>
            </wp:positionV>
            <wp:extent cx="2019300" cy="4121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9300" cy="41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19"/>
        <w:spacing w:after="0"/>
        <w:rPr>
          <w:sz w:val="20"/>
          <w:szCs w:val="20"/>
          <w:color w:val="auto"/>
        </w:rPr>
      </w:pPr>
      <w:r>
        <w:rPr>
          <w:rFonts w:ascii="Arial" w:cs="Arial" w:eastAsia="Arial" w:hAnsi="Arial"/>
          <w:sz w:val="24"/>
          <w:szCs w:val="24"/>
          <w:b w:val="1"/>
          <w:bCs w:val="1"/>
          <w:color w:val="auto"/>
        </w:rPr>
        <w:t>15,555,555 Shares</w:t>
      </w:r>
    </w:p>
    <w:p>
      <w:pPr>
        <w:spacing w:after="0" w:line="88" w:lineRule="exact"/>
        <w:rPr>
          <w:sz w:val="20"/>
          <w:szCs w:val="20"/>
          <w:color w:val="auto"/>
        </w:rPr>
      </w:pPr>
    </w:p>
    <w:p>
      <w:pPr>
        <w:jc w:val="center"/>
        <w:ind w:right="-419"/>
        <w:spacing w:after="0"/>
        <w:rPr>
          <w:sz w:val="20"/>
          <w:szCs w:val="20"/>
          <w:color w:val="auto"/>
        </w:rPr>
      </w:pPr>
      <w:r>
        <w:rPr>
          <w:rFonts w:ascii="Arial" w:cs="Arial" w:eastAsia="Arial" w:hAnsi="Arial"/>
          <w:sz w:val="31"/>
          <w:szCs w:val="31"/>
          <w:b w:val="1"/>
          <w:bCs w:val="1"/>
          <w:color w:val="auto"/>
        </w:rPr>
        <w:t>Definitive Healthcare Corp.</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20"/>
          <w:szCs w:val="2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160655</wp:posOffset>
            </wp:positionV>
            <wp:extent cx="13893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40" w:right="20" w:firstLine="415"/>
        <w:spacing w:after="0" w:line="248" w:lineRule="auto"/>
        <w:rPr>
          <w:sz w:val="20"/>
          <w:szCs w:val="20"/>
          <w:color w:val="auto"/>
        </w:rPr>
      </w:pPr>
      <w:r>
        <w:rPr>
          <w:rFonts w:ascii="Arial" w:cs="Arial" w:eastAsia="Arial" w:hAnsi="Arial"/>
          <w:sz w:val="12"/>
          <w:szCs w:val="12"/>
          <w:color w:val="auto"/>
        </w:rPr>
        <w:t>This is an initial public offering of Class A common stock by Definitive Healthcare Corp. 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 We are offering 15,555,555 shares of our Class A common stock. Prior to this IPO (as defined herein), there has been no public market for our Class A common stock. It is currently estimated that the initial public offering price per share will be between $24.00 and $26.00. We have been approved to have our Class A common stock listed on Nasdaq Global Select Market (“Nasdaq”) under the symbol “DH.” This offering is being conducted through what is commonly referred to as an “Up-C” structure, which is often used by partnerships and limited liability companies undertaking an initial public offering. The Up-C approach provides the existing owners with the tax treatment of continuing to own interests in a pass-through structure and provides potential future tax benefits for both the public company and the existing owners when they ultimately exchange their pass-through interests for shares of Class A common stock. Definitive Healthcare Corp. is a holding company, and immediately after the consummation of the Reorganization Transactions (as defined herein) and this offering its principal asset will be its ownership interests in Definitive OpCo (as defined herein). We conduct our business through Definitive OpCo and its subsidiaries. See “Prospectus Summary— Organizational Structure.” Upon the completion of this offering, Definitive Healthcare Corp. and the Continuing Pre-IPO LLC Members (as defined herein) will hold 59.1% and 40.9% of Definitive OpCo, respectively.</w:t>
      </w:r>
    </w:p>
    <w:p>
      <w:pPr>
        <w:spacing w:after="0" w:line="212" w:lineRule="exact"/>
        <w:rPr>
          <w:sz w:val="20"/>
          <w:szCs w:val="20"/>
          <w:color w:val="auto"/>
        </w:rPr>
      </w:pPr>
    </w:p>
    <w:p>
      <w:pPr>
        <w:ind w:left="440" w:firstLine="415"/>
        <w:spacing w:after="0" w:line="258" w:lineRule="auto"/>
        <w:rPr>
          <w:sz w:val="20"/>
          <w:szCs w:val="20"/>
          <w:color w:val="auto"/>
        </w:rPr>
      </w:pPr>
      <w:r>
        <w:rPr>
          <w:rFonts w:ascii="Arial" w:cs="Arial" w:eastAsia="Arial" w:hAnsi="Arial"/>
          <w:sz w:val="12"/>
          <w:szCs w:val="12"/>
          <w:color w:val="auto"/>
        </w:rPr>
        <w:t>Following this offering, we will have two classes of common stock: Class A common stock and Class B common stock. Holders of shares of our Class A common stock are entitled to one vote for each share of Class A common stock held of record on all matters on which stockholders are entitled to vote generally. Holders of shares of our Class B common stock are entitled to one vote for each share of Class B common stock held of record on all matters on which stockholders of Definitive Healthcare Corp. are entitled to vote generally. See “Description of Capital Stock.” The number of outstanding LLC Units (as defined herein) of Definitive OpCo will equal the aggregate number of outstanding shares of Class A common stock and Class B common stock. See “Organizational Structure—Holding Company Structure and the Tax Receivable Agreement.”</w:t>
      </w:r>
    </w:p>
    <w:p>
      <w:pPr>
        <w:spacing w:after="0" w:line="60" w:lineRule="exact"/>
        <w:rPr>
          <w:sz w:val="20"/>
          <w:szCs w:val="20"/>
          <w:color w:val="auto"/>
        </w:rPr>
      </w:pPr>
    </w:p>
    <w:p>
      <w:pPr>
        <w:ind w:left="440" w:right="440" w:firstLine="415"/>
        <w:spacing w:after="0" w:line="303" w:lineRule="auto"/>
        <w:rPr>
          <w:sz w:val="20"/>
          <w:szCs w:val="20"/>
          <w:color w:val="auto"/>
        </w:rPr>
      </w:pPr>
      <w:r>
        <w:rPr>
          <w:rFonts w:ascii="Arial" w:cs="Arial" w:eastAsia="Arial" w:hAnsi="Arial"/>
          <w:sz w:val="12"/>
          <w:szCs w:val="12"/>
          <w:color w:val="auto"/>
        </w:rPr>
        <w:t>As a result, the Pre-IPO LLC Members will be able to control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w:t>
      </w:r>
    </w:p>
    <w:p>
      <w:pPr>
        <w:spacing w:after="0" w:line="3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 intend to use all of the net proceeds from this offering (including from any exercise by the underwriters of their option to purchase additional shares of Class A common stock) to</w:t>
      </w:r>
    </w:p>
    <w:p>
      <w:pPr>
        <w:spacing w:after="0" w:line="14" w:lineRule="exact"/>
        <w:rPr>
          <w:sz w:val="20"/>
          <w:szCs w:val="20"/>
          <w:color w:val="auto"/>
        </w:rPr>
      </w:pPr>
    </w:p>
    <w:p>
      <w:pPr>
        <w:ind w:left="440" w:right="20" w:hanging="6"/>
        <w:spacing w:after="0" w:line="214" w:lineRule="auto"/>
        <w:tabs>
          <w:tab w:leader="none" w:pos="602"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purchase newly issued LLC Units from Definitive OpCo, (ii) purchase LLC Units from certain Pre-IPO LLC Members and (iii) repurchase a portion of our Class A common stock received by the Blocker Company equityholders (as defined below) in connection with the Mergers (as defined herein), in each case at a price per LLC Unit and share of Class A common stock, as applicable, equal to the initial public offering price of our Class A common stock minus underwriting discounts. Definitive OpCo expects to use the proceeds it receives from the issuance of LLC Units to (i) pay fees and expenses of approximately $10.1 million in connection with this offering and (ii) as otherwise set forth in “Use of Proceeds.” See “Use of Proceeds” and “Certain Relationships and Related Party Transactions.”</w:t>
      </w:r>
    </w:p>
    <w:p>
      <w:pPr>
        <w:spacing w:after="0" w:line="72" w:lineRule="exact"/>
        <w:rPr>
          <w:sz w:val="20"/>
          <w:szCs w:val="20"/>
          <w:color w:val="auto"/>
        </w:rPr>
      </w:pPr>
    </w:p>
    <w:p>
      <w:pPr>
        <w:ind w:left="440" w:right="180" w:firstLine="415"/>
        <w:spacing w:after="0" w:line="233" w:lineRule="auto"/>
        <w:rPr>
          <w:sz w:val="20"/>
          <w:szCs w:val="20"/>
          <w:color w:val="auto"/>
        </w:rPr>
      </w:pPr>
      <w:r>
        <w:rPr>
          <w:rFonts w:ascii="Arial" w:cs="Arial" w:eastAsia="Arial" w:hAnsi="Arial"/>
          <w:sz w:val="14"/>
          <w:szCs w:val="14"/>
          <w:color w:val="auto"/>
        </w:rPr>
        <w:t>We are an “emerging growth company” as defined under the federal securities laws and, as such, will be subject to reduced public company reporting requirements. See “Prospectus Summary—Implications of Being an Emerging Growth Company.”</w:t>
      </w:r>
    </w:p>
    <w:p>
      <w:pPr>
        <w:spacing w:after="0" w:line="69"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2"/>
          <w:szCs w:val="12"/>
          <w:color w:val="auto"/>
        </w:rPr>
        <w:t>Certain funds and accounts managed by subsidiaries of BlackRock, Inc. and certain funds and accounts managed by Capital World Investors (“Capital World,” and, collectively, the “cornerstone investors”) have, severally and not jointly, indicated an interest in purchasing an aggregate of up to $40.0 million each (up to $80.0 million in the aggregate) in shares of Class A common stock offered in this offering at the initial public offering price. Because this indication of interest is not a binding agreement or commitment to purchase, the cornerstone investors may decide to purchase more, less or no shares of our Class A common stock in this offering, or the underwriters may decide to sell more, less or no shares of our Class A common stock in this offering to the cornerstone investors. The underwriters will receive the same discount from any shares of Class A common stock sold to the cornerstone investors as they will from any other shares of Class A common stock sold to the public in this offering.</w:t>
      </w:r>
    </w:p>
    <w:p>
      <w:pPr>
        <w:spacing w:after="0" w:line="60" w:lineRule="exact"/>
        <w:rPr>
          <w:sz w:val="20"/>
          <w:szCs w:val="20"/>
          <w:color w:val="auto"/>
        </w:rPr>
      </w:pPr>
    </w:p>
    <w:p>
      <w:pPr>
        <w:ind w:left="84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See “</w:t>
      </w:r>
      <w:hyperlink w:anchor="page37">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on page 27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137160</wp:posOffset>
            </wp:positionV>
            <wp:extent cx="1389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90" w:lineRule="exact"/>
        <w:rPr>
          <w:sz w:val="20"/>
          <w:szCs w:val="20"/>
          <w:color w:val="auto"/>
        </w:rPr>
      </w:pPr>
    </w:p>
    <w:p>
      <w:pPr>
        <w:ind w:left="440" w:right="320" w:firstLine="415"/>
        <w:spacing w:after="0" w:line="234" w:lineRule="auto"/>
        <w:rPr>
          <w:sz w:val="20"/>
          <w:szCs w:val="20"/>
          <w:color w:val="auto"/>
        </w:rPr>
      </w:pPr>
      <w:r>
        <w:rPr>
          <w:rFonts w:ascii="Arial" w:cs="Arial" w:eastAsia="Arial" w:hAnsi="Arial"/>
          <w:sz w:val="14"/>
          <w:szCs w:val="14"/>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9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Per Share</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133"/>
        </w:trPr>
        <w:tc>
          <w:tcPr>
            <w:tcW w:w="61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4"/>
                <w:szCs w:val="14"/>
                <w:color w:val="auto"/>
              </w:rPr>
              <w:t>Initial public offering price</w:t>
            </w:r>
          </w:p>
        </w:tc>
        <w:tc>
          <w:tcPr>
            <w:tcW w:w="660" w:type="dxa"/>
            <w:vAlign w:val="bottom"/>
            <w:tcBorders>
              <w:top w:val="single" w:sz="8" w:color="auto"/>
            </w:tcBorders>
            <w:shd w:val="clear" w:color="auto" w:fill="CCEEFF"/>
          </w:tcPr>
          <w:p>
            <w:pPr>
              <w:jc w:val="right"/>
              <w:ind w:right="512"/>
              <w:spacing w:after="0" w:line="133"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ind w:right="512"/>
              <w:spacing w:after="0" w:line="133"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CCEEFF"/>
            </w:tcBorders>
            <w:shd w:val="clear" w:color="auto" w:fill="CCEEFF"/>
          </w:tcPr>
          <w:p>
            <w:pPr>
              <w:spacing w:after="0"/>
              <w:rPr>
                <w:sz w:val="11"/>
                <w:szCs w:val="11"/>
                <w:color w:val="auto"/>
              </w:rPr>
            </w:pPr>
          </w:p>
        </w:tc>
      </w:tr>
      <w:tr>
        <w:trPr>
          <w:trHeight w:val="140"/>
        </w:trPr>
        <w:tc>
          <w:tcPr>
            <w:tcW w:w="6180" w:type="dxa"/>
            <w:vAlign w:val="bottom"/>
          </w:tcPr>
          <w:p>
            <w:pPr>
              <w:spacing w:after="0" w:line="140"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11"/>
                <w:szCs w:val="11"/>
                <w:color w:val="auto"/>
              </w:rPr>
              <w:t>(1)</w:t>
            </w:r>
          </w:p>
        </w:tc>
        <w:tc>
          <w:tcPr>
            <w:tcW w:w="660" w:type="dxa"/>
            <w:vAlign w:val="bottom"/>
          </w:tcPr>
          <w:p>
            <w:pPr>
              <w:jc w:val="right"/>
              <w:ind w:right="512"/>
              <w:spacing w:after="0" w:line="140" w:lineRule="exact"/>
              <w:rPr>
                <w:sz w:val="20"/>
                <w:szCs w:val="20"/>
                <w:color w:val="auto"/>
              </w:rPr>
            </w:pPr>
            <w:r>
              <w:rPr>
                <w:rFonts w:ascii="Arial" w:cs="Arial" w:eastAsia="Arial" w:hAnsi="Arial"/>
                <w:sz w:val="14"/>
                <w:szCs w:val="14"/>
                <w:color w:val="auto"/>
                <w:w w:val="76"/>
              </w:rPr>
              <w:t>$</w:t>
            </w:r>
          </w:p>
        </w:tc>
        <w:tc>
          <w:tcPr>
            <w:tcW w:w="340" w:type="dxa"/>
            <w:vAlign w:val="bottom"/>
          </w:tcPr>
          <w:p>
            <w:pPr>
              <w:spacing w:after="0"/>
              <w:rPr>
                <w:sz w:val="12"/>
                <w:szCs w:val="12"/>
                <w:color w:val="auto"/>
              </w:rPr>
            </w:pPr>
          </w:p>
        </w:tc>
        <w:tc>
          <w:tcPr>
            <w:tcW w:w="660" w:type="dxa"/>
            <w:vAlign w:val="bottom"/>
          </w:tcPr>
          <w:p>
            <w:pPr>
              <w:jc w:val="right"/>
              <w:ind w:right="512"/>
              <w:spacing w:after="0" w:line="140"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2"/>
                <w:szCs w:val="12"/>
                <w:color w:val="auto"/>
              </w:rPr>
            </w:pPr>
          </w:p>
        </w:tc>
      </w:tr>
      <w:tr>
        <w:trPr>
          <w:trHeight w:val="140"/>
        </w:trPr>
        <w:tc>
          <w:tcPr>
            <w:tcW w:w="618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Proceeds, before expenses, to us</w:t>
            </w:r>
          </w:p>
        </w:tc>
        <w:tc>
          <w:tcPr>
            <w:tcW w:w="660" w:type="dxa"/>
            <w:vAlign w:val="bottom"/>
            <w:shd w:val="clear" w:color="auto" w:fill="CCEEFF"/>
          </w:tcPr>
          <w:p>
            <w:pPr>
              <w:jc w:val="right"/>
              <w:ind w:right="512"/>
              <w:spacing w:after="0" w:line="140" w:lineRule="exact"/>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12"/>
              <w:spacing w:after="0" w:line="140" w:lineRule="exact"/>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0" w:lineRule="exact"/>
        <w:rPr>
          <w:sz w:val="20"/>
          <w:szCs w:val="20"/>
          <w:color w:val="auto"/>
        </w:rPr>
      </w:pPr>
    </w:p>
    <w:p>
      <w:pPr>
        <w:ind w:left="840" w:hanging="406"/>
        <w:spacing w:after="0"/>
        <w:tabs>
          <w:tab w:leader="none" w:pos="84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refer you to “</w:t>
      </w:r>
      <w:hyperlink w:anchor="page211">
        <w:r>
          <w:rPr>
            <w:rFonts w:ascii="Arial" w:cs="Arial" w:eastAsia="Arial" w:hAnsi="Arial"/>
            <w:sz w:val="14"/>
            <w:szCs w:val="14"/>
            <w:u w:val="single" w:color="auto"/>
            <w:color w:val="0000EE"/>
          </w:rPr>
          <w:t>Underwriting</w:t>
        </w:r>
      </w:hyperlink>
      <w:r>
        <w:rPr>
          <w:rFonts w:ascii="Arial" w:cs="Arial" w:eastAsia="Arial" w:hAnsi="Arial"/>
          <w:sz w:val="14"/>
          <w:szCs w:val="14"/>
          <w:color w:val="auto"/>
        </w:rPr>
        <w:t>,” beginning on page 201 of this prospectus, for additional information regarding total underwriter compensation.</w:t>
      </w:r>
    </w:p>
    <w:p>
      <w:pPr>
        <w:spacing w:after="0" w:line="81" w:lineRule="exact"/>
        <w:rPr>
          <w:sz w:val="20"/>
          <w:szCs w:val="20"/>
          <w:color w:val="auto"/>
        </w:rPr>
      </w:pPr>
    </w:p>
    <w:p>
      <w:pPr>
        <w:ind w:left="440" w:right="140" w:firstLine="415"/>
        <w:spacing w:after="0" w:line="233" w:lineRule="auto"/>
        <w:rPr>
          <w:sz w:val="20"/>
          <w:szCs w:val="20"/>
          <w:color w:val="auto"/>
        </w:rPr>
      </w:pPr>
      <w:r>
        <w:rPr>
          <w:rFonts w:ascii="Arial" w:cs="Arial" w:eastAsia="Arial" w:hAnsi="Arial"/>
          <w:sz w:val="14"/>
          <w:szCs w:val="14"/>
          <w:color w:val="auto"/>
        </w:rPr>
        <w:t>To the extent that the underwriters sell more than 15,555,555 shares of Class A common stock, the underwriters have an option to purchase up to an additional 2,333,333 shares from us at the initial public offering price less the underwriting discount.</w:t>
      </w:r>
    </w:p>
    <w:p>
      <w:pPr>
        <w:spacing w:after="0" w:line="67" w:lineRule="exact"/>
        <w:rPr>
          <w:sz w:val="20"/>
          <w:szCs w:val="20"/>
          <w:color w:val="auto"/>
        </w:rPr>
      </w:pPr>
    </w:p>
    <w:tbl>
      <w:tblPr>
        <w:tblLayout w:type="fixed"/>
        <w:tblInd w:w="840" w:type="dxa"/>
        <w:tblCellMar>
          <w:top w:w="0" w:type="dxa"/>
          <w:left w:w="0" w:type="dxa"/>
          <w:bottom w:w="0" w:type="dxa"/>
          <w:right w:w="0" w:type="dxa"/>
        </w:tblCellMar>
      </w:tblPr>
      <w:tr>
        <w:trPr>
          <w:trHeight w:val="175"/>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w w:val="98"/>
              </w:rPr>
              <w:t>The underwriters expect to deliver the shares against payment in New York, New York on</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8"/>
              </w:rPr>
              <w:t>, 2021.</w:t>
            </w:r>
          </w:p>
        </w:tc>
      </w:tr>
      <w:tr>
        <w:trPr>
          <w:trHeight w:val="202"/>
        </w:trPr>
        <w:tc>
          <w:tcPr>
            <w:tcW w:w="3700" w:type="dxa"/>
            <w:vAlign w:val="bottom"/>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r>
    </w:tbl>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218"/>
        </w:trPr>
        <w:tc>
          <w:tcPr>
            <w:tcW w:w="2380" w:type="dxa"/>
            <w:vAlign w:val="bottom"/>
            <w:gridSpan w:val="2"/>
          </w:tcPr>
          <w:p>
            <w:pPr>
              <w:ind w:left="60"/>
              <w:spacing w:after="0"/>
              <w:rPr>
                <w:sz w:val="20"/>
                <w:szCs w:val="20"/>
                <w:color w:val="auto"/>
              </w:rPr>
            </w:pPr>
            <w:r>
              <w:rPr>
                <w:rFonts w:ascii="Arial" w:cs="Arial" w:eastAsia="Arial" w:hAnsi="Arial"/>
                <w:sz w:val="19"/>
                <w:szCs w:val="19"/>
                <w:b w:val="1"/>
                <w:bCs w:val="1"/>
                <w:color w:val="auto"/>
                <w:w w:val="92"/>
              </w:rPr>
              <w:t>Goldman Sachs &amp; Co. LLC*</w:t>
            </w:r>
          </w:p>
        </w:tc>
        <w:tc>
          <w:tcPr>
            <w:tcW w:w="13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80" w:type="dxa"/>
            <w:vAlign w:val="bottom"/>
          </w:tcPr>
          <w:p>
            <w:pPr>
              <w:ind w:left="1160"/>
              <w:spacing w:after="0"/>
              <w:rPr>
                <w:sz w:val="20"/>
                <w:szCs w:val="20"/>
                <w:color w:val="auto"/>
              </w:rPr>
            </w:pPr>
            <w:r>
              <w:rPr>
                <w:rFonts w:ascii="Arial" w:cs="Arial" w:eastAsia="Arial" w:hAnsi="Arial"/>
                <w:sz w:val="19"/>
                <w:szCs w:val="19"/>
                <w:b w:val="1"/>
                <w:bCs w:val="1"/>
                <w:color w:val="auto"/>
                <w:w w:val="95"/>
              </w:rPr>
              <w:t>J.P. Morgan*</w:t>
            </w:r>
          </w:p>
        </w:tc>
      </w:tr>
      <w:tr>
        <w:trPr>
          <w:trHeight w:val="221"/>
        </w:trPr>
        <w:tc>
          <w:tcPr>
            <w:tcW w:w="2380" w:type="dxa"/>
            <w:vAlign w:val="bottom"/>
            <w:gridSpan w:val="2"/>
          </w:tcPr>
          <w:p>
            <w:pPr>
              <w:ind w:left="40"/>
              <w:spacing w:after="0"/>
              <w:rPr>
                <w:sz w:val="20"/>
                <w:szCs w:val="20"/>
                <w:color w:val="auto"/>
              </w:rPr>
            </w:pPr>
            <w:r>
              <w:rPr>
                <w:rFonts w:ascii="Arial" w:cs="Arial" w:eastAsia="Arial" w:hAnsi="Arial"/>
                <w:sz w:val="19"/>
                <w:szCs w:val="19"/>
                <w:b w:val="1"/>
                <w:bCs w:val="1"/>
                <w:color w:val="auto"/>
              </w:rPr>
              <w:t>Morgan Stanley</w:t>
            </w:r>
          </w:p>
        </w:tc>
        <w:tc>
          <w:tcPr>
            <w:tcW w:w="13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280" w:type="dxa"/>
            <w:vAlign w:val="bottom"/>
          </w:tcPr>
          <w:p>
            <w:pPr>
              <w:ind w:left="1440"/>
              <w:spacing w:after="0"/>
              <w:rPr>
                <w:sz w:val="20"/>
                <w:szCs w:val="20"/>
                <w:color w:val="auto"/>
              </w:rPr>
            </w:pPr>
            <w:r>
              <w:rPr>
                <w:rFonts w:ascii="Arial" w:cs="Arial" w:eastAsia="Arial" w:hAnsi="Arial"/>
                <w:sz w:val="19"/>
                <w:szCs w:val="19"/>
                <w:b w:val="1"/>
                <w:bCs w:val="1"/>
                <w:color w:val="auto"/>
              </w:rPr>
              <w:t>Barclays</w:t>
            </w:r>
          </w:p>
        </w:tc>
      </w:tr>
      <w:tr>
        <w:trPr>
          <w:trHeight w:val="208"/>
        </w:trPr>
        <w:tc>
          <w:tcPr>
            <w:tcW w:w="2380" w:type="dxa"/>
            <w:vAlign w:val="bottom"/>
            <w:gridSpan w:val="2"/>
          </w:tcPr>
          <w:p>
            <w:pPr>
              <w:ind w:left="40"/>
              <w:spacing w:after="0"/>
              <w:rPr>
                <w:sz w:val="20"/>
                <w:szCs w:val="20"/>
                <w:color w:val="auto"/>
              </w:rPr>
            </w:pPr>
            <w:r>
              <w:rPr>
                <w:rFonts w:ascii="Arial" w:cs="Arial" w:eastAsia="Arial" w:hAnsi="Arial"/>
                <w:sz w:val="17"/>
                <w:szCs w:val="17"/>
                <w:b w:val="1"/>
                <w:bCs w:val="1"/>
                <w:color w:val="auto"/>
              </w:rPr>
              <w:t>Credit Suisse</w:t>
            </w:r>
          </w:p>
        </w:tc>
        <w:tc>
          <w:tcPr>
            <w:tcW w:w="1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280" w:type="dxa"/>
            <w:vAlign w:val="bottom"/>
          </w:tcPr>
          <w:p>
            <w:pPr>
              <w:ind w:left="280"/>
              <w:spacing w:after="0"/>
              <w:rPr>
                <w:sz w:val="20"/>
                <w:szCs w:val="20"/>
                <w:color w:val="auto"/>
              </w:rPr>
            </w:pPr>
            <w:r>
              <w:rPr>
                <w:rFonts w:ascii="Arial" w:cs="Arial" w:eastAsia="Arial" w:hAnsi="Arial"/>
                <w:sz w:val="17"/>
                <w:szCs w:val="17"/>
                <w:b w:val="1"/>
                <w:bCs w:val="1"/>
                <w:color w:val="auto"/>
                <w:w w:val="94"/>
              </w:rPr>
              <w:t>Deutsche Bank Securities</w:t>
            </w:r>
          </w:p>
        </w:tc>
      </w:tr>
      <w:tr>
        <w:trPr>
          <w:trHeight w:val="211"/>
        </w:trPr>
        <w:tc>
          <w:tcPr>
            <w:tcW w:w="2380" w:type="dxa"/>
            <w:vAlign w:val="bottom"/>
            <w:gridSpan w:val="2"/>
          </w:tcPr>
          <w:p>
            <w:pPr>
              <w:spacing w:after="0"/>
              <w:rPr>
                <w:sz w:val="20"/>
                <w:szCs w:val="20"/>
                <w:color w:val="auto"/>
              </w:rPr>
            </w:pPr>
            <w:r>
              <w:rPr>
                <w:rFonts w:ascii="Arial" w:cs="Arial" w:eastAsia="Arial" w:hAnsi="Arial"/>
                <w:sz w:val="15"/>
                <w:szCs w:val="15"/>
                <w:b w:val="1"/>
                <w:bCs w:val="1"/>
                <w:color w:val="auto"/>
              </w:rPr>
              <w:t>Canaccord Genuity</w:t>
            </w:r>
          </w:p>
        </w:tc>
        <w:tc>
          <w:tcPr>
            <w:tcW w:w="1340" w:type="dxa"/>
            <w:vAlign w:val="bottom"/>
          </w:tcPr>
          <w:p>
            <w:pPr>
              <w:ind w:left="40"/>
              <w:spacing w:after="0"/>
              <w:rPr>
                <w:sz w:val="20"/>
                <w:szCs w:val="20"/>
                <w:color w:val="auto"/>
              </w:rPr>
            </w:pPr>
            <w:r>
              <w:rPr>
                <w:rFonts w:ascii="Arial" w:cs="Arial" w:eastAsia="Arial" w:hAnsi="Arial"/>
                <w:sz w:val="15"/>
                <w:szCs w:val="15"/>
                <w:b w:val="1"/>
                <w:bCs w:val="1"/>
                <w:color w:val="auto"/>
              </w:rPr>
              <w:t>Raymond James</w:t>
            </w:r>
          </w:p>
        </w:tc>
        <w:tc>
          <w:tcPr>
            <w:tcW w:w="2080" w:type="dxa"/>
            <w:vAlign w:val="bottom"/>
          </w:tcPr>
          <w:p>
            <w:pPr>
              <w:ind w:left="1200"/>
              <w:spacing w:after="0"/>
              <w:rPr>
                <w:sz w:val="20"/>
                <w:szCs w:val="20"/>
                <w:color w:val="auto"/>
              </w:rPr>
            </w:pPr>
            <w:r>
              <w:rPr>
                <w:rFonts w:ascii="Arial" w:cs="Arial" w:eastAsia="Arial" w:hAnsi="Arial"/>
                <w:sz w:val="15"/>
                <w:szCs w:val="15"/>
                <w:b w:val="1"/>
                <w:bCs w:val="1"/>
                <w:color w:val="auto"/>
              </w:rPr>
              <w:t>Stifel</w:t>
            </w:r>
          </w:p>
        </w:tc>
        <w:tc>
          <w:tcPr>
            <w:tcW w:w="2300" w:type="dxa"/>
            <w:vAlign w:val="bottom"/>
          </w:tcPr>
          <w:p>
            <w:pPr>
              <w:jc w:val="right"/>
              <w:ind w:right="228"/>
              <w:spacing w:after="0"/>
              <w:rPr>
                <w:sz w:val="20"/>
                <w:szCs w:val="20"/>
                <w:color w:val="auto"/>
              </w:rPr>
            </w:pPr>
            <w:r>
              <w:rPr>
                <w:rFonts w:ascii="Arial" w:cs="Arial" w:eastAsia="Arial" w:hAnsi="Arial"/>
                <w:sz w:val="15"/>
                <w:szCs w:val="15"/>
                <w:b w:val="1"/>
                <w:bCs w:val="1"/>
                <w:color w:val="auto"/>
              </w:rPr>
              <w:t>Drexel Hamilton</w:t>
            </w:r>
          </w:p>
        </w:tc>
        <w:tc>
          <w:tcPr>
            <w:tcW w:w="2280" w:type="dxa"/>
            <w:vAlign w:val="bottom"/>
          </w:tcPr>
          <w:p>
            <w:pPr>
              <w:ind w:left="820"/>
              <w:spacing w:after="0"/>
              <w:rPr>
                <w:sz w:val="20"/>
                <w:szCs w:val="20"/>
                <w:color w:val="auto"/>
              </w:rPr>
            </w:pPr>
            <w:r>
              <w:rPr>
                <w:rFonts w:ascii="Arial" w:cs="Arial" w:eastAsia="Arial" w:hAnsi="Arial"/>
                <w:sz w:val="15"/>
                <w:szCs w:val="15"/>
                <w:b w:val="1"/>
                <w:bCs w:val="1"/>
                <w:color w:val="auto"/>
                <w:w w:val="94"/>
              </w:rPr>
              <w:t>Loop Capital Markets</w:t>
            </w:r>
          </w:p>
        </w:tc>
      </w:tr>
      <w:tr>
        <w:trPr>
          <w:trHeight w:val="132"/>
        </w:trPr>
        <w:tc>
          <w:tcPr>
            <w:tcW w:w="114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280" w:type="dxa"/>
            <w:vAlign w:val="bottom"/>
          </w:tcPr>
          <w:p>
            <w:pPr>
              <w:spacing w:after="0"/>
              <w:rPr>
                <w:sz w:val="11"/>
                <w:szCs w:val="11"/>
                <w:color w:val="auto"/>
              </w:rPr>
            </w:pPr>
          </w:p>
        </w:tc>
      </w:tr>
      <w:tr>
        <w:trPr>
          <w:trHeight w:val="173"/>
        </w:trPr>
        <w:tc>
          <w:tcPr>
            <w:tcW w:w="2380" w:type="dxa"/>
            <w:vAlign w:val="bottom"/>
            <w:gridSpan w:val="2"/>
          </w:tcPr>
          <w:p>
            <w:pPr>
              <w:spacing w:after="0"/>
              <w:rPr>
                <w:sz w:val="20"/>
                <w:szCs w:val="20"/>
                <w:color w:val="auto"/>
              </w:rPr>
            </w:pPr>
            <w:r>
              <w:rPr>
                <w:rFonts w:ascii="Arial" w:cs="Arial" w:eastAsia="Arial" w:hAnsi="Arial"/>
                <w:sz w:val="14"/>
                <w:szCs w:val="14"/>
                <w:color w:val="auto"/>
              </w:rPr>
              <w:t>* In alphabetical order.</w:t>
            </w:r>
          </w:p>
        </w:tc>
        <w:tc>
          <w:tcPr>
            <w:tcW w:w="13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343"/>
        </w:trPr>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80" w:type="dxa"/>
            <w:vAlign w:val="bottom"/>
          </w:tcPr>
          <w:p>
            <w:pPr>
              <w:ind w:left="220"/>
              <w:spacing w:after="0"/>
              <w:rPr>
                <w:sz w:val="20"/>
                <w:szCs w:val="20"/>
                <w:color w:val="auto"/>
              </w:rPr>
            </w:pPr>
            <w:r>
              <w:rPr>
                <w:rFonts w:ascii="Arial" w:cs="Arial" w:eastAsia="Arial" w:hAnsi="Arial"/>
                <w:sz w:val="14"/>
                <w:szCs w:val="14"/>
                <w:color w:val="auto"/>
              </w:rPr>
              <w:t>The date of this prospectus is</w:t>
            </w:r>
          </w:p>
        </w:tc>
        <w:tc>
          <w:tcPr>
            <w:tcW w:w="2300" w:type="dxa"/>
            <w:vAlign w:val="bottom"/>
          </w:tcPr>
          <w:p>
            <w:pPr>
              <w:jc w:val="right"/>
              <w:ind w:right="1588"/>
              <w:spacing w:after="0"/>
              <w:rPr>
                <w:sz w:val="20"/>
                <w:szCs w:val="20"/>
                <w:color w:val="auto"/>
              </w:rPr>
            </w:pPr>
            <w:r>
              <w:rPr>
                <w:rFonts w:ascii="Arial" w:cs="Arial" w:eastAsia="Arial" w:hAnsi="Arial"/>
                <w:sz w:val="14"/>
                <w:szCs w:val="14"/>
                <w:color w:val="auto"/>
              </w:rPr>
              <w:t>, 2021</w:t>
            </w:r>
          </w:p>
        </w:tc>
        <w:tc>
          <w:tcPr>
            <w:tcW w:w="2280" w:type="dxa"/>
            <w:vAlign w:val="bottom"/>
          </w:tcPr>
          <w:p>
            <w:pPr>
              <w:spacing w:after="0"/>
              <w:rPr>
                <w:sz w:val="24"/>
                <w:szCs w:val="24"/>
                <w:color w:val="auto"/>
              </w:rPr>
            </w:pPr>
          </w:p>
        </w:tc>
      </w:tr>
    </w:tbl>
    <w:p>
      <w:pPr>
        <w:sectPr>
          <w:pgSz w:w="11900" w:h="16838" w:orient="portrait"/>
          <w:cols w:equalWidth="0" w:num="1">
            <w:col w:w="10820"/>
          </w:cols>
          <w:pgMar w:left="320" w:top="442" w:right="759" w:bottom="1440" w:gutter="0" w:footer="0" w:header="0"/>
        </w:sectPr>
      </w:pPr>
    </w:p>
    <w:bookmarkStart w:id="2" w:name="page3"/>
    <w:bookmarkEnd w:id="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207645</wp:posOffset>
            </wp:positionV>
            <wp:extent cx="4911090" cy="635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11090" cy="6356985"/>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207645</wp:posOffset>
            </wp:positionV>
            <wp:extent cx="4911090" cy="635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11090" cy="6356985"/>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1115695</wp:posOffset>
            </wp:positionH>
            <wp:positionV relativeFrom="paragraph">
              <wp:posOffset>207645</wp:posOffset>
            </wp:positionV>
            <wp:extent cx="4911090" cy="635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11090" cy="6356985"/>
                    </a:xfrm>
                    <a:prstGeom prst="rect">
                      <a:avLst/>
                    </a:prstGeom>
                    <a:noFill/>
                  </pic:spPr>
                </pic:pic>
              </a:graphicData>
            </a:graphic>
          </wp:anchor>
        </w:drawing>
      </w:r>
    </w:p>
    <w:p>
      <w:pPr>
        <w:sectPr>
          <w:pgSz w:w="11900" w:h="16838" w:orient="portrait"/>
          <w:cols w:equalWidth="0" w:num="1">
            <w:col w:w="10139"/>
          </w:cols>
          <w:pgMar w:left="320" w:top="442" w:right="1440"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TABLE OF CONTENTS</w:t>
      </w: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440" w:type="dxa"/>
            <w:vAlign w:val="bottom"/>
            <w:gridSpan w:val="11"/>
            <w:vMerge w:val="restart"/>
          </w:tcPr>
          <w:p>
            <w:pPr>
              <w:spacing w:after="0"/>
              <w:rPr>
                <w:rFonts w:ascii="Arial" w:cs="Arial" w:eastAsia="Arial" w:hAnsi="Arial"/>
                <w:sz w:val="17"/>
                <w:szCs w:val="17"/>
                <w:color w:val="0000EE"/>
                <w:w w:val="87"/>
              </w:rPr>
            </w:pPr>
            <w:hyperlink w:anchor="page11">
              <w:r>
                <w:rPr>
                  <w:rFonts w:ascii="Arial" w:cs="Arial" w:eastAsia="Arial" w:hAnsi="Arial"/>
                  <w:sz w:val="17"/>
                  <w:szCs w:val="17"/>
                  <w:color w:val="0000EE"/>
                  <w:w w:val="87"/>
                </w:rPr>
                <w:t>Prospectus Summary</w:t>
              </w:r>
            </w:hyperlink>
          </w:p>
        </w:tc>
        <w:tc>
          <w:tcPr>
            <w:tcW w:w="8580" w:type="dxa"/>
            <w:vAlign w:val="bottom"/>
            <w:gridSpan w:val="14"/>
            <w:vMerge w:val="restart"/>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3"/>
        </w:trPr>
        <w:tc>
          <w:tcPr>
            <w:tcW w:w="1440" w:type="dxa"/>
            <w:vAlign w:val="bottom"/>
            <w:tcBorders>
              <w:bottom w:val="single" w:sz="8" w:color="0000EE"/>
            </w:tcBorders>
            <w:gridSpan w:val="11"/>
            <w:vMerge w:val="continue"/>
          </w:tcPr>
          <w:p>
            <w:pPr>
              <w:spacing w:after="0"/>
              <w:rPr>
                <w:sz w:val="13"/>
                <w:szCs w:val="13"/>
                <w:color w:val="auto"/>
              </w:rPr>
            </w:pPr>
          </w:p>
        </w:tc>
        <w:tc>
          <w:tcPr>
            <w:tcW w:w="8580" w:type="dxa"/>
            <w:vAlign w:val="bottom"/>
            <w:gridSpan w:val="14"/>
            <w:vMerge w:val="continue"/>
          </w:tcPr>
          <w:p>
            <w:pPr>
              <w:spacing w:after="0"/>
              <w:rPr>
                <w:sz w:val="13"/>
                <w:szCs w:val="13"/>
                <w:color w:val="auto"/>
              </w:rPr>
            </w:pPr>
          </w:p>
        </w:tc>
        <w:tc>
          <w:tcPr>
            <w:tcW w:w="30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7">
              <w:r>
                <w:rPr>
                  <w:rFonts w:ascii="Arial" w:cs="Arial" w:eastAsia="Arial" w:hAnsi="Arial"/>
                  <w:sz w:val="17"/>
                  <w:szCs w:val="17"/>
                  <w:color w:val="0000EE"/>
                </w:rPr>
                <w:t>Organizational Structure</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4"/>
        </w:trPr>
        <w:tc>
          <w:tcPr>
            <w:tcW w:w="900" w:type="dxa"/>
            <w:vAlign w:val="bottom"/>
            <w:tcBorders>
              <w:top w:val="single" w:sz="8" w:color="0000EE"/>
              <w:bottom w:val="single" w:sz="8" w:color="0000EE"/>
            </w:tcBorders>
            <w:gridSpan w:val="6"/>
          </w:tcPr>
          <w:p>
            <w:pPr>
              <w:spacing w:after="0" w:line="184" w:lineRule="exact"/>
              <w:rPr>
                <w:rFonts w:ascii="Arial" w:cs="Arial" w:eastAsia="Arial" w:hAnsi="Arial"/>
                <w:sz w:val="17"/>
                <w:szCs w:val="17"/>
                <w:color w:val="0000EE"/>
                <w:w w:val="93"/>
              </w:rPr>
            </w:pPr>
            <w:hyperlink w:anchor="page27">
              <w:r>
                <w:rPr>
                  <w:rFonts w:ascii="Arial" w:cs="Arial" w:eastAsia="Arial" w:hAnsi="Arial"/>
                  <w:sz w:val="17"/>
                  <w:szCs w:val="17"/>
                  <w:color w:val="0000EE"/>
                  <w:w w:val="93"/>
                </w:rPr>
                <w:t>The Offering</w:t>
              </w:r>
            </w:hyperlink>
          </w:p>
        </w:tc>
        <w:tc>
          <w:tcPr>
            <w:tcW w:w="760" w:type="dxa"/>
            <w:vAlign w:val="bottom"/>
            <w:tcBorders>
              <w:top w:val="single" w:sz="8" w:color="0000EE"/>
            </w:tcBorders>
            <w:gridSpan w:val="7"/>
          </w:tcPr>
          <w:p>
            <w:pPr>
              <w:spacing w:after="0"/>
              <w:rPr>
                <w:sz w:val="15"/>
                <w:szCs w:val="15"/>
                <w:color w:val="auto"/>
              </w:rPr>
            </w:pPr>
          </w:p>
        </w:tc>
        <w:tc>
          <w:tcPr>
            <w:tcW w:w="8360" w:type="dxa"/>
            <w:vAlign w:val="bottom"/>
            <w:gridSpan w:val="12"/>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31">
              <w:r>
                <w:rPr>
                  <w:rFonts w:ascii="Arial" w:cs="Arial" w:eastAsia="Arial" w:hAnsi="Arial"/>
                  <w:sz w:val="17"/>
                  <w:szCs w:val="17"/>
                  <w:color w:val="0000EE"/>
                </w:rPr>
                <w:t>Summary Historical and Pro Forma Consolidated Financial and Other Data</w:t>
              </w:r>
            </w:hyperlink>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100" w:type="dxa"/>
            <w:vAlign w:val="bottom"/>
            <w:tcBorders>
              <w:top w:val="single" w:sz="8" w:color="0000EE"/>
            </w:tcBorders>
            <w:gridSpan w:val="23"/>
          </w:tcPr>
          <w:p>
            <w:pPr>
              <w:spacing w:after="0" w:line="184" w:lineRule="exact"/>
              <w:rPr>
                <w:rFonts w:ascii="Arial" w:cs="Arial" w:eastAsia="Arial" w:hAnsi="Arial"/>
                <w:sz w:val="17"/>
                <w:szCs w:val="17"/>
                <w:color w:val="0000EE"/>
              </w:rPr>
            </w:pPr>
            <w:hyperlink w:anchor="page37">
              <w:r>
                <w:rPr>
                  <w:rFonts w:ascii="Arial" w:cs="Arial" w:eastAsia="Arial" w:hAnsi="Arial"/>
                  <w:sz w:val="17"/>
                  <w:szCs w:val="17"/>
                  <w:color w:val="0000EE"/>
                </w:rPr>
                <w:t>Risk Factors</w:t>
              </w:r>
            </w:hyperlink>
          </w:p>
        </w:tc>
        <w:tc>
          <w:tcPr>
            <w:tcW w:w="4920" w:type="dxa"/>
            <w:vAlign w:val="bottom"/>
            <w:gridSpan w:val="2"/>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77">
              <w:r>
                <w:rPr>
                  <w:rFonts w:ascii="Arial" w:cs="Arial" w:eastAsia="Arial" w:hAnsi="Arial"/>
                  <w:sz w:val="17"/>
                  <w:szCs w:val="17"/>
                  <w:color w:val="0000EE"/>
                </w:rPr>
                <w:t>Cautionary Note Regarding Forward-Looking Statements</w:t>
              </w:r>
            </w:hyperlink>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00" w:type="dxa"/>
            <w:vAlign w:val="bottom"/>
            <w:tcBorders>
              <w:top w:val="single" w:sz="8" w:color="0000EE"/>
            </w:tcBorders>
            <w:gridSpan w:val="20"/>
          </w:tcPr>
          <w:p>
            <w:pPr>
              <w:spacing w:after="0" w:line="184" w:lineRule="exact"/>
              <w:rPr>
                <w:rFonts w:ascii="Arial" w:cs="Arial" w:eastAsia="Arial" w:hAnsi="Arial"/>
                <w:sz w:val="17"/>
                <w:szCs w:val="17"/>
                <w:color w:val="0000EE"/>
              </w:rPr>
            </w:pPr>
            <w:hyperlink w:anchor="page79">
              <w:r>
                <w:rPr>
                  <w:rFonts w:ascii="Arial" w:cs="Arial" w:eastAsia="Arial" w:hAnsi="Arial"/>
                  <w:sz w:val="17"/>
                  <w:szCs w:val="17"/>
                  <w:color w:val="0000EE"/>
                </w:rPr>
                <w:t>Organizational Structure</w:t>
              </w:r>
            </w:hyperlink>
          </w:p>
        </w:tc>
        <w:tc>
          <w:tcPr>
            <w:tcW w:w="6120" w:type="dxa"/>
            <w:vAlign w:val="bottom"/>
            <w:gridSpan w:val="5"/>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69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00" w:type="dxa"/>
            <w:vAlign w:val="bottom"/>
            <w:tcBorders>
              <w:top w:val="single" w:sz="8" w:color="0000EE"/>
              <w:bottom w:val="single" w:sz="8" w:color="0000EE"/>
            </w:tcBorders>
            <w:gridSpan w:val="9"/>
          </w:tcPr>
          <w:p>
            <w:pPr>
              <w:spacing w:after="0" w:line="184" w:lineRule="exact"/>
              <w:rPr>
                <w:rFonts w:ascii="Arial" w:cs="Arial" w:eastAsia="Arial" w:hAnsi="Arial"/>
                <w:sz w:val="17"/>
                <w:szCs w:val="17"/>
                <w:color w:val="0000EE"/>
                <w:w w:val="85"/>
              </w:rPr>
            </w:pPr>
            <w:hyperlink w:anchor="page86">
              <w:r>
                <w:rPr>
                  <w:rFonts w:ascii="Arial" w:cs="Arial" w:eastAsia="Arial" w:hAnsi="Arial"/>
                  <w:sz w:val="17"/>
                  <w:szCs w:val="17"/>
                  <w:color w:val="0000EE"/>
                  <w:w w:val="85"/>
                </w:rPr>
                <w:t>Use of Proceeds</w:t>
              </w:r>
            </w:hyperlink>
          </w:p>
        </w:tc>
        <w:tc>
          <w:tcPr>
            <w:tcW w:w="560" w:type="dxa"/>
            <w:vAlign w:val="bottom"/>
            <w:tcBorders>
              <w:top w:val="single" w:sz="8" w:color="0000EE"/>
            </w:tcBorders>
            <w:gridSpan w:val="4"/>
          </w:tcPr>
          <w:p>
            <w:pPr>
              <w:spacing w:after="0"/>
              <w:rPr>
                <w:sz w:val="15"/>
                <w:szCs w:val="15"/>
                <w:color w:val="auto"/>
              </w:rPr>
            </w:pPr>
          </w:p>
        </w:tc>
        <w:tc>
          <w:tcPr>
            <w:tcW w:w="8360" w:type="dxa"/>
            <w:vAlign w:val="bottom"/>
            <w:gridSpan w:val="12"/>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88">
              <w:r>
                <w:rPr>
                  <w:rFonts w:ascii="Arial" w:cs="Arial" w:eastAsia="Arial" w:hAnsi="Arial"/>
                  <w:sz w:val="17"/>
                  <w:szCs w:val="17"/>
                  <w:color w:val="0000EE"/>
                </w:rPr>
                <w:t>Dividend Policy</w:t>
              </w:r>
            </w:hyperlink>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0000EE"/>
              <w:bottom w:val="single" w:sz="8" w:color="0000EE"/>
            </w:tcBorders>
            <w:gridSpan w:val="8"/>
          </w:tcPr>
          <w:p>
            <w:pPr>
              <w:spacing w:after="0" w:line="184" w:lineRule="exact"/>
              <w:rPr>
                <w:rFonts w:ascii="Arial" w:cs="Arial" w:eastAsia="Arial" w:hAnsi="Arial"/>
                <w:sz w:val="17"/>
                <w:szCs w:val="17"/>
                <w:color w:val="0000EE"/>
                <w:w w:val="92"/>
              </w:rPr>
            </w:pPr>
            <w:hyperlink w:anchor="page89">
              <w:r>
                <w:rPr>
                  <w:rFonts w:ascii="Arial" w:cs="Arial" w:eastAsia="Arial" w:hAnsi="Arial"/>
                  <w:sz w:val="17"/>
                  <w:szCs w:val="17"/>
                  <w:color w:val="0000EE"/>
                  <w:w w:val="92"/>
                </w:rPr>
                <w:t>Capitalization</w:t>
              </w:r>
            </w:hyperlink>
          </w:p>
        </w:tc>
        <w:tc>
          <w:tcPr>
            <w:tcW w:w="140" w:type="dxa"/>
            <w:vAlign w:val="bottom"/>
            <w:tcBorders>
              <w:top w:val="single" w:sz="8" w:color="0000EE"/>
            </w:tcBorders>
          </w:tcPr>
          <w:p>
            <w:pPr>
              <w:spacing w:after="0"/>
              <w:rPr>
                <w:sz w:val="15"/>
                <w:szCs w:val="15"/>
                <w:color w:val="auto"/>
              </w:rPr>
            </w:pPr>
          </w:p>
        </w:tc>
        <w:tc>
          <w:tcPr>
            <w:tcW w:w="8920" w:type="dxa"/>
            <w:vAlign w:val="bottom"/>
            <w:gridSpan w:val="16"/>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79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60" w:type="dxa"/>
            <w:vAlign w:val="bottom"/>
            <w:tcBorders>
              <w:bottom w:val="single" w:sz="8" w:color="0000EE"/>
            </w:tcBorders>
            <w:gridSpan w:val="2"/>
          </w:tcPr>
          <w:p>
            <w:pPr>
              <w:spacing w:after="0" w:line="184" w:lineRule="exact"/>
              <w:rPr>
                <w:rFonts w:ascii="Arial" w:cs="Arial" w:eastAsia="Arial" w:hAnsi="Arial"/>
                <w:sz w:val="17"/>
                <w:szCs w:val="17"/>
                <w:color w:val="0000EE"/>
                <w:w w:val="95"/>
              </w:rPr>
            </w:pPr>
            <w:hyperlink w:anchor="page91">
              <w:r>
                <w:rPr>
                  <w:rFonts w:ascii="Arial" w:cs="Arial" w:eastAsia="Arial" w:hAnsi="Arial"/>
                  <w:sz w:val="17"/>
                  <w:szCs w:val="17"/>
                  <w:color w:val="0000EE"/>
                  <w:w w:val="95"/>
                </w:rPr>
                <w:t>Dilution</w:t>
              </w:r>
            </w:hyperlink>
          </w:p>
        </w:tc>
        <w:tc>
          <w:tcPr>
            <w:tcW w:w="9460" w:type="dxa"/>
            <w:vAlign w:val="bottom"/>
            <w:gridSpan w:val="23"/>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93">
              <w:r>
                <w:rPr>
                  <w:rFonts w:ascii="Arial" w:cs="Arial" w:eastAsia="Arial" w:hAnsi="Arial"/>
                  <w:sz w:val="17"/>
                  <w:szCs w:val="17"/>
                  <w:color w:val="0000EE"/>
                </w:rPr>
                <w:t>Unaudited Pro Forma Consolidated Financial Information</w:t>
              </w:r>
            </w:hyperlink>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080" w:type="dxa"/>
            <w:vAlign w:val="bottom"/>
            <w:tcBorders>
              <w:bottom w:val="single" w:sz="8" w:color="0000EE"/>
            </w:tcBorders>
            <w:gridSpan w:val="24"/>
          </w:tcPr>
          <w:p>
            <w:pPr>
              <w:spacing w:after="0" w:line="184" w:lineRule="exact"/>
              <w:rPr>
                <w:rFonts w:ascii="Arial" w:cs="Arial" w:eastAsia="Arial" w:hAnsi="Arial"/>
                <w:sz w:val="17"/>
                <w:szCs w:val="17"/>
                <w:color w:val="0000EE"/>
                <w:w w:val="90"/>
              </w:rPr>
            </w:pPr>
            <w:hyperlink w:anchor="page103">
              <w:r>
                <w:rPr>
                  <w:rFonts w:ascii="Arial" w:cs="Arial" w:eastAsia="Arial" w:hAnsi="Arial"/>
                  <w:sz w:val="17"/>
                  <w:szCs w:val="17"/>
                  <w:color w:val="0000EE"/>
                  <w:w w:val="90"/>
                </w:rPr>
                <w:t>Management’s Discussion and Analysis of Financial Condition and Results of Operations</w:t>
              </w:r>
            </w:hyperlink>
          </w:p>
        </w:tc>
        <w:tc>
          <w:tcPr>
            <w:tcW w:w="3940" w:type="dxa"/>
            <w:vAlign w:val="bottom"/>
          </w:tcPr>
          <w:p>
            <w:pPr>
              <w:spacing w:after="0"/>
              <w:rPr>
                <w:sz w:val="15"/>
                <w:szCs w:val="15"/>
                <w:color w:val="auto"/>
              </w:rPr>
            </w:pPr>
          </w:p>
        </w:tc>
        <w:tc>
          <w:tcPr>
            <w:tcW w:w="300" w:type="dxa"/>
            <w:vAlign w:val="bottom"/>
          </w:tcPr>
          <w:p>
            <w:pPr>
              <w:jc w:val="right"/>
              <w:spacing w:after="0" w:line="184" w:lineRule="exact"/>
              <w:rPr>
                <w:sz w:val="20"/>
                <w:szCs w:val="20"/>
                <w:color w:val="auto"/>
              </w:rPr>
            </w:pPr>
            <w:r>
              <w:rPr>
                <w:rFonts w:ascii="Arial" w:cs="Arial" w:eastAsia="Arial" w:hAnsi="Arial"/>
                <w:sz w:val="17"/>
                <w:szCs w:val="17"/>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34">
              <w:r>
                <w:rPr>
                  <w:rFonts w:ascii="Arial" w:cs="Arial" w:eastAsia="Arial" w:hAnsi="Arial"/>
                  <w:sz w:val="17"/>
                  <w:szCs w:val="17"/>
                  <w:color w:val="0000EE"/>
                </w:rPr>
                <w:t>Founder’s Letter</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124</w:t>
            </w:r>
          </w:p>
        </w:tc>
        <w:tc>
          <w:tcPr>
            <w:tcW w:w="0" w:type="dxa"/>
            <w:vAlign w:val="bottom"/>
          </w:tcPr>
          <w:p>
            <w:pPr>
              <w:spacing w:after="0"/>
              <w:rPr>
                <w:sz w:val="1"/>
                <w:szCs w:val="1"/>
                <w:color w:val="auto"/>
              </w:rPr>
            </w:pPr>
          </w:p>
        </w:tc>
      </w:tr>
      <w:tr>
        <w:trPr>
          <w:trHeight w:val="184"/>
        </w:trPr>
        <w:tc>
          <w:tcPr>
            <w:tcW w:w="600" w:type="dxa"/>
            <w:vAlign w:val="bottom"/>
            <w:tcBorders>
              <w:top w:val="single" w:sz="8" w:color="0000EE"/>
              <w:bottom w:val="single" w:sz="8" w:color="0000EE"/>
            </w:tcBorders>
            <w:gridSpan w:val="3"/>
          </w:tcPr>
          <w:p>
            <w:pPr>
              <w:spacing w:after="0" w:line="184" w:lineRule="exact"/>
              <w:rPr>
                <w:rFonts w:ascii="Arial" w:cs="Arial" w:eastAsia="Arial" w:hAnsi="Arial"/>
                <w:sz w:val="17"/>
                <w:szCs w:val="17"/>
                <w:color w:val="0000EE"/>
                <w:w w:val="84"/>
              </w:rPr>
            </w:pPr>
            <w:hyperlink w:anchor="page136">
              <w:r>
                <w:rPr>
                  <w:rFonts w:ascii="Arial" w:cs="Arial" w:eastAsia="Arial" w:hAnsi="Arial"/>
                  <w:sz w:val="17"/>
                  <w:szCs w:val="17"/>
                  <w:color w:val="0000EE"/>
                  <w:w w:val="84"/>
                </w:rPr>
                <w:t>Business</w:t>
              </w:r>
            </w:hyperlink>
          </w:p>
        </w:tc>
        <w:tc>
          <w:tcPr>
            <w:tcW w:w="520" w:type="dxa"/>
            <w:vAlign w:val="bottom"/>
            <w:tcBorders>
              <w:top w:val="single" w:sz="8" w:color="0000EE"/>
            </w:tcBorders>
            <w:gridSpan w:val="7"/>
          </w:tcPr>
          <w:p>
            <w:pPr>
              <w:spacing w:after="0"/>
              <w:rPr>
                <w:sz w:val="15"/>
                <w:szCs w:val="15"/>
                <w:color w:val="auto"/>
              </w:rPr>
            </w:pPr>
          </w:p>
        </w:tc>
        <w:tc>
          <w:tcPr>
            <w:tcW w:w="8900" w:type="dxa"/>
            <w:vAlign w:val="bottom"/>
            <w:gridSpan w:val="15"/>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126</w:t>
            </w:r>
          </w:p>
        </w:tc>
        <w:tc>
          <w:tcPr>
            <w:tcW w:w="0" w:type="dxa"/>
            <w:vAlign w:val="bottom"/>
          </w:tcPr>
          <w:p>
            <w:pPr>
              <w:spacing w:after="0"/>
              <w:rPr>
                <w:sz w:val="1"/>
                <w:szCs w:val="1"/>
                <w:color w:val="auto"/>
              </w:rPr>
            </w:pPr>
          </w:p>
        </w:tc>
      </w:tr>
      <w:tr>
        <w:trPr>
          <w:trHeight w:val="184"/>
        </w:trPr>
        <w:tc>
          <w:tcPr>
            <w:tcW w:w="880" w:type="dxa"/>
            <w:vAlign w:val="bottom"/>
            <w:tcBorders>
              <w:bottom w:val="single" w:sz="8" w:color="0000EE"/>
            </w:tcBorders>
            <w:gridSpan w:val="5"/>
          </w:tcPr>
          <w:p>
            <w:pPr>
              <w:spacing w:after="0" w:line="184" w:lineRule="exact"/>
              <w:rPr>
                <w:rFonts w:ascii="Arial" w:cs="Arial" w:eastAsia="Arial" w:hAnsi="Arial"/>
                <w:sz w:val="17"/>
                <w:szCs w:val="17"/>
                <w:color w:val="0000EE"/>
                <w:w w:val="86"/>
              </w:rPr>
            </w:pPr>
            <w:hyperlink w:anchor="page155">
              <w:r>
                <w:rPr>
                  <w:rFonts w:ascii="Arial" w:cs="Arial" w:eastAsia="Arial" w:hAnsi="Arial"/>
                  <w:sz w:val="17"/>
                  <w:szCs w:val="17"/>
                  <w:color w:val="0000EE"/>
                  <w:w w:val="86"/>
                </w:rPr>
                <w:t>Management</w:t>
              </w:r>
            </w:hyperlink>
          </w:p>
        </w:tc>
        <w:tc>
          <w:tcPr>
            <w:tcW w:w="9140" w:type="dxa"/>
            <w:vAlign w:val="bottom"/>
            <w:gridSpan w:val="20"/>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145</w:t>
            </w: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63">
              <w:r>
                <w:rPr>
                  <w:rFonts w:ascii="Arial" w:cs="Arial" w:eastAsia="Arial" w:hAnsi="Arial"/>
                  <w:sz w:val="17"/>
                  <w:szCs w:val="17"/>
                  <w:color w:val="0000EE"/>
                </w:rPr>
                <w:t>Executive and Director Compensation</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153</w:t>
            </w:r>
          </w:p>
        </w:tc>
        <w:tc>
          <w:tcPr>
            <w:tcW w:w="0" w:type="dxa"/>
            <w:vAlign w:val="bottom"/>
          </w:tcPr>
          <w:p>
            <w:pPr>
              <w:spacing w:after="0"/>
              <w:rPr>
                <w:sz w:val="1"/>
                <w:szCs w:val="1"/>
                <w:color w:val="auto"/>
              </w:rPr>
            </w:pPr>
          </w:p>
        </w:tc>
      </w:tr>
      <w:tr>
        <w:trPr>
          <w:trHeight w:val="184"/>
        </w:trPr>
        <w:tc>
          <w:tcPr>
            <w:tcW w:w="1540" w:type="dxa"/>
            <w:vAlign w:val="bottom"/>
            <w:tcBorders>
              <w:top w:val="single" w:sz="8" w:color="0000EE"/>
              <w:bottom w:val="single" w:sz="8" w:color="0000EE"/>
            </w:tcBorders>
            <w:gridSpan w:val="12"/>
          </w:tcPr>
          <w:p>
            <w:pPr>
              <w:spacing w:after="0" w:line="184" w:lineRule="exact"/>
              <w:rPr>
                <w:rFonts w:ascii="Arial" w:cs="Arial" w:eastAsia="Arial" w:hAnsi="Arial"/>
                <w:sz w:val="17"/>
                <w:szCs w:val="17"/>
                <w:color w:val="0000EE"/>
                <w:w w:val="90"/>
              </w:rPr>
            </w:pPr>
            <w:hyperlink w:anchor="page184">
              <w:r>
                <w:rPr>
                  <w:rFonts w:ascii="Arial" w:cs="Arial" w:eastAsia="Arial" w:hAnsi="Arial"/>
                  <w:sz w:val="17"/>
                  <w:szCs w:val="17"/>
                  <w:color w:val="0000EE"/>
                  <w:w w:val="90"/>
                </w:rPr>
                <w:t>Principal Stockholders</w:t>
              </w:r>
            </w:hyperlink>
          </w:p>
        </w:tc>
        <w:tc>
          <w:tcPr>
            <w:tcW w:w="1040" w:type="dxa"/>
            <w:vAlign w:val="bottom"/>
            <w:tcBorders>
              <w:top w:val="single" w:sz="8" w:color="0000EE"/>
            </w:tcBorders>
            <w:gridSpan w:val="5"/>
          </w:tcPr>
          <w:p>
            <w:pPr>
              <w:spacing w:after="0"/>
              <w:rPr>
                <w:sz w:val="15"/>
                <w:szCs w:val="15"/>
                <w:color w:val="auto"/>
              </w:rPr>
            </w:pPr>
          </w:p>
        </w:tc>
        <w:tc>
          <w:tcPr>
            <w:tcW w:w="7440" w:type="dxa"/>
            <w:vAlign w:val="bottom"/>
            <w:gridSpan w:val="8"/>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174</w:t>
            </w: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88">
              <w:r>
                <w:rPr>
                  <w:rFonts w:ascii="Arial" w:cs="Arial" w:eastAsia="Arial" w:hAnsi="Arial"/>
                  <w:sz w:val="17"/>
                  <w:szCs w:val="17"/>
                  <w:color w:val="0000EE"/>
                </w:rPr>
                <w:t>Certain Relationships and Related Party Transactions</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178</w:t>
            </w:r>
          </w:p>
        </w:tc>
        <w:tc>
          <w:tcPr>
            <w:tcW w:w="0" w:type="dxa"/>
            <w:vAlign w:val="bottom"/>
          </w:tcPr>
          <w:p>
            <w:pPr>
              <w:spacing w:after="0"/>
              <w:rPr>
                <w:sz w:val="1"/>
                <w:szCs w:val="1"/>
                <w:color w:val="auto"/>
              </w:rPr>
            </w:pPr>
          </w:p>
        </w:tc>
      </w:tr>
      <w:tr>
        <w:trPr>
          <w:trHeight w:val="184"/>
        </w:trPr>
        <w:tc>
          <w:tcPr>
            <w:tcW w:w="2520" w:type="dxa"/>
            <w:vAlign w:val="bottom"/>
            <w:tcBorders>
              <w:top w:val="single" w:sz="8" w:color="0000EE"/>
              <w:bottom w:val="single" w:sz="8" w:color="0000EE"/>
            </w:tcBorders>
            <w:gridSpan w:val="16"/>
          </w:tcPr>
          <w:p>
            <w:pPr>
              <w:spacing w:after="0" w:line="184" w:lineRule="exact"/>
              <w:rPr>
                <w:rFonts w:ascii="Arial" w:cs="Arial" w:eastAsia="Arial" w:hAnsi="Arial"/>
                <w:sz w:val="17"/>
                <w:szCs w:val="17"/>
                <w:color w:val="0000EE"/>
                <w:w w:val="90"/>
              </w:rPr>
            </w:pPr>
            <w:hyperlink w:anchor="page194">
              <w:r>
                <w:rPr>
                  <w:rFonts w:ascii="Arial" w:cs="Arial" w:eastAsia="Arial" w:hAnsi="Arial"/>
                  <w:sz w:val="17"/>
                  <w:szCs w:val="17"/>
                  <w:color w:val="0000EE"/>
                  <w:w w:val="90"/>
                </w:rPr>
                <w:t>Description of Material Indebtedness</w:t>
              </w:r>
            </w:hyperlink>
          </w:p>
        </w:tc>
        <w:tc>
          <w:tcPr>
            <w:tcW w:w="1080" w:type="dxa"/>
            <w:vAlign w:val="bottom"/>
            <w:tcBorders>
              <w:top w:val="single" w:sz="8" w:color="0000EE"/>
            </w:tcBorders>
            <w:gridSpan w:val="3"/>
          </w:tcPr>
          <w:p>
            <w:pPr>
              <w:spacing w:after="0"/>
              <w:rPr>
                <w:sz w:val="15"/>
                <w:szCs w:val="15"/>
                <w:color w:val="auto"/>
              </w:rPr>
            </w:pPr>
          </w:p>
        </w:tc>
        <w:tc>
          <w:tcPr>
            <w:tcW w:w="6420" w:type="dxa"/>
            <w:vAlign w:val="bottom"/>
            <w:gridSpan w:val="6"/>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184</w:t>
            </w: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197">
              <w:r>
                <w:rPr>
                  <w:rFonts w:ascii="Arial" w:cs="Arial" w:eastAsia="Arial" w:hAnsi="Arial"/>
                  <w:sz w:val="17"/>
                  <w:szCs w:val="17"/>
                  <w:color w:val="0000EE"/>
                </w:rPr>
                <w:t>Description of Capital Stock</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187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204">
              <w:r>
                <w:rPr>
                  <w:rFonts w:ascii="Arial" w:cs="Arial" w:eastAsia="Arial" w:hAnsi="Arial"/>
                  <w:sz w:val="17"/>
                  <w:szCs w:val="17"/>
                  <w:color w:val="0000EE"/>
                </w:rPr>
                <w:t>Shares Eligible for Future Sale</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194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8"/>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880" w:type="dxa"/>
            <w:vAlign w:val="bottom"/>
            <w:tcBorders>
              <w:bottom w:val="single" w:sz="8" w:color="0000EE"/>
            </w:tcBorders>
            <w:gridSpan w:val="22"/>
          </w:tcPr>
          <w:p>
            <w:pPr>
              <w:spacing w:after="0" w:line="184" w:lineRule="exact"/>
              <w:rPr>
                <w:rFonts w:ascii="Arial" w:cs="Arial" w:eastAsia="Arial" w:hAnsi="Arial"/>
                <w:sz w:val="17"/>
                <w:szCs w:val="17"/>
                <w:color w:val="0000EE"/>
                <w:w w:val="90"/>
              </w:rPr>
            </w:pPr>
            <w:hyperlink w:anchor="page207">
              <w:r>
                <w:rPr>
                  <w:rFonts w:ascii="Arial" w:cs="Arial" w:eastAsia="Arial" w:hAnsi="Arial"/>
                  <w:sz w:val="17"/>
                  <w:szCs w:val="17"/>
                  <w:color w:val="0000EE"/>
                  <w:w w:val="90"/>
                </w:rPr>
                <w:t>Material U.S. Federal Income Tax Considerations for Non-U.S. Holders</w:t>
              </w:r>
            </w:hyperlink>
          </w:p>
        </w:tc>
        <w:tc>
          <w:tcPr>
            <w:tcW w:w="5140" w:type="dxa"/>
            <w:vAlign w:val="bottom"/>
            <w:gridSpan w:val="3"/>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197</w:t>
            </w:r>
          </w:p>
        </w:tc>
        <w:tc>
          <w:tcPr>
            <w:tcW w:w="0" w:type="dxa"/>
            <w:vAlign w:val="bottom"/>
          </w:tcPr>
          <w:p>
            <w:pPr>
              <w:spacing w:after="0"/>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211">
              <w:r>
                <w:rPr>
                  <w:rFonts w:ascii="Arial" w:cs="Arial" w:eastAsia="Arial" w:hAnsi="Arial"/>
                  <w:sz w:val="17"/>
                  <w:szCs w:val="17"/>
                  <w:color w:val="0000EE"/>
                </w:rPr>
                <w:t>Underwriting</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201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0020" w:type="dxa"/>
            <w:vAlign w:val="bottom"/>
            <w:gridSpan w:val="25"/>
          </w:tcPr>
          <w:p>
            <w:pPr>
              <w:spacing w:after="0" w:line="184" w:lineRule="exact"/>
              <w:rPr>
                <w:rFonts w:ascii="Arial" w:cs="Arial" w:eastAsia="Arial" w:hAnsi="Arial"/>
                <w:sz w:val="17"/>
                <w:szCs w:val="17"/>
                <w:color w:val="0000EE"/>
              </w:rPr>
            </w:pPr>
            <w:hyperlink w:anchor="page225">
              <w:r>
                <w:rPr>
                  <w:rFonts w:ascii="Arial" w:cs="Arial" w:eastAsia="Arial" w:hAnsi="Arial"/>
                  <w:sz w:val="17"/>
                  <w:szCs w:val="17"/>
                  <w:color w:val="0000EE"/>
                </w:rPr>
                <w:t>Legal Matters</w:t>
              </w:r>
            </w:hyperlink>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215</w:t>
            </w:r>
          </w:p>
        </w:tc>
        <w:tc>
          <w:tcPr>
            <w:tcW w:w="0" w:type="dxa"/>
            <w:vAlign w:val="bottom"/>
          </w:tcPr>
          <w:p>
            <w:pPr>
              <w:spacing w:after="0"/>
              <w:rPr>
                <w:sz w:val="1"/>
                <w:szCs w:val="1"/>
                <w:color w:val="auto"/>
              </w:rPr>
            </w:pPr>
          </w:p>
        </w:tc>
      </w:tr>
      <w:tr>
        <w:trPr>
          <w:trHeight w:val="184"/>
        </w:trPr>
        <w:tc>
          <w:tcPr>
            <w:tcW w:w="520" w:type="dxa"/>
            <w:vAlign w:val="bottom"/>
            <w:tcBorders>
              <w:top w:val="single" w:sz="8" w:color="0000EE"/>
              <w:bottom w:val="single" w:sz="8" w:color="0000EE"/>
            </w:tcBorders>
          </w:tcPr>
          <w:p>
            <w:pPr>
              <w:spacing w:after="0" w:line="184" w:lineRule="exact"/>
              <w:rPr>
                <w:rFonts w:ascii="Arial" w:cs="Arial" w:eastAsia="Arial" w:hAnsi="Arial"/>
                <w:sz w:val="17"/>
                <w:szCs w:val="17"/>
                <w:color w:val="0000EE"/>
                <w:w w:val="86"/>
              </w:rPr>
            </w:pPr>
            <w:hyperlink w:anchor="page226">
              <w:r>
                <w:rPr>
                  <w:rFonts w:ascii="Arial" w:cs="Arial" w:eastAsia="Arial" w:hAnsi="Arial"/>
                  <w:sz w:val="17"/>
                  <w:szCs w:val="17"/>
                  <w:color w:val="0000EE"/>
                  <w:w w:val="86"/>
                </w:rPr>
                <w:t>Experts</w:t>
              </w:r>
            </w:hyperlink>
          </w:p>
        </w:tc>
        <w:tc>
          <w:tcPr>
            <w:tcW w:w="420" w:type="dxa"/>
            <w:vAlign w:val="bottom"/>
            <w:tcBorders>
              <w:top w:val="single" w:sz="8" w:color="0000EE"/>
            </w:tcBorders>
            <w:gridSpan w:val="6"/>
          </w:tcPr>
          <w:p>
            <w:pPr>
              <w:spacing w:after="0"/>
              <w:rPr>
                <w:sz w:val="15"/>
                <w:szCs w:val="15"/>
                <w:color w:val="auto"/>
              </w:rPr>
            </w:pPr>
          </w:p>
        </w:tc>
        <w:tc>
          <w:tcPr>
            <w:tcW w:w="9080" w:type="dxa"/>
            <w:vAlign w:val="bottom"/>
            <w:gridSpan w:val="18"/>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216</w:t>
            </w:r>
          </w:p>
        </w:tc>
        <w:tc>
          <w:tcPr>
            <w:tcW w:w="0" w:type="dxa"/>
            <w:vAlign w:val="bottom"/>
          </w:tcPr>
          <w:p>
            <w:pPr>
              <w:spacing w:after="0"/>
              <w:rPr>
                <w:sz w:val="1"/>
                <w:szCs w:val="1"/>
                <w:color w:val="auto"/>
              </w:rPr>
            </w:pPr>
          </w:p>
        </w:tc>
      </w:tr>
      <w:tr>
        <w:trPr>
          <w:trHeight w:val="184"/>
        </w:trPr>
        <w:tc>
          <w:tcPr>
            <w:tcW w:w="2700" w:type="dxa"/>
            <w:vAlign w:val="bottom"/>
            <w:tcBorders>
              <w:bottom w:val="single" w:sz="8" w:color="0000EE"/>
            </w:tcBorders>
            <w:gridSpan w:val="18"/>
          </w:tcPr>
          <w:p>
            <w:pPr>
              <w:spacing w:after="0" w:line="184" w:lineRule="exact"/>
              <w:rPr>
                <w:rFonts w:ascii="Arial" w:cs="Arial" w:eastAsia="Arial" w:hAnsi="Arial"/>
                <w:sz w:val="17"/>
                <w:szCs w:val="17"/>
                <w:color w:val="0000EE"/>
                <w:w w:val="91"/>
              </w:rPr>
            </w:pPr>
            <w:hyperlink w:anchor="page227">
              <w:r>
                <w:rPr>
                  <w:rFonts w:ascii="Arial" w:cs="Arial" w:eastAsia="Arial" w:hAnsi="Arial"/>
                  <w:sz w:val="17"/>
                  <w:szCs w:val="17"/>
                  <w:color w:val="0000EE"/>
                  <w:w w:val="91"/>
                </w:rPr>
                <w:t>Where You Can Find More Information</w:t>
              </w:r>
            </w:hyperlink>
          </w:p>
        </w:tc>
        <w:tc>
          <w:tcPr>
            <w:tcW w:w="7320" w:type="dxa"/>
            <w:vAlign w:val="bottom"/>
            <w:gridSpan w:val="7"/>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w w:val="98"/>
              </w:rPr>
              <w:t>217</w:t>
            </w:r>
          </w:p>
        </w:tc>
        <w:tc>
          <w:tcPr>
            <w:tcW w:w="0" w:type="dxa"/>
            <w:vAlign w:val="bottom"/>
          </w:tcPr>
          <w:p>
            <w:pPr>
              <w:spacing w:after="0"/>
              <w:rPr>
                <w:sz w:val="1"/>
                <w:szCs w:val="1"/>
                <w:color w:val="auto"/>
              </w:rPr>
            </w:pPr>
          </w:p>
        </w:tc>
      </w:tr>
      <w:tr>
        <w:trPr>
          <w:trHeight w:val="184"/>
        </w:trPr>
        <w:tc>
          <w:tcPr>
            <w:tcW w:w="2080" w:type="dxa"/>
            <w:vAlign w:val="bottom"/>
            <w:tcBorders>
              <w:bottom w:val="single" w:sz="8" w:color="0000EE"/>
            </w:tcBorders>
            <w:gridSpan w:val="15"/>
          </w:tcPr>
          <w:p>
            <w:pPr>
              <w:spacing w:after="0" w:line="184" w:lineRule="exact"/>
              <w:rPr>
                <w:rFonts w:ascii="Arial" w:cs="Arial" w:eastAsia="Arial" w:hAnsi="Arial"/>
                <w:sz w:val="17"/>
                <w:szCs w:val="17"/>
                <w:color w:val="0000EE"/>
                <w:w w:val="91"/>
              </w:rPr>
            </w:pPr>
            <w:hyperlink w:anchor="page228">
              <w:r>
                <w:rPr>
                  <w:rFonts w:ascii="Arial" w:cs="Arial" w:eastAsia="Arial" w:hAnsi="Arial"/>
                  <w:sz w:val="17"/>
                  <w:szCs w:val="17"/>
                  <w:color w:val="0000EE"/>
                  <w:w w:val="91"/>
                </w:rPr>
                <w:t>Index to Financial Statements</w:t>
              </w:r>
            </w:hyperlink>
          </w:p>
        </w:tc>
        <w:tc>
          <w:tcPr>
            <w:tcW w:w="7940" w:type="dxa"/>
            <w:vAlign w:val="bottom"/>
            <w:gridSpan w:val="10"/>
          </w:tcPr>
          <w:p>
            <w:pPr>
              <w:spacing w:after="0"/>
              <w:rPr>
                <w:sz w:val="15"/>
                <w:szCs w:val="15"/>
                <w:color w:val="auto"/>
              </w:rPr>
            </w:pPr>
          </w:p>
        </w:tc>
        <w:tc>
          <w:tcPr>
            <w:tcW w:w="320" w:type="dxa"/>
            <w:vAlign w:val="bottom"/>
            <w:gridSpan w:val="2"/>
          </w:tcPr>
          <w:p>
            <w:pPr>
              <w:jc w:val="right"/>
              <w:ind w:right="20"/>
              <w:spacing w:after="0" w:line="184"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234315</wp:posOffset>
            </wp:positionV>
            <wp:extent cx="13893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440" w:right="40" w:firstLine="415"/>
        <w:spacing w:after="0" w:line="271" w:lineRule="auto"/>
        <w:rPr>
          <w:sz w:val="20"/>
          <w:szCs w:val="20"/>
          <w:color w:val="auto"/>
        </w:rPr>
      </w:pPr>
      <w:r>
        <w:rPr>
          <w:rFonts w:ascii="Arial" w:cs="Arial" w:eastAsia="Arial" w:hAnsi="Arial"/>
          <w:sz w:val="16"/>
          <w:szCs w:val="16"/>
          <w:color w:val="auto"/>
        </w:rPr>
        <w:t>You should rely only on the information contained in this prospectus or in any free-writing prospectus we may specifically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 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or any free-writing prospectus is accurate only as of its date, regardless of its time of delivery or the time of any sale of shares of our Class A common stock. Our business, financial condition, results of operations and prospects may have changed since that date.</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Basis of Presentation</w:t>
      </w:r>
    </w:p>
    <w:p>
      <w:pPr>
        <w:spacing w:after="0" w:line="114"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 References to “Predecessor Company” refer</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800"/>
          </w:cols>
          <w:pgMar w:left="320" w:top="442" w:right="7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73" w:lineRule="auto"/>
        <w:rPr>
          <w:sz w:val="20"/>
          <w:szCs w:val="20"/>
          <w:color w:val="auto"/>
        </w:rPr>
      </w:pPr>
      <w:r>
        <w:rPr>
          <w:rFonts w:ascii="Arial" w:cs="Arial" w:eastAsia="Arial" w:hAnsi="Arial"/>
          <w:sz w:val="17"/>
          <w:szCs w:val="17"/>
          <w:color w:val="auto"/>
        </w:rPr>
        <w:t>to Definitive OpCo prior to July 16, 2019 and “Successor Company” refer to Definitive OpCo after July 15, 2019. See “Management’s Discussion and Analysis of Financial Condition and Results of Operations—Impact of Acquisitions.”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Trademarks and Trade Names</w:t>
      </w:r>
    </w:p>
    <w:p>
      <w:pPr>
        <w:spacing w:after="0" w:line="113"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We own or have the rights to use various trademarks, trade names, service marks and copyrights, including: Definitive Healthcare</w:t>
      </w:r>
      <w:r>
        <w:rPr>
          <w:rFonts w:ascii="Arial" w:cs="Arial" w:eastAsia="Arial" w:hAnsi="Arial"/>
          <w:sz w:val="14"/>
          <w:szCs w:val="14"/>
          <w:color w:val="auto"/>
        </w:rPr>
        <w:t>®</w:t>
      </w:r>
      <w:r>
        <w:rPr>
          <w:rFonts w:ascii="Arial" w:cs="Arial" w:eastAsia="Arial" w:hAnsi="Arial"/>
          <w:sz w:val="17"/>
          <w:szCs w:val="17"/>
          <w:color w:val="auto"/>
        </w:rPr>
        <w:t xml:space="preserve"> and our logo used in association with our name. Solely for convenience, any trademarks, trade names, service marks or copyrights referred to or used herein are listed without the applicable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4"/>
          <w:szCs w:val="14"/>
          <w:color w:val="auto"/>
        </w:rPr>
        <w:t>™</w:t>
      </w:r>
      <w:r>
        <w:rPr>
          <w:rFonts w:ascii="Arial" w:cs="Arial" w:eastAsia="Arial" w:hAnsi="Arial"/>
          <w:sz w:val="17"/>
          <w:szCs w:val="17"/>
          <w:color w:val="auto"/>
        </w:rPr>
        <w:t xml:space="preserve"> symbol, but such references or uses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of any other company appearing in this prospectus are, to our knowledge, the property of their respective owners.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Market and Industry Information</w:t>
      </w:r>
    </w:p>
    <w:p>
      <w:pPr>
        <w:spacing w:after="0" w:line="114" w:lineRule="exact"/>
        <w:rPr>
          <w:sz w:val="20"/>
          <w:szCs w:val="20"/>
          <w:color w:val="auto"/>
        </w:rPr>
      </w:pPr>
    </w:p>
    <w:p>
      <w:pPr>
        <w:ind w:left="440" w:firstLine="415"/>
        <w:spacing w:after="0" w:line="268" w:lineRule="auto"/>
        <w:rPr>
          <w:sz w:val="20"/>
          <w:szCs w:val="20"/>
          <w:color w:val="auto"/>
        </w:rPr>
      </w:pPr>
      <w:r>
        <w:rPr>
          <w:rFonts w:ascii="Arial" w:cs="Arial" w:eastAsia="Arial" w:hAnsi="Arial"/>
          <w:sz w:val="16"/>
          <w:szCs w:val="16"/>
          <w:color w:val="auto"/>
        </w:rPr>
        <w:t>Unless otherwise indicated, market data and industry information used throughout this prospectus is based on management’s knowledge of the industry and the good faith estimates of management. We also relied, to the extent available, upon management’s review of independent industry surveys and publications, other publicly available information prepared by a number of sources, including consultant surveys and forecasts. All of the market data and industry information used in this prospectus involves a number of assumptions and limitations,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Additionally,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178" w:lineRule="exact"/>
        <w:rPr>
          <w:sz w:val="20"/>
          <w:szCs w:val="20"/>
          <w:color w:val="auto"/>
        </w:rPr>
      </w:pPr>
    </w:p>
    <w:p>
      <w:pPr>
        <w:ind w:left="440" w:right="140" w:firstLine="415"/>
        <w:spacing w:after="0" w:line="272" w:lineRule="auto"/>
        <w:rPr>
          <w:sz w:val="20"/>
          <w:szCs w:val="20"/>
          <w:color w:val="auto"/>
        </w:rPr>
      </w:pPr>
      <w:r>
        <w:rPr>
          <w:rFonts w:ascii="Arial" w:cs="Arial" w:eastAsia="Arial" w:hAnsi="Arial"/>
          <w:sz w:val="16"/>
          <w:szCs w:val="16"/>
          <w:color w:val="auto"/>
        </w:rPr>
        <w:t>We have relied on the calculations and analysis and our use of third-party analytics tools to present metrics that, as closely as possible, reflect genuine users and legitimate user activity on our platform. However, data from such sources may include inaccuracies such as information relating to fraudulent accounts or interactions with our sites. Such inaccuracies and fraudulent accounts or interactions may be caused by the use of bots or other mechanisms to generate false impressions, persons with multiple accounts on one service, persons with deactivated or inactive accounts and multiple views by the same user. We have only a limited ability to independently verify the metrics provided by and third-party analytics tools. Investors should not place undue reliance or emphasis on website visits given these limitations and the fact that such measures do not bear any direct relationship to our financial condition or results of operations.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Certain Definitions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 used in this prospectus, unless otherwise noted or the context requires otherwise:</w:t>
      </w:r>
    </w:p>
    <w:p>
      <w:pPr>
        <w:spacing w:after="0" w:line="123" w:lineRule="exact"/>
        <w:rPr>
          <w:sz w:val="20"/>
          <w:szCs w:val="20"/>
          <w:color w:val="auto"/>
        </w:rPr>
      </w:pPr>
    </w:p>
    <w:p>
      <w:pPr>
        <w:ind w:left="840" w:hanging="304"/>
        <w:spacing w:after="0"/>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“Advent” refers to Advent International, a global private equity firm.</w:t>
      </w:r>
    </w:p>
    <w:p>
      <w:pPr>
        <w:spacing w:after="0" w:line="122" w:lineRule="exact"/>
        <w:rPr>
          <w:rFonts w:ascii="Arial" w:cs="Arial" w:eastAsia="Arial" w:hAnsi="Arial"/>
          <w:sz w:val="17"/>
          <w:szCs w:val="17"/>
          <w:color w:val="auto"/>
        </w:rPr>
      </w:pPr>
    </w:p>
    <w:p>
      <w:pPr>
        <w:ind w:left="5580" w:right="2760" w:hanging="5044"/>
        <w:spacing w:after="0" w:line="445" w:lineRule="auto"/>
        <w:tabs>
          <w:tab w:leader="none" w:pos="844" w:val="left"/>
        </w:tabs>
        <w:numPr>
          <w:ilvl w:val="0"/>
          <w:numId w:val="4"/>
        </w:numPr>
        <w:rPr>
          <w:rFonts w:ascii="Arial" w:cs="Arial" w:eastAsia="Arial" w:hAnsi="Arial"/>
          <w:sz w:val="17"/>
          <w:szCs w:val="17"/>
          <w:color w:val="auto"/>
        </w:rPr>
      </w:pPr>
      <w:r>
        <w:rPr>
          <w:rFonts w:ascii="Arial" w:cs="Arial" w:eastAsia="Arial" w:hAnsi="Arial"/>
          <w:sz w:val="17"/>
          <w:szCs w:val="17"/>
          <w:color w:val="auto"/>
        </w:rPr>
        <w:t>“Amended LLC Agreement” has the meaning given in “Prospectus Summary—Organizational Structure.” ii</w:t>
      </w:r>
    </w:p>
    <w:p>
      <w:pPr>
        <w:sectPr>
          <w:pgSz w:w="11900" w:h="16838" w:orient="portrait"/>
          <w:cols w:equalWidth="0" w:num="1">
            <w:col w:w="10820"/>
          </w:cols>
          <w:pgMar w:left="320" w:top="442" w:right="75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380" w:hanging="304"/>
        <w:spacing w:after="0" w:line="273"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“ARR”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76"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“Blocker Company” has the meaning given in “Prospectus Summary—Organizational Structure.”</w:t>
      </w:r>
    </w:p>
    <w:p>
      <w:pPr>
        <w:spacing w:after="0" w:line="122" w:lineRule="exact"/>
        <w:rPr>
          <w:rFonts w:ascii="Arial" w:cs="Arial" w:eastAsia="Arial" w:hAnsi="Arial"/>
          <w:sz w:val="17"/>
          <w:szCs w:val="17"/>
          <w:color w:val="auto"/>
        </w:rPr>
      </w:pPr>
    </w:p>
    <w:p>
      <w:pPr>
        <w:ind w:left="840" w:right="20" w:hanging="304"/>
        <w:spacing w:after="0" w:line="302" w:lineRule="auto"/>
        <w:tabs>
          <w:tab w:leader="none" w:pos="840" w:val="left"/>
        </w:tabs>
        <w:numPr>
          <w:ilvl w:val="0"/>
          <w:numId w:val="5"/>
        </w:numPr>
        <w:rPr>
          <w:rFonts w:ascii="Arial" w:cs="Arial" w:eastAsia="Arial" w:hAnsi="Arial"/>
          <w:sz w:val="15"/>
          <w:szCs w:val="15"/>
          <w:color w:val="auto"/>
        </w:rPr>
      </w:pPr>
      <w:r>
        <w:rPr>
          <w:rFonts w:ascii="Arial" w:cs="Arial" w:eastAsia="Arial" w:hAnsi="Arial"/>
          <w:sz w:val="15"/>
          <w:szCs w:val="15"/>
          <w:color w:val="auto"/>
        </w:rPr>
        <w:t>“CAC” refers to customer acquisition cost, or the cost of acquiring a new customer. We calculate CAC as (i) the sales and marketing expense, including associated indirect costs, such as management and overheads, associated with acquiring new customers on a trailing twelve month basis starting from the prior quarter, excluding expenses that are non-cash or one-time in nature, including share-based compensation, acquisition-related integration and compensation expenses, and non-recurring items divided by (ii) the number of new customers added during the period.</w:t>
      </w:r>
    </w:p>
    <w:p>
      <w:pPr>
        <w:spacing w:after="0" w:line="60" w:lineRule="exact"/>
        <w:rPr>
          <w:rFonts w:ascii="Arial" w:cs="Arial" w:eastAsia="Arial" w:hAnsi="Arial"/>
          <w:sz w:val="15"/>
          <w:szCs w:val="15"/>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“Class B LLC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 LLC Class B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“Continuing Pre-IPO LLC Members” has the meaning given in “Prospectus Summary—Organizational Structure.”</w:t>
      </w:r>
    </w:p>
    <w:p>
      <w:pPr>
        <w:spacing w:after="0" w:line="122" w:lineRule="exact"/>
        <w:rPr>
          <w:rFonts w:ascii="Arial" w:cs="Arial" w:eastAsia="Arial" w:hAnsi="Arial"/>
          <w:sz w:val="17"/>
          <w:szCs w:val="17"/>
          <w:color w:val="auto"/>
        </w:rPr>
      </w:pPr>
    </w:p>
    <w:p>
      <w:pPr>
        <w:ind w:left="840" w:right="20" w:hanging="304"/>
        <w:spacing w:after="0" w:line="257"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“Definitive,” “Definitive Healthcare,”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w:t>
      </w:r>
    </w:p>
    <w:p>
      <w:pPr>
        <w:spacing w:after="0" w:line="91" w:lineRule="exact"/>
        <w:rPr>
          <w:rFonts w:ascii="Arial" w:cs="Arial" w:eastAsia="Arial" w:hAnsi="Arial"/>
          <w:sz w:val="17"/>
          <w:szCs w:val="17"/>
          <w:color w:val="auto"/>
        </w:rPr>
      </w:pPr>
    </w:p>
    <w:p>
      <w:pPr>
        <w:ind w:left="840" w:right="20" w:hanging="304"/>
        <w:spacing w:after="0" w:line="273"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“Definitive OpCo” refers to AIDH TopCo, LLC, a Delaware limited liability company, and a subsidiary of Definitive Healthcare Corp., following the Reorganization Transactions.</w:t>
      </w:r>
    </w:p>
    <w:p>
      <w:pPr>
        <w:spacing w:after="0" w:line="76"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“DH Holdings” refers to Definitive Healthcare Holdings, LLC, a wholly-owned subsidiary of Definitive Healthcare.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“IPO” refers to the initial public offering of our Class A common stock.</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“LLC Units” has the meaning given in “Prospectus Summary—Organizational Structure.”</w:t>
      </w:r>
    </w:p>
    <w:p>
      <w:pPr>
        <w:spacing w:after="0" w:line="122" w:lineRule="exact"/>
        <w:rPr>
          <w:rFonts w:ascii="Arial" w:cs="Arial" w:eastAsia="Arial" w:hAnsi="Arial"/>
          <w:sz w:val="17"/>
          <w:szCs w:val="17"/>
          <w:color w:val="auto"/>
        </w:rPr>
      </w:pPr>
    </w:p>
    <w:p>
      <w:pPr>
        <w:ind w:left="840" w:right="80" w:hanging="304"/>
        <w:spacing w:after="0" w:line="279"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“LTV”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73" w:lineRule="exact"/>
        <w:rPr>
          <w:rFonts w:ascii="Arial" w:cs="Arial" w:eastAsia="Arial" w:hAnsi="Arial"/>
          <w:sz w:val="16"/>
          <w:szCs w:val="16"/>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 LLC Class A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“Mergers”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line="257" w:lineRule="auto"/>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“NDR” or “Net Dollar Retention Rate”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91"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“Pre-IPO LLC Members”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“Reclassified Class B LLC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“Reclassified Management Holdings Class B Units” has the meaning given in “Prospectus Summary—Organizational Structure.”</w:t>
      </w:r>
    </w:p>
    <w:p>
      <w:pPr>
        <w:spacing w:after="0" w:line="14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760"/>
          </w:cols>
          <w:pgMar w:left="320" w:top="442" w:right="81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“Reorganization Parties”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“Reorganization Transactions”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“Spectrum Equity” refers to investment funds associated with Spectrum Equity Management, L.P., a private equity firm.</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“Sponsors” refers collectively to Advent, Spectrum Equity and 22C Capital.</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“Topco Class A Units”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“Tax Receivable Agreement” refers to the tax receivable agreement entered into with the TRA Parties.</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“TRA Parties” has the meaning given in “Prospectus Summary—Organizational Structure.”</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6"/>
        </w:numPr>
        <w:rPr>
          <w:rFonts w:ascii="Arial" w:cs="Arial" w:eastAsia="Arial" w:hAnsi="Arial"/>
          <w:sz w:val="17"/>
          <w:szCs w:val="17"/>
          <w:color w:val="auto"/>
        </w:rPr>
      </w:pPr>
      <w:r>
        <w:rPr>
          <w:rFonts w:ascii="Arial" w:cs="Arial" w:eastAsia="Arial" w:hAnsi="Arial"/>
          <w:sz w:val="17"/>
          <w:szCs w:val="17"/>
          <w:color w:val="auto"/>
        </w:rPr>
        <w:t>“22C Capital” refers to investment funds associated with 22C Capital LLC, a private equity firm.</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Non-GAAP Financial Measures</w:t>
      </w:r>
    </w:p>
    <w:p>
      <w:pPr>
        <w:spacing w:after="0" w:line="114" w:lineRule="exact"/>
        <w:rPr>
          <w:sz w:val="20"/>
          <w:szCs w:val="20"/>
          <w:color w:val="auto"/>
        </w:rPr>
      </w:pPr>
    </w:p>
    <w:p>
      <w:pPr>
        <w:ind w:left="440" w:right="140" w:firstLine="415"/>
        <w:spacing w:after="0" w:line="279" w:lineRule="auto"/>
        <w:rPr>
          <w:sz w:val="20"/>
          <w:szCs w:val="20"/>
          <w:color w:val="auto"/>
        </w:rPr>
      </w:pPr>
      <w:r>
        <w:rPr>
          <w:rFonts w:ascii="Arial" w:cs="Arial" w:eastAsia="Arial" w:hAnsi="Arial"/>
          <w:sz w:val="16"/>
          <w:szCs w:val="16"/>
          <w:color w:val="auto"/>
        </w:rPr>
        <w:t>We refer in this prospectus to Adjusted EBITDA, Adjusted Gross Profit, Adjusted Gross Margin, Adjusted EBITDA Margin Adjusted Operating Income and Adjusted Net Income (Loss),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62"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As used in this prospectus, EBITDA means earnings before debt-related costs, including interest expense and interest income, provision for taxes, depreciation and amortization and Adjusted EBITDA means EBITDA adjusted to exclude certain items of a significant or unusual nature, including stock-based compensation, acquisition-related expenses and other non-recurring expenses. Adjusted EBITDA Margin is determined by calculating the percentage Adjusted EBITDA is of revenue. Adjusted Gross Profit means revenue less cost of revenue (excluding acquisition-related depreciation and amortization) and Adjusted Gross Margin means Adjusted Gross Profit as a percentage of revenue. Adjusted Gross Profit differs from gross profit, in that gross profit includes acquisition-related depreciation and amortization expense.</w:t>
      </w:r>
    </w:p>
    <w:p>
      <w:pPr>
        <w:spacing w:after="0" w:line="169"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49"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Adjusted Operating Income and Adjusted Net Income (Loss) mean income from operations plus acquisition-related amortization, stock-based compensation, acquisition-related expenses and other non-recurring adjustments.</w:t>
      </w:r>
    </w:p>
    <w:p>
      <w:pPr>
        <w:spacing w:after="0" w:line="166"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Adjusted Gross Profit and Adjusted Gross Margin are key metrics used by management and our board of directors to assess our operations. We exclude acquisition-related depreciation and amortization expense as they have no direct correlation to the cost of operating our business on an ongoing basis. A small quantity of stock-based compensation is included in cost of revenue in accordance with GAAP, but is excluded from our Adjusted Gross Margin calculations due to its non-cash nature.</w:t>
      </w:r>
    </w:p>
    <w:p>
      <w:pPr>
        <w:spacing w:after="0" w:line="18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Our use of the terms Adjusted EBITDA, Adjusted EBITDA Margin, Adjusted Gross Profit and Adjusted Gross Margin may vary from the use of similar terms by other companies in our industry and accordingly may not be comparable to similarly titled measures used by other companies and are not measures of performance calculated in accordance with GAAP. These metrics are intended as supplemental measures of our performance that are not required by, or presented in accordance with, GAAP. These metrics should not be considered as alternatives to (loss) income from operations, net (loss) income, gross profit, earnings per share or any other performance measures derived in accordance with GAAP, or as measures of operating cash flows or liquidity. Adjusted EBITDA, Adjusted EBITDA Margin, Adjusted Gross Profit and Adjusted Gross Margin have important limitations as an analytical tool. Some of these limitations are:</w:t>
      </w:r>
    </w:p>
    <w:p>
      <w:pPr>
        <w:spacing w:after="0" w:line="80" w:lineRule="exact"/>
        <w:rPr>
          <w:sz w:val="20"/>
          <w:szCs w:val="20"/>
          <w:color w:val="auto"/>
        </w:rPr>
      </w:pPr>
    </w:p>
    <w:p>
      <w:pPr>
        <w:ind w:left="5560" w:right="2840" w:hanging="5024"/>
        <w:spacing w:after="0" w:line="445" w:lineRule="auto"/>
        <w:tabs>
          <w:tab w:leader="none" w:pos="843" w:val="left"/>
        </w:tabs>
        <w:numPr>
          <w:ilvl w:val="0"/>
          <w:numId w:val="7"/>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debt-related costs, including interest expense; iv</w:t>
      </w:r>
    </w:p>
    <w:p>
      <w:pPr>
        <w:sectPr>
          <w:pgSz w:w="11900" w:h="16838" w:orient="portrait"/>
          <w:cols w:equalWidth="0" w:num="1">
            <w:col w:w="10800"/>
          </w:cols>
          <w:pgMar w:left="320" w:top="442" w:right="77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304"/>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income tax expense or the cash requirements to pay our income taxes;</w:t>
      </w:r>
    </w:p>
    <w:p>
      <w:pPr>
        <w:spacing w:after="0" w:line="122" w:lineRule="exact"/>
        <w:rPr>
          <w:rFonts w:ascii="Arial" w:cs="Arial" w:eastAsia="Arial" w:hAnsi="Arial"/>
          <w:sz w:val="17"/>
          <w:szCs w:val="17"/>
          <w:color w:val="auto"/>
        </w:rPr>
      </w:pPr>
    </w:p>
    <w:p>
      <w:pPr>
        <w:ind w:left="840" w:right="20" w:hanging="304"/>
        <w:spacing w:after="0" w:line="273"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charges for the assets being depreciated and amortized that may need to be replaced in the future;</w:t>
      </w:r>
    </w:p>
    <w:p>
      <w:pPr>
        <w:spacing w:after="0" w:line="76" w:lineRule="exact"/>
        <w:rPr>
          <w:rFonts w:ascii="Arial" w:cs="Arial" w:eastAsia="Arial" w:hAnsi="Arial"/>
          <w:sz w:val="17"/>
          <w:szCs w:val="17"/>
          <w:color w:val="auto"/>
        </w:rPr>
      </w:pPr>
    </w:p>
    <w:p>
      <w:pPr>
        <w:ind w:left="840" w:right="80" w:hanging="304"/>
        <w:spacing w:after="0" w:line="261"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Gross Profit, Adjusted Gross Margin and Adjusted Operating Income include depreciation and amortization for assets that may need to be replaced, but exclude amortization for intangible assets that are primarily a result of purchase accounting, which results primarily from the Advent acquisition;</w:t>
      </w:r>
    </w:p>
    <w:p>
      <w:pPr>
        <w:spacing w:after="0" w:line="87" w:lineRule="exact"/>
        <w:rPr>
          <w:rFonts w:ascii="Arial" w:cs="Arial" w:eastAsia="Arial" w:hAnsi="Arial"/>
          <w:sz w:val="17"/>
          <w:szCs w:val="17"/>
          <w:color w:val="auto"/>
        </w:rPr>
      </w:pPr>
    </w:p>
    <w:p>
      <w:pPr>
        <w:ind w:left="840" w:hanging="304"/>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the impact of impairment loss;</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foreign exchange transaction gain and loss;</w:t>
      </w:r>
    </w:p>
    <w:p>
      <w:pPr>
        <w:spacing w:after="0" w:line="122" w:lineRule="exact"/>
        <w:rPr>
          <w:rFonts w:ascii="Arial" w:cs="Arial" w:eastAsia="Arial" w:hAnsi="Arial"/>
          <w:sz w:val="17"/>
          <w:szCs w:val="17"/>
          <w:color w:val="auto"/>
        </w:rPr>
      </w:pPr>
    </w:p>
    <w:p>
      <w:pPr>
        <w:ind w:left="840" w:right="160" w:hanging="304"/>
        <w:spacing w:after="0" w:line="273"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the impact of stock-based compensation upon our results of operations;</w:t>
      </w:r>
    </w:p>
    <w:p>
      <w:pPr>
        <w:spacing w:after="0" w:line="76" w:lineRule="exact"/>
        <w:rPr>
          <w:rFonts w:ascii="Arial" w:cs="Arial" w:eastAsia="Arial" w:hAnsi="Arial"/>
          <w:sz w:val="17"/>
          <w:szCs w:val="17"/>
          <w:color w:val="auto"/>
        </w:rPr>
      </w:pPr>
    </w:p>
    <w:p>
      <w:pPr>
        <w:ind w:left="840" w:right="620" w:hanging="304"/>
        <w:spacing w:after="0" w:line="273"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acquisition-related expenses; and</w:t>
      </w:r>
    </w:p>
    <w:p>
      <w:pPr>
        <w:spacing w:after="0" w:line="76" w:lineRule="exact"/>
        <w:rPr>
          <w:rFonts w:ascii="Arial" w:cs="Arial" w:eastAsia="Arial" w:hAnsi="Arial"/>
          <w:sz w:val="17"/>
          <w:szCs w:val="17"/>
          <w:color w:val="auto"/>
        </w:rPr>
      </w:pPr>
    </w:p>
    <w:p>
      <w:pPr>
        <w:ind w:left="840" w:right="220" w:hanging="304"/>
        <w:spacing w:after="0" w:line="273"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Adjusted EBITDA, Adjusted EBITDA Margin, Adjusted Net Income (Loss) and Adjusted Operating Income exclude certain expenses that are non-recurring in nature.</w:t>
      </w:r>
    </w:p>
    <w:p>
      <w:pPr>
        <w:spacing w:after="0" w:line="166"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In evaluating Adjusted EBITDA, Adjusted EBITDA Margin, Adjusted Gross Profit and Adjusted Gross Margin, you should be aware that in the future we may incur expenses similar to those eliminated in these presentations.</w:t>
      </w:r>
    </w:p>
    <w:p>
      <w:pPr>
        <w:spacing w:after="0" w:line="166"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See “Summary Historical and Pro Forma Consolidated Financial and Other Data” for a reconciliation of Adjusted EBITDA to net income (loss), the most directly comparable GAAP measure and a reconciliation of Adjusted Gross Profit and Adjusted Gross Margin to gross profit, the most directly comparable GAAP measure.</w:t>
      </w:r>
    </w:p>
    <w:p>
      <w:pPr>
        <w:spacing w:after="0" w:line="113"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740"/>
          </w:cols>
          <w:pgMar w:left="320" w:top="442" w:right="8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070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95745" cy="60706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PROSPECTUS SUMMARY</w:t>
      </w:r>
    </w:p>
    <w:p>
      <w:pPr>
        <w:spacing w:after="0" w:line="216" w:lineRule="exact"/>
        <w:rPr>
          <w:sz w:val="20"/>
          <w:szCs w:val="20"/>
          <w:color w:val="auto"/>
        </w:rPr>
      </w:pPr>
    </w:p>
    <w:p>
      <w:pPr>
        <w:ind w:left="600" w:right="100" w:firstLine="401"/>
        <w:spacing w:after="0" w:line="288" w:lineRule="auto"/>
        <w:rPr>
          <w:sz w:val="20"/>
          <w:szCs w:val="20"/>
          <w:color w:val="auto"/>
        </w:rPr>
      </w:pPr>
      <w:r>
        <w:rPr>
          <w:rFonts w:ascii="Arial" w:cs="Arial" w:eastAsia="Arial" w:hAnsi="Arial"/>
          <w:sz w:val="15"/>
          <w:szCs w:val="15"/>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w:t>
      </w:r>
    </w:p>
    <w:p>
      <w:pPr>
        <w:spacing w:after="0" w:line="1" w:lineRule="exact"/>
        <w:rPr>
          <w:sz w:val="20"/>
          <w:szCs w:val="20"/>
          <w:color w:val="auto"/>
        </w:rPr>
      </w:pPr>
    </w:p>
    <w:p>
      <w:pPr>
        <w:ind w:left="600"/>
        <w:spacing w:after="0" w:line="259" w:lineRule="auto"/>
        <w:rPr>
          <w:rFonts w:ascii="Arial" w:cs="Arial" w:eastAsia="Arial" w:hAnsi="Arial"/>
          <w:sz w:val="17"/>
          <w:szCs w:val="17"/>
          <w:i w:val="1"/>
          <w:iCs w:val="1"/>
          <w:color w:val="auto"/>
        </w:rPr>
      </w:pPr>
      <w:r>
        <w:rPr>
          <w:rFonts w:ascii="Arial" w:cs="Arial" w:eastAsia="Arial" w:hAnsi="Arial"/>
          <w:sz w:val="17"/>
          <w:szCs w:val="17"/>
          <w:i w:val="1"/>
          <w:iCs w:val="1"/>
          <w:color w:val="auto"/>
        </w:rPr>
        <w:t>“</w:t>
      </w:r>
      <w:hyperlink w:anchor="page37">
        <w:r>
          <w:rPr>
            <w:rFonts w:ascii="Arial" w:cs="Arial" w:eastAsia="Arial" w:hAnsi="Arial"/>
            <w:sz w:val="17"/>
            <w:szCs w:val="17"/>
            <w:i w:val="1"/>
            <w:iCs w:val="1"/>
            <w:u w:val="single" w:color="auto"/>
            <w:color w:val="0000EE"/>
          </w:rPr>
          <w:t>Risk Factors</w:t>
        </w:r>
      </w:hyperlink>
      <w:r>
        <w:rPr>
          <w:rFonts w:ascii="Arial" w:cs="Arial" w:eastAsia="Arial" w:hAnsi="Arial"/>
          <w:sz w:val="17"/>
          <w:szCs w:val="17"/>
          <w:i w:val="1"/>
          <w:iCs w:val="1"/>
          <w:color w:val="auto"/>
        </w:rPr>
        <w:t>” beginning on page 27. In addition, certain statements in this prospectus include forward-looking information that is subject to risks and uncertainties. See “Cautionary Note Regarding Forward-Looking Statements.”</w:t>
      </w:r>
    </w:p>
    <w:p>
      <w:pPr>
        <w:spacing w:after="0" w:line="27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Mission</w:t>
      </w:r>
    </w:p>
    <w:p>
      <w:pPr>
        <w:spacing w:after="0" w:line="114" w:lineRule="exact"/>
        <w:rPr>
          <w:sz w:val="20"/>
          <w:szCs w:val="20"/>
          <w:color w:val="auto"/>
        </w:rPr>
      </w:pPr>
    </w:p>
    <w:p>
      <w:pPr>
        <w:ind w:left="600" w:right="360" w:firstLine="401"/>
        <w:spacing w:after="0" w:line="273" w:lineRule="auto"/>
        <w:rPr>
          <w:sz w:val="20"/>
          <w:szCs w:val="20"/>
          <w:color w:val="auto"/>
        </w:rPr>
      </w:pPr>
      <w:r>
        <w:rPr>
          <w:rFonts w:ascii="Arial" w:cs="Arial" w:eastAsia="Arial" w:hAnsi="Arial"/>
          <w:sz w:val="17"/>
          <w:szCs w:val="17"/>
          <w:color w:val="auto"/>
        </w:rPr>
        <w:t>Our mission is to make the complex healthcare ecosystem easier to analyze, navigate and sell into by providing a comprehensive, cloud-based healthcare commercial intelligence platform.</w:t>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Overview</w:t>
      </w:r>
    </w:p>
    <w:p>
      <w:pPr>
        <w:spacing w:after="0" w:line="127" w:lineRule="exact"/>
        <w:rPr>
          <w:sz w:val="20"/>
          <w:szCs w:val="20"/>
          <w:color w:val="auto"/>
        </w:rPr>
      </w:pPr>
    </w:p>
    <w:p>
      <w:pPr>
        <w:ind w:left="600" w:right="60" w:firstLine="401"/>
        <w:spacing w:after="0" w:line="257" w:lineRule="auto"/>
        <w:rPr>
          <w:sz w:val="20"/>
          <w:szCs w:val="20"/>
          <w:color w:val="auto"/>
        </w:rPr>
      </w:pPr>
      <w:r>
        <w:rPr>
          <w:rFonts w:ascii="Arial" w:cs="Arial" w:eastAsia="Arial" w:hAnsi="Arial"/>
          <w:sz w:val="17"/>
          <w:szCs w:val="17"/>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critical to the commercial success of our over 2,600 customers as of June 30, 2021.</w:t>
      </w:r>
    </w:p>
    <w:p>
      <w:pPr>
        <w:spacing w:after="0" w:line="180" w:lineRule="exact"/>
        <w:rPr>
          <w:sz w:val="20"/>
          <w:szCs w:val="20"/>
          <w:color w:val="auto"/>
        </w:rPr>
      </w:pPr>
    </w:p>
    <w:p>
      <w:pPr>
        <w:ind w:left="600" w:right="160" w:firstLine="401"/>
        <w:spacing w:after="0" w:line="253" w:lineRule="auto"/>
        <w:rPr>
          <w:sz w:val="20"/>
          <w:szCs w:val="20"/>
          <w:color w:val="auto"/>
        </w:rPr>
      </w:pPr>
      <w:r>
        <w:rPr>
          <w:rFonts w:ascii="Arial" w:cs="Arial" w:eastAsia="Arial" w:hAnsi="Arial"/>
          <w:sz w:val="17"/>
          <w:szCs w:val="17"/>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86" w:lineRule="exact"/>
        <w:rPr>
          <w:sz w:val="20"/>
          <w:szCs w:val="20"/>
          <w:color w:val="auto"/>
        </w:rPr>
      </w:pPr>
    </w:p>
    <w:p>
      <w:pPr>
        <w:ind w:left="600" w:right="60" w:firstLine="401"/>
        <w:spacing w:after="0" w:line="255" w:lineRule="auto"/>
        <w:rPr>
          <w:sz w:val="20"/>
          <w:szCs w:val="20"/>
          <w:color w:val="auto"/>
        </w:rPr>
      </w:pPr>
      <w:r>
        <w:rPr>
          <w:rFonts w:ascii="Arial" w:cs="Arial" w:eastAsia="Arial" w:hAnsi="Arial"/>
          <w:sz w:val="17"/>
          <w:szCs w:val="17"/>
          <w:color w:val="auto"/>
        </w:rPr>
        <w:t>Our customers include biopharmaceutical and medical device (“Life Sciences”) companies, Healthcare Information Technology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customers use the Definitive Healthcare platform in many ways to drive commercial success, including:</w:t>
      </w:r>
    </w:p>
    <w:p>
      <w:pPr>
        <w:spacing w:after="0" w:line="123" w:lineRule="exact"/>
        <w:rPr>
          <w:sz w:val="20"/>
          <w:szCs w:val="20"/>
          <w:color w:val="auto"/>
        </w:rPr>
      </w:pPr>
    </w:p>
    <w:p>
      <w:pPr>
        <w:ind w:left="980" w:right="540" w:hanging="285"/>
        <w:spacing w:after="0" w:line="27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Sales. </w:t>
      </w:r>
      <w:r>
        <w:rPr>
          <w:rFonts w:ascii="Arial" w:cs="Arial" w:eastAsia="Arial" w:hAnsi="Arial"/>
          <w:sz w:val="17"/>
          <w:szCs w:val="17"/>
          <w:color w:val="auto"/>
        </w:rPr>
        <w:t>Size markets, build efficient go-to-market strategies and generate actionable intelligence including prospect and decision maker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w:t>
      </w:r>
    </w:p>
    <w:p>
      <w:pPr>
        <w:spacing w:after="0" w:line="76" w:lineRule="exact"/>
        <w:rPr>
          <w:rFonts w:ascii="Arial" w:cs="Arial" w:eastAsia="Arial" w:hAnsi="Arial"/>
          <w:sz w:val="17"/>
          <w:szCs w:val="17"/>
          <w:color w:val="auto"/>
        </w:rPr>
      </w:pPr>
    </w:p>
    <w:p>
      <w:pPr>
        <w:ind w:left="980" w:hanging="285"/>
        <w:spacing w:after="0" w:line="27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color w:val="auto"/>
        </w:rPr>
        <w:t>Develop highly targeted marketing campaigns and gain contextual intelligence to quantify Return on Investment (“ROI”) for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services.</w:t>
      </w:r>
    </w:p>
    <w:p>
      <w:pPr>
        <w:spacing w:after="0" w:line="76" w:lineRule="exact"/>
        <w:rPr>
          <w:rFonts w:ascii="Arial" w:cs="Arial" w:eastAsia="Arial" w:hAnsi="Arial"/>
          <w:sz w:val="17"/>
          <w:szCs w:val="17"/>
          <w:color w:val="auto"/>
        </w:rPr>
      </w:pPr>
    </w:p>
    <w:p>
      <w:pPr>
        <w:ind w:left="980" w:right="100" w:hanging="285"/>
        <w:spacing w:after="0" w:line="273"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Clinical Research &amp; Product Development. </w:t>
      </w:r>
      <w:r>
        <w:rPr>
          <w:rFonts w:ascii="Arial" w:cs="Arial" w:eastAsia="Arial" w:hAnsi="Arial"/>
          <w:sz w:val="17"/>
          <w:szCs w:val="17"/>
          <w:color w:val="auto"/>
        </w:rPr>
        <w:t>Identify experts within a specific disease area to find important sites for clinical trials and make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data-driven investment decisions.</w:t>
      </w:r>
    </w:p>
    <w:p>
      <w:pPr>
        <w:spacing w:after="0" w:line="76" w:lineRule="exact"/>
        <w:rPr>
          <w:rFonts w:ascii="Arial" w:cs="Arial" w:eastAsia="Arial" w:hAnsi="Arial"/>
          <w:sz w:val="17"/>
          <w:szCs w:val="17"/>
          <w:color w:val="auto"/>
        </w:rPr>
      </w:pPr>
    </w:p>
    <w:p>
      <w:pPr>
        <w:ind w:left="980" w:hanging="285"/>
        <w:spacing w:after="0"/>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Strategy. </w:t>
      </w:r>
      <w:r>
        <w:rPr>
          <w:rFonts w:ascii="Arial" w:cs="Arial" w:eastAsia="Arial" w:hAnsi="Arial"/>
          <w:sz w:val="17"/>
          <w:szCs w:val="17"/>
          <w:color w:val="auto"/>
        </w:rPr>
        <w:t>Size patient populations and identify market opportunities for new therapeutics, diagnostics and medical devices.</w:t>
      </w: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620"/>
          </w:cols>
          <w:pgMar w:left="320" w:top="442" w:right="95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022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595745" cy="60223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560" w:hanging="285"/>
        <w:spacing w:after="0" w:line="273"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Talent Acquisition. </w:t>
      </w:r>
      <w:r>
        <w:rPr>
          <w:rFonts w:ascii="Arial" w:cs="Arial" w:eastAsia="Arial" w:hAnsi="Arial"/>
          <w:sz w:val="17"/>
          <w:szCs w:val="17"/>
          <w:color w:val="auto"/>
        </w:rPr>
        <w:t>Identify and conduct outreach to candidates for healthcare-specific roles including physicians, nurses and hospital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executives.</w:t>
      </w:r>
    </w:p>
    <w:p>
      <w:pPr>
        <w:spacing w:after="0" w:line="76" w:lineRule="exact"/>
        <w:rPr>
          <w:rFonts w:ascii="Arial" w:cs="Arial" w:eastAsia="Arial" w:hAnsi="Arial"/>
          <w:sz w:val="17"/>
          <w:szCs w:val="17"/>
          <w:color w:val="auto"/>
        </w:rPr>
      </w:pPr>
    </w:p>
    <w:p>
      <w:pPr>
        <w:ind w:left="980" w:right="80" w:hanging="285"/>
        <w:spacing w:after="0" w:line="273"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Physician Network Management. </w:t>
      </w:r>
      <w:r>
        <w:rPr>
          <w:rFonts w:ascii="Arial" w:cs="Arial" w:eastAsia="Arial" w:hAnsi="Arial"/>
          <w:sz w:val="17"/>
          <w:szCs w:val="17"/>
          <w:color w:val="auto"/>
        </w:rPr>
        <w:t>Analyze opportunities to keep patients within a healthcare network and identify attractive physicians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to source patient referrals.</w:t>
      </w:r>
    </w:p>
    <w:p>
      <w:pPr>
        <w:spacing w:after="0" w:line="166" w:lineRule="exact"/>
        <w:rPr>
          <w:sz w:val="20"/>
          <w:szCs w:val="20"/>
          <w:color w:val="auto"/>
        </w:rPr>
      </w:pPr>
    </w:p>
    <w:p>
      <w:pPr>
        <w:ind w:left="600" w:right="320" w:firstLine="401"/>
        <w:spacing w:after="0" w:line="273" w:lineRule="auto"/>
        <w:rPr>
          <w:sz w:val="20"/>
          <w:szCs w:val="20"/>
          <w:color w:val="auto"/>
        </w:rPr>
      </w:pPr>
      <w:r>
        <w:rPr>
          <w:rFonts w:ascii="Arial" w:cs="Arial" w:eastAsia="Arial" w:hAnsi="Arial"/>
          <w:sz w:val="17"/>
          <w:szCs w:val="17"/>
          <w:color w:val="auto"/>
        </w:rPr>
        <w:t>Our healthcare commercial intelligence platform brings together three powerful elements, which have been built, modified and improved upon over the last 11 years, to create a highly differentiated offering.</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These three elements are:</w:t>
      </w:r>
    </w:p>
    <w:p>
      <w:pPr>
        <w:spacing w:after="0" w:line="123" w:lineRule="exact"/>
        <w:rPr>
          <w:sz w:val="20"/>
          <w:szCs w:val="20"/>
          <w:color w:val="auto"/>
        </w:rPr>
      </w:pPr>
    </w:p>
    <w:p>
      <w:pPr>
        <w:ind w:left="980" w:hanging="285"/>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Comprehensive, In-depth and High-quality Intelligence </w:t>
      </w:r>
      <w:r>
        <w:rPr>
          <w:rFonts w:ascii="Arial" w:cs="Arial" w:eastAsia="Arial" w:hAnsi="Arial"/>
          <w:sz w:val="17"/>
          <w:szCs w:val="17"/>
          <w:color w:val="auto"/>
        </w:rPr>
        <w:t>on healthcare providers across the U.S.;</w:t>
      </w:r>
    </w:p>
    <w:p>
      <w:pPr>
        <w:spacing w:after="0" w:line="122" w:lineRule="exact"/>
        <w:rPr>
          <w:rFonts w:ascii="Arial" w:cs="Arial" w:eastAsia="Arial" w:hAnsi="Arial"/>
          <w:sz w:val="17"/>
          <w:szCs w:val="17"/>
          <w:color w:val="auto"/>
        </w:rPr>
      </w:pPr>
    </w:p>
    <w:p>
      <w:pPr>
        <w:ind w:left="980" w:right="720" w:hanging="285"/>
        <w:spacing w:after="0" w:line="273"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An Artificial Intelligence (“A.I.”) Engine</w:t>
      </w:r>
      <w:r>
        <w:rPr>
          <w:rFonts w:ascii="Arial" w:cs="Arial" w:eastAsia="Arial" w:hAnsi="Arial"/>
          <w:sz w:val="17"/>
          <w:szCs w:val="17"/>
          <w:color w:val="auto"/>
        </w:rPr>
        <w:t>, built by our team of data scientists, that cleanses, links and creates new information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w:t>
      </w:r>
    </w:p>
    <w:p>
      <w:pPr>
        <w:spacing w:after="0" w:line="76" w:lineRule="exact"/>
        <w:rPr>
          <w:rFonts w:ascii="Arial" w:cs="Arial" w:eastAsia="Arial" w:hAnsi="Arial"/>
          <w:sz w:val="17"/>
          <w:szCs w:val="17"/>
          <w:color w:val="auto"/>
        </w:rPr>
      </w:pPr>
    </w:p>
    <w:p>
      <w:pPr>
        <w:ind w:left="980" w:right="300" w:hanging="285"/>
        <w:spacing w:after="0" w:line="273"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Intuitive Front-end SaaS Platform </w:t>
      </w:r>
      <w:r>
        <w:rPr>
          <w:rFonts w:ascii="Arial" w:cs="Arial" w:eastAsia="Arial" w:hAnsi="Arial"/>
          <w:sz w:val="17"/>
          <w:szCs w:val="17"/>
          <w:color w:val="auto"/>
        </w:rPr>
        <w:t>that provides customers with the ability to analyze the healthcare ecosystem in real-time,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actionable insights and create a path to commercial success.</w:t>
      </w:r>
    </w:p>
    <w:p>
      <w:pPr>
        <w:spacing w:after="0" w:line="166" w:lineRule="exact"/>
        <w:rPr>
          <w:sz w:val="20"/>
          <w:szCs w:val="20"/>
          <w:color w:val="auto"/>
        </w:rPr>
      </w:pPr>
    </w:p>
    <w:p>
      <w:pPr>
        <w:ind w:left="600" w:right="60" w:firstLine="401"/>
        <w:spacing w:after="0" w:line="257" w:lineRule="auto"/>
        <w:rPr>
          <w:sz w:val="20"/>
          <w:szCs w:val="20"/>
          <w:color w:val="auto"/>
        </w:rPr>
      </w:pPr>
      <w:r>
        <w:rPr>
          <w:rFonts w:ascii="Arial" w:cs="Arial" w:eastAsia="Arial" w:hAnsi="Arial"/>
          <w:sz w:val="17"/>
          <w:szCs w:val="17"/>
          <w:color w:val="auto"/>
        </w:rPr>
        <w:t>Any company selling or competing within the healthcare ecosystem is a potential customer for us and contributes to our estimated current Total Addressable Market (“TAM”) of over $10 billion. In total, we have identified over 100,000 companies in our primary target markets—a number that continues to grow as more companies seek to compete within the attractive healthcare ecosystem, and we develop new and innovative analytics that appeal to a broader number of companies and use cases.</w:t>
      </w:r>
    </w:p>
    <w:p>
      <w:pPr>
        <w:spacing w:after="0" w:line="180" w:lineRule="exact"/>
        <w:rPr>
          <w:sz w:val="20"/>
          <w:szCs w:val="20"/>
          <w:color w:val="auto"/>
        </w:rPr>
      </w:pPr>
    </w:p>
    <w:p>
      <w:pPr>
        <w:jc w:val="both"/>
        <w:ind w:left="600" w:right="20" w:firstLine="401"/>
        <w:spacing w:after="0" w:line="285" w:lineRule="auto"/>
        <w:rPr>
          <w:sz w:val="20"/>
          <w:szCs w:val="20"/>
          <w:color w:val="auto"/>
        </w:rPr>
      </w:pPr>
      <w:r>
        <w:rPr>
          <w:rFonts w:ascii="Arial" w:cs="Arial" w:eastAsia="Arial" w:hAnsi="Arial"/>
          <w:sz w:val="16"/>
          <w:szCs w:val="16"/>
          <w:color w:val="auto"/>
        </w:rPr>
        <w:t>We reach these customers through a highly efficient sales and marketing engine as demonstrated by our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59" w:lineRule="exact"/>
        <w:rPr>
          <w:sz w:val="20"/>
          <w:szCs w:val="20"/>
          <w:color w:val="auto"/>
        </w:rPr>
      </w:pPr>
    </w:p>
    <w:p>
      <w:pPr>
        <w:ind w:left="600" w:right="320" w:firstLine="401"/>
        <w:spacing w:after="0" w:line="285" w:lineRule="auto"/>
        <w:rPr>
          <w:sz w:val="20"/>
          <w:szCs w:val="20"/>
          <w:color w:val="auto"/>
        </w:rPr>
      </w:pPr>
      <w:r>
        <w:rPr>
          <w:rFonts w:ascii="Arial" w:cs="Arial" w:eastAsia="Arial" w:hAnsi="Arial"/>
          <w:sz w:val="16"/>
          <w:szCs w:val="16"/>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70" w:lineRule="exact"/>
        <w:rPr>
          <w:sz w:val="20"/>
          <w:szCs w:val="20"/>
          <w:color w:val="auto"/>
        </w:rPr>
      </w:pPr>
    </w:p>
    <w:p>
      <w:pPr>
        <w:ind w:left="980" w:hanging="285"/>
        <w:spacing w:after="0" w:line="261"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Significant Revenue Growth at Scale. </w:t>
      </w:r>
      <w:r>
        <w:rPr>
          <w:rFonts w:ascii="Arial" w:cs="Arial" w:eastAsia="Arial" w:hAnsi="Arial"/>
          <w:sz w:val="17"/>
          <w:szCs w:val="17"/>
          <w:color w:val="auto"/>
        </w:rPr>
        <w:t>We generated revenue of $118.3 million and $85.5 million in the years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and December 31, 2019, respectively, representing 38% growth. We generated revenue of $76.8 million and $54.6 million in the six months ended June 30, 2021 and 2020, respectively, representing 41% growth.</w:t>
      </w:r>
    </w:p>
    <w:p>
      <w:pPr>
        <w:spacing w:after="0" w:line="87" w:lineRule="exact"/>
        <w:rPr>
          <w:rFonts w:ascii="Arial" w:cs="Arial" w:eastAsia="Arial" w:hAnsi="Arial"/>
          <w:sz w:val="17"/>
          <w:szCs w:val="17"/>
          <w:color w:val="auto"/>
        </w:rPr>
      </w:pPr>
    </w:p>
    <w:p>
      <w:pPr>
        <w:ind w:left="980" w:right="220" w:hanging="285"/>
        <w:spacing w:after="0" w:line="306"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Subscription-based Business Model with Significant Visibility. </w:t>
      </w:r>
      <w:r>
        <w:rPr>
          <w:rFonts w:ascii="Arial" w:cs="Arial" w:eastAsia="Arial" w:hAnsi="Arial"/>
          <w:sz w:val="16"/>
          <w:szCs w:val="16"/>
          <w:color w:val="auto"/>
        </w:rPr>
        <w:t>We generate substantially all of our revenue from subscription fees,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accounted for 99% of our revenue for the year ended December 31, 2020 and the six months ended June 30, 2021.</w:t>
      </w:r>
    </w:p>
    <w:p>
      <w:pPr>
        <w:spacing w:after="0" w:line="52" w:lineRule="exact"/>
        <w:rPr>
          <w:rFonts w:ascii="Arial" w:cs="Arial" w:eastAsia="Arial" w:hAnsi="Arial"/>
          <w:sz w:val="16"/>
          <w:szCs w:val="16"/>
          <w:color w:val="auto"/>
        </w:rPr>
      </w:pPr>
    </w:p>
    <w:p>
      <w:pPr>
        <w:ind w:left="980" w:right="220" w:hanging="285"/>
        <w:spacing w:after="0" w:line="261"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Diversified Customer Base. </w:t>
      </w:r>
      <w:r>
        <w:rPr>
          <w:rFonts w:ascii="Arial" w:cs="Arial" w:eastAsia="Arial" w:hAnsi="Arial"/>
          <w:sz w:val="17"/>
          <w:szCs w:val="17"/>
          <w:color w:val="auto"/>
        </w:rPr>
        <w:t>Over 2,600 companies use our platform to help sell into or compete in the healthcare ecosystem as of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No single customer made up more than 2% of our revenue for the six months ended June 30, 2021 or the year ended December 31, 2020.</w:t>
      </w:r>
    </w:p>
    <w:p>
      <w:pPr>
        <w:spacing w:after="0" w:line="87" w:lineRule="exact"/>
        <w:rPr>
          <w:rFonts w:ascii="Arial" w:cs="Arial" w:eastAsia="Arial" w:hAnsi="Arial"/>
          <w:sz w:val="17"/>
          <w:szCs w:val="17"/>
          <w:color w:val="auto"/>
        </w:rPr>
      </w:pPr>
    </w:p>
    <w:p>
      <w:pPr>
        <w:ind w:left="980" w:right="180" w:hanging="285"/>
        <w:spacing w:after="0" w:line="275"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Retention and Growth of Existing Customers. </w:t>
      </w:r>
      <w:r>
        <w:rPr>
          <w:rFonts w:ascii="Arial" w:cs="Arial" w:eastAsia="Arial" w:hAnsi="Arial"/>
          <w:sz w:val="16"/>
          <w:szCs w:val="16"/>
          <w:color w:val="auto"/>
        </w:rPr>
        <w:t>Our ability to retain and grow existing customer relationships is reflected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number of Enterprise Customers, which we define as customers generating more than $100,000 in ARR (“Enterprise Customers”). For the year ended December 31, 2020, we had 292 Enterprise Customers, compared to 221 Enterprise Customers for the year ended December 31, 2019, with an average Net Dollar Retention Rate of 124%. For the trailing 12 months ended June 30, 2021, our NDR for our 349 Enterprise Customers was 125% and our NDR for all customers over $17,500 in ARR was 111%.</w:t>
      </w: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20"/>
          </w:cols>
          <w:pgMar w:left="320" w:top="442" w:right="9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159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95745" cy="615950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60" w:hanging="285"/>
        <w:spacing w:after="0" w:line="269"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Strong Financial Performance. </w:t>
      </w:r>
      <w:r>
        <w:rPr>
          <w:rFonts w:ascii="Arial" w:cs="Arial" w:eastAsia="Arial" w:hAnsi="Arial"/>
          <w:sz w:val="16"/>
          <w:szCs w:val="16"/>
          <w:color w:val="auto"/>
        </w:rPr>
        <w:t>Our business model generates strong financial performance and cash flows. Our net loss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$51.2 million for the year ended December 31, 2020 as compared to a net loss of $49.3 million for the period from July 16, 2019 to December 31, 2019 and net income of $12.9 million for the period from January 1, 2019 to July 15, 2019. Our net loss was $25.5 million and $25.3 million for the six months ended June 30, 2021 and 2020, respectively. For the year ended December 31, 2020, our Net Loss Margin was (43)% and our Gross Margin was 74%. For the six months ended June 30, 2021, our Net Loss Margin was (46)% and our Gross Margin was 73%. For the six months ended June 30, 2021 and the year ended December 31, 2020, our Adjusted Gross Margin was 88% and 91%, respectively, and our Adjusted EBITDA was $28.5 million and $53.5 million, respectively, reflecting Adjusted EBITDA Margins of 45% for 2020 and 37% for the six months ended June 30, 2021.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Industry Background</w:t>
      </w:r>
    </w:p>
    <w:p>
      <w:pPr>
        <w:spacing w:after="0" w:line="114" w:lineRule="exact"/>
        <w:rPr>
          <w:sz w:val="20"/>
          <w:szCs w:val="20"/>
          <w:color w:val="auto"/>
        </w:rPr>
      </w:pPr>
    </w:p>
    <w:p>
      <w:pPr>
        <w:ind w:left="600" w:firstLine="401"/>
        <w:spacing w:after="0" w:line="273" w:lineRule="auto"/>
        <w:rPr>
          <w:sz w:val="20"/>
          <w:szCs w:val="20"/>
          <w:color w:val="auto"/>
        </w:rPr>
      </w:pPr>
      <w:r>
        <w:rPr>
          <w:rFonts w:ascii="Arial" w:cs="Arial" w:eastAsia="Arial" w:hAnsi="Arial"/>
          <w:sz w:val="16"/>
          <w:szCs w:val="16"/>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Commercializing and selling solutions in healthcare is difficult</w:t>
      </w:r>
    </w:p>
    <w:p>
      <w:pPr>
        <w:spacing w:after="0" w:line="110" w:lineRule="exact"/>
        <w:rPr>
          <w:sz w:val="20"/>
          <w:szCs w:val="20"/>
          <w:color w:val="auto"/>
        </w:rPr>
      </w:pPr>
    </w:p>
    <w:p>
      <w:pPr>
        <w:ind w:left="600" w:right="40" w:firstLine="401"/>
        <w:spacing w:after="0" w:line="273" w:lineRule="auto"/>
        <w:rPr>
          <w:sz w:val="20"/>
          <w:szCs w:val="20"/>
          <w:color w:val="auto"/>
        </w:rPr>
      </w:pPr>
      <w:r>
        <w:rPr>
          <w:rFonts w:ascii="Arial" w:cs="Arial" w:eastAsia="Arial" w:hAnsi="Arial"/>
          <w:sz w:val="17"/>
          <w:szCs w:val="17"/>
          <w:color w:val="auto"/>
        </w:rPr>
        <w:t>While healthcare presents a large opportunity, developing products for and selling into this industry is meaningfully more complex than other industries for a variety of reasons, including:</w:t>
      </w:r>
    </w:p>
    <w:p>
      <w:pPr>
        <w:spacing w:after="0" w:line="77" w:lineRule="exact"/>
        <w:rPr>
          <w:sz w:val="20"/>
          <w:szCs w:val="20"/>
          <w:color w:val="auto"/>
        </w:rPr>
      </w:pPr>
    </w:p>
    <w:p>
      <w:pPr>
        <w:ind w:left="980" w:right="100" w:hanging="285"/>
        <w:spacing w:after="0" w:line="261" w:lineRule="auto"/>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Companies are selling to an entire ecosystem, not a single company. </w:t>
      </w:r>
      <w:r>
        <w:rPr>
          <w:rFonts w:ascii="Arial" w:cs="Arial" w:eastAsia="Arial" w:hAnsi="Arial"/>
          <w:sz w:val="17"/>
          <w:szCs w:val="17"/>
          <w:color w:val="auto"/>
        </w:rPr>
        <w:t>There are a large number of stakeholders including providers, payers,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 agencies and regulators that are intermingled in meeting the needs of over 300 million potential patients in the U.S. as of May 1, 2021.</w:t>
      </w: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0"/>
          </w:cols>
          <w:pgMar w:left="320" w:top="442" w:right="9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9575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95745" cy="59575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40" w:hanging="285"/>
        <w:spacing w:after="0" w:line="273"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 is challenging to identify the true decision maker. </w:t>
      </w:r>
      <w:r>
        <w:rPr>
          <w:rFonts w:ascii="Arial" w:cs="Arial" w:eastAsia="Arial" w:hAnsi="Arial"/>
          <w:sz w:val="17"/>
          <w:szCs w:val="17"/>
          <w:color w:val="auto"/>
        </w:rPr>
        <w:t>The healthcare ecosystem is highly interconnected and understanding how stakeholders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affiliated and related is critical to properly identifying true decision makers.</w:t>
      </w:r>
    </w:p>
    <w:p>
      <w:pPr>
        <w:spacing w:after="0" w:line="76" w:lineRule="exact"/>
        <w:rPr>
          <w:rFonts w:ascii="Arial" w:cs="Arial" w:eastAsia="Arial" w:hAnsi="Arial"/>
          <w:sz w:val="17"/>
          <w:szCs w:val="17"/>
          <w:color w:val="auto"/>
        </w:rPr>
      </w:pPr>
    </w:p>
    <w:p>
      <w:pPr>
        <w:ind w:left="980" w:right="140" w:hanging="285"/>
        <w:spacing w:after="0" w:line="261"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 differentiate, companies need to tailor their product or service to specific pain points. </w:t>
      </w:r>
      <w:r>
        <w:rPr>
          <w:rFonts w:ascii="Arial" w:cs="Arial" w:eastAsia="Arial" w:hAnsi="Arial"/>
          <w:sz w:val="17"/>
          <w:szCs w:val="17"/>
          <w:color w:val="auto"/>
        </w:rPr>
        <w:t>Healthcare providers have a wide variety of pain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points to address. Understanding these pain points can help companies selling into healthcare target these pain points and allow them to derive value from our platform.</w:t>
      </w:r>
    </w:p>
    <w:p>
      <w:pPr>
        <w:spacing w:after="0" w:line="87" w:lineRule="exact"/>
        <w:rPr>
          <w:rFonts w:ascii="Arial" w:cs="Arial" w:eastAsia="Arial" w:hAnsi="Arial"/>
          <w:sz w:val="17"/>
          <w:szCs w:val="17"/>
          <w:color w:val="auto"/>
        </w:rPr>
      </w:pPr>
    </w:p>
    <w:p>
      <w:pPr>
        <w:ind w:left="980" w:right="240" w:hanging="285"/>
        <w:spacing w:after="0" w:line="273"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Constant change. </w:t>
      </w:r>
      <w:r>
        <w:rPr>
          <w:rFonts w:ascii="Arial" w:cs="Arial" w:eastAsia="Arial" w:hAnsi="Arial"/>
          <w:sz w:val="17"/>
          <w:szCs w:val="17"/>
          <w:color w:val="auto"/>
        </w:rPr>
        <w:t>The healthcare industry is in a constant state of change including changing regulations and adoption of new patient 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w:t>
      </w:r>
    </w:p>
    <w:p>
      <w:pPr>
        <w:spacing w:after="0" w:line="76" w:lineRule="exact"/>
        <w:rPr>
          <w:rFonts w:ascii="Arial" w:cs="Arial" w:eastAsia="Arial" w:hAnsi="Arial"/>
          <w:sz w:val="17"/>
          <w:szCs w:val="17"/>
          <w:color w:val="auto"/>
        </w:rPr>
      </w:pPr>
    </w:p>
    <w:p>
      <w:pPr>
        <w:ind w:left="980" w:right="120" w:hanging="285"/>
        <w:spacing w:after="0" w:line="261" w:lineRule="auto"/>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is a high-stakes industry where success is difficult to achieve. </w:t>
      </w:r>
      <w:r>
        <w:rPr>
          <w:rFonts w:ascii="Arial" w:cs="Arial" w:eastAsia="Arial" w:hAnsi="Arial"/>
          <w:sz w:val="17"/>
          <w:szCs w:val="17"/>
          <w:color w:val="auto"/>
        </w:rPr>
        <w:t>New therapeutics can require substantial investment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can be costly and difficult to roll-out in healthcare due to privacy and the complex health system network. Approximately 50% of drug launches underperform expectations.</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Alternative solutions do not provide the intelligence customers most benefit from</w:t>
      </w:r>
    </w:p>
    <w:p>
      <w:pPr>
        <w:spacing w:after="0" w:line="110" w:lineRule="exact"/>
        <w:rPr>
          <w:sz w:val="20"/>
          <w:szCs w:val="20"/>
          <w:color w:val="auto"/>
        </w:rPr>
      </w:pPr>
    </w:p>
    <w:p>
      <w:pPr>
        <w:jc w:val="both"/>
        <w:ind w:left="600" w:firstLine="401"/>
        <w:spacing w:after="0" w:line="285" w:lineRule="auto"/>
        <w:rPr>
          <w:sz w:val="20"/>
          <w:szCs w:val="20"/>
          <w:color w:val="auto"/>
        </w:rPr>
      </w:pPr>
      <w:r>
        <w:rPr>
          <w:rFonts w:ascii="Arial" w:cs="Arial" w:eastAsia="Arial" w:hAnsi="Arial"/>
          <w:sz w:val="16"/>
          <w:szCs w:val="16"/>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5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Alternative solutions available today fall short in three ways:</w:t>
      </w:r>
    </w:p>
    <w:p>
      <w:pPr>
        <w:spacing w:after="0" w:line="119" w:lineRule="exact"/>
        <w:rPr>
          <w:sz w:val="20"/>
          <w:szCs w:val="20"/>
          <w:color w:val="auto"/>
        </w:rPr>
      </w:pPr>
    </w:p>
    <w:p>
      <w:pPr>
        <w:ind w:left="980" w:right="80" w:hanging="285"/>
        <w:spacing w:after="0" w:line="280"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Lack of Healthcare Depth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Generalized Sales and Marketing intelligence providers do not provide the healthcare specific intelligence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critical to success in the healthcare industry. This healthcare 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69" w:lineRule="exact"/>
        <w:rPr>
          <w:rFonts w:ascii="Arial" w:cs="Arial" w:eastAsia="Arial" w:hAnsi="Arial"/>
          <w:sz w:val="16"/>
          <w:szCs w:val="16"/>
          <w:color w:val="auto"/>
        </w:rPr>
      </w:pPr>
    </w:p>
    <w:p>
      <w:pPr>
        <w:ind w:left="980" w:right="140" w:hanging="285"/>
        <w:spacing w:after="0" w:line="259"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No Comprehensive and Integrated View of the Entire Healthcare Ecosystem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solutions typically provide only certain elements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4" w:lineRule="exact"/>
        <w:rPr>
          <w:rFonts w:ascii="Arial" w:cs="Arial" w:eastAsia="Arial" w:hAnsi="Arial"/>
          <w:sz w:val="17"/>
          <w:szCs w:val="17"/>
          <w:color w:val="auto"/>
        </w:rPr>
      </w:pPr>
    </w:p>
    <w:p>
      <w:pPr>
        <w:ind w:left="980" w:hanging="285"/>
        <w:spacing w:after="0" w:line="257"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Manual and Not Real-time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party consultants are often used to pull together various data sources and compile a view of the healthcare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76"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The Definitive Healthcare Platform</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Industry Leading SaaS-based Healthcare Commercial Intelligence</w:t>
      </w:r>
    </w:p>
    <w:p>
      <w:pPr>
        <w:spacing w:after="0" w:line="110" w:lineRule="exact"/>
        <w:rPr>
          <w:sz w:val="20"/>
          <w:szCs w:val="20"/>
          <w:color w:val="auto"/>
        </w:rPr>
      </w:pPr>
    </w:p>
    <w:p>
      <w:pPr>
        <w:ind w:left="600" w:right="140" w:firstLine="401"/>
        <w:spacing w:after="0" w:line="302" w:lineRule="auto"/>
        <w:rPr>
          <w:sz w:val="20"/>
          <w:szCs w:val="20"/>
          <w:color w:val="auto"/>
        </w:rPr>
      </w:pPr>
      <w:r>
        <w:rPr>
          <w:rFonts w:ascii="Arial" w:cs="Arial" w:eastAsia="Arial" w:hAnsi="Arial"/>
          <w:sz w:val="15"/>
          <w:szCs w:val="15"/>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200" w:lineRule="exact"/>
        <w:rPr>
          <w:sz w:val="20"/>
          <w:szCs w:val="20"/>
          <w:color w:val="auto"/>
        </w:rPr>
      </w:pPr>
    </w:p>
    <w:p>
      <w:pPr>
        <w:spacing w:after="0" w:line="3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600"/>
          </w:cols>
          <w:pgMar w:left="320" w:top="442" w:right="97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6584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95745" cy="565848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Our platform provides the following benefits to customers:</w:t>
      </w:r>
    </w:p>
    <w:p>
      <w:pPr>
        <w:spacing w:after="0" w:line="123" w:lineRule="exact"/>
        <w:rPr>
          <w:sz w:val="20"/>
          <w:szCs w:val="20"/>
          <w:color w:val="auto"/>
        </w:rPr>
      </w:pPr>
    </w:p>
    <w:p>
      <w:pPr>
        <w:ind w:left="980" w:right="100" w:hanging="285"/>
        <w:spacing w:after="0" w:line="261"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comprehensive view of the entire healthcare ecosystem </w:t>
      </w:r>
      <w:r>
        <w:rPr>
          <w:rFonts w:ascii="Arial" w:cs="Arial" w:eastAsia="Arial" w:hAnsi="Arial"/>
          <w:sz w:val="17"/>
          <w:szCs w:val="17"/>
          <w:color w:val="auto"/>
        </w:rPr>
        <w:t>including intelligence on hospitals, physicians, physician groups, clinics, imaging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centers, long-term care facilities, ambulatory surgery centers, payers, virtual care providers, Group Purchasing Organizations (“GPOs”) and others.</w:t>
      </w:r>
    </w:p>
    <w:p>
      <w:pPr>
        <w:spacing w:after="0" w:line="87" w:lineRule="exact"/>
        <w:rPr>
          <w:rFonts w:ascii="Arial" w:cs="Arial" w:eastAsia="Arial" w:hAnsi="Arial"/>
          <w:sz w:val="17"/>
          <w:szCs w:val="17"/>
          <w:color w:val="auto"/>
        </w:rPr>
      </w:pPr>
    </w:p>
    <w:p>
      <w:pPr>
        <w:ind w:left="980" w:right="120" w:hanging="285"/>
        <w:spacing w:after="0" w:line="273"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Detailed analytics and insight on how these companies and physicians are interconnected </w:t>
      </w:r>
      <w:r>
        <w:rPr>
          <w:rFonts w:ascii="Arial" w:cs="Arial" w:eastAsia="Arial" w:hAnsi="Arial"/>
          <w:sz w:val="17"/>
          <w:szCs w:val="17"/>
          <w:color w:val="auto"/>
        </w:rPr>
        <w:t>through affiliations, referrals and shared patient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all linked together through the proprietary Definitive ID.</w:t>
      </w:r>
    </w:p>
    <w:p>
      <w:pPr>
        <w:spacing w:after="0" w:line="76" w:lineRule="exact"/>
        <w:rPr>
          <w:rFonts w:ascii="Arial" w:cs="Arial" w:eastAsia="Arial" w:hAnsi="Arial"/>
          <w:sz w:val="17"/>
          <w:szCs w:val="17"/>
          <w:color w:val="auto"/>
        </w:rPr>
      </w:pPr>
    </w:p>
    <w:p>
      <w:pPr>
        <w:ind w:left="980" w:right="120" w:hanging="285"/>
        <w:spacing w:after="0" w:line="261"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Healthcare-specific intelligence </w:t>
      </w:r>
      <w:r>
        <w:rPr>
          <w:rFonts w:ascii="Arial" w:cs="Arial" w:eastAsia="Arial" w:hAnsi="Arial"/>
          <w:sz w:val="17"/>
          <w:szCs w:val="17"/>
          <w:color w:val="auto"/>
        </w:rPr>
        <w:t>including daily opportunities such as new patient starts and Request for Proposals (“RFPs”), procedure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diagnosis volumes, patient leakage, quality of care analytics, financial metrics, technology infrastructure of providers and healthcare stakeholder intelligence with detailed contact information.</w:t>
      </w:r>
    </w:p>
    <w:p>
      <w:pPr>
        <w:spacing w:after="0" w:line="87" w:lineRule="exact"/>
        <w:rPr>
          <w:rFonts w:ascii="Arial" w:cs="Arial" w:eastAsia="Arial" w:hAnsi="Arial"/>
          <w:sz w:val="17"/>
          <w:szCs w:val="17"/>
          <w:color w:val="auto"/>
        </w:rPr>
      </w:pPr>
    </w:p>
    <w:p>
      <w:pPr>
        <w:ind w:left="980" w:hanging="285"/>
        <w:spacing w:after="0"/>
        <w:tabs>
          <w:tab w:leader="none" w:pos="980" w:val="left"/>
        </w:tabs>
        <w:numPr>
          <w:ilvl w:val="0"/>
          <w:numId w:val="17"/>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Answers, not just raw data </w:t>
      </w:r>
      <w:r>
        <w:rPr>
          <w:rFonts w:ascii="Arial" w:cs="Arial" w:eastAsia="Arial" w:hAnsi="Arial"/>
          <w:sz w:val="15"/>
          <w:szCs w:val="15"/>
          <w:color w:val="auto"/>
        </w:rPr>
        <w:t>to ensure our customers spend their time developing and executing on their vision rather than analyzing data.</w:t>
      </w:r>
    </w:p>
    <w:p>
      <w:pPr>
        <w:spacing w:after="0" w:line="145" w:lineRule="exact"/>
        <w:rPr>
          <w:rFonts w:ascii="Arial" w:cs="Arial" w:eastAsia="Arial" w:hAnsi="Arial"/>
          <w:sz w:val="15"/>
          <w:szCs w:val="15"/>
          <w:color w:val="auto"/>
        </w:rPr>
      </w:pPr>
    </w:p>
    <w:p>
      <w:pPr>
        <w:ind w:left="980" w:right="560" w:hanging="285"/>
        <w:spacing w:after="0" w:line="273"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Delivered through an intelligent SaaS platform </w:t>
      </w:r>
      <w:r>
        <w:rPr>
          <w:rFonts w:ascii="Arial" w:cs="Arial" w:eastAsia="Arial" w:hAnsi="Arial"/>
          <w:sz w:val="17"/>
          <w:szCs w:val="17"/>
          <w:color w:val="auto"/>
        </w:rPr>
        <w:t>that combines our comprehensive intelligence with analytical capabilities to help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uncover actionable insights and make better decisions, simplifying trend identification.</w:t>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Data Sources and Data Engine</w:t>
      </w:r>
    </w:p>
    <w:p>
      <w:pPr>
        <w:spacing w:after="0" w:line="114" w:lineRule="exact"/>
        <w:rPr>
          <w:sz w:val="20"/>
          <w:szCs w:val="20"/>
          <w:color w:val="auto"/>
        </w:rPr>
      </w:pPr>
    </w:p>
    <w:p>
      <w:pPr>
        <w:ind w:left="600" w:firstLine="401"/>
        <w:spacing w:after="0" w:line="254" w:lineRule="auto"/>
        <w:rPr>
          <w:sz w:val="20"/>
          <w:szCs w:val="20"/>
          <w:color w:val="auto"/>
        </w:rPr>
      </w:pPr>
      <w:r>
        <w:rPr>
          <w:rFonts w:ascii="Arial" w:cs="Arial" w:eastAsia="Arial" w:hAnsi="Arial"/>
          <w:sz w:val="17"/>
          <w:szCs w:val="17"/>
          <w:color w:val="auto"/>
        </w:rPr>
        <w:t>Our comprehensive, high-quality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customers.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94" w:lineRule="exact"/>
        <w:rPr>
          <w:sz w:val="20"/>
          <w:szCs w:val="20"/>
          <w:color w:val="auto"/>
        </w:rPr>
      </w:pPr>
    </w:p>
    <w:p>
      <w:pPr>
        <w:ind w:left="980" w:hanging="285"/>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First Party Research. </w:t>
      </w:r>
      <w:r>
        <w:rPr>
          <w:rFonts w:ascii="Arial" w:cs="Arial" w:eastAsia="Arial" w:hAnsi="Arial"/>
          <w:sz w:val="16"/>
          <w:szCs w:val="16"/>
          <w:color w:val="auto"/>
        </w:rPr>
        <w:t>Our team conducts primary research via 650,000 research calls and 3.7 million e-mail outreaches per year.</w:t>
      </w:r>
    </w:p>
    <w:p>
      <w:pPr>
        <w:spacing w:after="0" w:line="130" w:lineRule="exact"/>
        <w:rPr>
          <w:rFonts w:ascii="Arial" w:cs="Arial" w:eastAsia="Arial" w:hAnsi="Arial"/>
          <w:sz w:val="16"/>
          <w:szCs w:val="16"/>
          <w:color w:val="auto"/>
        </w:rPr>
      </w:pPr>
    </w:p>
    <w:p>
      <w:pPr>
        <w:ind w:left="980" w:right="260" w:hanging="285"/>
        <w:spacing w:after="0" w:line="27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Unstructured Public Information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proprietary technologies to extract unstructured information found in over 250,000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journals, publications, news articles, job postings and other public information sources.</w:t>
      </w:r>
    </w:p>
    <w:p>
      <w:pPr>
        <w:spacing w:after="0" w:line="68" w:lineRule="exact"/>
        <w:rPr>
          <w:rFonts w:ascii="Arial" w:cs="Arial" w:eastAsia="Arial" w:hAnsi="Arial"/>
          <w:sz w:val="17"/>
          <w:szCs w:val="17"/>
          <w:color w:val="auto"/>
        </w:rPr>
      </w:pPr>
    </w:p>
    <w:p>
      <w:pPr>
        <w:ind w:left="980" w:right="260" w:hanging="285"/>
        <w:spacing w:after="0" w:line="27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Government and Regulatory Sources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automated processes for ingesting, updating and linking information from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20,000 sources, including the federal government, states, towns and municipalities across the U.S.</w:t>
      </w:r>
    </w:p>
    <w:p>
      <w:pPr>
        <w:spacing w:after="0" w:line="68" w:lineRule="exact"/>
        <w:rPr>
          <w:rFonts w:ascii="Arial" w:cs="Arial" w:eastAsia="Arial" w:hAnsi="Arial"/>
          <w:sz w:val="17"/>
          <w:szCs w:val="17"/>
          <w:color w:val="auto"/>
        </w:rPr>
      </w:pPr>
    </w:p>
    <w:p>
      <w:pPr>
        <w:ind w:left="980" w:right="40" w:hanging="285"/>
        <w:spacing w:after="0" w:line="27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Third-party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integrate, cleanse and link raw claims data and other information from third-party vendors, which provide us with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17 billion claims covering over 250 million patients as of May 2021.</w:t>
      </w:r>
    </w:p>
    <w:p>
      <w:pPr>
        <w:spacing w:after="0" w:line="68" w:lineRule="exact"/>
        <w:rPr>
          <w:rFonts w:ascii="Arial" w:cs="Arial" w:eastAsia="Arial" w:hAnsi="Arial"/>
          <w:sz w:val="17"/>
          <w:szCs w:val="17"/>
          <w:color w:val="auto"/>
        </w:rPr>
      </w:pPr>
    </w:p>
    <w:p>
      <w:pPr>
        <w:ind w:left="980" w:right="520" w:hanging="285"/>
        <w:spacing w:after="0" w:line="27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Data Science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create new intelligence that is proprietary to us, which includes buyer intent, market extrapolations, cost and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other intelligence.</w:t>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Competitive Strengths</w:t>
      </w:r>
    </w:p>
    <w:p>
      <w:pPr>
        <w:spacing w:after="0" w:line="127" w:lineRule="exact"/>
        <w:rPr>
          <w:sz w:val="20"/>
          <w:szCs w:val="20"/>
          <w:color w:val="auto"/>
        </w:rPr>
      </w:pPr>
    </w:p>
    <w:p>
      <w:pPr>
        <w:ind w:left="980" w:right="300" w:hanging="285"/>
        <w:spacing w:after="0" w:line="261"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Healthcare-specific Intelligence. </w:t>
      </w:r>
      <w:r>
        <w:rPr>
          <w:rFonts w:ascii="Arial" w:cs="Arial" w:eastAsia="Arial" w:hAnsi="Arial"/>
          <w:sz w:val="17"/>
          <w:szCs w:val="17"/>
          <w:color w:val="auto"/>
        </w:rPr>
        <w:t>Over the last 11 years, we have built proprietary intelligence via first party research,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aggregated, linked, cleansed and inferred information from thousands of data sources and tied billions of data points together into a single longitudinal view of the entire healthcare ecosystem.</w:t>
      </w:r>
    </w:p>
    <w:p>
      <w:pPr>
        <w:spacing w:after="0" w:line="35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620"/>
          </w:cols>
          <w:pgMar w:left="320" w:top="442" w:right="9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892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5745" cy="589280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980" w:right="140" w:hanging="285"/>
        <w:spacing w:after="0" w:line="264"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An Integrated Data and Technology Foundation that Creates a Flywheel of Innovation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technology platform provides the foundation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rapid product development and innovation by leveraging our existing data assets to produce new modules and features that solve a growing number of our customers’ business problems.</w:t>
      </w:r>
    </w:p>
    <w:p>
      <w:pPr>
        <w:spacing w:after="0" w:line="79" w:lineRule="exact"/>
        <w:rPr>
          <w:rFonts w:ascii="Arial" w:cs="Arial" w:eastAsia="Arial" w:hAnsi="Arial"/>
          <w:sz w:val="17"/>
          <w:szCs w:val="17"/>
          <w:color w:val="auto"/>
        </w:rPr>
      </w:pPr>
    </w:p>
    <w:p>
      <w:pPr>
        <w:ind w:left="980" w:right="340" w:hanging="285"/>
        <w:spacing w:after="0" w:line="264" w:lineRule="auto"/>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b w:val="1"/>
          <w:bCs w:val="1"/>
          <w:i w:val="1"/>
          <w:iCs w:val="1"/>
          <w:color w:val="auto"/>
        </w:rPr>
        <w:t>Powerful Go-to-Market Engine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a highly efficient and effective go-to-market engine that combines effective marketing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inside sales force comprised of highly trained, vertically focused sales executives (“SEs”). The efficiency of our model is demonstrated through our 2020 LTV to CAC ratio of over 10x.</w:t>
      </w:r>
    </w:p>
    <w:p>
      <w:pPr>
        <w:spacing w:after="0" w:line="79" w:lineRule="exact"/>
        <w:rPr>
          <w:rFonts w:ascii="Arial" w:cs="Arial" w:eastAsia="Arial" w:hAnsi="Arial"/>
          <w:sz w:val="17"/>
          <w:szCs w:val="17"/>
          <w:color w:val="auto"/>
        </w:rPr>
      </w:pPr>
    </w:p>
    <w:p>
      <w:pPr>
        <w:ind w:left="980" w:hanging="285"/>
        <w:spacing w:after="0" w:line="348" w:lineRule="auto"/>
        <w:tabs>
          <w:tab w:leader="none" w:pos="980" w:val="left"/>
        </w:tabs>
        <w:numPr>
          <w:ilvl w:val="0"/>
          <w:numId w:val="20"/>
        </w:numPr>
        <w:rPr>
          <w:rFonts w:ascii="Arial" w:cs="Arial" w:eastAsia="Arial" w:hAnsi="Arial"/>
          <w:sz w:val="15"/>
          <w:szCs w:val="15"/>
          <w:color w:val="auto"/>
        </w:rPr>
      </w:pPr>
      <w:r>
        <w:rPr>
          <w:rFonts w:ascii="Arial" w:cs="Arial" w:eastAsia="Arial" w:hAnsi="Arial"/>
          <w:sz w:val="15"/>
          <w:szCs w:val="15"/>
          <w:b w:val="1"/>
          <w:bCs w:val="1"/>
          <w:i w:val="1"/>
          <w:iCs w:val="1"/>
          <w:color w:val="auto"/>
        </w:rPr>
        <w:t>Visionary, Founder-Led Management Team with a Track Record of Execution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founder-led management team has a strong track record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exceptional financial performance and of building an award-winning culture to attract and retain highly talented individuals.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Market Opportunity</w:t>
      </w:r>
    </w:p>
    <w:p>
      <w:pPr>
        <w:spacing w:after="0" w:line="114" w:lineRule="exact"/>
        <w:rPr>
          <w:sz w:val="20"/>
          <w:szCs w:val="20"/>
          <w:color w:val="auto"/>
        </w:rPr>
      </w:pPr>
    </w:p>
    <w:p>
      <w:pPr>
        <w:ind w:left="600" w:right="60" w:firstLine="401"/>
        <w:spacing w:after="0" w:line="271" w:lineRule="auto"/>
        <w:rPr>
          <w:sz w:val="20"/>
          <w:szCs w:val="20"/>
          <w:color w:val="auto"/>
        </w:rPr>
      </w:pPr>
      <w:r>
        <w:rPr>
          <w:rFonts w:ascii="Arial" w:cs="Arial" w:eastAsia="Arial" w:hAnsi="Arial"/>
          <w:sz w:val="16"/>
          <w:szCs w:val="16"/>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six month period ending June 30, 2021.</w:t>
      </w:r>
    </w:p>
    <w:p>
      <w:pPr>
        <w:spacing w:after="0" w:line="26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Growth Strategies</w:t>
      </w:r>
    </w:p>
    <w:p>
      <w:pPr>
        <w:spacing w:after="0" w:line="11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intend to drive growth through the following strategies:</w:t>
      </w:r>
    </w:p>
    <w:p>
      <w:pPr>
        <w:spacing w:after="0" w:line="123" w:lineRule="exact"/>
        <w:rPr>
          <w:sz w:val="20"/>
          <w:szCs w:val="20"/>
          <w:color w:val="auto"/>
        </w:rPr>
      </w:pPr>
    </w:p>
    <w:p>
      <w:pPr>
        <w:ind w:left="980" w:hanging="285"/>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Acquire New Customers.</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Expand our Relationships with Existing Customers.</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Continue to Innovate to Strengthen our Platform and Market Leadership Position.</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Make Selective Strategic Acquisitions.</w:t>
      </w:r>
    </w:p>
    <w:p>
      <w:pPr>
        <w:spacing w:after="0" w:line="30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Summary of Risk Factors</w:t>
      </w:r>
    </w:p>
    <w:p>
      <w:pPr>
        <w:spacing w:after="0" w:line="114" w:lineRule="exact"/>
        <w:rPr>
          <w:sz w:val="20"/>
          <w:szCs w:val="20"/>
          <w:color w:val="auto"/>
        </w:rPr>
      </w:pPr>
    </w:p>
    <w:p>
      <w:pPr>
        <w:ind w:left="600" w:right="80" w:firstLine="401"/>
        <w:spacing w:after="0" w:line="255" w:lineRule="auto"/>
        <w:rPr>
          <w:sz w:val="20"/>
          <w:szCs w:val="20"/>
          <w:color w:val="auto"/>
        </w:rPr>
      </w:pPr>
      <w:r>
        <w:rPr>
          <w:rFonts w:ascii="Arial" w:cs="Arial" w:eastAsia="Arial" w:hAnsi="Arial"/>
          <w:sz w:val="17"/>
          <w:szCs w:val="17"/>
          <w:color w:val="auto"/>
        </w:rPr>
        <w:t>Investing in our Class A common stock involves a number of risks. These risks represent challenges to the successful implementation of our strategy and the growth of our business. The occurrence of one or more of the events or circumstances described in the section entitled “Risk Factors,” alone or in combination with other events or circumstances, could have a material adverse effect on our business, financial condition and results of operations. In that event, the trading price of our Class A common stock could decline, and you could lose all or part of your investment. Some of these risks are:</w:t>
      </w:r>
    </w:p>
    <w:p>
      <w:pPr>
        <w:spacing w:after="0" w:line="94" w:lineRule="exact"/>
        <w:rPr>
          <w:sz w:val="20"/>
          <w:szCs w:val="20"/>
          <w:color w:val="auto"/>
        </w:rPr>
      </w:pPr>
    </w:p>
    <w:p>
      <w:pPr>
        <w:ind w:left="980" w:right="60" w:hanging="285"/>
        <w:spacing w:after="0" w:line="342" w:lineRule="auto"/>
        <w:tabs>
          <w:tab w:leader="none" w:pos="9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29" w:lineRule="exact"/>
        <w:rPr>
          <w:rFonts w:ascii="Arial" w:cs="Arial" w:eastAsia="Arial" w:hAnsi="Arial"/>
          <w:sz w:val="15"/>
          <w:szCs w:val="15"/>
          <w:color w:val="auto"/>
        </w:rPr>
      </w:pPr>
    </w:p>
    <w:p>
      <w:pPr>
        <w:ind w:left="980" w:right="160" w:hanging="285"/>
        <w:spacing w:after="0" w:line="273"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competitiveness of the market in which we operate, such that if we do not compete effectively, it could have a material adverse effect on our business, financial condition and results of operations;</w:t>
      </w: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20"/>
          </w:cols>
          <w:pgMar w:left="320" w:top="442" w:right="9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8686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95745" cy="58686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540" w:hanging="285"/>
        <w:spacing w:after="0" w:line="273"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failure to maintain and improve our platform, or develop new modules or insights for healthcare commercial intelligence, whereby competitors could surpass the depth, breadth or accuracy of our platform;</w:t>
      </w:r>
    </w:p>
    <w:p>
      <w:pPr>
        <w:spacing w:after="0" w:line="76" w:lineRule="exact"/>
        <w:rPr>
          <w:rFonts w:ascii="Arial" w:cs="Arial" w:eastAsia="Arial" w:hAnsi="Arial"/>
          <w:sz w:val="17"/>
          <w:szCs w:val="17"/>
          <w:color w:val="auto"/>
        </w:rPr>
      </w:pPr>
    </w:p>
    <w:p>
      <w:pPr>
        <w:ind w:left="980" w:hanging="285"/>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inability to obtain and maintain accurate, comprehensive or reliable data, could result in reduced demand for our platform;</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 that our recent growth rates may not be indicative of our future growth;</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inability to achieve or sustain profitability in the future compared to historical levels as we increase investments in our business;</w:t>
      </w:r>
    </w:p>
    <w:p>
      <w:pPr>
        <w:spacing w:after="0" w:line="134" w:lineRule="exact"/>
        <w:rPr>
          <w:rFonts w:ascii="Arial" w:cs="Arial" w:eastAsia="Arial" w:hAnsi="Arial"/>
          <w:sz w:val="16"/>
          <w:szCs w:val="16"/>
          <w:color w:val="auto"/>
        </w:rPr>
      </w:pPr>
    </w:p>
    <w:p>
      <w:pPr>
        <w:ind w:left="980" w:right="440" w:hanging="285"/>
        <w:spacing w:after="0" w:line="273"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loss of our access to our data providers, which could negatively impact our platform and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980" w:right="60" w:hanging="285"/>
        <w:spacing w:after="0" w:line="273"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failure to respond to advances in healthcare commercial intelligence could result in competitors surpassing the depth, breadth or accuracy of our platform;</w:t>
      </w:r>
    </w:p>
    <w:p>
      <w:pPr>
        <w:spacing w:after="0" w:line="76" w:lineRule="exact"/>
        <w:rPr>
          <w:rFonts w:ascii="Arial" w:cs="Arial" w:eastAsia="Arial" w:hAnsi="Arial"/>
          <w:sz w:val="17"/>
          <w:szCs w:val="17"/>
          <w:color w:val="auto"/>
        </w:rPr>
      </w:pPr>
    </w:p>
    <w:p>
      <w:pPr>
        <w:ind w:left="980" w:right="140" w:hanging="285"/>
        <w:spacing w:after="0" w:line="273"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inability to attract new customers and expand subscriptions of current customers, whereby our revenue growth and financial performance will be negatively impacted;</w:t>
      </w:r>
    </w:p>
    <w:p>
      <w:pPr>
        <w:spacing w:after="0" w:line="76" w:lineRule="exact"/>
        <w:rPr>
          <w:rFonts w:ascii="Arial" w:cs="Arial" w:eastAsia="Arial" w:hAnsi="Arial"/>
          <w:sz w:val="17"/>
          <w:szCs w:val="17"/>
          <w:color w:val="auto"/>
        </w:rPr>
      </w:pPr>
    </w:p>
    <w:p>
      <w:pPr>
        <w:ind w:left="980" w:right="140" w:hanging="285"/>
        <w:spacing w:after="0" w:line="273"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risk of cyber-attacks and security vulnerabilities could have a material adverse effect on our reputation, business, financial condition and results of operations;</w:t>
      </w:r>
    </w:p>
    <w:p>
      <w:pPr>
        <w:spacing w:after="0" w:line="76" w:lineRule="exact"/>
        <w:rPr>
          <w:rFonts w:ascii="Arial" w:cs="Arial" w:eastAsia="Arial" w:hAnsi="Arial"/>
          <w:sz w:val="17"/>
          <w:szCs w:val="17"/>
          <w:color w:val="auto"/>
        </w:rPr>
      </w:pPr>
    </w:p>
    <w:p>
      <w:pPr>
        <w:ind w:left="980" w:hanging="285"/>
        <w:spacing w:after="0" w:line="273"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76" w:lineRule="exact"/>
        <w:rPr>
          <w:rFonts w:ascii="Arial" w:cs="Arial" w:eastAsia="Arial" w:hAnsi="Arial"/>
          <w:sz w:val="17"/>
          <w:szCs w:val="17"/>
          <w:color w:val="auto"/>
        </w:rPr>
      </w:pPr>
    </w:p>
    <w:p>
      <w:pPr>
        <w:ind w:left="980" w:hanging="285"/>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other factors set forth under “Risk Factors.”</w:t>
      </w:r>
    </w:p>
    <w:p>
      <w:pPr>
        <w:spacing w:after="0" w:line="212" w:lineRule="exact"/>
        <w:rPr>
          <w:sz w:val="20"/>
          <w:szCs w:val="20"/>
          <w:color w:val="auto"/>
        </w:rPr>
      </w:pPr>
    </w:p>
    <w:p>
      <w:pPr>
        <w:ind w:left="600" w:right="360" w:firstLine="401"/>
        <w:spacing w:after="0" w:line="273" w:lineRule="auto"/>
        <w:rPr>
          <w:sz w:val="20"/>
          <w:szCs w:val="20"/>
          <w:color w:val="auto"/>
        </w:rPr>
      </w:pPr>
      <w:r>
        <w:rPr>
          <w:rFonts w:ascii="Arial" w:cs="Arial" w:eastAsia="Arial" w:hAnsi="Arial"/>
          <w:sz w:val="17"/>
          <w:szCs w:val="17"/>
          <w:color w:val="auto"/>
        </w:rPr>
        <w:t>For a discussion of these and other risks you should consider before making an investment in our Class A common stock, see the section entitled “Risk Factors.”</w:t>
      </w:r>
    </w:p>
    <w:p>
      <w:pPr>
        <w:spacing w:after="0" w:line="365"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ORGANIZATIONAL STRUCTURE</w:t>
      </w:r>
    </w:p>
    <w:p>
      <w:pPr>
        <w:spacing w:after="0" w:line="216" w:lineRule="exact"/>
        <w:rPr>
          <w:sz w:val="20"/>
          <w:szCs w:val="20"/>
          <w:color w:val="auto"/>
        </w:rPr>
      </w:pPr>
    </w:p>
    <w:p>
      <w:pPr>
        <w:ind w:left="600" w:right="60" w:firstLine="401"/>
        <w:spacing w:after="0" w:line="273" w:lineRule="auto"/>
        <w:rPr>
          <w:sz w:val="20"/>
          <w:szCs w:val="20"/>
          <w:color w:val="auto"/>
        </w:rPr>
      </w:pPr>
      <w:r>
        <w:rPr>
          <w:rFonts w:ascii="Arial" w:cs="Arial" w:eastAsia="Arial" w:hAnsi="Arial"/>
          <w:sz w:val="17"/>
          <w:szCs w:val="17"/>
          <w:color w:val="auto"/>
        </w:rPr>
        <w:t>We currently conduct our business through Definitive OpCo and its subsidiaries. Following this offering, Definitive Healthcare Corp. will be a holding company and its sole material asset will be an ownership interest in Definitive OpCo.</w:t>
      </w:r>
    </w:p>
    <w:p>
      <w:pPr>
        <w:spacing w:after="0" w:line="166" w:lineRule="exact"/>
        <w:rPr>
          <w:sz w:val="20"/>
          <w:szCs w:val="20"/>
          <w:color w:val="auto"/>
        </w:rPr>
      </w:pPr>
    </w:p>
    <w:p>
      <w:pPr>
        <w:ind w:left="600" w:right="200" w:firstLine="401"/>
        <w:spacing w:after="0" w:line="254" w:lineRule="auto"/>
        <w:rPr>
          <w:sz w:val="20"/>
          <w:szCs w:val="20"/>
          <w:color w:val="auto"/>
        </w:rPr>
      </w:pPr>
      <w:r>
        <w:rPr>
          <w:rFonts w:ascii="Arial" w:cs="Arial" w:eastAsia="Arial" w:hAnsi="Arial"/>
          <w:sz w:val="17"/>
          <w:szCs w:val="17"/>
          <w:color w:val="auto"/>
        </w:rPr>
        <w:t>Prior to the consummation of the Reorganization Transactions (as defined below), the amended and restated limited liability company agreement of Definitive OpCo will be amended and restated to, among other things, convert all outstanding equity interests into one class of non-voting common units (the “LLC Units”). We refer to the limited liability company agreement of Definitive OpCo, as in effect at the time of this offering, as the “Amended LLC Agreement.” After these transactions and prior to the consummation of the Reorganization Transactions and the completion of this offering, all of Definitive OpCo’s outstanding equity interests will be owned by the following persons (collectively, the “Pre-IPO LLC Members”):</w:t>
      </w:r>
    </w:p>
    <w:p>
      <w:pPr>
        <w:spacing w:after="0" w:line="94" w:lineRule="exact"/>
        <w:rPr>
          <w:sz w:val="20"/>
          <w:szCs w:val="20"/>
          <w:color w:val="auto"/>
        </w:rPr>
      </w:pPr>
    </w:p>
    <w:p>
      <w:pPr>
        <w:ind w:left="980" w:hanging="285"/>
        <w:spacing w:after="0"/>
        <w:tabs>
          <w:tab w:leader="none" w:pos="9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Affiliates of Advent and certain other minority equity holders, indirectly through certain entities treated as corporations for U.S. tax purposes;</w:t>
      </w:r>
    </w:p>
    <w:p>
      <w:pPr>
        <w:spacing w:after="0" w:line="145" w:lineRule="exact"/>
        <w:rPr>
          <w:rFonts w:ascii="Arial" w:cs="Arial" w:eastAsia="Arial" w:hAnsi="Arial"/>
          <w:sz w:val="15"/>
          <w:szCs w:val="15"/>
          <w:color w:val="auto"/>
        </w:rPr>
      </w:pPr>
    </w:p>
    <w:p>
      <w:pPr>
        <w:ind w:left="980" w:hanging="285"/>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Affiliates of Spectrum Equity;</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Jason Krantz;</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DH Holdings;</w:t>
      </w:r>
    </w:p>
    <w:p>
      <w:pPr>
        <w:spacing w:after="0" w:line="39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20"/>
          </w:cols>
          <w:pgMar w:left="320" w:top="442" w:right="95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4730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95745" cy="547306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hanging="285"/>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AIDH Management Holdings, LLC; and</w:t>
      </w:r>
    </w:p>
    <w:p>
      <w:pPr>
        <w:spacing w:after="0" w:line="122" w:lineRule="exact"/>
        <w:rPr>
          <w:rFonts w:ascii="Arial" w:cs="Arial" w:eastAsia="Arial" w:hAnsi="Arial"/>
          <w:sz w:val="17"/>
          <w:szCs w:val="17"/>
          <w:color w:val="auto"/>
        </w:rPr>
      </w:pPr>
    </w:p>
    <w:p>
      <w:pPr>
        <w:ind w:left="980" w:hanging="285"/>
        <w:spacing w:after="0"/>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Affiliates of 22C Capital.</w:t>
      </w:r>
    </w:p>
    <w:p>
      <w:pPr>
        <w:spacing w:after="0" w:line="212" w:lineRule="exact"/>
        <w:rPr>
          <w:sz w:val="20"/>
          <w:szCs w:val="20"/>
          <w:color w:val="auto"/>
        </w:rPr>
      </w:pPr>
    </w:p>
    <w:p>
      <w:pPr>
        <w:ind w:left="600" w:firstLine="401"/>
        <w:spacing w:after="0" w:line="257" w:lineRule="auto"/>
        <w:rPr>
          <w:sz w:val="20"/>
          <w:szCs w:val="20"/>
          <w:color w:val="auto"/>
        </w:rPr>
      </w:pPr>
      <w:r>
        <w:rPr>
          <w:rFonts w:ascii="Arial" w:cs="Arial" w:eastAsia="Arial" w:hAnsi="Arial"/>
          <w:sz w:val="17"/>
          <w:szCs w:val="17"/>
          <w:color w:val="auto"/>
        </w:rPr>
        <w:t>In connection with this offering, we intend to enter into the following series of transactions to implement an internal reorganization, which we collectively refer to as the “Reorganization Transactions.” We refer to the Pre-IPO LLC Members who will retain their equity ownership in Definitive OpCo in the form of LLC Units immediately following the consummation of the Reorganization Transactions as “Continuing Pre-IPO LLC Members.”</w:t>
      </w:r>
    </w:p>
    <w:p>
      <w:pPr>
        <w:spacing w:after="0" w:line="91" w:lineRule="exact"/>
        <w:rPr>
          <w:sz w:val="20"/>
          <w:szCs w:val="20"/>
          <w:color w:val="auto"/>
        </w:rPr>
      </w:pPr>
    </w:p>
    <w:p>
      <w:pPr>
        <w:ind w:left="980" w:right="60" w:hanging="285"/>
        <w:spacing w:after="0" w:line="279"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amended and restated certificate of incorporation that will be in effect upon the completion of this offering will authorize the issuance of two classes of common stock: Class A common stock and Class B common stock (collectively, our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73" w:lineRule="exact"/>
        <w:rPr>
          <w:rFonts w:ascii="Arial" w:cs="Arial" w:eastAsia="Arial" w:hAnsi="Arial"/>
          <w:sz w:val="16"/>
          <w:szCs w:val="16"/>
          <w:color w:val="auto"/>
        </w:rPr>
      </w:pPr>
    </w:p>
    <w:p>
      <w:pPr>
        <w:ind w:left="980" w:right="40" w:hanging="285"/>
        <w:spacing w:after="0" w:line="271" w:lineRule="auto"/>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Prior to the completion of this offering, we will acquire, directly and indirectly, LLC Units through the mergers, in which certain entities treated as corporations for U.S. tax purposes that hold LLC Units (individually, a “Blocker Company” and together, the “Blocker Companies”), will each merge with a merger subsidiary created by us (and survive such merger as a wholly owned subsidiary of Definitive Healthcare Corp.), after which each Blocker Company will immediately merge into Definitive Healthcare Corp. (collectively, the “Mergers”). The shareholders of the Blocker Companies (the “Reorganization Parties”), including affiliates of Advent, will collectively hold 71,967,241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80" w:lineRule="exact"/>
        <w:rPr>
          <w:rFonts w:ascii="Arial" w:cs="Arial" w:eastAsia="Arial" w:hAnsi="Arial"/>
          <w:sz w:val="16"/>
          <w:szCs w:val="16"/>
          <w:color w:val="auto"/>
        </w:rPr>
      </w:pPr>
    </w:p>
    <w:p>
      <w:pPr>
        <w:ind w:left="980" w:right="80" w:hanging="285"/>
        <w:spacing w:after="0" w:line="286" w:lineRule="auto"/>
        <w:tabs>
          <w:tab w:leader="none" w:pos="9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Class A Units in AIDH Management Holdings, LLC (the “Management LLC Class A Units”) that correspond to Class A Units in AIDH Topco, LLC (the “Topco Class A Units”) on a one-for-one basis, AIDH Management Holdings, LLC granted Class B Units (the “Management LLC Class B Units”) intended to be treated as “profits interests” for U.S. federal income tax purposes which have economic characteristics similar to stock appreciation rights and which are subject to vesting as described in “Executive and Director Compensation—Equity Compensation.”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Management LLC Class A Units (the “Reclassified Management Holdings Class B Units”) and the Class B Units issued to AIDH Management Holdings, LLC by AIDH Topco, LLC will be converted and reclassified into LLC Units (the “Reclassified Class B LLC Units”) and will be subject to the vesting terms described in “Executive and Director Compensation—Equity Compensation.” In connection with the reorganization, Class B common stock will be issued to each holder of Management LLC Class A Units and Reclassified Management Holdings Class B Units, on a one-for-one basis to such holder’s Management, LLC Class A Units and Reclassified Management Holdings Class B Units; provided that Class B common stock issued to a holder of Reclassified Management Holdings Class B Units will not be entitled to any voting rights until such time as such Reclassified Management Holdings Class B Units vest.</w:t>
      </w:r>
    </w:p>
    <w:p>
      <w:pPr>
        <w:spacing w:after="0" w:line="200" w:lineRule="exact"/>
        <w:rPr>
          <w:sz w:val="20"/>
          <w:szCs w:val="20"/>
          <w:color w:val="auto"/>
        </w:rPr>
      </w:pPr>
    </w:p>
    <w:p>
      <w:pPr>
        <w:spacing w:after="0" w:line="34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40"/>
          </w:cols>
          <w:pgMar w:left="320" w:top="442" w:right="9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400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595745" cy="54000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980" w:right="40" w:hanging="285"/>
        <w:spacing w:after="0" w:line="295" w:lineRule="auto"/>
        <w:tabs>
          <w:tab w:leader="none" w:pos="9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Prior to an initial public offering, the vesting of a portion of the Class B units is tied to the achievement by Advent of certain specified investment multiples and a portion is subject to time-based vesting. Under the terms of the existing award agreements with our executive officers and certain other award holders, upon the IPO, the portion of such awards as to which such investment multiples would not be achieved if Advent were to sell its entire investment at the IPO price would be forfeited. In connection with the IPO, such forfeiture condition will be waived, through a modification of the awards and, after the IPO, all such unvested awards will be subject to time-based vesting, subject to the service provider’s continued service. See “Executive and Director Compensation—Equity Compensation.”</w:t>
      </w:r>
    </w:p>
    <w:p>
      <w:pPr>
        <w:spacing w:after="0" w:line="63" w:lineRule="exact"/>
        <w:rPr>
          <w:rFonts w:ascii="Arial" w:cs="Arial" w:eastAsia="Arial" w:hAnsi="Arial"/>
          <w:sz w:val="15"/>
          <w:szCs w:val="15"/>
          <w:color w:val="auto"/>
        </w:rPr>
      </w:pPr>
    </w:p>
    <w:p>
      <w:pPr>
        <w:ind w:left="980" w:right="20" w:hanging="285"/>
        <w:spacing w:after="0" w:line="295" w:lineRule="auto"/>
        <w:tabs>
          <w:tab w:leader="none" w:pos="9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As a result of the modification of the terms of such performance-vesting awards, we will record compensation expense based on the fair value of the Reclassified Class B LLC Units that otherwise would have been forfeited, which will be based on the IPO price. The compensation expense will be recognized ratably over the next three years as the awards vest on the next three anniversaries of the date of pricing of the IPO. Assuming all such Reclassified Class B LLC Units vest and an IPO price of $25.00 per share (the midpoint of the estimated public offering price range on the cover of this prospectus), the total compensation expense related to modification of these awards is approximately $15.5 million and the total compensation expense related to all of the awards is approximately $25.2 million.</w:t>
      </w:r>
    </w:p>
    <w:p>
      <w:pPr>
        <w:spacing w:after="0" w:line="63" w:lineRule="exact"/>
        <w:rPr>
          <w:rFonts w:ascii="Arial" w:cs="Arial" w:eastAsia="Arial" w:hAnsi="Arial"/>
          <w:sz w:val="15"/>
          <w:szCs w:val="15"/>
          <w:color w:val="auto"/>
        </w:rPr>
      </w:pPr>
    </w:p>
    <w:p>
      <w:pPr>
        <w:ind w:left="980" w:right="220" w:hanging="285"/>
        <w:spacing w:after="0" w:line="290" w:lineRule="auto"/>
        <w:tabs>
          <w:tab w:leader="none" w:pos="9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Definitive OpCo will enter into the Amended LLC Agreement. Under the Amended LLC Agreement, holders of LLC Units, including the Continuing Pre-IPO LLC Members,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cancelled on a one-for-one basis if we, following an exchange request from a holder of LLC Units,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corresponding shares of Class B common stock may not be sold, transferred or otherwise disposed of.</w:t>
      </w:r>
    </w:p>
    <w:p>
      <w:pPr>
        <w:spacing w:after="0" w:line="70" w:lineRule="exact"/>
        <w:rPr>
          <w:rFonts w:ascii="Arial" w:cs="Arial" w:eastAsia="Arial" w:hAnsi="Arial"/>
          <w:sz w:val="15"/>
          <w:szCs w:val="15"/>
          <w:color w:val="auto"/>
        </w:rPr>
      </w:pPr>
    </w:p>
    <w:p>
      <w:pPr>
        <w:ind w:left="980" w:right="40" w:hanging="285"/>
        <w:spacing w:after="0" w:line="270" w:lineRule="auto"/>
        <w:tabs>
          <w:tab w:leader="none" w:pos="9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will enter into a Tax Receivable Agreement that will obligate us to make payments to the Continuing Pre-IPO LLC Members, the Reorganization Parties, and any future party to the Tax Receivable Agreement (collectively, the “TRA Parties”) in the aggregate generally equal to 85% of the applicable cash savings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We will retain the benefit of the remaining 15% of these tax savings.</w:t>
      </w:r>
    </w:p>
    <w:p>
      <w:pPr>
        <w:spacing w:after="0" w:line="172" w:lineRule="exact"/>
        <w:rPr>
          <w:sz w:val="20"/>
          <w:szCs w:val="20"/>
          <w:color w:val="auto"/>
        </w:rPr>
      </w:pPr>
    </w:p>
    <w:p>
      <w:pPr>
        <w:ind w:left="600" w:firstLine="401"/>
        <w:spacing w:after="0" w:line="272" w:lineRule="auto"/>
        <w:rPr>
          <w:sz w:val="20"/>
          <w:szCs w:val="20"/>
          <w:color w:val="auto"/>
        </w:rPr>
      </w:pPr>
      <w:r>
        <w:rPr>
          <w:rFonts w:ascii="Arial" w:cs="Arial" w:eastAsia="Arial" w:hAnsi="Arial"/>
          <w:sz w:val="16"/>
          <w:szCs w:val="16"/>
          <w:color w:val="auto"/>
        </w:rPr>
        <w:t>In connection with the Reorganization Transactions, Definitive Healthcare Corp. will become the sole managing member of Definitive OpCo. 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Continuing Pre-IPO LLC Members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w:t>
      </w: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40"/>
          </w:cols>
          <w:pgMar w:left="320" w:top="442" w:right="9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26295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95745" cy="262953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right="600"/>
        <w:spacing w:after="0" w:line="273" w:lineRule="auto"/>
        <w:rPr>
          <w:sz w:val="20"/>
          <w:szCs w:val="20"/>
          <w:color w:val="auto"/>
        </w:rPr>
      </w:pPr>
      <w:r>
        <w:rPr>
          <w:rFonts w:ascii="Arial" w:cs="Arial" w:eastAsia="Arial" w:hAnsi="Arial"/>
          <w:sz w:val="17"/>
          <w:szCs w:val="17"/>
          <w:color w:val="auto"/>
        </w:rPr>
        <w:t>Pre-IPO LLC Members in the assets and liabilities of Definitive OpCo at their carrying amounts as of the date of the completion of the consummation of the Reorganization Transactions.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we will enter into the following transactions, which we collectively refer to as the “IPO Transactions.”</w:t>
      </w:r>
    </w:p>
    <w:p>
      <w:pPr>
        <w:spacing w:after="0" w:line="248" w:lineRule="exact"/>
        <w:rPr>
          <w:sz w:val="20"/>
          <w:szCs w:val="20"/>
          <w:color w:val="auto"/>
        </w:rPr>
      </w:pPr>
    </w:p>
    <w:p>
      <w:pPr>
        <w:ind w:left="980" w:right="20" w:hanging="285"/>
        <w:spacing w:after="0" w:line="273"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will issue 15,555,555 shares of Class A common stock pursuant to this offering (or 17,888,888 shares of Class A common stock if the underwriters exercise their option to purchase additional shares of Class A common stock in full).</w:t>
      </w:r>
    </w:p>
    <w:p>
      <w:pPr>
        <w:spacing w:after="0" w:line="76" w:lineRule="exact"/>
        <w:rPr>
          <w:rFonts w:ascii="Arial" w:cs="Arial" w:eastAsia="Arial" w:hAnsi="Arial"/>
          <w:sz w:val="17"/>
          <w:szCs w:val="17"/>
          <w:color w:val="auto"/>
        </w:rPr>
      </w:pPr>
    </w:p>
    <w:p>
      <w:pPr>
        <w:ind w:left="980" w:hanging="285"/>
        <w:spacing w:after="0" w:line="271"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will use all of the net proceeds from this offering (including net proceeds received if the underwriters exercise their option to purchase additional shares of Class A common stock in full) to (i) acquire 14,222,222 newly issued LLC Units from Definitive OpCo, (ii) acquire 425,229 LLC Units from certain Pre-IPO LLC Members and (iii) repurchase 908,104 shares of Class A common stock received by the Blocker Company equityholders in connection with the Mergers at a purchase price per LLC Unit and share of Class A common stock, in each case equal to the IPO price of Class A common stock, after deducting the underwriting discounts and commissions. The LLC Units acquired from certain Pre-IPO LLC Members and the shares of Class A common stock being acquired by us in this offering represent an aggregate of 0.9% of economic interests in us after this offering (or 2.5% if the underwriters exercise their option to purchase additional shares of Class A common stock in full).</w:t>
      </w:r>
    </w:p>
    <w:p>
      <w:pPr>
        <w:spacing w:after="0" w:line="80" w:lineRule="exact"/>
        <w:rPr>
          <w:rFonts w:ascii="Arial" w:cs="Arial" w:eastAsia="Arial" w:hAnsi="Arial"/>
          <w:sz w:val="16"/>
          <w:szCs w:val="16"/>
          <w:color w:val="auto"/>
        </w:rPr>
      </w:pPr>
    </w:p>
    <w:p>
      <w:pPr>
        <w:jc w:val="both"/>
        <w:ind w:left="980" w:right="220" w:hanging="285"/>
        <w:spacing w:after="0" w:line="342" w:lineRule="auto"/>
        <w:tabs>
          <w:tab w:leader="none" w:pos="9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We will cause Definitive OpCo to use the proceeds from the issuance of LLC Units to us to (i) pay fees and expenses of approximately $10.1 million in connection with this offering and the Reorganization Transactions and (ii) as otherwise set forth in “Use of Proceeds.”</w:t>
      </w:r>
    </w:p>
    <w:p>
      <w:pPr>
        <w:spacing w:after="0" w:line="297"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340"/>
          </w:cols>
          <w:pgMar w:left="320" w:top="442" w:right="1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515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95745" cy="651510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firstLine="401"/>
        <w:spacing w:after="0" w:line="298" w:lineRule="auto"/>
        <w:rPr>
          <w:sz w:val="20"/>
          <w:szCs w:val="20"/>
          <w:color w:val="auto"/>
        </w:rPr>
      </w:pPr>
      <w:r>
        <w:rPr>
          <w:rFonts w:ascii="Arial" w:cs="Arial" w:eastAsia="Arial" w:hAnsi="Arial"/>
          <w:sz w:val="15"/>
          <w:szCs w:val="15"/>
          <w:color w:val="auto"/>
        </w:rPr>
        <w:t>The following diagram depicts our organizational structure immediately following the consummation of the Reorganization Transactions, the completion of this offering and the application of the net proceeds from this offering, based on an assumed IPO price of $25.00 per share of Class A common stock (the midpoint of the estimated price range set forth on the cover page of this prospectus) and assuming the underwriters do not exercise their option to purchase additional shares of Class A common stock. This chart assumes full vesting of LLC Units. This chart is provided for illustrative purposes only and does not purport to represent all legal entities within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0" w:hanging="394"/>
        <w:spacing w:after="0"/>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LLC Units and Class B common stock held by Jason Krantz, our CEO.</w:t>
      </w:r>
    </w:p>
    <w:p>
      <w:pPr>
        <w:ind w:left="1000" w:hanging="394"/>
        <w:spacing w:after="0"/>
        <w:tabs>
          <w:tab w:leader="none" w:pos="10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Does not include Jason Krantz.</w:t>
      </w:r>
    </w:p>
    <w:p>
      <w:pPr>
        <w:spacing w:after="0" w:line="176" w:lineRule="exact"/>
        <w:rPr>
          <w:sz w:val="20"/>
          <w:szCs w:val="20"/>
          <w:color w:val="auto"/>
        </w:rPr>
      </w:pPr>
    </w:p>
    <w:p>
      <w:pPr>
        <w:ind w:left="600" w:right="60" w:firstLine="401"/>
        <w:spacing w:after="0" w:line="279" w:lineRule="auto"/>
        <w:rPr>
          <w:sz w:val="20"/>
          <w:szCs w:val="20"/>
          <w:color w:val="auto"/>
        </w:rPr>
      </w:pPr>
      <w:r>
        <w:rPr>
          <w:rFonts w:ascii="Arial" w:cs="Arial" w:eastAsia="Arial" w:hAnsi="Arial"/>
          <w:sz w:val="16"/>
          <w:szCs w:val="16"/>
          <w:color w:val="auto"/>
        </w:rPr>
        <w:t>Our corporate structure following the completion of this offering, as described above, is commonly referred to as an “Up-C” structure, which is commonly used by partnerships and limited liability companies when they undertake an initial public offering of their business. Our Up-C structure will allow the Continuing Pre-IPO LLC Members to continue to realize tax benefits associated with owning interests in an entity that is treated as a partnership, or “pass-through” entity, for U.S. federal and applicable state and local income tax purposes</w:t>
      </w:r>
    </w:p>
    <w:p>
      <w:pPr>
        <w:spacing w:after="0" w:line="34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640"/>
          </w:cols>
          <w:pgMar w:left="320" w:top="442" w:right="9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529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95745" cy="552958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right="40"/>
        <w:spacing w:after="0" w:line="254" w:lineRule="auto"/>
        <w:rPr>
          <w:sz w:val="20"/>
          <w:szCs w:val="20"/>
          <w:color w:val="auto"/>
        </w:rPr>
      </w:pPr>
      <w:r>
        <w:rPr>
          <w:rFonts w:ascii="Arial" w:cs="Arial" w:eastAsia="Arial" w:hAnsi="Arial"/>
          <w:sz w:val="17"/>
          <w:szCs w:val="17"/>
          <w:color w:val="auto"/>
        </w:rPr>
        <w:t>following this offering. One of these benefits is that future taxable income of Definitive OpCo that is allocated to such owners will be taxed on a flow-through basis and, therefore, will generally not be subject to U.S. federal and applicable state and local income taxes at the entity level. Additionally, because the LLC Units that the Continuing Pre-IPO LLC Members will hold are exchangeable for newly issued shares of Class A common stock on a one-for-one basis in accordance with the terms of the Amended LLC Agreement, our “Up-C” structure also provides the Continuing Pre-IPO LLC Members with potential liquidity that holders of nonpublicly traded limited liability companies are not typically afforded. See “Organizational Structure” and “Description of Capital Stock.”</w:t>
      </w:r>
    </w:p>
    <w:p>
      <w:pPr>
        <w:spacing w:after="0" w:line="183" w:lineRule="exact"/>
        <w:rPr>
          <w:sz w:val="20"/>
          <w:szCs w:val="20"/>
          <w:color w:val="auto"/>
        </w:rPr>
      </w:pPr>
    </w:p>
    <w:p>
      <w:pPr>
        <w:ind w:left="600" w:firstLine="401"/>
        <w:spacing w:after="0" w:line="290" w:lineRule="auto"/>
        <w:rPr>
          <w:sz w:val="20"/>
          <w:szCs w:val="20"/>
          <w:color w:val="auto"/>
        </w:rPr>
      </w:pPr>
      <w:r>
        <w:rPr>
          <w:rFonts w:ascii="Arial" w:cs="Arial" w:eastAsia="Arial" w:hAnsi="Arial"/>
          <w:sz w:val="15"/>
          <w:szCs w:val="15"/>
          <w:color w:val="auto"/>
        </w:rPr>
        <w:t>We will also hold LLC Units, and therefore receive the same benefits as the Continuing Pre-IPO LLC Members with respect to our ownership in an entity treated as a partnership, or “pass-through” entity, for U.S. federal and applicable state and local income tax purposes. Future taxable exchanges by the Continuing Pre-IPO LLC Members for shares of our Class A common stock and the Mergers and IPO Transactions are expected to result in favorable tax attributes that will be allocated to us. These tax attributes would not be available to us in the absence of those transactions and are expected to reduce the amount of tax that we would otherwise be required to pay in the future. In connection with the Reorganization Transactions, we will enter into a Tax Receivable Agreement that will obligate us to make payments to the TRA Parties in the aggregate generally equal to 85% of the applicable cash savings that we actually realize, or in certain circumstances are deemed to realize, as a result of these tax attributes and tax attributes resulting from certain payments made under the Tax Receivable Agreement. We will retain the benefit of the remaining 15% of these tax savings. See “Organizational Structure—Holding Company Structure and the Tax Receivable Agreement.”</w:t>
      </w:r>
    </w:p>
    <w:p>
      <w:pPr>
        <w:spacing w:after="0" w:line="159" w:lineRule="exact"/>
        <w:rPr>
          <w:sz w:val="20"/>
          <w:szCs w:val="20"/>
          <w:color w:val="auto"/>
        </w:rPr>
      </w:pPr>
    </w:p>
    <w:p>
      <w:pPr>
        <w:ind w:left="600" w:firstLine="401"/>
        <w:spacing w:after="0" w:line="255" w:lineRule="auto"/>
        <w:rPr>
          <w:sz w:val="20"/>
          <w:szCs w:val="20"/>
          <w:color w:val="auto"/>
        </w:rPr>
      </w:pPr>
      <w:r>
        <w:rPr>
          <w:rFonts w:ascii="Arial" w:cs="Arial" w:eastAsia="Arial" w:hAnsi="Arial"/>
          <w:sz w:val="17"/>
          <w:szCs w:val="17"/>
          <w:color w:val="auto"/>
        </w:rPr>
        <w:t>Under the Amended LLC Agreement, we will receive a pro rata share of any distributions, including tax distributions, made by Definitive OpCo to its members. Such tax distributions will be calculated based upon an assumed tax rate, which, under certain circumstances, may cause Definitive OpCo to make tax distributions that, in the aggregate, exceed the amount of taxes that Definitive OpCo would have paid if it were a similarly situated corporate taxpayer. Funds used by Definitive OpCo to satisfy its tax distribution obligations will not be available for reinvestment in our business. See “Risk Factors—Risks Related to our Organizational Structure.”</w:t>
      </w:r>
    </w:p>
    <w:p>
      <w:pPr>
        <w:spacing w:after="0" w:line="183"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Upon completion of the transactions described above, this offering and the application of the Company’s net proceeds from this offering:</w:t>
      </w:r>
    </w:p>
    <w:p>
      <w:pPr>
        <w:spacing w:after="0" w:line="134" w:lineRule="exact"/>
        <w:rPr>
          <w:sz w:val="20"/>
          <w:szCs w:val="20"/>
          <w:color w:val="auto"/>
        </w:rPr>
      </w:pPr>
    </w:p>
    <w:p>
      <w:pPr>
        <w:ind w:left="1480" w:right="220" w:hanging="480"/>
        <w:spacing w:after="0" w:line="257" w:lineRule="auto"/>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Definitive Healthcare Corp. will become the sole managing member of Definitive OpCo and will hold 87,522,796 LLC Units, constituting 59.1% of the outstanding economic interests in Definitive OpCo (or 88,266,945 units, constituting 59.6% of the outstanding economic interests in Definitive OpCo if the underwriters exercise their option to purchase additional shares of Class A common stock in full).</w:t>
      </w:r>
    </w:p>
    <w:p>
      <w:pPr>
        <w:spacing w:after="0" w:line="91" w:lineRule="exact"/>
        <w:rPr>
          <w:rFonts w:ascii="Arial" w:cs="Arial" w:eastAsia="Arial" w:hAnsi="Arial"/>
          <w:sz w:val="17"/>
          <w:szCs w:val="17"/>
          <w:color w:val="auto"/>
        </w:rPr>
      </w:pPr>
    </w:p>
    <w:p>
      <w:pPr>
        <w:ind w:left="1480" w:right="120" w:hanging="480"/>
        <w:spacing w:after="0" w:line="254" w:lineRule="auto"/>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Pre-IPO LLC Members will collectively hold (i) (x) 71,967,241 shares of Class A common stock and (y) 60,607,740 LLC Units, which together directly and indirectly represent approximately 89.5% of the economic interest in Definitive OpCo (or 87.9% if the underwriters exercise their option to purchase additional shares of Class A common stock in full) and (ii) through their collective ownership of 71,967,241 shares of Class A and 60,607,740 shares of Class B common stock, approximately 89.3% of the combined voting power of our common stock (or 87.7% if the underwriters exercise their option to purchase additional shares of Class A common stock in full).</w:t>
      </w:r>
    </w:p>
    <w:p>
      <w:pPr>
        <w:spacing w:after="0" w:line="94" w:lineRule="exact"/>
        <w:rPr>
          <w:rFonts w:ascii="Arial" w:cs="Arial" w:eastAsia="Arial" w:hAnsi="Arial"/>
          <w:sz w:val="17"/>
          <w:szCs w:val="17"/>
          <w:color w:val="auto"/>
        </w:rPr>
      </w:pPr>
    </w:p>
    <w:p>
      <w:pPr>
        <w:ind w:left="1480" w:right="20" w:hanging="480"/>
        <w:spacing w:after="0" w:line="255" w:lineRule="auto"/>
        <w:tabs>
          <w:tab w:leader="none" w:pos="14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Investors in this offering will collectively hold (i) 15,555,555 shares of our Class A common stock, representing approximately 10.7% of the combined voting power of our common stock (or 17,888,888 shares and 12.3%, respectively, if the underwriters exercise their option to purchase additional shares of Class A common stock in full) and (ii) through our direct and indirect ownership of LLC Units, indirectly will hold approximately 10.5% of the economic interest in Definitive OpCo (or 12.1% if the underwriters exercise their option to purchase additional shares of Class A common stock in full).</w:t>
      </w: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40"/>
          </w:cols>
          <w:pgMar w:left="320" w:top="442" w:right="9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4584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95745" cy="458470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right="820" w:firstLine="401"/>
        <w:spacing w:after="0" w:line="273" w:lineRule="auto"/>
        <w:rPr>
          <w:sz w:val="20"/>
          <w:szCs w:val="20"/>
          <w:color w:val="auto"/>
        </w:rPr>
      </w:pPr>
      <w:r>
        <w:rPr>
          <w:rFonts w:ascii="Arial" w:cs="Arial" w:eastAsia="Arial" w:hAnsi="Arial"/>
          <w:sz w:val="17"/>
          <w:szCs w:val="17"/>
          <w:color w:val="auto"/>
        </w:rPr>
        <w:t>See “Organizational Structure,” “Certain Relationships and Related Party Transactions” and “Description of Capital Stock” for more information on the rights associated with our common stock and the LLC Units.</w:t>
      </w:r>
    </w:p>
    <w:p>
      <w:pPr>
        <w:spacing w:after="0" w:line="268"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Ownership of Economic Interests</w:t>
      </w:r>
    </w:p>
    <w:p>
      <w:pPr>
        <w:spacing w:after="0" w:line="110" w:lineRule="exact"/>
        <w:rPr>
          <w:sz w:val="20"/>
          <w:szCs w:val="20"/>
          <w:color w:val="auto"/>
        </w:rPr>
      </w:pPr>
    </w:p>
    <w:p>
      <w:pPr>
        <w:ind w:left="600" w:right="260" w:firstLine="401"/>
        <w:spacing w:after="0" w:line="261" w:lineRule="auto"/>
        <w:rPr>
          <w:sz w:val="20"/>
          <w:szCs w:val="20"/>
          <w:color w:val="auto"/>
        </w:rPr>
      </w:pPr>
      <w:r>
        <w:rPr>
          <w:rFonts w:ascii="Arial" w:cs="Arial" w:eastAsia="Arial" w:hAnsi="Arial"/>
          <w:sz w:val="17"/>
          <w:szCs w:val="17"/>
          <w:color w:val="auto"/>
        </w:rPr>
        <w:t>Upon completion of the Reorganization Transactions and the IPO Transactions, the economic interests in Definitive Healthcare Corp. owned by investors in this offering and our pre-IPO equityholders at the high point, the midpoint and the low point of the estimated public offering price range set forth on the cover page of the prospectus will be as follows (may not foot due to rounding):</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Assuming an IPO price of $24.00 per share:</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Definitive Healthcare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6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92"/>
              </w:rPr>
              <w:t>Corp.</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5"/>
          </w:tcPr>
          <w:p>
            <w:pPr>
              <w:ind w:left="280"/>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4360" w:type="dxa"/>
            <w:vAlign w:val="bottom"/>
            <w:tcBorders>
              <w:bottom w:val="single" w:sz="8" w:color="CCEEFF"/>
            </w:tcBorders>
          </w:tcPr>
          <w:p>
            <w:pPr>
              <w:spacing w:after="0"/>
              <w:rPr>
                <w:sz w:val="11"/>
                <w:szCs w:val="11"/>
                <w:color w:val="auto"/>
              </w:rPr>
            </w:pPr>
          </w:p>
        </w:tc>
        <w:tc>
          <w:tcPr>
            <w:tcW w:w="23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11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Investors in this offering</w:t>
            </w:r>
          </w:p>
        </w:tc>
        <w:tc>
          <w:tcPr>
            <w:tcW w:w="2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Advent</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66,098,830</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75.5%</w:t>
            </w:r>
          </w:p>
        </w:tc>
        <w:tc>
          <w:tcPr>
            <w:tcW w:w="920" w:type="dxa"/>
            <w:vAlign w:val="bottom"/>
          </w:tcPr>
          <w:p>
            <w:pPr>
              <w:jc w:val="right"/>
              <w:spacing w:after="0"/>
              <w:rPr>
                <w:sz w:val="20"/>
                <w:szCs w:val="20"/>
                <w:color w:val="auto"/>
              </w:rPr>
            </w:pPr>
            <w:r>
              <w:rPr>
                <w:rFonts w:ascii="Arial" w:cs="Arial" w:eastAsia="Arial" w:hAnsi="Arial"/>
                <w:sz w:val="17"/>
                <w:szCs w:val="17"/>
                <w:color w:val="auto"/>
              </w:rPr>
              <w:t>66,098,830</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45.0%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Spectrum Equity</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2,952,341</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31,301,544</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22C Capital</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551,013</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0.6%</w:t>
            </w:r>
          </w:p>
        </w:tc>
        <w:tc>
          <w:tcPr>
            <w:tcW w:w="920" w:type="dxa"/>
            <w:vAlign w:val="bottom"/>
          </w:tcPr>
          <w:p>
            <w:pPr>
              <w:jc w:val="right"/>
              <w:spacing w:after="0"/>
              <w:rPr>
                <w:sz w:val="20"/>
                <w:szCs w:val="20"/>
                <w:color w:val="auto"/>
              </w:rPr>
            </w:pPr>
            <w:r>
              <w:rPr>
                <w:rFonts w:ascii="Arial" w:cs="Arial" w:eastAsia="Arial" w:hAnsi="Arial"/>
                <w:sz w:val="17"/>
                <w:szCs w:val="17"/>
                <w:color w:val="auto"/>
              </w:rPr>
              <w:t>4,942,292</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Jason Krantz</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21,929,711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2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2,367,096</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920" w:type="dxa"/>
            <w:vAlign w:val="bottom"/>
          </w:tcPr>
          <w:p>
            <w:pPr>
              <w:jc w:val="right"/>
              <w:spacing w:after="0"/>
              <w:rPr>
                <w:sz w:val="20"/>
                <w:szCs w:val="20"/>
                <w:color w:val="auto"/>
              </w:rPr>
            </w:pPr>
            <w:r>
              <w:rPr>
                <w:rFonts w:ascii="Arial" w:cs="Arial" w:eastAsia="Arial" w:hAnsi="Arial"/>
                <w:sz w:val="17"/>
                <w:szCs w:val="17"/>
                <w:color w:val="auto"/>
              </w:rPr>
              <w:t>6,932,138</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87,524,835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146,760,070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60" w:type="dxa"/>
            <w:vAlign w:val="bottom"/>
            <w:vMerge w:val="restart"/>
          </w:tcPr>
          <w:p>
            <w:pPr>
              <w:ind w:left="380"/>
              <w:spacing w:after="0"/>
              <w:rPr>
                <w:sz w:val="20"/>
                <w:szCs w:val="20"/>
                <w:color w:val="auto"/>
              </w:rPr>
            </w:pPr>
            <w:r>
              <w:rPr>
                <w:rFonts w:ascii="Arial" w:cs="Arial" w:eastAsia="Arial" w:hAnsi="Arial"/>
                <w:sz w:val="17"/>
                <w:szCs w:val="17"/>
                <w:color w:val="auto"/>
              </w:rPr>
              <w:t>Assuming an IPO price of $25.00 per share:</w:t>
            </w:r>
          </w:p>
        </w:tc>
        <w:tc>
          <w:tcPr>
            <w:tcW w:w="2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8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Definitive Healthcare</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6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92"/>
              </w:rPr>
              <w:t>Corp.</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5"/>
          </w:tcPr>
          <w:p>
            <w:pPr>
              <w:ind w:left="280"/>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4360" w:type="dxa"/>
            <w:vAlign w:val="bottom"/>
            <w:tcBorders>
              <w:bottom w:val="single" w:sz="8" w:color="CCEEFF"/>
            </w:tcBorders>
          </w:tcPr>
          <w:p>
            <w:pPr>
              <w:spacing w:after="0"/>
              <w:rPr>
                <w:sz w:val="11"/>
                <w:szCs w:val="11"/>
                <w:color w:val="auto"/>
              </w:rPr>
            </w:pPr>
          </w:p>
        </w:tc>
        <w:tc>
          <w:tcPr>
            <w:tcW w:w="23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11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Investors in this offering</w:t>
            </w:r>
          </w:p>
        </w:tc>
        <w:tc>
          <w:tcPr>
            <w:tcW w:w="2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Advent</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66,096,936</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75.5%</w:t>
            </w:r>
          </w:p>
        </w:tc>
        <w:tc>
          <w:tcPr>
            <w:tcW w:w="920" w:type="dxa"/>
            <w:vAlign w:val="bottom"/>
          </w:tcPr>
          <w:p>
            <w:pPr>
              <w:jc w:val="right"/>
              <w:spacing w:after="0"/>
              <w:rPr>
                <w:sz w:val="20"/>
                <w:szCs w:val="20"/>
                <w:color w:val="auto"/>
              </w:rPr>
            </w:pPr>
            <w:r>
              <w:rPr>
                <w:rFonts w:ascii="Arial" w:cs="Arial" w:eastAsia="Arial" w:hAnsi="Arial"/>
                <w:sz w:val="17"/>
                <w:szCs w:val="17"/>
                <w:color w:val="auto"/>
              </w:rPr>
              <w:t>66,096,936</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45.0%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Spectrum Equity</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2,952,482</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31,303,042</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22C Capital</w:t>
            </w:r>
          </w:p>
        </w:tc>
        <w:tc>
          <w:tcPr>
            <w:tcW w:w="3140" w:type="dxa"/>
            <w:vAlign w:val="bottom"/>
            <w:gridSpan w:val="2"/>
          </w:tcPr>
          <w:p>
            <w:pPr>
              <w:jc w:val="right"/>
              <w:spacing w:after="0"/>
              <w:rPr>
                <w:sz w:val="20"/>
                <w:szCs w:val="20"/>
                <w:color w:val="auto"/>
              </w:rPr>
            </w:pPr>
            <w:r>
              <w:rPr>
                <w:rFonts w:ascii="Arial" w:cs="Arial" w:eastAsia="Arial" w:hAnsi="Arial"/>
                <w:sz w:val="17"/>
                <w:szCs w:val="17"/>
                <w:color w:val="auto"/>
              </w:rPr>
              <w:t>550,985</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0.6%</w:t>
            </w:r>
          </w:p>
        </w:tc>
        <w:tc>
          <w:tcPr>
            <w:tcW w:w="920" w:type="dxa"/>
            <w:vAlign w:val="bottom"/>
          </w:tcPr>
          <w:p>
            <w:pPr>
              <w:jc w:val="right"/>
              <w:spacing w:after="0"/>
              <w:rPr>
                <w:sz w:val="20"/>
                <w:szCs w:val="20"/>
                <w:color w:val="auto"/>
              </w:rPr>
            </w:pPr>
            <w:r>
              <w:rPr>
                <w:rFonts w:ascii="Arial" w:cs="Arial" w:eastAsia="Arial" w:hAnsi="Arial"/>
                <w:sz w:val="17"/>
                <w:szCs w:val="17"/>
                <w:color w:val="auto"/>
              </w:rPr>
              <w:t>4,942,041</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Jason Krantz</w:t>
            </w:r>
          </w:p>
        </w:tc>
        <w:tc>
          <w:tcPr>
            <w:tcW w:w="3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21,952,956</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tcPr>
          <w:p>
            <w:pPr>
              <w:ind w:left="340"/>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2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2,366,838</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920" w:type="dxa"/>
            <w:vAlign w:val="bottom"/>
          </w:tcPr>
          <w:p>
            <w:pPr>
              <w:jc w:val="right"/>
              <w:spacing w:after="0"/>
              <w:rPr>
                <w:sz w:val="20"/>
                <w:szCs w:val="20"/>
                <w:color w:val="auto"/>
              </w:rPr>
            </w:pPr>
            <w:r>
              <w:rPr>
                <w:rFonts w:ascii="Arial" w:cs="Arial" w:eastAsia="Arial" w:hAnsi="Arial"/>
                <w:sz w:val="17"/>
                <w:szCs w:val="17"/>
                <w:color w:val="auto"/>
              </w:rPr>
              <w:t>6,965,578</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80" w:type="dxa"/>
            <w:vAlign w:val="bottom"/>
          </w:tcPr>
          <w:p>
            <w:pPr>
              <w:spacing w:after="0"/>
              <w:rPr>
                <w:sz w:val="17"/>
                <w:szCs w:val="17"/>
                <w:color w:val="auto"/>
              </w:rPr>
            </w:pPr>
          </w:p>
        </w:tc>
        <w:tc>
          <w:tcPr>
            <w:tcW w:w="43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2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87,522,796</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146,816,108</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320" w:type="dxa"/>
            <w:vAlign w:val="bottom"/>
          </w:tcPr>
          <w:p>
            <w:pPr>
              <w:jc w:val="right"/>
              <w:ind w:right="1515"/>
              <w:spacing w:after="0"/>
              <w:rPr>
                <w:sz w:val="20"/>
                <w:szCs w:val="20"/>
                <w:color w:val="auto"/>
              </w:rPr>
            </w:pPr>
            <w:r>
              <w:rPr>
                <w:rFonts w:ascii="Arial" w:cs="Arial" w:eastAsia="Arial" w:hAnsi="Arial"/>
                <w:sz w:val="17"/>
                <w:szCs w:val="17"/>
                <w:color w:val="auto"/>
              </w:rPr>
              <w:t>13</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353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95745" cy="635317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Assuming an IPO price of $26.00 per share:</w:t>
      </w: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Definitive Healthcare</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0"/>
        </w:trPr>
        <w:tc>
          <w:tcPr>
            <w:tcW w:w="108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960" w:type="dxa"/>
            <w:vAlign w:val="bottom"/>
            <w:gridSpan w:val="2"/>
          </w:tcPr>
          <w:p>
            <w:pPr>
              <w:jc w:val="center"/>
              <w:ind w:left="340"/>
              <w:spacing w:after="0"/>
              <w:rPr>
                <w:sz w:val="20"/>
                <w:szCs w:val="20"/>
                <w:color w:val="auto"/>
              </w:rPr>
            </w:pPr>
            <w:r>
              <w:rPr>
                <w:rFonts w:ascii="Arial" w:cs="Arial" w:eastAsia="Arial" w:hAnsi="Arial"/>
                <w:sz w:val="14"/>
                <w:szCs w:val="14"/>
                <w:b w:val="1"/>
                <w:bCs w:val="1"/>
                <w:color w:val="auto"/>
                <w:w w:val="92"/>
              </w:rPr>
              <w:t>Corp.</w:t>
            </w: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Fully Converted</w:t>
            </w:r>
          </w:p>
        </w:tc>
      </w:tr>
      <w:tr>
        <w:trPr>
          <w:trHeight w:val="133"/>
        </w:trPr>
        <w:tc>
          <w:tcPr>
            <w:tcW w:w="1080" w:type="dxa"/>
            <w:vAlign w:val="bottom"/>
            <w:tcBorders>
              <w:bottom w:val="single" w:sz="8" w:color="CCEEFF"/>
            </w:tcBorders>
          </w:tcPr>
          <w:p>
            <w:pPr>
              <w:spacing w:after="0"/>
              <w:rPr>
                <w:sz w:val="11"/>
                <w:szCs w:val="11"/>
                <w:color w:val="auto"/>
              </w:rPr>
            </w:pPr>
          </w:p>
        </w:tc>
        <w:tc>
          <w:tcPr>
            <w:tcW w:w="560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60"/>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11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r>
      <w:tr>
        <w:trPr>
          <w:trHeight w:val="196"/>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Investors in this offering</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r>
      <w:tr>
        <w:trPr>
          <w:trHeight w:val="204"/>
        </w:trPr>
        <w:tc>
          <w:tcPr>
            <w:tcW w:w="6680" w:type="dxa"/>
            <w:vAlign w:val="bottom"/>
            <w:gridSpan w:val="2"/>
          </w:tcPr>
          <w:p>
            <w:pPr>
              <w:ind w:left="340"/>
              <w:spacing w:after="0"/>
              <w:rPr>
                <w:sz w:val="20"/>
                <w:szCs w:val="20"/>
                <w:color w:val="auto"/>
              </w:rPr>
            </w:pPr>
            <w:r>
              <w:rPr>
                <w:rFonts w:ascii="Arial" w:cs="Arial" w:eastAsia="Arial" w:hAnsi="Arial"/>
                <w:sz w:val="17"/>
                <w:szCs w:val="17"/>
                <w:color w:val="auto"/>
              </w:rPr>
              <w:t>Advent</w:t>
            </w:r>
          </w:p>
        </w:tc>
        <w:tc>
          <w:tcPr>
            <w:tcW w:w="820" w:type="dxa"/>
            <w:vAlign w:val="bottom"/>
          </w:tcPr>
          <w:p>
            <w:pPr>
              <w:jc w:val="right"/>
              <w:spacing w:after="0"/>
              <w:rPr>
                <w:sz w:val="20"/>
                <w:szCs w:val="20"/>
                <w:color w:val="auto"/>
              </w:rPr>
            </w:pPr>
            <w:r>
              <w:rPr>
                <w:rFonts w:ascii="Arial" w:cs="Arial" w:eastAsia="Arial" w:hAnsi="Arial"/>
                <w:sz w:val="17"/>
                <w:szCs w:val="17"/>
                <w:color w:val="auto"/>
                <w:w w:val="93"/>
              </w:rPr>
              <w:t>66,095,196</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75.5%</w:t>
            </w:r>
          </w:p>
        </w:tc>
        <w:tc>
          <w:tcPr>
            <w:tcW w:w="920" w:type="dxa"/>
            <w:vAlign w:val="bottom"/>
          </w:tcPr>
          <w:p>
            <w:pPr>
              <w:jc w:val="right"/>
              <w:spacing w:after="0"/>
              <w:rPr>
                <w:sz w:val="20"/>
                <w:szCs w:val="20"/>
                <w:color w:val="auto"/>
              </w:rPr>
            </w:pPr>
            <w:r>
              <w:rPr>
                <w:rFonts w:ascii="Arial" w:cs="Arial" w:eastAsia="Arial" w:hAnsi="Arial"/>
                <w:sz w:val="17"/>
                <w:szCs w:val="17"/>
                <w:color w:val="auto"/>
              </w:rPr>
              <w:t>66,095,196</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45.0%</w:t>
            </w:r>
          </w:p>
        </w:tc>
      </w:tr>
      <w:tr>
        <w:trPr>
          <w:trHeight w:val="20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Spectrum Equity</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2,952,613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31,304,425</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21.3%</w:t>
            </w:r>
          </w:p>
        </w:tc>
      </w:tr>
      <w:tr>
        <w:trPr>
          <w:trHeight w:val="204"/>
        </w:trPr>
        <w:tc>
          <w:tcPr>
            <w:tcW w:w="6680" w:type="dxa"/>
            <w:vAlign w:val="bottom"/>
            <w:gridSpan w:val="2"/>
          </w:tcPr>
          <w:p>
            <w:pPr>
              <w:ind w:left="340"/>
              <w:spacing w:after="0"/>
              <w:rPr>
                <w:sz w:val="20"/>
                <w:szCs w:val="20"/>
                <w:color w:val="auto"/>
              </w:rPr>
            </w:pPr>
            <w:r>
              <w:rPr>
                <w:rFonts w:ascii="Arial" w:cs="Arial" w:eastAsia="Arial" w:hAnsi="Arial"/>
                <w:sz w:val="17"/>
                <w:szCs w:val="17"/>
                <w:color w:val="auto"/>
              </w:rPr>
              <w:t>22C Capital</w:t>
            </w:r>
          </w:p>
        </w:tc>
        <w:tc>
          <w:tcPr>
            <w:tcW w:w="820" w:type="dxa"/>
            <w:vAlign w:val="bottom"/>
          </w:tcPr>
          <w:p>
            <w:pPr>
              <w:jc w:val="right"/>
              <w:spacing w:after="0"/>
              <w:rPr>
                <w:sz w:val="20"/>
                <w:szCs w:val="20"/>
                <w:color w:val="auto"/>
              </w:rPr>
            </w:pPr>
            <w:r>
              <w:rPr>
                <w:rFonts w:ascii="Arial" w:cs="Arial" w:eastAsia="Arial" w:hAnsi="Arial"/>
                <w:sz w:val="17"/>
                <w:szCs w:val="17"/>
                <w:color w:val="auto"/>
              </w:rPr>
              <w:t>550,959</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0.6%</w:t>
            </w:r>
          </w:p>
        </w:tc>
        <w:tc>
          <w:tcPr>
            <w:tcW w:w="920" w:type="dxa"/>
            <w:vAlign w:val="bottom"/>
          </w:tcPr>
          <w:p>
            <w:pPr>
              <w:jc w:val="right"/>
              <w:spacing w:after="0"/>
              <w:rPr>
                <w:sz w:val="20"/>
                <w:szCs w:val="20"/>
                <w:color w:val="auto"/>
              </w:rPr>
            </w:pPr>
            <w:r>
              <w:rPr>
                <w:rFonts w:ascii="Arial" w:cs="Arial" w:eastAsia="Arial" w:hAnsi="Arial"/>
                <w:sz w:val="17"/>
                <w:szCs w:val="17"/>
                <w:color w:val="auto"/>
              </w:rPr>
              <w:t>4,941,810</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3.4%</w:t>
            </w:r>
          </w:p>
        </w:tc>
      </w:tr>
      <w:tr>
        <w:trPr>
          <w:trHeight w:val="20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Jason Krantz</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21,974,413</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r>
      <w:tr>
        <w:trPr>
          <w:trHeight w:val="204"/>
        </w:trPr>
        <w:tc>
          <w:tcPr>
            <w:tcW w:w="6680" w:type="dxa"/>
            <w:vAlign w:val="bottom"/>
            <w:gridSpan w:val="2"/>
          </w:tcPr>
          <w:p>
            <w:pPr>
              <w:ind w:left="340"/>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820" w:type="dxa"/>
            <w:vAlign w:val="bottom"/>
          </w:tcPr>
          <w:p>
            <w:pPr>
              <w:jc w:val="right"/>
              <w:spacing w:after="0"/>
              <w:rPr>
                <w:sz w:val="20"/>
                <w:szCs w:val="20"/>
                <w:color w:val="auto"/>
              </w:rPr>
            </w:pPr>
            <w:r>
              <w:rPr>
                <w:rFonts w:ascii="Arial" w:cs="Arial" w:eastAsia="Arial" w:hAnsi="Arial"/>
                <w:sz w:val="17"/>
                <w:szCs w:val="17"/>
                <w:color w:val="auto"/>
              </w:rPr>
              <w:t>2,366,599</w:t>
            </w:r>
          </w:p>
        </w:tc>
        <w:tc>
          <w:tcPr>
            <w:tcW w:w="1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920" w:type="dxa"/>
            <w:vAlign w:val="bottom"/>
          </w:tcPr>
          <w:p>
            <w:pPr>
              <w:jc w:val="right"/>
              <w:spacing w:after="0"/>
              <w:rPr>
                <w:sz w:val="20"/>
                <w:szCs w:val="20"/>
                <w:color w:val="auto"/>
              </w:rPr>
            </w:pPr>
            <w:r>
              <w:rPr>
                <w:rFonts w:ascii="Arial" w:cs="Arial" w:eastAsia="Arial" w:hAnsi="Arial"/>
                <w:sz w:val="17"/>
                <w:szCs w:val="17"/>
                <w:color w:val="auto"/>
              </w:rPr>
              <w:t>6,996,452</w:t>
            </w:r>
          </w:p>
        </w:tc>
        <w:tc>
          <w:tcPr>
            <w:tcW w:w="760" w:type="dxa"/>
            <w:vAlign w:val="bottom"/>
            <w:gridSpan w:val="3"/>
          </w:tcPr>
          <w:p>
            <w:pPr>
              <w:jc w:val="right"/>
              <w:ind w:right="60"/>
              <w:spacing w:after="0"/>
              <w:rPr>
                <w:sz w:val="20"/>
                <w:szCs w:val="20"/>
                <w:color w:val="auto"/>
              </w:rPr>
            </w:pPr>
            <w:r>
              <w:rPr>
                <w:rFonts w:ascii="Arial" w:cs="Arial" w:eastAsia="Arial" w:hAnsi="Arial"/>
                <w:sz w:val="17"/>
                <w:szCs w:val="17"/>
                <w:color w:val="auto"/>
              </w:rPr>
              <w:t>4.7%</w:t>
            </w:r>
          </w:p>
        </w:tc>
      </w:tr>
      <w:tr>
        <w:trPr>
          <w:trHeight w:val="25"/>
        </w:trPr>
        <w:tc>
          <w:tcPr>
            <w:tcW w:w="10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4"/>
        </w:trPr>
        <w:tc>
          <w:tcPr>
            <w:tcW w:w="6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87,520,922</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100.0%</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146,867,851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r>
      <w:tr>
        <w:trPr>
          <w:trHeight w:val="20"/>
        </w:trPr>
        <w:tc>
          <w:tcPr>
            <w:tcW w:w="10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18"/>
        </w:trPr>
        <w:tc>
          <w:tcPr>
            <w:tcW w:w="1080" w:type="dxa"/>
            <w:vAlign w:val="bottom"/>
            <w:tcBorders>
              <w:bottom w:val="single" w:sz="8" w:color="auto"/>
            </w:tcBorders>
          </w:tcPr>
          <w:p>
            <w:pPr>
              <w:spacing w:after="0"/>
              <w:rPr>
                <w:sz w:val="10"/>
                <w:szCs w:val="10"/>
                <w:color w:val="auto"/>
              </w:rPr>
            </w:pPr>
          </w:p>
        </w:tc>
        <w:tc>
          <w:tcPr>
            <w:tcW w:w="56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r>
    </w:tbl>
    <w:p>
      <w:pPr>
        <w:spacing w:after="0" w:line="26" w:lineRule="exact"/>
        <w:rPr>
          <w:sz w:val="20"/>
          <w:szCs w:val="20"/>
          <w:color w:val="auto"/>
        </w:rPr>
      </w:pPr>
    </w:p>
    <w:p>
      <w:pPr>
        <w:ind w:left="1000" w:right="240" w:hanging="394"/>
        <w:spacing w:after="0" w:line="254"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Reflects the number of shares of our Class A common stock then outstanding. If the underwriters exercise in full their option to purchase additional shares of our Class A common stock, the number of shares owned by investors in this offering, and in the table above, would be 17,888,888.</w:t>
      </w:r>
    </w:p>
    <w:p>
      <w:pPr>
        <w:spacing w:after="0" w:line="1" w:lineRule="exact"/>
        <w:rPr>
          <w:rFonts w:ascii="Arial" w:cs="Arial" w:eastAsia="Arial" w:hAnsi="Arial"/>
          <w:sz w:val="17"/>
          <w:szCs w:val="17"/>
          <w:color w:val="auto"/>
        </w:rPr>
      </w:pPr>
    </w:p>
    <w:p>
      <w:pPr>
        <w:ind w:left="1000" w:right="60" w:hanging="394"/>
        <w:spacing w:after="0" w:line="249"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Reflects the number of shares of our Class A common stock that would be outstanding if all LLC Units, including units subject to time-based vesting were exchanged for shares of our Class A common stock held by AIDH Management Holdings, LLC and does not include the restricted stock units, 75% of which will vest based on continued employment or other service and 25% of which will vest based on achievement of performance metrics. See “Executive Compensation—2021 Plan Grants.” See “Executive Compensation—2021 Plan Grants.”</w:t>
      </w:r>
    </w:p>
    <w:p>
      <w:pPr>
        <w:spacing w:after="0" w:line="3" w:lineRule="exact"/>
        <w:rPr>
          <w:rFonts w:ascii="Arial" w:cs="Arial" w:eastAsia="Arial" w:hAnsi="Arial"/>
          <w:sz w:val="17"/>
          <w:szCs w:val="17"/>
          <w:color w:val="auto"/>
        </w:rPr>
      </w:pPr>
    </w:p>
    <w:p>
      <w:pPr>
        <w:ind w:left="1000" w:right="260" w:hanging="394"/>
        <w:spacing w:after="0" w:line="273"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Assuming the 2,747,353 LLC Units held by AIDH Management Holdings, LLC that are subject to time-based vesting after the IPO fully vest, the economic interests set forth in the table above also represent voting interests. 2.7% of the Company owned by members of AIDH Management Holdings, LLC is held by former members of AIDH Management Holdings, LLC that are receiving stock pursuant to the Blocker Company mergers. See “Organizational Structure—The Reorganization Transactions.”</w:t>
      </w:r>
    </w:p>
    <w:p>
      <w:pPr>
        <w:spacing w:after="0" w:line="267"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Our Sponsors</w:t>
      </w:r>
    </w:p>
    <w:p>
      <w:pPr>
        <w:spacing w:after="0" w:line="114"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Advent</w:t>
      </w:r>
    </w:p>
    <w:p>
      <w:pPr>
        <w:spacing w:after="0" w:line="110" w:lineRule="exact"/>
        <w:rPr>
          <w:sz w:val="20"/>
          <w:szCs w:val="20"/>
          <w:color w:val="auto"/>
        </w:rPr>
      </w:pPr>
    </w:p>
    <w:p>
      <w:pPr>
        <w:ind w:left="600" w:right="140" w:firstLine="401"/>
        <w:spacing w:after="0" w:line="253" w:lineRule="auto"/>
        <w:rPr>
          <w:sz w:val="20"/>
          <w:szCs w:val="20"/>
          <w:color w:val="auto"/>
        </w:rPr>
      </w:pPr>
      <w:r>
        <w:rPr>
          <w:rFonts w:ascii="Arial" w:cs="Arial" w:eastAsia="Arial" w:hAnsi="Arial"/>
          <w:sz w:val="17"/>
          <w:szCs w:val="17"/>
          <w:color w:val="auto"/>
        </w:rPr>
        <w:t>Advent is one of the largest and most experienced global private equity investors. The firm has invested in over 380 private equity transactions in 42 countries, and as of March 31, 2021, had $74.6 billion in assets under management. With 15 offices in 12 countries, Advent has established a globally integrated team of 240 investment professionals across North America, Europe, Latin America, and Asia. The firm focuses on investments in five core sectors, including business and financial services; health care; industrial; retail, consumer and leisure; and technology. Advent has a long history of growth investments dating back to its founding in 1984, and in 2019 launched Advent Tech, a dedicated technology-focused fund focused on growth investments and buyouts of leading technology companies globally. After 35 years dedicated to international investing, Advent remains committed to partnering with management teams to deliver sustained revenue and earnings growth for its portfolio companies.</w:t>
      </w:r>
    </w:p>
    <w:p>
      <w:pPr>
        <w:spacing w:after="0" w:line="285"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Spectrum Equity</w:t>
      </w:r>
    </w:p>
    <w:p>
      <w:pPr>
        <w:spacing w:after="0" w:line="110" w:lineRule="exact"/>
        <w:rPr>
          <w:sz w:val="20"/>
          <w:szCs w:val="20"/>
          <w:color w:val="auto"/>
        </w:rPr>
      </w:pPr>
    </w:p>
    <w:p>
      <w:pPr>
        <w:jc w:val="both"/>
        <w:ind w:left="600" w:right="120" w:firstLine="401"/>
        <w:spacing w:after="0" w:line="261" w:lineRule="auto"/>
        <w:rPr>
          <w:sz w:val="20"/>
          <w:szCs w:val="20"/>
          <w:color w:val="auto"/>
        </w:rPr>
      </w:pPr>
      <w:r>
        <w:rPr>
          <w:rFonts w:ascii="Arial" w:cs="Arial" w:eastAsia="Arial" w:hAnsi="Arial"/>
          <w:sz w:val="17"/>
          <w:szCs w:val="17"/>
          <w:color w:val="auto"/>
        </w:rPr>
        <w:t>Founded in 1994 with offices in Boston and San Francisco, Spectrum Equity is a leading growth equity firm providing capital and strategic support to innovative Internet, software and information service companies. As of June 30, 2021, the firm has invested in over 160 companies and is currently investing its ninth fund with $1.5 billion in limited partner commitments.</w:t>
      </w:r>
    </w:p>
    <w:p>
      <w:pPr>
        <w:spacing w:after="0" w:line="176" w:lineRule="exact"/>
        <w:rPr>
          <w:sz w:val="20"/>
          <w:szCs w:val="20"/>
          <w:color w:val="auto"/>
        </w:rPr>
      </w:pPr>
    </w:p>
    <w:p>
      <w:pPr>
        <w:ind w:left="600" w:right="240" w:firstLine="401"/>
        <w:spacing w:after="0" w:line="261" w:lineRule="auto"/>
        <w:rPr>
          <w:sz w:val="20"/>
          <w:szCs w:val="20"/>
          <w:color w:val="auto"/>
        </w:rPr>
      </w:pPr>
      <w:r>
        <w:rPr>
          <w:rFonts w:ascii="Arial" w:cs="Arial" w:eastAsia="Arial" w:hAnsi="Arial"/>
          <w:sz w:val="17"/>
          <w:szCs w:val="17"/>
          <w:color w:val="auto"/>
        </w:rPr>
        <w:t>Spectrum Equity seeks to invest in companies which have defensible and sustainable business models with strong recurring revenue, significant operating leverage, and structural competitive advantages. Spectrum Equity plays a prominent role in helping its portfolio companies scale their business through active engagement in partnership with management.</w:t>
      </w:r>
    </w:p>
    <w:p>
      <w:pPr>
        <w:spacing w:after="0" w:line="35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640"/>
          </w:cols>
          <w:pgMar w:left="320" w:top="442" w:right="9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779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95745" cy="57797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600"/>
        <w:spacing w:after="0"/>
        <w:rPr>
          <w:sz w:val="20"/>
          <w:szCs w:val="20"/>
          <w:color w:val="auto"/>
        </w:rPr>
      </w:pPr>
      <w:r>
        <w:rPr>
          <w:rFonts w:ascii="Arial" w:cs="Arial" w:eastAsia="Arial" w:hAnsi="Arial"/>
          <w:sz w:val="17"/>
          <w:szCs w:val="17"/>
          <w:b w:val="1"/>
          <w:bCs w:val="1"/>
          <w:i w:val="1"/>
          <w:iCs w:val="1"/>
          <w:color w:val="auto"/>
        </w:rPr>
        <w:t>22C Capital</w:t>
      </w:r>
    </w:p>
    <w:p>
      <w:pPr>
        <w:spacing w:after="0" w:line="110" w:lineRule="exact"/>
        <w:rPr>
          <w:sz w:val="20"/>
          <w:szCs w:val="20"/>
          <w:color w:val="auto"/>
        </w:rPr>
      </w:pPr>
    </w:p>
    <w:p>
      <w:pPr>
        <w:ind w:left="600" w:right="140" w:firstLine="401"/>
        <w:spacing w:after="0" w:line="295" w:lineRule="auto"/>
        <w:rPr>
          <w:sz w:val="20"/>
          <w:szCs w:val="20"/>
          <w:color w:val="auto"/>
        </w:rPr>
      </w:pPr>
      <w:r>
        <w:rPr>
          <w:rFonts w:ascii="Arial" w:cs="Arial" w:eastAsia="Arial" w:hAnsi="Arial"/>
          <w:sz w:val="15"/>
          <w:szCs w:val="15"/>
          <w:color w:val="auto"/>
        </w:rPr>
        <w:t>22C Capital is a private investment firm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 disciplinary experience building and running market leading data analytics companies, including co-founding and leading Capital IQ.</w:t>
      </w:r>
    </w:p>
    <w:p>
      <w:pPr>
        <w:spacing w:after="0" w:line="25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Debt Refinancing</w:t>
      </w:r>
    </w:p>
    <w:p>
      <w:pPr>
        <w:spacing w:after="0" w:line="114" w:lineRule="exact"/>
        <w:rPr>
          <w:sz w:val="20"/>
          <w:szCs w:val="20"/>
          <w:color w:val="auto"/>
        </w:rPr>
      </w:pPr>
    </w:p>
    <w:p>
      <w:pPr>
        <w:ind w:left="600" w:right="140" w:firstLine="401"/>
        <w:spacing w:after="0" w:line="288" w:lineRule="auto"/>
        <w:rPr>
          <w:sz w:val="20"/>
          <w:szCs w:val="20"/>
          <w:color w:val="auto"/>
        </w:rPr>
      </w:pPr>
      <w:r>
        <w:rPr>
          <w:rFonts w:ascii="Arial" w:cs="Arial" w:eastAsia="Arial" w:hAnsi="Arial"/>
          <w:sz w:val="15"/>
          <w:szCs w:val="15"/>
          <w:color w:val="auto"/>
        </w:rPr>
        <w:t>Following this offering and the repayment of a portion of the outstanding debt under our Senior Credit Facilities (as defined herein) using a portion of the net proceeds from this offering, we intend to refinance the remaining indebtedness under such facilities with new senior credit facilities. Assuming the application of the net proceeds to be received by us as described in “Use of Proceeds,” we expect that the new senior</w:t>
      </w:r>
    </w:p>
    <w:p>
      <w:pPr>
        <w:spacing w:after="0" w:line="1" w:lineRule="exact"/>
        <w:rPr>
          <w:sz w:val="20"/>
          <w:szCs w:val="20"/>
          <w:color w:val="auto"/>
        </w:rPr>
      </w:pPr>
    </w:p>
    <w:p>
      <w:pPr>
        <w:ind w:left="600" w:right="20"/>
        <w:spacing w:after="0" w:line="288" w:lineRule="auto"/>
        <w:rPr>
          <w:sz w:val="20"/>
          <w:szCs w:val="20"/>
          <w:color w:val="auto"/>
        </w:rPr>
      </w:pPr>
      <w:r>
        <w:rPr>
          <w:rFonts w:ascii="Arial" w:cs="Arial" w:eastAsia="Arial" w:hAnsi="Arial"/>
          <w:sz w:val="15"/>
          <w:szCs w:val="15"/>
          <w:color w:val="auto"/>
        </w:rPr>
        <w:t>secured credit facilities will consist of a revolving credit facility and a term loan debt facility and will bear interest at interest rates. We refer to these proposed transactions as the “debt refinancing.” We expect to incur a charge of up to $9.9 million related to the repayment of certain of our indebtedness in connection with the debt refinancing. Such charge will be included in other expense, net, in the same quarter as the date of the completion of this offering. We also expect our interest expense for the new senior credit facilities to be lower than the interest expense on our Senior Credit Facilities in future periods based on the reduction in our indebtedness and our ability to obtain more favorable terms associated with the new senior credit facilities. See “Description of Material Indebtedness—Senior Credit Facilities” and “Management’s Discussion and Analysis of Financial Condition and Results of Operations—Interest Expense” and “Management’s Discussion and Analysis of Financial Condition and Results of Operations—Liquidity and Capital Resources—Debt Obligations.” No assurance can be given that we will be able to complete the debt refinancing on these terms or at all. For an additional description of our Senior Credit Facilities, please see “Description of Material Indebtedness.”</w:t>
      </w:r>
    </w:p>
    <w:p>
      <w:pPr>
        <w:spacing w:after="0" w:line="259"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Corporate Information</w:t>
      </w:r>
    </w:p>
    <w:p>
      <w:pPr>
        <w:spacing w:after="0" w:line="114" w:lineRule="exact"/>
        <w:rPr>
          <w:sz w:val="20"/>
          <w:szCs w:val="20"/>
          <w:color w:val="auto"/>
        </w:rPr>
      </w:pPr>
    </w:p>
    <w:p>
      <w:pPr>
        <w:ind w:left="600" w:firstLine="401"/>
        <w:spacing w:after="0" w:line="255" w:lineRule="auto"/>
        <w:rPr>
          <w:sz w:val="20"/>
          <w:szCs w:val="20"/>
          <w:color w:val="auto"/>
        </w:rPr>
      </w:pPr>
      <w:r>
        <w:rPr>
          <w:rFonts w:ascii="Arial" w:cs="Arial" w:eastAsia="Arial" w:hAnsi="Arial"/>
          <w:sz w:val="17"/>
          <w:szCs w:val="17"/>
          <w:color w:val="auto"/>
        </w:rPr>
        <w:t>Definitive Healthcare Corp. was incorporated in Delaware on May 5, 2021. Our principal executive offices are located at 550 Cochituate Rd, Framingham, Massachusetts 01701, and our telephone number is (508) 720-4224. Our corporate website address is www.definitivehc.com. Our website and the information contained on, or that can be accessed through, this website is not deemed to be incorporated by reference in, and is not considered part of, this prospectus. You should not rely on any such information in making your decision whether to purchase our Class A common stock.</w:t>
      </w:r>
    </w:p>
    <w:p>
      <w:pPr>
        <w:spacing w:after="0" w:line="280"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Implications of Being an Emerging Growth Company</w:t>
      </w:r>
    </w:p>
    <w:p>
      <w:pPr>
        <w:spacing w:after="0" w:line="114" w:lineRule="exact"/>
        <w:rPr>
          <w:sz w:val="20"/>
          <w:szCs w:val="20"/>
          <w:color w:val="auto"/>
        </w:rPr>
      </w:pPr>
    </w:p>
    <w:p>
      <w:pPr>
        <w:ind w:left="600" w:right="340" w:firstLine="401"/>
        <w:spacing w:after="0" w:line="257" w:lineRule="auto"/>
        <w:rPr>
          <w:sz w:val="20"/>
          <w:szCs w:val="20"/>
          <w:color w:val="auto"/>
        </w:rPr>
      </w:pPr>
      <w:r>
        <w:rPr>
          <w:rFonts w:ascii="Arial" w:cs="Arial" w:eastAsia="Arial" w:hAnsi="Arial"/>
          <w:sz w:val="17"/>
          <w:szCs w:val="17"/>
          <w:color w:val="auto"/>
        </w:rPr>
        <w:t>As a company with less than $1.07 billion in gross revenue during our last fiscal year, we qualify as an “emerging growth company” as defined in the Jumpstart Our Business Startups Act of 2012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91" w:lineRule="exact"/>
        <w:rPr>
          <w:sz w:val="20"/>
          <w:szCs w:val="20"/>
          <w:color w:val="auto"/>
        </w:rPr>
      </w:pPr>
    </w:p>
    <w:p>
      <w:pPr>
        <w:ind w:left="1480" w:right="300" w:hanging="480"/>
        <w:spacing w:after="0" w:line="273" w:lineRule="auto"/>
        <w:tabs>
          <w:tab w:leader="none" w:pos="1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requirement to present only two years of audited financial statements and only two years of related Management’s Discussion and Analysis of Financial Condition and Results of Operations;</w:t>
      </w:r>
    </w:p>
    <w:p>
      <w:pPr>
        <w:spacing w:after="0" w:line="76" w:lineRule="exact"/>
        <w:rPr>
          <w:rFonts w:ascii="Arial" w:cs="Arial" w:eastAsia="Arial" w:hAnsi="Arial"/>
          <w:sz w:val="17"/>
          <w:szCs w:val="17"/>
          <w:color w:val="auto"/>
        </w:rPr>
      </w:pPr>
    </w:p>
    <w:p>
      <w:pPr>
        <w:ind w:left="1480" w:right="400" w:hanging="480"/>
        <w:spacing w:after="0" w:line="273" w:lineRule="auto"/>
        <w:tabs>
          <w:tab w:leader="none" w:pos="1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on the effectiveness of our system of internal control over financial reporting pursuant to the Sarbanes-Oxley Act of 2002, as amended (the “Sarbanes-Oxley Act”);</w:t>
      </w:r>
    </w:p>
    <w:p>
      <w:pPr>
        <w:spacing w:after="0" w:line="344"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00"/>
          </w:cols>
          <w:pgMar w:left="320" w:top="442" w:right="97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4237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95745" cy="42373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480" w:hanging="480"/>
        <w:spacing w:after="0"/>
        <w:tabs>
          <w:tab w:leader="none" w:pos="14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exemption from the adoption of new or revised financial accounting standards until they would apply to private companies;</w:t>
      </w:r>
    </w:p>
    <w:p>
      <w:pPr>
        <w:spacing w:after="0" w:line="134" w:lineRule="exact"/>
        <w:rPr>
          <w:rFonts w:ascii="Arial" w:cs="Arial" w:eastAsia="Arial" w:hAnsi="Arial"/>
          <w:sz w:val="16"/>
          <w:szCs w:val="16"/>
          <w:color w:val="auto"/>
        </w:rPr>
      </w:pPr>
    </w:p>
    <w:p>
      <w:pPr>
        <w:ind w:left="1480" w:right="340" w:hanging="480"/>
        <w:spacing w:after="0" w:line="261"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7" w:lineRule="exact"/>
        <w:rPr>
          <w:rFonts w:ascii="Arial" w:cs="Arial" w:eastAsia="Arial" w:hAnsi="Arial"/>
          <w:sz w:val="17"/>
          <w:szCs w:val="17"/>
          <w:color w:val="auto"/>
        </w:rPr>
      </w:pPr>
    </w:p>
    <w:p>
      <w:pPr>
        <w:ind w:left="1480" w:right="920" w:hanging="480"/>
        <w:spacing w:after="0" w:line="273" w:lineRule="auto"/>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and golden parachute arrangements; and</w:t>
      </w:r>
    </w:p>
    <w:p>
      <w:pPr>
        <w:spacing w:after="0" w:line="76" w:lineRule="exact"/>
        <w:rPr>
          <w:rFonts w:ascii="Arial" w:cs="Arial" w:eastAsia="Arial" w:hAnsi="Arial"/>
          <w:sz w:val="17"/>
          <w:szCs w:val="17"/>
          <w:color w:val="auto"/>
        </w:rPr>
      </w:pPr>
    </w:p>
    <w:p>
      <w:pPr>
        <w:ind w:left="1480" w:hanging="480"/>
        <w:spacing w:after="0"/>
        <w:tabs>
          <w:tab w:leader="none" w:pos="1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reduced disclosure about executive compensation arrangements.</w:t>
      </w:r>
    </w:p>
    <w:p>
      <w:pPr>
        <w:spacing w:after="0" w:line="212" w:lineRule="exact"/>
        <w:rPr>
          <w:sz w:val="20"/>
          <w:szCs w:val="20"/>
          <w:color w:val="auto"/>
        </w:rPr>
      </w:pPr>
    </w:p>
    <w:p>
      <w:pPr>
        <w:ind w:left="600" w:firstLine="401"/>
        <w:spacing w:after="0" w:line="291" w:lineRule="auto"/>
        <w:rPr>
          <w:sz w:val="20"/>
          <w:szCs w:val="20"/>
          <w:color w:val="auto"/>
        </w:rPr>
      </w:pPr>
      <w:r>
        <w:rPr>
          <w:rFonts w:ascii="Arial" w:cs="Arial" w:eastAsia="Arial" w:hAnsi="Arial"/>
          <w:sz w:val="15"/>
          <w:szCs w:val="15"/>
          <w:color w:val="auto"/>
        </w:rPr>
        <w:t>We will remain an emerging growth company until the last day of the fiscal year following the fifth anniversary of the completion of our IPO unless, prior to that time, we have more than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w:t>
      </w:r>
    </w:p>
    <w:p>
      <w:pPr>
        <w:spacing w:after="0" w:line="159" w:lineRule="exact"/>
        <w:rPr>
          <w:sz w:val="20"/>
          <w:szCs w:val="20"/>
          <w:color w:val="auto"/>
        </w:rPr>
      </w:pPr>
    </w:p>
    <w:p>
      <w:pPr>
        <w:ind w:left="600" w:right="40" w:firstLine="401"/>
        <w:spacing w:after="0" w:line="253"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An emerging growth company can, therefore, delay the adoption of certain accounting standards until those standards would otherwise apply to private companies. An emerging growth company can also choose to “opt out” of that extended transition period and comply with new and revised accounting standards on the relevant dates on which adoption of those standards is required for non-emerging growth companies. Section 107 of the JOBS Act provides that a decision to opt out of the extended transition period for complying with new or revised accounting standards is irrevocable.</w:t>
      </w:r>
    </w:p>
    <w:p>
      <w:pPr>
        <w:spacing w:after="0" w:line="186" w:lineRule="exact"/>
        <w:rPr>
          <w:sz w:val="20"/>
          <w:szCs w:val="20"/>
          <w:color w:val="auto"/>
        </w:rPr>
      </w:pPr>
    </w:p>
    <w:p>
      <w:pPr>
        <w:ind w:left="600" w:right="20" w:firstLine="401"/>
        <w:spacing w:after="0" w:line="257" w:lineRule="auto"/>
        <w:rPr>
          <w:sz w:val="20"/>
          <w:szCs w:val="20"/>
          <w:color w:val="auto"/>
        </w:rPr>
      </w:pPr>
      <w:r>
        <w:rPr>
          <w:rFonts w:ascii="Arial" w:cs="Arial" w:eastAsia="Arial" w:hAnsi="Arial"/>
          <w:sz w:val="17"/>
          <w:szCs w:val="17"/>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Class A common stock less attractive as a result of our elections, which may cause a less active trading market for our Class A common stock and more volatility in our stock price.</w:t>
      </w: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600"/>
          </w:cols>
          <w:pgMar w:left="320" w:top="442" w:right="97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450" w:type="dxa"/>
        <w:tblCellMar>
          <w:top w:w="0" w:type="dxa"/>
          <w:left w:w="0" w:type="dxa"/>
          <w:bottom w:w="0" w:type="dxa"/>
          <w:right w:w="0" w:type="dxa"/>
        </w:tblCellMar>
      </w:tblPr>
      <w:tr>
        <w:trPr>
          <w:trHeight w:val="384"/>
        </w:trPr>
        <w:tc>
          <w:tcPr>
            <w:tcW w:w="4480" w:type="dxa"/>
            <w:vAlign w:val="bottom"/>
            <w:tcBorders>
              <w:top w:val="single" w:sz="8" w:color="auto"/>
              <w:left w:val="single" w:sz="8" w:color="auto"/>
            </w:tcBorders>
          </w:tcPr>
          <w:p>
            <w:pPr>
              <w:spacing w:after="0"/>
              <w:rPr>
                <w:sz w:val="24"/>
                <w:szCs w:val="24"/>
                <w:color w:val="auto"/>
              </w:rPr>
            </w:pPr>
          </w:p>
        </w:tc>
        <w:tc>
          <w:tcPr>
            <w:tcW w:w="590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7"/>
                <w:szCs w:val="17"/>
                <w:b w:val="1"/>
                <w:bCs w:val="1"/>
                <w:color w:val="auto"/>
              </w:rPr>
              <w:t>THE OFFERING</w:t>
            </w:r>
          </w:p>
        </w:tc>
      </w:tr>
      <w:tr>
        <w:trPr>
          <w:trHeight w:val="432"/>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Issuer</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Definitive Healthcare Corp.</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Class A common stock offered by us</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15,555,555 shares of Class A common stock (17,888,888 shares if the</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underwriters exercise their option to purchase additional shares in full).</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0"/>
              </w:rPr>
              <w:t>Option to purchase additional shares of Class A common stock</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6"/>
              </w:rPr>
              <w:t>The underwriters have an option to purchase an additional 2,333,333 shares of</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4"/>
              </w:rPr>
              <w:t>Class A common stock from us. The underwriters can exercise this option at any</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time within 30 days from the date of this prospectus.</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7"/>
              </w:rPr>
              <w:t>Class A common stock to be outstanding after this offering</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87,522,796 shares of Class A common stock (88,266,945 shares if the</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underwriters exercise their option to purchase additional shares in full) or</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148,130,536 shares of Class A common stock (148,130,536 shares if the</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underwriters exercise their option to purchase additional shares of Class A</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common stock in full) if all outstanding LLC Units held by the Continuing Pre-</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IPO LLC Members and AIDH Management Holdings, LLC were redeemed or</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exchanged for a corresponding number of newly issued shares of Class A</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common stock.</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w w:val="97"/>
              </w:rPr>
              <w:t>Class B common stock to be outstanding after this offering</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60,607,740 shares of Class B common stock (0 shares if all outstanding LLC</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Units held by the Continuing Pre-IPO LLC Members were redeemed or</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exchanged for a corresponding number of newly issued shares of Class A</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common stock).</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LLC Units to be held by us after this offering</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87,522,796 LLC Units, representing a 59.1% economic interest in Definitive</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OpCo (or 88,266,945 LLC Units, representing a 59.6% economic interest in</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6"/>
              </w:rPr>
              <w:t>Definitive OpCo, if the underwriters exercise their option to purchase additional</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5"/>
              </w:rPr>
              <w:t>shares of Class A common stock in full). The LLC Units are not entitled to voting</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interests in Definitive OpCo.</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Total LLC Units to be outstanding after this offering</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7"/>
              </w:rPr>
              <w:t>148,130,536 LLC Units (or 148,130,536 LLC Units if the underwriters exercise</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their option to purchase additional shares of Class A common stock in full).</w:t>
            </w:r>
          </w:p>
        </w:tc>
      </w:tr>
      <w:tr>
        <w:trPr>
          <w:trHeight w:val="395"/>
        </w:trPr>
        <w:tc>
          <w:tcPr>
            <w:tcW w:w="448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Use of proceeds</w:t>
            </w: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4"/>
              </w:rPr>
              <w:t>We estimate that the net proceeds from the sale of our Class A common stock in</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9"/>
              </w:rPr>
              <w:t>this offering, after deducting the underwriting discount and estimated offering</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7"/>
              </w:rPr>
              <w:t>expenses payable by us, will be approximately $355.5 million ($410.3 million if</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4"/>
              </w:rPr>
              <w:t>the underwriters exercise their option to purchase additional shares in full) based</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3"/>
              </w:rPr>
              <w:t>on an assumed IPO price of $25.00 per share (the midpoint of the price range set</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forth on the cover of this prospectus).</w:t>
            </w:r>
          </w:p>
        </w:tc>
      </w:tr>
      <w:tr>
        <w:trPr>
          <w:trHeight w:val="306"/>
        </w:trPr>
        <w:tc>
          <w:tcPr>
            <w:tcW w:w="4480" w:type="dxa"/>
            <w:vAlign w:val="bottom"/>
            <w:tcBorders>
              <w:left w:val="single" w:sz="8" w:color="auto"/>
            </w:tcBorders>
          </w:tcPr>
          <w:p>
            <w:pPr>
              <w:spacing w:after="0"/>
              <w:rPr>
                <w:sz w:val="24"/>
                <w:szCs w:val="24"/>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6"/>
              </w:rPr>
              <w:t>We intend to use the net proceeds from this offering to (i) purchase 14,222,222</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5"/>
              </w:rPr>
              <w:t>newly issued LLC Units from Definitive OpCo, (ii) acquire 425,229 newly issued</w:t>
            </w:r>
          </w:p>
        </w:tc>
      </w:tr>
      <w:tr>
        <w:trPr>
          <w:trHeight w:val="204"/>
        </w:trPr>
        <w:tc>
          <w:tcPr>
            <w:tcW w:w="4480" w:type="dxa"/>
            <w:vAlign w:val="bottom"/>
            <w:tcBorders>
              <w:left w:val="single" w:sz="8" w:color="auto"/>
            </w:tcBorders>
          </w:tcPr>
          <w:p>
            <w:pPr>
              <w:spacing w:after="0"/>
              <w:rPr>
                <w:sz w:val="17"/>
                <w:szCs w:val="17"/>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w w:val="98"/>
              </w:rPr>
              <w:t>LLC Units from Pre-IPO LLC Members and (iii) repurchase 908,104 shares of</w:t>
            </w:r>
          </w:p>
        </w:tc>
      </w:tr>
      <w:tr>
        <w:trPr>
          <w:trHeight w:val="215"/>
        </w:trPr>
        <w:tc>
          <w:tcPr>
            <w:tcW w:w="4480" w:type="dxa"/>
            <w:vAlign w:val="bottom"/>
            <w:tcBorders>
              <w:left w:val="single" w:sz="8" w:color="auto"/>
            </w:tcBorders>
          </w:tcPr>
          <w:p>
            <w:pPr>
              <w:spacing w:after="0"/>
              <w:rPr>
                <w:sz w:val="18"/>
                <w:szCs w:val="18"/>
                <w:color w:val="auto"/>
              </w:rPr>
            </w:pPr>
          </w:p>
        </w:tc>
        <w:tc>
          <w:tcPr>
            <w:tcW w:w="5900" w:type="dxa"/>
            <w:vAlign w:val="bottom"/>
            <w:tcBorders>
              <w:right w:val="single" w:sz="8" w:color="auto"/>
            </w:tcBorders>
          </w:tcPr>
          <w:p>
            <w:pPr>
              <w:ind w:left="140"/>
              <w:spacing w:after="0"/>
              <w:rPr>
                <w:sz w:val="20"/>
                <w:szCs w:val="20"/>
                <w:color w:val="auto"/>
              </w:rPr>
            </w:pPr>
            <w:r>
              <w:rPr>
                <w:rFonts w:ascii="Arial" w:cs="Arial" w:eastAsia="Arial" w:hAnsi="Arial"/>
                <w:sz w:val="17"/>
                <w:szCs w:val="17"/>
                <w:color w:val="auto"/>
              </w:rPr>
              <w:t>Class A common</w:t>
            </w:r>
          </w:p>
        </w:tc>
      </w:tr>
      <w:tr>
        <w:trPr>
          <w:trHeight w:val="239"/>
        </w:trPr>
        <w:tc>
          <w:tcPr>
            <w:tcW w:w="4480" w:type="dxa"/>
            <w:vAlign w:val="bottom"/>
            <w:tcBorders>
              <w:left w:val="single" w:sz="8" w:color="auto"/>
              <w:bottom w:val="single" w:sz="8" w:color="auto"/>
            </w:tcBorders>
          </w:tcPr>
          <w:p>
            <w:pPr>
              <w:spacing w:after="0"/>
              <w:rPr>
                <w:sz w:val="20"/>
                <w:szCs w:val="20"/>
                <w:color w:val="auto"/>
              </w:rPr>
            </w:pPr>
          </w:p>
        </w:tc>
        <w:tc>
          <w:tcPr>
            <w:tcW w:w="5900" w:type="dxa"/>
            <w:vAlign w:val="bottom"/>
            <w:tcBorders>
              <w:bottom w:val="single" w:sz="8" w:color="auto"/>
              <w:right w:val="single" w:sz="8" w:color="auto"/>
            </w:tcBorders>
          </w:tcPr>
          <w:p>
            <w:pPr>
              <w:spacing w:after="0"/>
              <w:rPr>
                <w:sz w:val="20"/>
                <w:szCs w:val="20"/>
                <w:color w:val="auto"/>
              </w:rPr>
            </w:pPr>
          </w:p>
        </w:tc>
      </w:tr>
      <w:tr>
        <w:trPr>
          <w:trHeight w:val="339"/>
        </w:trPr>
        <w:tc>
          <w:tcPr>
            <w:tcW w:w="4480" w:type="dxa"/>
            <w:vAlign w:val="bottom"/>
          </w:tcPr>
          <w:p>
            <w:pPr>
              <w:spacing w:after="0"/>
              <w:rPr>
                <w:sz w:val="24"/>
                <w:szCs w:val="24"/>
                <w:color w:val="auto"/>
              </w:rPr>
            </w:pPr>
          </w:p>
        </w:tc>
        <w:tc>
          <w:tcPr>
            <w:tcW w:w="5900" w:type="dxa"/>
            <w:vAlign w:val="bottom"/>
          </w:tcPr>
          <w:p>
            <w:pPr>
              <w:ind w:left="620"/>
              <w:spacing w:after="0"/>
              <w:rPr>
                <w:sz w:val="20"/>
                <w:szCs w:val="20"/>
                <w:color w:val="auto"/>
              </w:rPr>
            </w:pPr>
            <w:r>
              <w:rPr>
                <w:rFonts w:ascii="Arial" w:cs="Arial" w:eastAsia="Arial" w:hAnsi="Arial"/>
                <w:sz w:val="17"/>
                <w:szCs w:val="17"/>
                <w:color w:val="auto"/>
              </w:rPr>
              <w:t>17</w:t>
            </w:r>
          </w:p>
        </w:tc>
      </w:tr>
    </w:tbl>
    <w:p>
      <w:pPr>
        <w:sectPr>
          <w:pgSz w:w="11900" w:h="16838" w:orient="portrait"/>
          <w:cols w:equalWidth="0" w:num="1">
            <w:col w:w="10820"/>
          </w:cols>
          <w:pgMar w:left="320" w:top="442" w:right="7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450" w:type="dxa"/>
        <w:tblCellMar>
          <w:top w:w="0" w:type="dxa"/>
          <w:left w:w="0" w:type="dxa"/>
          <w:bottom w:w="0" w:type="dxa"/>
          <w:right w:w="0" w:type="dxa"/>
        </w:tblCellMar>
      </w:tblPr>
      <w:tr>
        <w:trPr>
          <w:trHeight w:val="373"/>
        </w:trPr>
        <w:tc>
          <w:tcPr>
            <w:tcW w:w="3160" w:type="dxa"/>
            <w:vAlign w:val="bottom"/>
            <w:tcBorders>
              <w:top w:val="single" w:sz="8" w:color="auto"/>
              <w:left w:val="single" w:sz="8" w:color="auto"/>
            </w:tcBorders>
          </w:tcPr>
          <w:p>
            <w:pPr>
              <w:spacing w:after="0"/>
              <w:rPr>
                <w:sz w:val="24"/>
                <w:szCs w:val="24"/>
                <w:color w:val="auto"/>
              </w:rPr>
            </w:pPr>
          </w:p>
        </w:tc>
        <w:tc>
          <w:tcPr>
            <w:tcW w:w="722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7"/>
                <w:szCs w:val="17"/>
                <w:color w:val="auto"/>
                <w:w w:val="95"/>
              </w:rPr>
              <w:t>stock received by Blocker Company equityholders in connection with the Mergers, at</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5"/>
              </w:rPr>
              <w:t>a price per LLC Unit and a share of Class A common stock equal to the IPO price of</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our Class A common stock minus the underwriting discounts. The foregoing</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4"/>
              </w:rPr>
              <w:t>purchases of LLC Units will be at a price per unit equal to the public offering price per</w:t>
            </w:r>
          </w:p>
        </w:tc>
      </w:tr>
      <w:tr>
        <w:trPr>
          <w:trHeight w:val="215"/>
        </w:trPr>
        <w:tc>
          <w:tcPr>
            <w:tcW w:w="316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share of Class A common stock in this offering, less the underwriting discount.</w:t>
            </w:r>
          </w:p>
        </w:tc>
      </w:tr>
      <w:tr>
        <w:trPr>
          <w:trHeight w:val="395"/>
        </w:trPr>
        <w:tc>
          <w:tcPr>
            <w:tcW w:w="316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We will cause Definitive OpCo to use the proceeds from the issuance of the LLC</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Units to Definitive Healthcare Corp. as follows: (i) to pay fees and expenses of</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7"/>
              </w:rPr>
              <w:t>approximately $10.1 million in connection with this offering and the Reorganization</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9"/>
              </w:rPr>
              <w:t>Transactions; (ii) to repay $195.4 million of the outstanding borrowings under our</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5"/>
              </w:rPr>
              <w:t>Senior Credit Facilities; and (iii) for general corporate purposes. Definitive OpCo will</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not receive any proceeds from the purchase of LLC Units from certain Pre-IPO LLC</w:t>
            </w:r>
          </w:p>
        </w:tc>
      </w:tr>
      <w:tr>
        <w:trPr>
          <w:trHeight w:val="215"/>
        </w:trPr>
        <w:tc>
          <w:tcPr>
            <w:tcW w:w="316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8"/>
              </w:rPr>
              <w:t>Members by us or from the repurchase of shares of Class A common stock by us.</w:t>
            </w:r>
          </w:p>
        </w:tc>
      </w:tr>
      <w:tr>
        <w:trPr>
          <w:trHeight w:val="395"/>
        </w:trPr>
        <w:tc>
          <w:tcPr>
            <w:tcW w:w="316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If the underwriters exercise their option to purchase additional shares of Class A</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common stock in full, we estimate that our additional net proceeds will be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approximately $54.8 million based on an assumed IPO price of $25.00. We will use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5"/>
              </w:rPr>
              <w:t>the additional net proceeds we receive pursuant to any exercise of the underwriters’</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4"/>
              </w:rPr>
              <w:t>option to purchase additional shares of Class A common stock to purchase LLC Units</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from certain Pre-IPO LLC Members and/or to repurchase shares of the Class A</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4"/>
              </w:rPr>
              <w:t>common stock received by the Blocker Company equityholders in connection with the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7"/>
              </w:rPr>
              <w:t>Mergers at a price per LLC Unit and share of Class A common stock, in each case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3"/>
              </w:rPr>
              <w:t>equal to the IPO price of our Class A common stock minus underwriting discounts. As</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a result, Definitive OpCo will not receive any additional proceeds from any exercise</w:t>
            </w:r>
          </w:p>
        </w:tc>
      </w:tr>
      <w:tr>
        <w:trPr>
          <w:trHeight w:val="215"/>
        </w:trPr>
        <w:tc>
          <w:tcPr>
            <w:tcW w:w="316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of the underwriters’ option to purchase additional shares of Class A common stock.</w:t>
            </w:r>
          </w:p>
        </w:tc>
      </w:tr>
      <w:tr>
        <w:trPr>
          <w:trHeight w:val="407"/>
        </w:trPr>
        <w:tc>
          <w:tcPr>
            <w:tcW w:w="31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Issuer</w:t>
            </w: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Definitive Healthcare Corp.</w:t>
            </w:r>
          </w:p>
        </w:tc>
      </w:tr>
      <w:tr>
        <w:trPr>
          <w:trHeight w:val="395"/>
        </w:trPr>
        <w:tc>
          <w:tcPr>
            <w:tcW w:w="31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Tax Receivable Agreement</w:t>
            </w: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Upon the completion of this offering, we will be a party to the Tax Receivable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Agreement with the TRA Parties (as defined herein). Under the Tax Receivable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Agreement, we generally will be required to pay to the TRA Parties 85% of the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8"/>
              </w:rPr>
              <w:t>amount of cash savings, if any, in U.S. federal, state and local income tax that we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actually realize (or in some circumstances are deemed to realize) as a result of</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(i) certain favorable tax attributes we will acquire from the Blocker Companies in the</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2"/>
              </w:rPr>
              <w:t>Mergers (as defined herein, including net operating losses and the unamortized portion</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2"/>
              </w:rPr>
              <w:t>of the increase in tax basis in the tangible and intangible assets of Definitive OpCo and</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5"/>
              </w:rPr>
              <w:t>its subsidiaries resulting from the prior acquisitions of interests in Definitive OpCo by</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6"/>
              </w:rPr>
              <w:t>the Blocker Companies), (ii) tax basis adjustments resulting from (a) acquisitions by</w:t>
            </w:r>
          </w:p>
        </w:tc>
      </w:tr>
      <w:tr>
        <w:trPr>
          <w:trHeight w:val="204"/>
        </w:trPr>
        <w:tc>
          <w:tcPr>
            <w:tcW w:w="3160" w:type="dxa"/>
            <w:vAlign w:val="bottom"/>
            <w:tcBorders>
              <w:left w:val="single" w:sz="8" w:color="auto"/>
            </w:tcBorders>
          </w:tcPr>
          <w:p>
            <w:pPr>
              <w:spacing w:after="0"/>
              <w:rPr>
                <w:sz w:val="17"/>
                <w:szCs w:val="17"/>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w w:val="97"/>
              </w:rPr>
              <w:t>us of LLC Units from certain Pre-IPO LLC Members in connection with this offering</w:t>
            </w:r>
          </w:p>
        </w:tc>
      </w:tr>
      <w:tr>
        <w:trPr>
          <w:trHeight w:val="215"/>
        </w:trPr>
        <w:tc>
          <w:tcPr>
            <w:tcW w:w="316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1140"/>
              <w:spacing w:after="0"/>
              <w:rPr>
                <w:sz w:val="20"/>
                <w:szCs w:val="20"/>
                <w:color w:val="auto"/>
              </w:rPr>
            </w:pPr>
            <w:r>
              <w:rPr>
                <w:rFonts w:ascii="Arial" w:cs="Arial" w:eastAsia="Arial" w:hAnsi="Arial"/>
                <w:sz w:val="17"/>
                <w:szCs w:val="17"/>
                <w:color w:val="auto"/>
              </w:rPr>
              <w:t>and (b) future</w:t>
            </w:r>
          </w:p>
        </w:tc>
      </w:tr>
      <w:tr>
        <w:trPr>
          <w:trHeight w:val="226"/>
        </w:trPr>
        <w:tc>
          <w:tcPr>
            <w:tcW w:w="3160" w:type="dxa"/>
            <w:vAlign w:val="bottom"/>
            <w:tcBorders>
              <w:left w:val="single" w:sz="8" w:color="auto"/>
              <w:bottom w:val="single" w:sz="8" w:color="auto"/>
            </w:tcBorders>
          </w:tcPr>
          <w:p>
            <w:pPr>
              <w:spacing w:after="0"/>
              <w:rPr>
                <w:sz w:val="19"/>
                <w:szCs w:val="19"/>
                <w:color w:val="auto"/>
              </w:rPr>
            </w:pPr>
          </w:p>
        </w:tc>
        <w:tc>
          <w:tcPr>
            <w:tcW w:w="7220" w:type="dxa"/>
            <w:vAlign w:val="bottom"/>
            <w:tcBorders>
              <w:bottom w:val="single" w:sz="8" w:color="auto"/>
              <w:right w:val="single" w:sz="8" w:color="auto"/>
            </w:tcBorders>
          </w:tcPr>
          <w:p>
            <w:pPr>
              <w:spacing w:after="0"/>
              <w:rPr>
                <w:sz w:val="19"/>
                <w:szCs w:val="19"/>
                <w:color w:val="auto"/>
              </w:rPr>
            </w:pPr>
          </w:p>
        </w:tc>
      </w:tr>
      <w:tr>
        <w:trPr>
          <w:trHeight w:val="339"/>
        </w:trPr>
        <w:tc>
          <w:tcPr>
            <w:tcW w:w="3160" w:type="dxa"/>
            <w:vAlign w:val="bottom"/>
          </w:tcPr>
          <w:p>
            <w:pPr>
              <w:spacing w:after="0"/>
              <w:rPr>
                <w:sz w:val="24"/>
                <w:szCs w:val="24"/>
                <w:color w:val="auto"/>
              </w:rPr>
            </w:pPr>
          </w:p>
        </w:tc>
        <w:tc>
          <w:tcPr>
            <w:tcW w:w="7220" w:type="dxa"/>
            <w:vAlign w:val="bottom"/>
          </w:tcPr>
          <w:p>
            <w:pPr>
              <w:ind w:left="1940"/>
              <w:spacing w:after="0"/>
              <w:rPr>
                <w:sz w:val="20"/>
                <w:szCs w:val="20"/>
                <w:color w:val="auto"/>
              </w:rPr>
            </w:pPr>
            <w:r>
              <w:rPr>
                <w:rFonts w:ascii="Arial" w:cs="Arial" w:eastAsia="Arial" w:hAnsi="Arial"/>
                <w:sz w:val="17"/>
                <w:szCs w:val="17"/>
                <w:color w:val="auto"/>
              </w:rPr>
              <w:t>18</w:t>
            </w:r>
          </w:p>
        </w:tc>
      </w:tr>
    </w:tbl>
    <w:p>
      <w:pPr>
        <w:sectPr>
          <w:pgSz w:w="11900" w:h="16838" w:orient="portrait"/>
          <w:cols w:equalWidth="0" w:num="1">
            <w:col w:w="10820"/>
          </w:cols>
          <w:pgMar w:left="320" w:top="442" w:right="75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0" w:lineRule="exact"/>
        <w:rPr>
          <w:sz w:val="20"/>
          <w:szCs w:val="20"/>
          <w:color w:val="auto"/>
        </w:rPr>
      </w:pPr>
    </w:p>
    <w:tbl>
      <w:tblPr>
        <w:tblLayout w:type="fixed"/>
        <w:tblInd w:w="450" w:type="dxa"/>
        <w:tblCellMar>
          <w:top w:w="0" w:type="dxa"/>
          <w:left w:w="0" w:type="dxa"/>
          <w:bottom w:w="0" w:type="dxa"/>
          <w:right w:w="0" w:type="dxa"/>
        </w:tblCellMar>
      </w:tblPr>
      <w:tr>
        <w:trPr>
          <w:trHeight w:val="373"/>
        </w:trPr>
        <w:tc>
          <w:tcPr>
            <w:tcW w:w="3060" w:type="dxa"/>
            <w:vAlign w:val="bottom"/>
            <w:tcBorders>
              <w:top w:val="single" w:sz="8" w:color="auto"/>
              <w:left w:val="single" w:sz="8" w:color="auto"/>
            </w:tcBorders>
          </w:tcPr>
          <w:p>
            <w:pPr>
              <w:spacing w:after="0"/>
              <w:rPr>
                <w:sz w:val="24"/>
                <w:szCs w:val="24"/>
                <w:color w:val="auto"/>
              </w:rPr>
            </w:pPr>
          </w:p>
        </w:tc>
        <w:tc>
          <w:tcPr>
            <w:tcW w:w="7320" w:type="dxa"/>
            <w:vAlign w:val="bottom"/>
            <w:tcBorders>
              <w:top w:val="single" w:sz="8" w:color="auto"/>
              <w:right w:val="single" w:sz="8" w:color="auto"/>
            </w:tcBorders>
            <w:gridSpan w:val="3"/>
          </w:tcPr>
          <w:p>
            <w:pPr>
              <w:ind w:left="1240"/>
              <w:spacing w:after="0"/>
              <w:rPr>
                <w:sz w:val="20"/>
                <w:szCs w:val="20"/>
                <w:color w:val="auto"/>
              </w:rPr>
            </w:pPr>
            <w:r>
              <w:rPr>
                <w:rFonts w:ascii="Arial" w:cs="Arial" w:eastAsia="Arial" w:hAnsi="Arial"/>
                <w:sz w:val="17"/>
                <w:szCs w:val="17"/>
                <w:color w:val="auto"/>
                <w:w w:val="96"/>
              </w:rPr>
              <w:t>exchanges of LLC Units by Continuing Pre-IPO LLC Members for Class A common</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stock and (iii) certain payments made under the Tax Receivable Agreement. We will</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9"/>
              </w:rPr>
              <w:t>retain the benefit of the remaining 15% of these tax savings. See “Organizational</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Structure—Holding Company Structure and the Tax Receivable Agreement.”</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Dividend policy</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We do not anticipate paying any dividends on our Class A common stock or Class B</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common stock for the foreseeable future; however, we may change this policy in the</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future. See “Dividend Policy.”</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Voting Rights</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3"/>
              </w:rPr>
              <w:t>Each share of our Class A common stock entitles its holder to one vote for each share</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4"/>
              </w:rPr>
              <w:t>of Class A common stock held of record on all matters to be voted on by stockholders</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generally.</w:t>
            </w:r>
          </w:p>
        </w:tc>
      </w:tr>
      <w:tr>
        <w:trPr>
          <w:trHeight w:val="306"/>
        </w:trPr>
        <w:tc>
          <w:tcPr>
            <w:tcW w:w="306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3"/>
              </w:rPr>
              <w:t>Each share of our Class B common stock entitles its holder to one vote for each share</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of Class B common stock held of record on all matters on which stockholders of</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Definitive Healthcare Corp. are entitled to vote generally. The shares of Class B</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8"/>
              </w:rPr>
              <w:t>common stock representing the voting interests of 2,747,353 LLC Units subject to</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time-based vesting will not entitle the holder thereof to vote such shares until the</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underlying LLC Units vest.</w:t>
            </w:r>
          </w:p>
        </w:tc>
      </w:tr>
      <w:tr>
        <w:trPr>
          <w:trHeight w:val="306"/>
        </w:trPr>
        <w:tc>
          <w:tcPr>
            <w:tcW w:w="3060" w:type="dxa"/>
            <w:vAlign w:val="bottom"/>
            <w:tcBorders>
              <w:left w:val="single" w:sz="8" w:color="auto"/>
            </w:tcBorders>
          </w:tcPr>
          <w:p>
            <w:pPr>
              <w:spacing w:after="0"/>
              <w:rPr>
                <w:sz w:val="24"/>
                <w:szCs w:val="24"/>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7"/>
              </w:rPr>
              <w:t>Holders of outstanding shares of our Class A common stock and Class B common</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7"/>
              </w:rPr>
              <w:t>stock will vote as a single class on all matters on which stockholders are entitled to</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3"/>
              </w:rPr>
              <w:t>vote generally, except as otherwise required by law. See “Description of Capital Stock</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—Common Stock.”</w:t>
            </w:r>
          </w:p>
        </w:tc>
      </w:tr>
      <w:tr>
        <w:trPr>
          <w:trHeight w:val="408"/>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Risk Factors</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Investing in our Class A common stock involves a high degree of risk. See the</w:t>
            </w:r>
          </w:p>
        </w:tc>
      </w:tr>
      <w:tr>
        <w:trPr>
          <w:trHeight w:val="178"/>
        </w:trPr>
        <w:tc>
          <w:tcPr>
            <w:tcW w:w="3060" w:type="dxa"/>
            <w:vAlign w:val="bottom"/>
            <w:tcBorders>
              <w:left w:val="single" w:sz="8" w:color="auto"/>
            </w:tcBorders>
          </w:tcPr>
          <w:p>
            <w:pPr>
              <w:spacing w:after="0"/>
              <w:rPr>
                <w:sz w:val="15"/>
                <w:szCs w:val="15"/>
                <w:color w:val="auto"/>
              </w:rPr>
            </w:pPr>
          </w:p>
        </w:tc>
        <w:tc>
          <w:tcPr>
            <w:tcW w:w="7320" w:type="dxa"/>
            <w:vAlign w:val="bottom"/>
            <w:tcBorders>
              <w:right w:val="single" w:sz="8" w:color="auto"/>
            </w:tcBorders>
            <w:gridSpan w:val="3"/>
          </w:tcPr>
          <w:p>
            <w:pPr>
              <w:ind w:left="1240"/>
              <w:spacing w:after="0" w:line="178" w:lineRule="exact"/>
              <w:rPr>
                <w:rFonts w:ascii="Arial" w:cs="Arial" w:eastAsia="Arial" w:hAnsi="Arial"/>
                <w:sz w:val="17"/>
                <w:szCs w:val="17"/>
                <w:color w:val="auto"/>
                <w:w w:val="98"/>
              </w:rPr>
            </w:pPr>
            <w:r>
              <w:rPr>
                <w:rFonts w:ascii="Arial" w:cs="Arial" w:eastAsia="Arial" w:hAnsi="Arial"/>
                <w:sz w:val="17"/>
                <w:szCs w:val="17"/>
                <w:color w:val="auto"/>
                <w:w w:val="98"/>
              </w:rPr>
              <w:t>“</w:t>
            </w:r>
            <w:hyperlink w:anchor="page37">
              <w:r>
                <w:rPr>
                  <w:rFonts w:ascii="Arial" w:cs="Arial" w:eastAsia="Arial" w:hAnsi="Arial"/>
                  <w:sz w:val="17"/>
                  <w:szCs w:val="17"/>
                  <w:color w:val="0000EE"/>
                  <w:w w:val="98"/>
                </w:rPr>
                <w:t>Risk Factors</w:t>
              </w:r>
            </w:hyperlink>
            <w:r>
              <w:rPr>
                <w:rFonts w:ascii="Arial" w:cs="Arial" w:eastAsia="Arial" w:hAnsi="Arial"/>
                <w:sz w:val="17"/>
                <w:szCs w:val="17"/>
                <w:color w:val="auto"/>
                <w:w w:val="98"/>
              </w:rPr>
              <w:t>” section of this prospectus beginning on page 27 for a discussion of</w:t>
            </w:r>
          </w:p>
        </w:tc>
      </w:tr>
      <w:tr>
        <w:trPr>
          <w:trHeight w:val="20"/>
        </w:trPr>
        <w:tc>
          <w:tcPr>
            <w:tcW w:w="3060" w:type="dxa"/>
            <w:vAlign w:val="bottom"/>
            <w:tcBorders>
              <w:lef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160" w:type="dxa"/>
            <w:vAlign w:val="bottom"/>
            <w:tcBorders>
              <w:right w:val="single" w:sz="8" w:color="auto"/>
            </w:tcBorders>
          </w:tcPr>
          <w:p>
            <w:pPr>
              <w:spacing w:after="0" w:line="20" w:lineRule="exact"/>
              <w:rPr>
                <w:sz w:val="1"/>
                <w:szCs w:val="1"/>
                <w:color w:val="auto"/>
              </w:rPr>
            </w:pPr>
          </w:p>
        </w:tc>
      </w:tr>
      <w:tr>
        <w:trPr>
          <w:trHeight w:val="221"/>
        </w:trPr>
        <w:tc>
          <w:tcPr>
            <w:tcW w:w="3060" w:type="dxa"/>
            <w:vAlign w:val="bottom"/>
            <w:tcBorders>
              <w:left w:val="single" w:sz="8" w:color="auto"/>
            </w:tcBorders>
          </w:tcPr>
          <w:p>
            <w:pPr>
              <w:spacing w:after="0"/>
              <w:rPr>
                <w:sz w:val="19"/>
                <w:szCs w:val="19"/>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factors you should carefully consider before investing in our Class A common stock.</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Directed Share Program</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5"/>
              </w:rPr>
              <w:t>At our request, Goldman Sachs &amp; Co. LLC, a participating underwriter, has reserved</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4"/>
              </w:rPr>
              <w:t>for sale, at the IPO price, up to 5% of the shares offered by this prospectus for sale to</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0"/>
              </w:rPr>
              <w:t>our directors, officers and selected senior managers. If these persons purchase reserved</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3"/>
              </w:rPr>
              <w:t>shares it will reduce the number of shares available for sale to the general public. Any</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6"/>
              </w:rPr>
              <w:t>reserved shares that are not so purchased will be offered by the underwriters to the</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4"/>
              </w:rPr>
              <w:t>general public on the same terms as the other shares offered by this prospectus, see</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“Underwriting—Directed Share Program.”</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Listing</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We have applied to have our Class A common stock listed on Nasdaq under the</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symbol “DH.”</w:t>
            </w:r>
          </w:p>
        </w:tc>
      </w:tr>
      <w:tr>
        <w:trPr>
          <w:trHeight w:val="395"/>
        </w:trPr>
        <w:tc>
          <w:tcPr>
            <w:tcW w:w="3060" w:type="dxa"/>
            <w:vAlign w:val="bottom"/>
            <w:tcBorders>
              <w:left w:val="single" w:sz="8" w:color="auto"/>
            </w:tcBorders>
          </w:tcPr>
          <w:p>
            <w:pPr>
              <w:ind w:left="180"/>
              <w:spacing w:after="0"/>
              <w:rPr>
                <w:sz w:val="20"/>
                <w:szCs w:val="20"/>
                <w:color w:val="auto"/>
              </w:rPr>
            </w:pPr>
            <w:r>
              <w:rPr>
                <w:rFonts w:ascii="Arial" w:cs="Arial" w:eastAsia="Arial" w:hAnsi="Arial"/>
                <w:sz w:val="17"/>
                <w:szCs w:val="17"/>
                <w:color w:val="auto"/>
              </w:rPr>
              <w:t>Indications of Interest</w:t>
            </w: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The cornerstone investors have, severally and not jointly, indicated an interest in</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purchasing an aggregate of up to $40.0 million each (up to $80.0 million in the</w:t>
            </w:r>
          </w:p>
        </w:tc>
      </w:tr>
      <w:tr>
        <w:trPr>
          <w:trHeight w:val="204"/>
        </w:trPr>
        <w:tc>
          <w:tcPr>
            <w:tcW w:w="3060" w:type="dxa"/>
            <w:vAlign w:val="bottom"/>
            <w:tcBorders>
              <w:left w:val="single" w:sz="8" w:color="auto"/>
            </w:tcBorders>
          </w:tcPr>
          <w:p>
            <w:pPr>
              <w:spacing w:after="0"/>
              <w:rPr>
                <w:sz w:val="17"/>
                <w:szCs w:val="17"/>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w w:val="94"/>
              </w:rPr>
              <w:t>aggregate) of the shares of Class A common stock offered in this offering at the initial</w:t>
            </w:r>
          </w:p>
        </w:tc>
      </w:tr>
      <w:tr>
        <w:trPr>
          <w:trHeight w:val="215"/>
        </w:trPr>
        <w:tc>
          <w:tcPr>
            <w:tcW w:w="3060" w:type="dxa"/>
            <w:vAlign w:val="bottom"/>
            <w:tcBorders>
              <w:left w:val="single" w:sz="8" w:color="auto"/>
            </w:tcBorders>
          </w:tcPr>
          <w:p>
            <w:pPr>
              <w:spacing w:after="0"/>
              <w:rPr>
                <w:sz w:val="18"/>
                <w:szCs w:val="18"/>
                <w:color w:val="auto"/>
              </w:rPr>
            </w:pPr>
          </w:p>
        </w:tc>
        <w:tc>
          <w:tcPr>
            <w:tcW w:w="7320" w:type="dxa"/>
            <w:vAlign w:val="bottom"/>
            <w:tcBorders>
              <w:right w:val="single" w:sz="8" w:color="auto"/>
            </w:tcBorders>
            <w:gridSpan w:val="3"/>
          </w:tcPr>
          <w:p>
            <w:pPr>
              <w:ind w:left="1240"/>
              <w:spacing w:after="0"/>
              <w:rPr>
                <w:sz w:val="20"/>
                <w:szCs w:val="20"/>
                <w:color w:val="auto"/>
              </w:rPr>
            </w:pPr>
            <w:r>
              <w:rPr>
                <w:rFonts w:ascii="Arial" w:cs="Arial" w:eastAsia="Arial" w:hAnsi="Arial"/>
                <w:sz w:val="17"/>
                <w:szCs w:val="17"/>
                <w:color w:val="auto"/>
              </w:rPr>
              <w:t>public offering price.</w:t>
            </w:r>
          </w:p>
        </w:tc>
      </w:tr>
      <w:tr>
        <w:trPr>
          <w:trHeight w:val="226"/>
        </w:trPr>
        <w:tc>
          <w:tcPr>
            <w:tcW w:w="3060" w:type="dxa"/>
            <w:vAlign w:val="bottom"/>
            <w:tcBorders>
              <w:left w:val="single" w:sz="8" w:color="auto"/>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160" w:type="dxa"/>
            <w:vAlign w:val="bottom"/>
            <w:tcBorders>
              <w:bottom w:val="single" w:sz="8" w:color="auto"/>
              <w:right w:val="single" w:sz="8" w:color="auto"/>
            </w:tcBorders>
          </w:tcPr>
          <w:p>
            <w:pPr>
              <w:spacing w:after="0"/>
              <w:rPr>
                <w:sz w:val="19"/>
                <w:szCs w:val="19"/>
                <w:color w:val="auto"/>
              </w:rPr>
            </w:pPr>
          </w:p>
        </w:tc>
      </w:tr>
      <w:tr>
        <w:trPr>
          <w:trHeight w:val="339"/>
        </w:trPr>
        <w:tc>
          <w:tcPr>
            <w:tcW w:w="3060" w:type="dxa"/>
            <w:vAlign w:val="bottom"/>
          </w:tcPr>
          <w:p>
            <w:pPr>
              <w:spacing w:after="0"/>
              <w:rPr>
                <w:sz w:val="24"/>
                <w:szCs w:val="24"/>
                <w:color w:val="auto"/>
              </w:rPr>
            </w:pPr>
          </w:p>
        </w:tc>
        <w:tc>
          <w:tcPr>
            <w:tcW w:w="7320" w:type="dxa"/>
            <w:vAlign w:val="bottom"/>
            <w:gridSpan w:val="3"/>
          </w:tcPr>
          <w:p>
            <w:pPr>
              <w:ind w:left="2040"/>
              <w:spacing w:after="0"/>
              <w:rPr>
                <w:sz w:val="20"/>
                <w:szCs w:val="20"/>
                <w:color w:val="auto"/>
              </w:rPr>
            </w:pPr>
            <w:r>
              <w:rPr>
                <w:rFonts w:ascii="Arial" w:cs="Arial" w:eastAsia="Arial" w:hAnsi="Arial"/>
                <w:sz w:val="17"/>
                <w:szCs w:val="17"/>
                <w:color w:val="auto"/>
              </w:rPr>
              <w:t>19</w:t>
            </w:r>
          </w:p>
        </w:tc>
      </w:tr>
    </w:tbl>
    <w:p>
      <w:pPr>
        <w:sectPr>
          <w:pgSz w:w="11900" w:h="16838" w:orient="portrait"/>
          <w:cols w:equalWidth="0" w:num="1">
            <w:col w:w="10820"/>
          </w:cols>
          <w:pgMar w:left="320" w:top="442" w:right="7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48025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95745" cy="480250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740" w:right="40"/>
        <w:spacing w:after="0" w:line="293" w:lineRule="auto"/>
        <w:rPr>
          <w:sz w:val="20"/>
          <w:szCs w:val="20"/>
          <w:color w:val="auto"/>
        </w:rPr>
      </w:pPr>
      <w:r>
        <w:rPr>
          <w:rFonts w:ascii="Arial" w:cs="Arial" w:eastAsia="Arial" w:hAnsi="Arial"/>
          <w:sz w:val="15"/>
          <w:szCs w:val="15"/>
          <w:color w:val="auto"/>
        </w:rPr>
        <w:t>Because this indication of interest is not a binding agreement or commitment to purchase, the cornerstone investors may decide to purchase more, less or no shares of our Class A common stock in this offering, or the underwriters may decide to sell more, less or no shares of our Class A common stock in this offering to the cornerstone investors. The underwriters will receive the same discount from any shares of Class A common stock sold to the cornerstone investors as they will from any other shares of Class A common stock sold to the public in this offering.</w:t>
      </w:r>
    </w:p>
    <w:p>
      <w:pPr>
        <w:spacing w:after="0" w:line="15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Except as otherwise indicated, the number of shares of our Class A common stock outstanding after this offering:</w:t>
      </w:r>
    </w:p>
    <w:p>
      <w:pPr>
        <w:spacing w:after="0" w:line="123" w:lineRule="exact"/>
        <w:rPr>
          <w:sz w:val="20"/>
          <w:szCs w:val="20"/>
          <w:color w:val="auto"/>
        </w:rPr>
      </w:pPr>
    </w:p>
    <w:p>
      <w:pPr>
        <w:ind w:left="1480" w:right="340" w:hanging="480"/>
        <w:spacing w:after="0" w:line="273" w:lineRule="auto"/>
        <w:tabs>
          <w:tab w:leader="none" w:pos="1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excludes 60,607,740 shares of Class A common stock reserved for issuance upon exchange of LLC Units that will be held by the Continuing Pre-IPO LLC Members on a one-for-one basis;</w:t>
      </w:r>
    </w:p>
    <w:p>
      <w:pPr>
        <w:spacing w:after="0" w:line="76" w:lineRule="exact"/>
        <w:rPr>
          <w:rFonts w:ascii="Arial" w:cs="Arial" w:eastAsia="Arial" w:hAnsi="Arial"/>
          <w:sz w:val="17"/>
          <w:szCs w:val="17"/>
          <w:color w:val="auto"/>
        </w:rPr>
      </w:pPr>
    </w:p>
    <w:p>
      <w:pPr>
        <w:ind w:left="1480" w:right="40" w:hanging="480"/>
        <w:spacing w:after="0" w:line="261" w:lineRule="auto"/>
        <w:tabs>
          <w:tab w:leader="none" w:pos="1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excludes an aggregate of 1,497,087 shares of our Class A common stock that will be available for issuance under our employee stock purchase plan Definitive Healthcare Corp. 2021 Employee Stock Purchase Plan (the “ESPP”) that we intend to adopt at the time of this offering;</w:t>
      </w:r>
    </w:p>
    <w:p>
      <w:pPr>
        <w:spacing w:after="0" w:line="87" w:lineRule="exact"/>
        <w:rPr>
          <w:rFonts w:ascii="Arial" w:cs="Arial" w:eastAsia="Arial" w:hAnsi="Arial"/>
          <w:sz w:val="17"/>
          <w:szCs w:val="17"/>
          <w:color w:val="auto"/>
        </w:rPr>
      </w:pPr>
    </w:p>
    <w:p>
      <w:pPr>
        <w:jc w:val="both"/>
        <w:ind w:left="1480" w:right="320" w:hanging="480"/>
        <w:spacing w:after="0" w:line="342" w:lineRule="auto"/>
        <w:tabs>
          <w:tab w:leader="none" w:pos="14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excludes an aggregate of 8,982,524 shares of our Class A common stock that will be available for future equity awards under our Definitive Healthcare Corp. 2021 Equity Incentive Plan (the “2021 Plan”) that we intend to adopt at the time of this offering; and</w:t>
      </w:r>
    </w:p>
    <w:p>
      <w:pPr>
        <w:spacing w:after="0" w:line="29" w:lineRule="exact"/>
        <w:rPr>
          <w:rFonts w:ascii="Arial" w:cs="Arial" w:eastAsia="Arial" w:hAnsi="Arial"/>
          <w:sz w:val="15"/>
          <w:szCs w:val="15"/>
          <w:color w:val="auto"/>
        </w:rPr>
      </w:pPr>
    </w:p>
    <w:p>
      <w:pPr>
        <w:ind w:left="1480" w:hanging="480"/>
        <w:spacing w:after="0"/>
        <w:tabs>
          <w:tab w:leader="none" w:pos="14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assumes no exercise of the underwriters’ option to purchase additional shares of Class A common stock.</w:t>
      </w:r>
    </w:p>
    <w:p>
      <w:pPr>
        <w:spacing w:after="0" w:line="21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Unless otherwise indicated, all information in this prospectus:</w:t>
      </w:r>
    </w:p>
    <w:p>
      <w:pPr>
        <w:spacing w:after="0" w:line="123" w:lineRule="exact"/>
        <w:rPr>
          <w:sz w:val="20"/>
          <w:szCs w:val="20"/>
          <w:color w:val="auto"/>
        </w:rPr>
      </w:pPr>
    </w:p>
    <w:p>
      <w:pPr>
        <w:ind w:left="1480" w:hanging="480"/>
        <w:spacing w:after="0" w:line="306" w:lineRule="auto"/>
        <w:tabs>
          <w:tab w:leader="none" w:pos="1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gives effect to the IPO Transactions (which include our acquisition of LLC Units from certain Pre-IPO LLC Members and repurchase of shares of Class A common stock received by Blocker Company equityholders in connection with the Mergers);</w:t>
      </w:r>
    </w:p>
    <w:p>
      <w:pPr>
        <w:spacing w:after="0" w:line="52" w:lineRule="exact"/>
        <w:rPr>
          <w:rFonts w:ascii="Arial" w:cs="Arial" w:eastAsia="Arial" w:hAnsi="Arial"/>
          <w:sz w:val="16"/>
          <w:szCs w:val="16"/>
          <w:color w:val="auto"/>
        </w:rPr>
      </w:pPr>
    </w:p>
    <w:p>
      <w:pPr>
        <w:ind w:left="1480" w:hanging="480"/>
        <w:spacing w:after="0"/>
        <w:tabs>
          <w:tab w:leader="none" w:pos="1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assumes an IPO price of $25.00 per share (the midpoint of the price range set forth on the cover of this prospectus);</w:t>
      </w:r>
    </w:p>
    <w:p>
      <w:pPr>
        <w:spacing w:after="0" w:line="122" w:lineRule="exact"/>
        <w:rPr>
          <w:rFonts w:ascii="Arial" w:cs="Arial" w:eastAsia="Arial" w:hAnsi="Arial"/>
          <w:sz w:val="17"/>
          <w:szCs w:val="17"/>
          <w:color w:val="auto"/>
        </w:rPr>
      </w:pPr>
    </w:p>
    <w:p>
      <w:pPr>
        <w:ind w:left="1480" w:hanging="480"/>
        <w:spacing w:after="0"/>
        <w:tabs>
          <w:tab w:leader="none" w:pos="1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assumes the underwriters’ option to purchase additional shares of Class A common stock has not been exercised;</w:t>
      </w:r>
    </w:p>
    <w:p>
      <w:pPr>
        <w:spacing w:after="0" w:line="122" w:lineRule="exact"/>
        <w:rPr>
          <w:rFonts w:ascii="Arial" w:cs="Arial" w:eastAsia="Arial" w:hAnsi="Arial"/>
          <w:sz w:val="17"/>
          <w:szCs w:val="17"/>
          <w:color w:val="auto"/>
        </w:rPr>
      </w:pPr>
    </w:p>
    <w:p>
      <w:pPr>
        <w:ind w:left="1480" w:right="760" w:hanging="480"/>
        <w:spacing w:after="0" w:line="273" w:lineRule="auto"/>
        <w:tabs>
          <w:tab w:leader="none" w:pos="1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assumes the completion of the Reorganization Transactions described under “Organization Structure—The Reorganization Transactions;” and</w:t>
      </w:r>
    </w:p>
    <w:p>
      <w:pPr>
        <w:spacing w:after="0" w:line="76" w:lineRule="exact"/>
        <w:rPr>
          <w:rFonts w:ascii="Arial" w:cs="Arial" w:eastAsia="Arial" w:hAnsi="Arial"/>
          <w:sz w:val="17"/>
          <w:szCs w:val="17"/>
          <w:color w:val="auto"/>
        </w:rPr>
      </w:pPr>
    </w:p>
    <w:p>
      <w:pPr>
        <w:ind w:left="1480" w:right="520" w:hanging="480"/>
        <w:spacing w:after="0" w:line="273" w:lineRule="auto"/>
        <w:tabs>
          <w:tab w:leader="none" w:pos="14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gives effect to our amended and restated certificate of incorporation and our amended and restated bylaws, which will become effective prior to or upon the closing of this offering.</w:t>
      </w:r>
    </w:p>
    <w:p>
      <w:pPr>
        <w:spacing w:after="0" w:line="166" w:lineRule="exact"/>
        <w:rPr>
          <w:sz w:val="20"/>
          <w:szCs w:val="20"/>
          <w:color w:val="auto"/>
        </w:rPr>
      </w:pPr>
    </w:p>
    <w:p>
      <w:pPr>
        <w:ind w:left="600" w:right="400" w:firstLine="401"/>
        <w:spacing w:after="0" w:line="306" w:lineRule="auto"/>
        <w:rPr>
          <w:sz w:val="20"/>
          <w:szCs w:val="20"/>
          <w:color w:val="auto"/>
        </w:rPr>
      </w:pPr>
      <w:r>
        <w:rPr>
          <w:rFonts w:ascii="Arial" w:cs="Arial" w:eastAsia="Arial" w:hAnsi="Arial"/>
          <w:sz w:val="16"/>
          <w:szCs w:val="16"/>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pacing w:after="0" w:line="319"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560"/>
          </w:cols>
          <w:pgMar w:left="320" w:top="442" w:right="101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4406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95745" cy="544068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880"/>
        <w:spacing w:after="0"/>
        <w:rPr>
          <w:sz w:val="20"/>
          <w:szCs w:val="20"/>
          <w:color w:val="auto"/>
        </w:rPr>
      </w:pPr>
      <w:r>
        <w:rPr>
          <w:rFonts w:ascii="Arial" w:cs="Arial" w:eastAsia="Arial" w:hAnsi="Arial"/>
          <w:sz w:val="17"/>
          <w:szCs w:val="17"/>
          <w:b w:val="1"/>
          <w:bCs w:val="1"/>
          <w:color w:val="auto"/>
        </w:rPr>
        <w:t>SUMMARY HISTORICAL AND PRO FORMA CONSOLIDATED FINANCIAL AND OTHER DATA</w:t>
      </w:r>
    </w:p>
    <w:p>
      <w:pPr>
        <w:spacing w:after="0" w:line="216" w:lineRule="exact"/>
        <w:rPr>
          <w:sz w:val="20"/>
          <w:szCs w:val="20"/>
          <w:color w:val="auto"/>
        </w:rPr>
      </w:pPr>
    </w:p>
    <w:p>
      <w:pPr>
        <w:ind w:left="600" w:right="240" w:firstLine="401"/>
        <w:spacing w:after="0" w:line="273" w:lineRule="auto"/>
        <w:rPr>
          <w:sz w:val="20"/>
          <w:szCs w:val="20"/>
          <w:color w:val="auto"/>
        </w:rPr>
      </w:pPr>
      <w:r>
        <w:rPr>
          <w:rFonts w:ascii="Arial" w:cs="Arial" w:eastAsia="Arial" w:hAnsi="Arial"/>
          <w:sz w:val="17"/>
          <w:szCs w:val="17"/>
          <w:color w:val="auto"/>
        </w:rPr>
        <w:t>The following tables set forth the summary historical consolidated financial and other data for Definitive OpCo and its subsidiaries for the periods and as of the dates presented.</w:t>
      </w:r>
    </w:p>
    <w:p>
      <w:pPr>
        <w:spacing w:after="0" w:line="166" w:lineRule="exact"/>
        <w:rPr>
          <w:sz w:val="20"/>
          <w:szCs w:val="20"/>
          <w:color w:val="auto"/>
        </w:rPr>
      </w:pPr>
    </w:p>
    <w:p>
      <w:pPr>
        <w:ind w:left="600" w:firstLine="401"/>
        <w:spacing w:after="0" w:line="289" w:lineRule="auto"/>
        <w:rPr>
          <w:sz w:val="20"/>
          <w:szCs w:val="20"/>
          <w:color w:val="auto"/>
        </w:rPr>
      </w:pPr>
      <w:r>
        <w:rPr>
          <w:rFonts w:ascii="Arial" w:cs="Arial" w:eastAsia="Arial" w:hAnsi="Arial"/>
          <w:sz w:val="15"/>
          <w:szCs w:val="15"/>
          <w:color w:val="auto"/>
        </w:rPr>
        <w:t>The statements of operations data for the years ended December 31, 2020 and 2019 (Successor Company) and for the periods from July 16, 2019 to December 31, 2019 (Successor Company) and January 1, 2019 to July 15, 2019 (Predecessor Company) and balance sheet data as of December 31, 2020 and 2019 (Successor Company) have been derived from AIDH TopCo, LLC’s audited consolidated financial statements and the related notes thereto included elsewhere in this prospectus. On July 16, 2019, AIDH Buyer, LLC , an affiliate of Advent, acquired 100% of the issued and outstanding stock of the Company. AIDH Buyer, LLC, a Delaware limited liability company, is a wholly owned subsidiary of AIDH TopCo, LLC. As a result of these transactions, the Company elected to apply purchase accounting for the change in control in its consolidated stand-alone financial statements, effective July 16, 2019 (the “Change of Control Date”), which resulted in a new basis of accounting and the Company becoming a new entity for financial reporting purposes. References to “Successor” or “Successor Company” relate to the financial position and results of operations of the Company after the Change of Control Date. References to “Predecessor” or “Predecessor Company” refer to the financial position and results of operations of the Company on or before the Change of Control Date. As a result, our results of operations for the year ended December 31, 2020 are not directly comparable to our results of operations for the year ended December 31, 2019.</w:t>
      </w:r>
    </w:p>
    <w:p>
      <w:pPr>
        <w:spacing w:after="0" w:line="158" w:lineRule="exact"/>
        <w:rPr>
          <w:sz w:val="20"/>
          <w:szCs w:val="20"/>
          <w:color w:val="auto"/>
        </w:rPr>
      </w:pPr>
    </w:p>
    <w:p>
      <w:pPr>
        <w:ind w:left="600" w:right="140" w:firstLine="401"/>
        <w:spacing w:after="0" w:line="271" w:lineRule="auto"/>
        <w:rPr>
          <w:sz w:val="20"/>
          <w:szCs w:val="20"/>
          <w:color w:val="auto"/>
        </w:rPr>
      </w:pPr>
      <w:r>
        <w:rPr>
          <w:rFonts w:ascii="Arial" w:cs="Arial" w:eastAsia="Arial" w:hAnsi="Arial"/>
          <w:sz w:val="16"/>
          <w:szCs w:val="16"/>
          <w:color w:val="auto"/>
        </w:rPr>
        <w:t>Definitive Healthcare Corp. was formed as a Delaware corporation on May 5, 2021 and has not, to date, conducted any activities other than those incident to its formation, those in preparation for the Reorganization Transactions and preparation of this prospectus and the registration statement of which this prospectus forms a part. The summary historical financial and other data of Definitive Healthcare Corp. has not been presented because Definitive Healthcare Corp. is a newly incorporated entity, has had no business transactions or activities to date, and had no assets or liabilities during the periods presented. Immediately following this offering, Definitive Healthcare Corp. will be a holding company and its sole material asset will be a controlling equity interest in Definitive OpCo. Definitive Healthcare Corp. will, through Definitive OpCo, operate and conduct our business. Following this offering, Definitive OpCo will be considered our predecessor for accounting purposes and its consolidated financial statements will be our historical financial statements.</w:t>
      </w:r>
    </w:p>
    <w:p>
      <w:pPr>
        <w:spacing w:after="0" w:line="170" w:lineRule="exact"/>
        <w:rPr>
          <w:sz w:val="20"/>
          <w:szCs w:val="20"/>
          <w:color w:val="auto"/>
        </w:rPr>
      </w:pPr>
    </w:p>
    <w:p>
      <w:pPr>
        <w:ind w:left="600" w:firstLine="401"/>
        <w:spacing w:after="0" w:line="270" w:lineRule="auto"/>
        <w:rPr>
          <w:sz w:val="20"/>
          <w:szCs w:val="20"/>
          <w:color w:val="auto"/>
        </w:rPr>
      </w:pPr>
      <w:r>
        <w:rPr>
          <w:rFonts w:ascii="Arial" w:cs="Arial" w:eastAsia="Arial" w:hAnsi="Arial"/>
          <w:sz w:val="16"/>
          <w:szCs w:val="16"/>
          <w:color w:val="auto"/>
        </w:rPr>
        <w:t>The summary unaudited pro forma combined and consolidated financial data of Definitive Healthcare Corp. presented below have been derived from our unaudited pro forma combined and consolidated financial statements included elsewhere in this prospectus. The summary unaudited pro forma combined and consolidated statement of operations data for the year ended December 31, 2020 give effect to (i) the Reorganization Transactions and (ii) IPO Transactions, each as if they had occurred on January 1, 2020. The summary unaudited pro forma consolidated balance sheet data as of June 30, 2021 gives effect to (i) the Reorganization Transactions and (ii) IPO Transactions, each as if they had occurred on June 30, 2021. The summary unaudited combined and consolidated pro forma financial data is presented for illustrative purposes only and is not necessarily indicative of the results of operations or financial position that would have occurred if the relevant transactions had been consummated on the dates indicated, nor is it indicative of future operating results or financial position. See “Unaudited Pro Forma Consolidated Financial Information” and “Organizational Structure.”</w:t>
      </w:r>
    </w:p>
    <w:p>
      <w:pPr>
        <w:spacing w:after="0" w:line="172" w:lineRule="exact"/>
        <w:rPr>
          <w:sz w:val="20"/>
          <w:szCs w:val="20"/>
          <w:color w:val="auto"/>
        </w:rPr>
      </w:pPr>
    </w:p>
    <w:p>
      <w:pPr>
        <w:ind w:left="600" w:firstLine="401"/>
        <w:spacing w:after="0" w:line="257" w:lineRule="auto"/>
        <w:rPr>
          <w:sz w:val="20"/>
          <w:szCs w:val="20"/>
          <w:color w:val="auto"/>
        </w:rPr>
      </w:pPr>
      <w:r>
        <w:rPr>
          <w:rFonts w:ascii="Arial" w:cs="Arial" w:eastAsia="Arial" w:hAnsi="Arial"/>
          <w:sz w:val="17"/>
          <w:szCs w:val="17"/>
          <w:color w:val="auto"/>
        </w:rPr>
        <w:t>Our historical results are not necessarily indicative of future operating results. You should read the information set forth below together with “Organizational Structure,” “Unaudited Pro Forma Combined and Consolidated Financial Information,” “Management’s Discussion and Analysis of Financial Condition and Results of Operations,” “Capitalization” and our consolidated financial statements and the related notes thereto included elsewhere in this prospectus.</w:t>
      </w:r>
    </w:p>
    <w:p>
      <w:pPr>
        <w:spacing w:after="0" w:line="35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620"/>
          </w:cols>
          <w:pgMar w:left="320" w:top="442" w:right="95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54241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95745" cy="542417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Results of Operations</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760" w:type="dxa"/>
            <w:vAlign w:val="bottom"/>
          </w:tcPr>
          <w:p>
            <w:pPr>
              <w:spacing w:after="0"/>
              <w:rPr>
                <w:sz w:val="3"/>
                <w:szCs w:val="3"/>
                <w:color w:val="auto"/>
              </w:rPr>
            </w:pPr>
          </w:p>
        </w:tc>
        <w:tc>
          <w:tcPr>
            <w:tcW w:w="244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9"/>
              </w:rPr>
              <w:t>Definitive OpCo</w:t>
            </w: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76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160"/>
              <w:spacing w:after="0" w:line="140" w:lineRule="exact"/>
              <w:rPr>
                <w:sz w:val="20"/>
                <w:szCs w:val="20"/>
                <w:color w:val="auto"/>
              </w:rPr>
            </w:pPr>
            <w:r>
              <w:rPr>
                <w:rFonts w:ascii="Arial" w:cs="Arial" w:eastAsia="Arial" w:hAnsi="Arial"/>
                <w:sz w:val="14"/>
                <w:szCs w:val="14"/>
                <w:b w:val="1"/>
                <w:bCs w:val="1"/>
                <w:color w:val="auto"/>
                <w:w w:val="94"/>
              </w:rPr>
              <w:t>(AIDH TopCo,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00" w:type="dxa"/>
            <w:vAlign w:val="bottom"/>
            <w:tcBorders>
              <w:right w:val="single" w:sz="8" w:color="auto"/>
            </w:tcBorders>
            <w:gridSpan w:val="11"/>
          </w:tcPr>
          <w:p>
            <w:pPr>
              <w:jc w:val="right"/>
              <w:ind w:right="900"/>
              <w:spacing w:after="0" w:line="140" w:lineRule="exact"/>
              <w:rPr>
                <w:sz w:val="20"/>
                <w:szCs w:val="20"/>
                <w:color w:val="auto"/>
              </w:rPr>
            </w:pPr>
            <w:r>
              <w:rPr>
                <w:rFonts w:ascii="Arial" w:cs="Arial" w:eastAsia="Arial" w:hAnsi="Arial"/>
                <w:sz w:val="14"/>
                <w:szCs w:val="14"/>
                <w:b w:val="1"/>
                <w:bCs w:val="1"/>
                <w:color w:val="auto"/>
                <w:w w:val="92"/>
              </w:rPr>
              <w:t>Definitive OpCo (AIDH TopCo, LLC)</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rPr>
              <w:t>Successor Company</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4"/>
                <w:szCs w:val="14"/>
                <w:b w:val="1"/>
                <w:bCs w:val="1"/>
                <w:color w:val="auto"/>
                <w:w w:val="90"/>
              </w:rPr>
              <w:t>Company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Definitive Healthcare Corp.</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3"/>
              </w:rPr>
              <w:t>Fiscal Year</w:t>
            </w:r>
          </w:p>
        </w:tc>
        <w:tc>
          <w:tcPr>
            <w:tcW w:w="100" w:type="dxa"/>
            <w:vAlign w:val="bottom"/>
          </w:tcPr>
          <w:p>
            <w:pPr>
              <w:spacing w:after="0"/>
              <w:rPr>
                <w:sz w:val="11"/>
                <w:szCs w:val="11"/>
                <w:color w:val="auto"/>
              </w:rPr>
            </w:pPr>
          </w:p>
        </w:tc>
        <w:tc>
          <w:tcPr>
            <w:tcW w:w="1140" w:type="dxa"/>
            <w:vAlign w:val="bottom"/>
            <w:tcBorders>
              <w:right w:val="single" w:sz="8" w:color="auto"/>
            </w:tcBorders>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89"/>
              </w:rPr>
              <w:t>Period from</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9"/>
              </w:rPr>
              <w:t>Period from</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6"/>
          </w:tcPr>
          <w:p>
            <w:pPr>
              <w:jc w:val="right"/>
              <w:ind w:right="472"/>
              <w:spacing w:after="0" w:line="133"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76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right w:val="single" w:sz="8" w:color="auto"/>
            </w:tcBorders>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spacing w:after="0" w:line="113" w:lineRule="exact"/>
              <w:rPr>
                <w:sz w:val="20"/>
                <w:szCs w:val="20"/>
                <w:color w:val="auto"/>
              </w:rPr>
            </w:pPr>
            <w:r>
              <w:rPr>
                <w:rFonts w:ascii="Arial" w:cs="Arial" w:eastAsia="Arial" w:hAnsi="Arial"/>
                <w:sz w:val="12"/>
                <w:szCs w:val="12"/>
                <w:b w:val="1"/>
                <w:bCs w:val="1"/>
                <w:color w:val="auto"/>
                <w:w w:val="98"/>
              </w:rPr>
              <w:t>Six months</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7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5"/>
          </w:tcPr>
          <w:p>
            <w:pPr>
              <w:ind w:left="280"/>
              <w:spacing w:after="0" w:line="140" w:lineRule="exact"/>
              <w:rPr>
                <w:sz w:val="20"/>
                <w:szCs w:val="20"/>
                <w:color w:val="auto"/>
              </w:rPr>
            </w:pPr>
            <w:r>
              <w:rPr>
                <w:rFonts w:ascii="Arial" w:cs="Arial" w:eastAsia="Arial" w:hAnsi="Arial"/>
                <w:sz w:val="14"/>
                <w:szCs w:val="14"/>
                <w:b w:val="1"/>
                <w:bCs w:val="1"/>
                <w:color w:val="auto"/>
              </w:rPr>
              <w:t>Six Months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87"/>
              </w:rPr>
              <w:t>July 16, to</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90"/>
              </w:rPr>
              <w:t>January 1,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220"/>
              <w:spacing w:after="0" w:line="140" w:lineRule="exact"/>
              <w:rPr>
                <w:sz w:val="20"/>
                <w:szCs w:val="20"/>
                <w:color w:val="auto"/>
              </w:rPr>
            </w:pPr>
            <w:r>
              <w:rPr>
                <w:rFonts w:ascii="Arial" w:cs="Arial" w:eastAsia="Arial" w:hAnsi="Arial"/>
                <w:sz w:val="14"/>
                <w:szCs w:val="14"/>
                <w:b w:val="1"/>
                <w:bCs w:val="1"/>
                <w:color w:val="auto"/>
                <w:w w:val="82"/>
              </w:rPr>
              <w:t>Year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6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3"/>
                <w:szCs w:val="13"/>
                <w:color w:val="auto"/>
              </w:rPr>
            </w:pPr>
          </w:p>
        </w:tc>
        <w:tc>
          <w:tcPr>
            <w:tcW w:w="1380" w:type="dxa"/>
            <w:vAlign w:val="bottom"/>
            <w:gridSpan w:val="5"/>
          </w:tcPr>
          <w:p>
            <w:pPr>
              <w:ind w:left="160"/>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3"/>
                <w:szCs w:val="13"/>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3"/>
                <w:szCs w:val="13"/>
                <w:color w:val="auto"/>
              </w:rPr>
            </w:pPr>
          </w:p>
        </w:tc>
        <w:tc>
          <w:tcPr>
            <w:tcW w:w="114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July 15,</w:t>
            </w:r>
          </w:p>
        </w:tc>
        <w:tc>
          <w:tcPr>
            <w:tcW w:w="80" w:type="dxa"/>
            <w:vAlign w:val="bottom"/>
          </w:tcPr>
          <w:p>
            <w:pPr>
              <w:spacing w:after="0"/>
              <w:rPr>
                <w:sz w:val="13"/>
                <w:szCs w:val="13"/>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0"/>
        </w:trPr>
        <w:tc>
          <w:tcPr>
            <w:tcW w:w="3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ind w:right="53"/>
              <w:spacing w:after="0" w:line="120" w:lineRule="exact"/>
              <w:rPr>
                <w:sz w:val="20"/>
                <w:szCs w:val="20"/>
                <w:color w:val="auto"/>
              </w:rPr>
            </w:pPr>
            <w:r>
              <w:rPr>
                <w:rFonts w:ascii="Arial" w:cs="Arial" w:eastAsia="Arial" w:hAnsi="Arial"/>
                <w:sz w:val="12"/>
                <w:szCs w:val="12"/>
                <w:b w:val="1"/>
                <w:bCs w:val="1"/>
                <w:color w:val="auto"/>
              </w:rPr>
              <w:t>2021</w:t>
            </w:r>
          </w:p>
        </w:tc>
        <w:tc>
          <w:tcPr>
            <w:tcW w:w="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2"/>
              <w:spacing w:after="0" w:line="120" w:lineRule="exact"/>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w w:val="97"/>
              </w:rPr>
              <w:t>2020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2"/>
              <w:spacing w:after="0" w:line="120" w:lineRule="exact"/>
              <w:rPr>
                <w:sz w:val="20"/>
                <w:szCs w:val="20"/>
                <w:color w:val="auto"/>
              </w:rPr>
            </w:pPr>
            <w:r>
              <w:rPr>
                <w:rFonts w:ascii="Arial" w:cs="Arial" w:eastAsia="Arial" w:hAnsi="Arial"/>
                <w:sz w:val="12"/>
                <w:szCs w:val="12"/>
                <w:b w:val="1"/>
                <w:bCs w:val="1"/>
                <w:color w:val="auto"/>
              </w:rPr>
              <w:t>2019</w:t>
            </w:r>
          </w:p>
        </w:tc>
        <w:tc>
          <w:tcPr>
            <w:tcW w:w="3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right="12"/>
              <w:spacing w:after="0" w:line="120" w:lineRule="exact"/>
              <w:rPr>
                <w:sz w:val="20"/>
                <w:szCs w:val="20"/>
                <w:color w:val="auto"/>
              </w:rPr>
            </w:pPr>
            <w:r>
              <w:rPr>
                <w:rFonts w:ascii="Arial" w:cs="Arial" w:eastAsia="Arial" w:hAnsi="Arial"/>
                <w:sz w:val="12"/>
                <w:szCs w:val="12"/>
                <w:b w:val="1"/>
                <w:bCs w:val="1"/>
                <w:color w:val="auto"/>
                <w:w w:val="97"/>
              </w:rPr>
              <w:t>2019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rPr>
              <w:t>2020</w:t>
            </w:r>
          </w:p>
        </w:tc>
        <w:tc>
          <w:tcPr>
            <w:tcW w:w="2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12"/>
              <w:spacing w:after="0" w:line="120" w:lineRule="exact"/>
              <w:rPr>
                <w:sz w:val="20"/>
                <w:szCs w:val="20"/>
                <w:color w:val="auto"/>
              </w:rPr>
            </w:pPr>
            <w:r>
              <w:rPr>
                <w:rFonts w:ascii="Arial" w:cs="Arial" w:eastAsia="Arial" w:hAnsi="Arial"/>
                <w:sz w:val="12"/>
                <w:szCs w:val="12"/>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76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4"/>
                <w:szCs w:val="14"/>
                <w:color w:val="auto"/>
              </w:rPr>
              <w:t>Revenue</w:t>
            </w:r>
          </w:p>
        </w:tc>
        <w:tc>
          <w:tcPr>
            <w:tcW w:w="24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w w:val="88"/>
              </w:rPr>
              <w:t>$ 76,757</w:t>
            </w:r>
          </w:p>
        </w:tc>
        <w:tc>
          <w:tcPr>
            <w:tcW w:w="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w w:val="84"/>
              </w:rPr>
              <w:t>$ 54,586</w:t>
            </w: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118,317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40,045</w:t>
            </w:r>
          </w:p>
        </w:tc>
        <w:tc>
          <w:tcPr>
            <w:tcW w:w="34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gridSpan w:val="2"/>
            <w:shd w:val="clear" w:color="auto" w:fill="CCEEFF"/>
          </w:tcPr>
          <w:p>
            <w:pPr>
              <w:jc w:val="right"/>
              <w:spacing w:after="0" w:line="125" w:lineRule="exact"/>
              <w:rPr>
                <w:sz w:val="20"/>
                <w:szCs w:val="20"/>
                <w:color w:val="auto"/>
              </w:rPr>
            </w:pPr>
            <w:r>
              <w:rPr>
                <w:rFonts w:ascii="Arial" w:cs="Arial" w:eastAsia="Arial" w:hAnsi="Arial"/>
                <w:sz w:val="14"/>
                <w:szCs w:val="14"/>
                <w:color w:val="auto"/>
              </w:rPr>
              <w:t>45,458</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2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gridSpan w:val="2"/>
            <w:shd w:val="clear" w:color="auto" w:fill="CCEEFF"/>
          </w:tcPr>
          <w:p>
            <w:pPr>
              <w:jc w:val="right"/>
              <w:spacing w:after="0" w:line="125" w:lineRule="exact"/>
              <w:rPr>
                <w:sz w:val="20"/>
                <w:szCs w:val="20"/>
                <w:color w:val="auto"/>
              </w:rPr>
            </w:pPr>
            <w:r>
              <w:rPr>
                <w:rFonts w:ascii="Arial" w:cs="Arial" w:eastAsia="Arial" w:hAnsi="Arial"/>
                <w:sz w:val="14"/>
                <w:szCs w:val="14"/>
                <w:color w:val="auto"/>
              </w:rPr>
              <w:t>118,317</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25" w:lineRule="exact"/>
              <w:rPr>
                <w:sz w:val="20"/>
                <w:szCs w:val="20"/>
                <w:color w:val="auto"/>
              </w:rPr>
            </w:pPr>
            <w:r>
              <w:rPr>
                <w:rFonts w:ascii="Arial" w:cs="Arial" w:eastAsia="Arial" w:hAnsi="Arial"/>
                <w:sz w:val="14"/>
                <w:szCs w:val="14"/>
                <w:color w:val="auto"/>
              </w:rPr>
              <w:t>76,757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00" w:type="dxa"/>
            <w:vAlign w:val="bottom"/>
            <w:gridSpan w:val="2"/>
          </w:tcPr>
          <w:p>
            <w:pPr>
              <w:spacing w:after="0" w:line="140" w:lineRule="exact"/>
              <w:rPr>
                <w:sz w:val="20"/>
                <w:szCs w:val="20"/>
                <w:color w:val="auto"/>
              </w:rPr>
            </w:pPr>
            <w:r>
              <w:rPr>
                <w:rFonts w:ascii="Arial" w:cs="Arial" w:eastAsia="Arial" w:hAnsi="Arial"/>
                <w:sz w:val="14"/>
                <w:szCs w:val="14"/>
                <w:color w:val="auto"/>
              </w:rPr>
              <w:t>Cost of revenue:</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w w:val="89"/>
              </w:rPr>
              <w:t>Cost of revenue exclusive of amortization shown below</w:t>
            </w:r>
          </w:p>
        </w:tc>
        <w:tc>
          <w:tcPr>
            <w:tcW w:w="58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8,766</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5,257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11,085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4,668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4,830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11,085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8,766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Amortization</w:t>
            </w: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10,540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9,484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19,383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8,614</w:t>
            </w:r>
          </w:p>
        </w:tc>
        <w:tc>
          <w:tcPr>
            <w:tcW w:w="3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498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19,383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10,540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260"/>
              <w:spacing w:after="0" w:line="140" w:lineRule="exact"/>
              <w:rPr>
                <w:sz w:val="20"/>
                <w:szCs w:val="20"/>
                <w:color w:val="auto"/>
              </w:rPr>
            </w:pPr>
            <w:r>
              <w:rPr>
                <w:rFonts w:ascii="Arial" w:cs="Arial" w:eastAsia="Arial" w:hAnsi="Arial"/>
                <w:sz w:val="14"/>
                <w:szCs w:val="14"/>
                <w:b w:val="1"/>
                <w:bCs w:val="1"/>
                <w:color w:val="auto"/>
              </w:rPr>
              <w:t>Total cost of revenue</w:t>
            </w:r>
          </w:p>
        </w:tc>
        <w:tc>
          <w:tcPr>
            <w:tcW w:w="58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19,306</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14,741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30,468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13,282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5,328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30,468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19,306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0" w:type="dxa"/>
            <w:vAlign w:val="bottom"/>
            <w:gridSpan w:val="2"/>
          </w:tcPr>
          <w:p>
            <w:pPr>
              <w:ind w:left="400"/>
              <w:spacing w:after="0" w:line="145" w:lineRule="exact"/>
              <w:rPr>
                <w:sz w:val="20"/>
                <w:szCs w:val="20"/>
                <w:color w:val="auto"/>
              </w:rPr>
            </w:pPr>
            <w:r>
              <w:rPr>
                <w:rFonts w:ascii="Arial" w:cs="Arial" w:eastAsia="Arial" w:hAnsi="Arial"/>
                <w:sz w:val="14"/>
                <w:szCs w:val="14"/>
                <w:b w:val="1"/>
                <w:bCs w:val="1"/>
                <w:color w:val="auto"/>
              </w:rPr>
              <w:t>Gross profit</w:t>
            </w: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57,451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39,845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87,849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26,763</w:t>
            </w:r>
          </w:p>
        </w:tc>
        <w:tc>
          <w:tcPr>
            <w:tcW w:w="3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40,130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87,849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57,451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Operating expenses:</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Sales and marketing</w:t>
            </w:r>
          </w:p>
        </w:tc>
        <w:tc>
          <w:tcPr>
            <w:tcW w:w="580" w:type="dxa"/>
            <w:vAlign w:val="bottom"/>
            <w:gridSpan w:val="3"/>
          </w:tcPr>
          <w:p>
            <w:pPr>
              <w:jc w:val="right"/>
              <w:ind w:right="40"/>
              <w:spacing w:after="0" w:line="140" w:lineRule="exact"/>
              <w:rPr>
                <w:sz w:val="20"/>
                <w:szCs w:val="20"/>
                <w:color w:val="auto"/>
              </w:rPr>
            </w:pPr>
            <w:r>
              <w:rPr>
                <w:rFonts w:ascii="Arial" w:cs="Arial" w:eastAsia="Arial" w:hAnsi="Arial"/>
                <w:sz w:val="14"/>
                <w:szCs w:val="14"/>
                <w:color w:val="auto"/>
              </w:rPr>
              <w:t>24,627</w:t>
            </w:r>
          </w:p>
        </w:tc>
        <w:tc>
          <w:tcPr>
            <w:tcW w:w="68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15,250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4"/>
                <w:szCs w:val="14"/>
                <w:color w:val="auto"/>
              </w:rPr>
              <w:t>34,332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40"/>
              <w:spacing w:after="0" w:line="140" w:lineRule="exact"/>
              <w:rPr>
                <w:sz w:val="20"/>
                <w:szCs w:val="20"/>
                <w:color w:val="auto"/>
              </w:rPr>
            </w:pPr>
            <w:r>
              <w:rPr>
                <w:rFonts w:ascii="Arial" w:cs="Arial" w:eastAsia="Arial" w:hAnsi="Arial"/>
                <w:sz w:val="14"/>
                <w:szCs w:val="14"/>
                <w:color w:val="auto"/>
              </w:rPr>
              <w:t>10,814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16,039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34,332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4"/>
                <w:szCs w:val="14"/>
                <w:color w:val="auto"/>
              </w:rPr>
              <w:t>24,627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Product development</w:t>
            </w:r>
          </w:p>
        </w:tc>
        <w:tc>
          <w:tcPr>
            <w:tcW w:w="58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8,071</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4,948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11,062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3,484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3,961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11,062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8,071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General and administrative</w:t>
            </w:r>
          </w:p>
        </w:tc>
        <w:tc>
          <w:tcPr>
            <w:tcW w:w="580" w:type="dxa"/>
            <w:vAlign w:val="bottom"/>
            <w:gridSpan w:val="3"/>
          </w:tcPr>
          <w:p>
            <w:pPr>
              <w:jc w:val="right"/>
              <w:ind w:right="40"/>
              <w:spacing w:after="0" w:line="140" w:lineRule="exact"/>
              <w:rPr>
                <w:sz w:val="20"/>
                <w:szCs w:val="20"/>
                <w:color w:val="auto"/>
              </w:rPr>
            </w:pPr>
            <w:r>
              <w:rPr>
                <w:rFonts w:ascii="Arial" w:cs="Arial" w:eastAsia="Arial" w:hAnsi="Arial"/>
                <w:sz w:val="14"/>
                <w:szCs w:val="14"/>
                <w:color w:val="auto"/>
              </w:rPr>
              <w:t>11,011</w:t>
            </w:r>
          </w:p>
        </w:tc>
        <w:tc>
          <w:tcPr>
            <w:tcW w:w="68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5,567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0" w:lineRule="exact"/>
              <w:rPr>
                <w:sz w:val="20"/>
                <w:szCs w:val="20"/>
                <w:color w:val="auto"/>
              </w:rPr>
            </w:pPr>
            <w:r>
              <w:rPr>
                <w:rFonts w:ascii="Arial" w:cs="Arial" w:eastAsia="Arial" w:hAnsi="Arial"/>
                <w:sz w:val="14"/>
                <w:szCs w:val="14"/>
                <w:color w:val="auto"/>
              </w:rPr>
              <w:t>12,927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340"/>
              <w:spacing w:after="0" w:line="140" w:lineRule="exact"/>
              <w:rPr>
                <w:sz w:val="20"/>
                <w:szCs w:val="20"/>
                <w:color w:val="auto"/>
              </w:rPr>
            </w:pPr>
            <w:r>
              <w:rPr>
                <w:rFonts w:ascii="Arial" w:cs="Arial" w:eastAsia="Arial" w:hAnsi="Arial"/>
                <w:sz w:val="14"/>
                <w:szCs w:val="14"/>
                <w:color w:val="auto"/>
              </w:rPr>
              <w:t>6,365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3,979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12,927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4"/>
                <w:szCs w:val="14"/>
                <w:color w:val="auto"/>
              </w:rPr>
              <w:t>11,011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Depreciation and amortization</w:t>
            </w:r>
          </w:p>
        </w:tc>
        <w:tc>
          <w:tcPr>
            <w:tcW w:w="58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19,054</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19,925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40,197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22,459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1,967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40,197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19,054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Transaction expenses</w:t>
            </w:r>
          </w:p>
        </w:tc>
        <w:tc>
          <w:tcPr>
            <w:tcW w:w="4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3,469</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708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3,776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14,703</w:t>
            </w:r>
          </w:p>
        </w:tc>
        <w:tc>
          <w:tcPr>
            <w:tcW w:w="3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1,151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spacing w:after="0" w:line="140" w:lineRule="exact"/>
              <w:rPr>
                <w:sz w:val="20"/>
                <w:szCs w:val="20"/>
                <w:color w:val="auto"/>
              </w:rPr>
            </w:pPr>
            <w:r>
              <w:rPr>
                <w:rFonts w:ascii="Arial" w:cs="Arial" w:eastAsia="Arial" w:hAnsi="Arial"/>
                <w:sz w:val="14"/>
                <w:szCs w:val="14"/>
                <w:color w:val="auto"/>
              </w:rPr>
              <w:t>20,397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11,780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260"/>
              <w:spacing w:after="0" w:line="140" w:lineRule="exact"/>
              <w:rPr>
                <w:sz w:val="20"/>
                <w:szCs w:val="20"/>
                <w:color w:val="auto"/>
              </w:rPr>
            </w:pPr>
            <w:r>
              <w:rPr>
                <w:rFonts w:ascii="Arial" w:cs="Arial" w:eastAsia="Arial" w:hAnsi="Arial"/>
                <w:sz w:val="14"/>
                <w:szCs w:val="14"/>
                <w:b w:val="1"/>
                <w:bCs w:val="1"/>
                <w:color w:val="auto"/>
              </w:rPr>
              <w:t>Total operating expenses</w:t>
            </w:r>
          </w:p>
        </w:tc>
        <w:tc>
          <w:tcPr>
            <w:tcW w:w="580" w:type="dxa"/>
            <w:vAlign w:val="bottom"/>
            <w:gridSpan w:val="3"/>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66,232</w:t>
            </w:r>
          </w:p>
        </w:tc>
        <w:tc>
          <w:tcPr>
            <w:tcW w:w="6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46,398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102,294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4"/>
                <w:szCs w:val="14"/>
                <w:color w:val="auto"/>
              </w:rPr>
              <w:t>57,825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27,097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118,915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rPr>
              <w:t>74,543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200" w:type="dxa"/>
            <w:vAlign w:val="bottom"/>
            <w:gridSpan w:val="2"/>
          </w:tcPr>
          <w:p>
            <w:pPr>
              <w:ind w:left="260"/>
              <w:spacing w:after="0" w:line="145" w:lineRule="exact"/>
              <w:rPr>
                <w:sz w:val="20"/>
                <w:szCs w:val="20"/>
                <w:color w:val="auto"/>
              </w:rPr>
            </w:pPr>
            <w:r>
              <w:rPr>
                <w:rFonts w:ascii="Arial" w:cs="Arial" w:eastAsia="Arial" w:hAnsi="Arial"/>
                <w:sz w:val="14"/>
                <w:szCs w:val="14"/>
                <w:color w:val="auto"/>
              </w:rPr>
              <w:t>(Loss) income from operations</w:t>
            </w: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(8,781)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(6,553)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(14,445)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(31,062)</w:t>
            </w:r>
          </w:p>
        </w:tc>
        <w:tc>
          <w:tcPr>
            <w:tcW w:w="3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13,033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(31,066)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(17,092)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rPr>
              <w:t>Other expense, net:</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tcPr>
          <w:p>
            <w:pPr>
              <w:ind w:left="120"/>
              <w:spacing w:after="0" w:line="140" w:lineRule="exact"/>
              <w:rPr>
                <w:sz w:val="20"/>
                <w:szCs w:val="20"/>
                <w:color w:val="auto"/>
              </w:rPr>
            </w:pPr>
            <w:r>
              <w:rPr>
                <w:rFonts w:ascii="Arial" w:cs="Arial" w:eastAsia="Arial" w:hAnsi="Arial"/>
                <w:sz w:val="14"/>
                <w:szCs w:val="14"/>
                <w:color w:val="auto"/>
              </w:rPr>
              <w:t>Foreign currency transaction gain (loss)</w:t>
            </w:r>
          </w:p>
        </w:tc>
        <w:tc>
          <w:tcPr>
            <w:tcW w:w="54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24</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00"/>
              <w:spacing w:after="0" w:line="140" w:lineRule="exact"/>
              <w:rPr>
                <w:sz w:val="20"/>
                <w:szCs w:val="20"/>
                <w:color w:val="auto"/>
              </w:rPr>
            </w:pPr>
            <w:r>
              <w:rPr>
                <w:rFonts w:ascii="Arial" w:cs="Arial" w:eastAsia="Arial" w:hAnsi="Arial"/>
                <w:sz w:val="14"/>
                <w:szCs w:val="14"/>
                <w:color w:val="auto"/>
              </w:rPr>
              <w:t>(222)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420"/>
              <w:spacing w:after="0" w:line="140"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jc w:val="right"/>
              <w:ind w:right="100"/>
              <w:spacing w:after="0" w:line="140" w:lineRule="exact"/>
              <w:rPr>
                <w:sz w:val="20"/>
                <w:szCs w:val="20"/>
                <w:color w:val="auto"/>
              </w:rPr>
            </w:pPr>
            <w:r>
              <w:rPr>
                <w:rFonts w:ascii="Arial" w:cs="Arial" w:eastAsia="Arial" w:hAnsi="Arial"/>
                <w:sz w:val="14"/>
                <w:szCs w:val="14"/>
                <w:color w:val="auto"/>
              </w:rPr>
              <w:t>(222)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0" w:lineRule="exact"/>
              <w:rPr>
                <w:sz w:val="20"/>
                <w:szCs w:val="20"/>
                <w:color w:val="auto"/>
              </w:rPr>
            </w:pPr>
            <w:r>
              <w:rPr>
                <w:rFonts w:ascii="Arial" w:cs="Arial" w:eastAsia="Arial" w:hAnsi="Arial"/>
                <w:sz w:val="14"/>
                <w:szCs w:val="14"/>
                <w:color w:val="auto"/>
              </w:rPr>
              <w:t>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120"/>
              <w:spacing w:after="0" w:line="140" w:lineRule="exact"/>
              <w:rPr>
                <w:sz w:val="20"/>
                <w:szCs w:val="20"/>
                <w:color w:val="auto"/>
              </w:rPr>
            </w:pPr>
            <w:r>
              <w:rPr>
                <w:rFonts w:ascii="Arial" w:cs="Arial" w:eastAsia="Arial" w:hAnsi="Arial"/>
                <w:sz w:val="14"/>
                <w:szCs w:val="14"/>
                <w:color w:val="auto"/>
              </w:rPr>
              <w:t>Interest expense, net</w:t>
            </w:r>
          </w:p>
        </w:tc>
        <w:tc>
          <w:tcPr>
            <w:tcW w:w="58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4"/>
                <w:szCs w:val="14"/>
                <w:color w:val="auto"/>
              </w:rPr>
              <w:t>(16,770)</w:t>
            </w:r>
          </w:p>
        </w:tc>
        <w:tc>
          <w:tcPr>
            <w:tcW w:w="84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(18,780)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(36,490)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300"/>
              <w:spacing w:after="0" w:line="140" w:lineRule="exact"/>
              <w:rPr>
                <w:sz w:val="20"/>
                <w:szCs w:val="20"/>
                <w:color w:val="auto"/>
              </w:rPr>
            </w:pPr>
            <w:r>
              <w:rPr>
                <w:rFonts w:ascii="Arial" w:cs="Arial" w:eastAsia="Arial" w:hAnsi="Arial"/>
                <w:sz w:val="14"/>
                <w:szCs w:val="14"/>
                <w:color w:val="auto"/>
              </w:rPr>
              <w:t>(18,204)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(22,682)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(10,419)</w:t>
            </w:r>
          </w:p>
        </w:tc>
        <w:tc>
          <w:tcPr>
            <w:tcW w:w="0" w:type="dxa"/>
            <w:vAlign w:val="bottom"/>
          </w:tcPr>
          <w:p>
            <w:pPr>
              <w:spacing w:after="0"/>
              <w:rPr>
                <w:sz w:val="1"/>
                <w:szCs w:val="1"/>
                <w:color w:val="auto"/>
              </w:rPr>
            </w:pPr>
          </w:p>
        </w:tc>
      </w:tr>
      <w:tr>
        <w:trPr>
          <w:trHeight w:val="151"/>
        </w:trPr>
        <w:tc>
          <w:tcPr>
            <w:tcW w:w="3200" w:type="dxa"/>
            <w:vAlign w:val="bottom"/>
            <w:gridSpan w:val="2"/>
          </w:tcPr>
          <w:p>
            <w:pPr>
              <w:ind w:left="260"/>
              <w:spacing w:after="0" w:line="145" w:lineRule="exact"/>
              <w:rPr>
                <w:sz w:val="20"/>
                <w:szCs w:val="20"/>
                <w:color w:val="auto"/>
              </w:rPr>
            </w:pPr>
            <w:r>
              <w:rPr>
                <w:rFonts w:ascii="Arial" w:cs="Arial" w:eastAsia="Arial" w:hAnsi="Arial"/>
                <w:sz w:val="14"/>
                <w:szCs w:val="14"/>
                <w:b w:val="1"/>
                <w:bCs w:val="1"/>
                <w:color w:val="auto"/>
              </w:rPr>
              <w:t>Total other expense, net</w:t>
            </w:r>
          </w:p>
        </w:tc>
        <w:tc>
          <w:tcPr>
            <w:tcW w:w="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91"/>
              </w:rPr>
              <w:t>(16,746)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8"/>
              </w:rPr>
              <w:t>(18,780)</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(36,712)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(18,204)</w:t>
            </w:r>
          </w:p>
        </w:tc>
        <w:tc>
          <w:tcPr>
            <w:tcW w:w="3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(165)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45" w:lineRule="exact"/>
              <w:rPr>
                <w:sz w:val="20"/>
                <w:szCs w:val="20"/>
                <w:color w:val="auto"/>
              </w:rPr>
            </w:pPr>
            <w:r>
              <w:rPr>
                <w:rFonts w:ascii="Arial" w:cs="Arial" w:eastAsia="Arial" w:hAnsi="Arial"/>
                <w:sz w:val="14"/>
                <w:szCs w:val="14"/>
                <w:color w:val="auto"/>
              </w:rPr>
              <w:t>(22,904)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(10,395)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260"/>
              <w:spacing w:after="0" w:line="140" w:lineRule="exact"/>
              <w:rPr>
                <w:sz w:val="20"/>
                <w:szCs w:val="20"/>
                <w:color w:val="auto"/>
              </w:rPr>
            </w:pPr>
            <w:r>
              <w:rPr>
                <w:rFonts w:ascii="Arial" w:cs="Arial" w:eastAsia="Arial" w:hAnsi="Arial"/>
                <w:sz w:val="14"/>
                <w:szCs w:val="14"/>
                <w:b w:val="1"/>
                <w:bCs w:val="1"/>
                <w:color w:val="auto"/>
              </w:rPr>
              <w:t>Loss before income taxes</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(53,970)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(27,487)</w:t>
            </w:r>
          </w:p>
        </w:tc>
        <w:tc>
          <w:tcPr>
            <w:tcW w:w="0" w:type="dxa"/>
            <w:vAlign w:val="bottom"/>
          </w:tcPr>
          <w:p>
            <w:pPr>
              <w:spacing w:after="0"/>
              <w:rPr>
                <w:sz w:val="1"/>
                <w:szCs w:val="1"/>
                <w:color w:val="auto"/>
              </w:rPr>
            </w:pPr>
          </w:p>
        </w:tc>
      </w:tr>
      <w:tr>
        <w:trPr>
          <w:trHeight w:val="145"/>
        </w:trPr>
        <w:tc>
          <w:tcPr>
            <w:tcW w:w="3200" w:type="dxa"/>
            <w:vAlign w:val="bottom"/>
            <w:gridSpan w:val="2"/>
          </w:tcPr>
          <w:p>
            <w:pPr>
              <w:spacing w:after="0" w:line="140" w:lineRule="exact"/>
              <w:rPr>
                <w:sz w:val="20"/>
                <w:szCs w:val="20"/>
                <w:color w:val="auto"/>
              </w:rPr>
            </w:pPr>
            <w:r>
              <w:rPr>
                <w:rFonts w:ascii="Arial" w:cs="Arial" w:eastAsia="Arial" w:hAnsi="Arial"/>
                <w:sz w:val="14"/>
                <w:szCs w:val="14"/>
                <w:color w:val="auto"/>
              </w:rPr>
              <w:t>Income tax expense</w:t>
            </w: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ind w:left="400"/>
              <w:spacing w:after="0" w:line="140" w:lineRule="exact"/>
              <w:rPr>
                <w:sz w:val="20"/>
                <w:szCs w:val="20"/>
                <w:color w:val="auto"/>
              </w:rPr>
            </w:pPr>
            <w:r>
              <w:rPr>
                <w:rFonts w:ascii="Arial" w:cs="Arial" w:eastAsia="Arial" w:hAnsi="Arial"/>
                <w:sz w:val="14"/>
                <w:szCs w:val="14"/>
                <w:b w:val="1"/>
                <w:bCs w:val="1"/>
                <w:color w:val="auto"/>
              </w:rPr>
              <w:t>Net (loss) income</w:t>
            </w:r>
          </w:p>
        </w:tc>
        <w:tc>
          <w:tcPr>
            <w:tcW w:w="580" w:type="dxa"/>
            <w:vAlign w:val="bottom"/>
            <w:gridSpan w:val="3"/>
            <w:shd w:val="clear" w:color="auto" w:fill="CCEEFF"/>
          </w:tcPr>
          <w:p>
            <w:pPr>
              <w:jc w:val="right"/>
              <w:spacing w:after="0" w:line="140" w:lineRule="exact"/>
              <w:rPr>
                <w:sz w:val="20"/>
                <w:szCs w:val="20"/>
                <w:color w:val="auto"/>
              </w:rPr>
            </w:pPr>
            <w:r>
              <w:rPr>
                <w:rFonts w:ascii="Arial" w:cs="Arial" w:eastAsia="Arial" w:hAnsi="Arial"/>
                <w:sz w:val="14"/>
                <w:szCs w:val="14"/>
                <w:color w:val="auto"/>
                <w:w w:val="93"/>
              </w:rPr>
              <w:t>$(25,527)</w:t>
            </w:r>
          </w:p>
        </w:tc>
        <w:tc>
          <w:tcPr>
            <w:tcW w:w="84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$(25,333)</w:t>
            </w:r>
          </w:p>
        </w:tc>
        <w:tc>
          <w:tcPr>
            <w:tcW w:w="1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(51,157)</w:t>
            </w:r>
          </w:p>
        </w:tc>
        <w:tc>
          <w:tcPr>
            <w:tcW w:w="1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gridSpan w:val="2"/>
            <w:shd w:val="clear" w:color="auto" w:fill="CCEEFF"/>
          </w:tcPr>
          <w:p>
            <w:pPr>
              <w:jc w:val="right"/>
              <w:ind w:right="300"/>
              <w:spacing w:after="0" w:line="140" w:lineRule="exact"/>
              <w:rPr>
                <w:sz w:val="20"/>
                <w:szCs w:val="20"/>
                <w:color w:val="auto"/>
              </w:rPr>
            </w:pPr>
            <w:r>
              <w:rPr>
                <w:rFonts w:ascii="Arial" w:cs="Arial" w:eastAsia="Arial" w:hAnsi="Arial"/>
                <w:sz w:val="14"/>
                <w:szCs w:val="14"/>
                <w:color w:val="auto"/>
              </w:rPr>
              <w:t>(49,266)</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12,868</w:t>
            </w:r>
          </w:p>
        </w:tc>
        <w:tc>
          <w:tcPr>
            <w:tcW w:w="1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4"/>
                <w:szCs w:val="14"/>
                <w:color w:val="auto"/>
              </w:rPr>
              <w:t>(53,970)</w:t>
            </w:r>
          </w:p>
        </w:tc>
        <w:tc>
          <w:tcPr>
            <w:tcW w:w="1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(27,487)</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Net loss attributable to noncontrolling interests</w:t>
            </w: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(23,852)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(12,124)</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7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w w:val="94"/>
              </w:rPr>
              <w:t>Net loss attributable to Definitive Healthcare Corp.</w:t>
            </w:r>
          </w:p>
        </w:tc>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(30,118)</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(15,363)</w:t>
            </w:r>
          </w:p>
        </w:tc>
        <w:tc>
          <w:tcPr>
            <w:tcW w:w="0" w:type="dxa"/>
            <w:vAlign w:val="bottom"/>
          </w:tcPr>
          <w:p>
            <w:pPr>
              <w:spacing w:after="0"/>
              <w:rPr>
                <w:sz w:val="1"/>
                <w:szCs w:val="1"/>
                <w:color w:val="auto"/>
              </w:rPr>
            </w:pPr>
          </w:p>
        </w:tc>
      </w:tr>
      <w:tr>
        <w:trPr>
          <w:trHeight w:val="20"/>
        </w:trPr>
        <w:tc>
          <w:tcPr>
            <w:tcW w:w="3200" w:type="dxa"/>
            <w:vAlign w:val="bottom"/>
            <w:gridSpan w:val="2"/>
            <w:vMerge w:val="restart"/>
          </w:tcPr>
          <w:p>
            <w:pPr>
              <w:spacing w:after="0"/>
              <w:rPr>
                <w:sz w:val="20"/>
                <w:szCs w:val="20"/>
                <w:color w:val="auto"/>
              </w:rPr>
            </w:pPr>
            <w:r>
              <w:rPr>
                <w:rFonts w:ascii="Arial" w:cs="Arial" w:eastAsia="Arial" w:hAnsi="Arial"/>
                <w:sz w:val="14"/>
                <w:szCs w:val="14"/>
                <w:color w:val="auto"/>
              </w:rPr>
              <w:t>Basic and diluted net loss per share</w:t>
            </w: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2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gridSpan w:val="2"/>
            <w:vMerge w:val="restart"/>
          </w:tcPr>
          <w:p>
            <w:pPr>
              <w:ind w:left="80"/>
              <w:spacing w:after="0"/>
              <w:rPr>
                <w:sz w:val="20"/>
                <w:szCs w:val="20"/>
                <w:color w:val="auto"/>
              </w:rPr>
            </w:pPr>
            <w:r>
              <w:rPr>
                <w:rFonts w:ascii="Arial" w:cs="Arial" w:eastAsia="Arial" w:hAnsi="Arial"/>
                <w:sz w:val="14"/>
                <w:szCs w:val="14"/>
                <w:color w:val="auto"/>
                <w:w w:val="76"/>
              </w:rPr>
              <w:t>$</w:t>
            </w:r>
          </w:p>
        </w:tc>
        <w:tc>
          <w:tcPr>
            <w:tcW w:w="86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(0.34)</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49"/>
        </w:trPr>
        <w:tc>
          <w:tcPr>
            <w:tcW w:w="760" w:type="dxa"/>
            <w:vAlign w:val="bottom"/>
          </w:tcPr>
          <w:p>
            <w:pPr>
              <w:spacing w:after="0"/>
              <w:rPr>
                <w:sz w:val="4"/>
                <w:szCs w:val="4"/>
                <w:color w:val="auto"/>
              </w:rPr>
            </w:pPr>
          </w:p>
        </w:tc>
        <w:tc>
          <w:tcPr>
            <w:tcW w:w="24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right w:val="single" w:sz="8" w:color="auto"/>
            </w:tcBorders>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3200" w:type="dxa"/>
            <w:vAlign w:val="bottom"/>
            <w:gridSpan w:val="2"/>
            <w:shd w:val="clear" w:color="auto" w:fill="CCEEFF"/>
          </w:tcPr>
          <w:p>
            <w:pPr>
              <w:spacing w:after="0" w:line="140" w:lineRule="exact"/>
              <w:rPr>
                <w:sz w:val="20"/>
                <w:szCs w:val="20"/>
                <w:color w:val="auto"/>
              </w:rPr>
            </w:pPr>
            <w:r>
              <w:rPr>
                <w:rFonts w:ascii="Arial" w:cs="Arial" w:eastAsia="Arial" w:hAnsi="Arial"/>
                <w:sz w:val="14"/>
                <w:szCs w:val="14"/>
                <w:color w:val="auto"/>
                <w:w w:val="94"/>
              </w:rPr>
              <w:t>Shares used in basic and diluted per share calculation</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ind w:left="280"/>
              <w:spacing w:after="0" w:line="140"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tcBorders>
              <w:right w:val="single" w:sz="8" w:color="auto"/>
            </w:tcBorders>
            <w:gridSpan w:val="2"/>
            <w:shd w:val="clear" w:color="auto" w:fill="CCEEFF"/>
          </w:tcPr>
          <w:p>
            <w:pPr>
              <w:jc w:val="right"/>
              <w:ind w:right="420"/>
              <w:spacing w:after="0" w:line="14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w w:val="99"/>
              </w:rPr>
              <w:t>87,522,796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0" w:lineRule="exact"/>
              <w:rPr>
                <w:sz w:val="20"/>
                <w:szCs w:val="20"/>
                <w:color w:val="auto"/>
              </w:rPr>
            </w:pPr>
            <w:r>
              <w:rPr>
                <w:rFonts w:ascii="Arial" w:cs="Arial" w:eastAsia="Arial" w:hAnsi="Arial"/>
                <w:sz w:val="14"/>
                <w:szCs w:val="14"/>
                <w:color w:val="auto"/>
                <w:w w:val="82"/>
              </w:rPr>
              <w:t>87,522,796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9"/>
        </w:trPr>
        <w:tc>
          <w:tcPr>
            <w:tcW w:w="7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89"/>
              </w:rPr>
              <w:t>Definitive Healthcare</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2"/>
              </w:rPr>
              <w:t>Corp.</w:t>
            </w:r>
          </w:p>
        </w:tc>
        <w:tc>
          <w:tcPr>
            <w:tcW w:w="100" w:type="dxa"/>
            <w:vAlign w:val="bottom"/>
          </w:tcPr>
          <w:p>
            <w:pPr>
              <w:spacing w:after="0"/>
              <w:rPr>
                <w:sz w:val="13"/>
                <w:szCs w:val="13"/>
                <w:color w:val="auto"/>
              </w:rPr>
            </w:pPr>
          </w:p>
        </w:tc>
        <w:tc>
          <w:tcPr>
            <w:tcW w:w="7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Proforma</w:t>
            </w:r>
          </w:p>
        </w:tc>
        <w:tc>
          <w:tcPr>
            <w:tcW w:w="0" w:type="dxa"/>
            <w:vAlign w:val="bottom"/>
          </w:tcPr>
          <w:p>
            <w:pPr>
              <w:spacing w:after="0"/>
              <w:rPr>
                <w:sz w:val="1"/>
                <w:szCs w:val="1"/>
                <w:color w:val="auto"/>
              </w:rPr>
            </w:pPr>
          </w:p>
        </w:tc>
      </w:tr>
      <w:tr>
        <w:trPr>
          <w:trHeight w:val="133"/>
        </w:trPr>
        <w:tc>
          <w:tcPr>
            <w:tcW w:w="7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tcBorders>
              <w:top w:val="single" w:sz="8" w:color="auto"/>
              <w:bottom w:val="single" w:sz="8" w:color="auto"/>
            </w:tcBorders>
            <w:gridSpan w:val="5"/>
          </w:tcPr>
          <w:p>
            <w:pPr>
              <w:jc w:val="center"/>
              <w:spacing w:after="0" w:line="133" w:lineRule="exact"/>
              <w:rPr>
                <w:sz w:val="20"/>
                <w:szCs w:val="20"/>
                <w:color w:val="auto"/>
              </w:rPr>
            </w:pPr>
            <w:r>
              <w:rPr>
                <w:rFonts w:ascii="Arial" w:cs="Arial" w:eastAsia="Arial" w:hAnsi="Arial"/>
                <w:sz w:val="14"/>
                <w:szCs w:val="14"/>
                <w:b w:val="1"/>
                <w:bCs w:val="1"/>
                <w:color w:val="auto"/>
                <w:w w:val="86"/>
              </w:rPr>
              <w:t>As of June 30, 2021</w:t>
            </w:r>
          </w:p>
        </w:tc>
        <w:tc>
          <w:tcPr>
            <w:tcW w:w="3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00" w:type="dxa"/>
            <w:vAlign w:val="bottom"/>
            <w:gridSpan w:val="2"/>
          </w:tcPr>
          <w:p>
            <w:pPr>
              <w:spacing w:after="0" w:line="137"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680"/>
              <w:spacing w:after="0" w:line="137" w:lineRule="exact"/>
              <w:rPr>
                <w:sz w:val="20"/>
                <w:szCs w:val="20"/>
                <w:color w:val="auto"/>
              </w:rPr>
            </w:pPr>
            <w:r>
              <w:rPr>
                <w:rFonts w:ascii="Arial" w:cs="Arial" w:eastAsia="Arial" w:hAnsi="Arial"/>
                <w:sz w:val="14"/>
                <w:szCs w:val="14"/>
                <w:b w:val="1"/>
                <w:bCs w:val="1"/>
                <w:color w:val="auto"/>
                <w:w w:val="98"/>
              </w:rPr>
              <w:t>Actual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5"/>
          </w:tcPr>
          <w:p>
            <w:pPr>
              <w:jc w:val="center"/>
              <w:spacing w:after="0" w:line="137" w:lineRule="exact"/>
              <w:rPr>
                <w:sz w:val="20"/>
                <w:szCs w:val="20"/>
                <w:color w:val="auto"/>
              </w:rPr>
            </w:pPr>
            <w:r>
              <w:rPr>
                <w:rFonts w:ascii="Arial" w:cs="Arial" w:eastAsia="Arial" w:hAnsi="Arial"/>
                <w:sz w:val="14"/>
                <w:szCs w:val="14"/>
                <w:b w:val="1"/>
                <w:bCs w:val="1"/>
                <w:color w:val="auto"/>
                <w:w w:val="85"/>
              </w:rPr>
              <w:t>As Adjusted</w:t>
            </w:r>
          </w:p>
        </w:tc>
        <w:tc>
          <w:tcPr>
            <w:tcW w:w="38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center"/>
              <w:ind w:right="120"/>
              <w:spacing w:after="0" w:line="137" w:lineRule="exact"/>
              <w:rPr>
                <w:sz w:val="20"/>
                <w:szCs w:val="20"/>
                <w:color w:val="auto"/>
              </w:rPr>
            </w:pPr>
            <w:r>
              <w:rPr>
                <w:rFonts w:ascii="Arial" w:cs="Arial" w:eastAsia="Arial" w:hAnsi="Arial"/>
                <w:sz w:val="14"/>
                <w:szCs w:val="14"/>
                <w:b w:val="1"/>
                <w:bCs w:val="1"/>
                <w:color w:val="auto"/>
                <w:w w:val="89"/>
              </w:rPr>
              <w:t>Adjusted</w:t>
            </w:r>
            <w:r>
              <w:rPr>
                <w:rFonts w:ascii="Arial" w:cs="Arial" w:eastAsia="Arial" w:hAnsi="Arial"/>
                <w:sz w:val="11"/>
                <w:szCs w:val="11"/>
                <w:b w:val="1"/>
                <w:bCs w:val="1"/>
                <w:color w:val="auto"/>
                <w:w w:val="89"/>
              </w:rPr>
              <w:t>(1)</w:t>
            </w:r>
          </w:p>
        </w:tc>
        <w:tc>
          <w:tcPr>
            <w:tcW w:w="0" w:type="dxa"/>
            <w:vAlign w:val="bottom"/>
          </w:tcPr>
          <w:p>
            <w:pPr>
              <w:spacing w:after="0"/>
              <w:rPr>
                <w:sz w:val="1"/>
                <w:szCs w:val="1"/>
                <w:color w:val="auto"/>
              </w:rPr>
            </w:pPr>
          </w:p>
        </w:tc>
      </w:tr>
    </w:tbl>
    <w:p>
      <w:pPr>
        <w:ind w:left="620"/>
        <w:spacing w:after="0"/>
        <w:rPr>
          <w:sz w:val="20"/>
          <w:szCs w:val="20"/>
          <w:color w:val="auto"/>
        </w:rPr>
      </w:pPr>
      <w:r>
        <w:rPr>
          <w:rFonts w:ascii="Arial" w:cs="Arial" w:eastAsia="Arial" w:hAnsi="Arial"/>
          <w:sz w:val="15"/>
          <w:szCs w:val="15"/>
          <w:b w:val="1"/>
          <w:bCs w:val="1"/>
          <w:color w:val="auto"/>
        </w:rPr>
        <w:t>Consolidated Balance Sheet Data (at end of period)</w:t>
      </w:r>
    </w:p>
    <w:p>
      <w:pPr>
        <w:spacing w:after="0" w:line="15" w:lineRule="exact"/>
        <w:rPr>
          <w:sz w:val="20"/>
          <w:szCs w:val="20"/>
          <w:color w:val="auto"/>
        </w:rPr>
      </w:pPr>
    </w:p>
    <w:tbl>
      <w:tblPr>
        <w:tblLayout w:type="fixed"/>
        <w:tblInd w:w="440" w:type="dxa"/>
        <w:tblCellMar>
          <w:top w:w="0" w:type="dxa"/>
          <w:left w:w="0" w:type="dxa"/>
          <w:bottom w:w="0" w:type="dxa"/>
          <w:right w:w="0" w:type="dxa"/>
        </w:tblCellMar>
      </w:tblPr>
      <w:tr>
        <w:trPr>
          <w:trHeight w:val="215"/>
        </w:trPr>
        <w:tc>
          <w:tcPr>
            <w:tcW w:w="378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w:t>
            </w:r>
          </w:p>
        </w:tc>
        <w:tc>
          <w:tcPr>
            <w:tcW w:w="28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38,438</w:t>
            </w:r>
          </w:p>
        </w:tc>
        <w:tc>
          <w:tcPr>
            <w:tcW w:w="5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38,438</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177,259</w:t>
            </w:r>
          </w:p>
        </w:tc>
        <w:tc>
          <w:tcPr>
            <w:tcW w:w="180" w:type="dxa"/>
            <w:vAlign w:val="bottom"/>
          </w:tcPr>
          <w:p>
            <w:pPr>
              <w:spacing w:after="0"/>
              <w:rPr>
                <w:sz w:val="18"/>
                <w:szCs w:val="18"/>
                <w:color w:val="auto"/>
              </w:rPr>
            </w:pPr>
          </w:p>
        </w:tc>
      </w:tr>
      <w:tr>
        <w:trPr>
          <w:trHeight w:val="204"/>
        </w:trPr>
        <w:tc>
          <w:tcPr>
            <w:tcW w:w="1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28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7"/>
              </w:rPr>
              <w:t>1,729,513</w:t>
            </w: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1,729,513</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1,864,514</w:t>
            </w:r>
          </w:p>
        </w:tc>
        <w:tc>
          <w:tcPr>
            <w:tcW w:w="18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Term loan, net of current portion</w:t>
            </w:r>
          </w:p>
        </w:tc>
        <w:tc>
          <w:tcPr>
            <w:tcW w:w="2800" w:type="dxa"/>
            <w:vAlign w:val="bottom"/>
          </w:tcPr>
          <w:p>
            <w:pPr>
              <w:spacing w:after="0"/>
              <w:rPr>
                <w:sz w:val="17"/>
                <w:szCs w:val="17"/>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455,838</w:t>
            </w:r>
          </w:p>
        </w:tc>
        <w:tc>
          <w:tcPr>
            <w:tcW w:w="540" w:type="dxa"/>
            <w:vAlign w:val="bottom"/>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455,838</w:t>
            </w: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260,436</w:t>
            </w:r>
          </w:p>
        </w:tc>
        <w:tc>
          <w:tcPr>
            <w:tcW w:w="180" w:type="dxa"/>
            <w:vAlign w:val="bottom"/>
          </w:tcPr>
          <w:p>
            <w:pPr>
              <w:spacing w:after="0"/>
              <w:rPr>
                <w:sz w:val="17"/>
                <w:szCs w:val="17"/>
                <w:color w:val="auto"/>
              </w:rPr>
            </w:pPr>
          </w:p>
        </w:tc>
      </w:tr>
      <w:tr>
        <w:trPr>
          <w:trHeight w:val="204"/>
        </w:trPr>
        <w:tc>
          <w:tcPr>
            <w:tcW w:w="180" w:type="dxa"/>
            <w:vAlign w:val="bottom"/>
          </w:tcPr>
          <w:p>
            <w:pPr>
              <w:spacing w:after="0"/>
              <w:rPr>
                <w:sz w:val="17"/>
                <w:szCs w:val="17"/>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28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460</w:t>
            </w:r>
          </w:p>
        </w:tc>
        <w:tc>
          <w:tcPr>
            <w:tcW w:w="5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460</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c>
          <w:tcPr>
            <w:tcW w:w="180" w:type="dxa"/>
            <w:vAlign w:val="bottom"/>
          </w:tcPr>
          <w:p>
            <w:pPr>
              <w:spacing w:after="0"/>
              <w:rPr>
                <w:sz w:val="17"/>
                <w:szCs w:val="17"/>
                <w:color w:val="auto"/>
              </w:rPr>
            </w:pPr>
          </w:p>
        </w:tc>
      </w:tr>
      <w:tr>
        <w:trPr>
          <w:trHeight w:val="215"/>
        </w:trPr>
        <w:tc>
          <w:tcPr>
            <w:tcW w:w="1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5"/>
                <w:szCs w:val="15"/>
                <w:color w:val="auto"/>
              </w:rPr>
              <w:t>Total liabilities and members’ capital</w:t>
            </w:r>
          </w:p>
        </w:tc>
        <w:tc>
          <w:tcPr>
            <w:tcW w:w="28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w w:val="87"/>
              </w:rPr>
              <w:t>1,729,513</w:t>
            </w:r>
          </w:p>
        </w:tc>
        <w:tc>
          <w:tcPr>
            <w:tcW w:w="5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auto"/>
              </w:rPr>
              <w:t>1,729,513</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87"/>
              </w:rPr>
              <w:t>1,864,514</w:t>
            </w:r>
          </w:p>
        </w:tc>
        <w:tc>
          <w:tcPr>
            <w:tcW w:w="180" w:type="dxa"/>
            <w:vAlign w:val="bottom"/>
          </w:tcPr>
          <w:p>
            <w:pPr>
              <w:spacing w:after="0"/>
              <w:rPr>
                <w:sz w:val="18"/>
                <w:szCs w:val="18"/>
                <w:color w:val="auto"/>
              </w:rPr>
            </w:pPr>
          </w:p>
        </w:tc>
      </w:tr>
      <w:tr>
        <w:trPr>
          <w:trHeight w:val="214"/>
        </w:trPr>
        <w:tc>
          <w:tcPr>
            <w:tcW w:w="18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339"/>
        </w:trPr>
        <w:tc>
          <w:tcPr>
            <w:tcW w:w="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800" w:type="dxa"/>
            <w:vAlign w:val="bottom"/>
          </w:tcPr>
          <w:p>
            <w:pPr>
              <w:jc w:val="right"/>
              <w:ind w:right="1235"/>
              <w:spacing w:after="0"/>
              <w:rPr>
                <w:sz w:val="20"/>
                <w:szCs w:val="20"/>
                <w:color w:val="auto"/>
              </w:rPr>
            </w:pPr>
            <w:r>
              <w:rPr>
                <w:rFonts w:ascii="Arial" w:cs="Arial" w:eastAsia="Arial" w:hAnsi="Arial"/>
                <w:sz w:val="17"/>
                <w:szCs w:val="17"/>
                <w:color w:val="auto"/>
              </w:rPr>
              <w:t>22</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820"/>
          </w:cols>
          <w:pgMar w:left="320" w:top="442" w:right="75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506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95745" cy="6506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 w:right="120" w:hanging="394"/>
        <w:spacing w:after="0" w:line="233" w:lineRule="auto"/>
        <w:tabs>
          <w:tab w:leader="none" w:pos="10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Each $1.00 increase or decrease in the public offering price per share would increase or decrease, as applicable, our net proceeds, after deducting the underwriting discount and estimated offering expenses.</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gridSpan w:val="6"/>
          </w:tcPr>
          <w:p>
            <w:pPr>
              <w:jc w:val="center"/>
              <w:ind w:right="100"/>
              <w:spacing w:after="0" w:line="140" w:lineRule="exact"/>
              <w:rPr>
                <w:sz w:val="20"/>
                <w:szCs w:val="20"/>
                <w:color w:val="auto"/>
              </w:rPr>
            </w:pPr>
            <w:r>
              <w:rPr>
                <w:rFonts w:ascii="Arial" w:cs="Arial" w:eastAsia="Arial" w:hAnsi="Arial"/>
                <w:sz w:val="14"/>
                <w:szCs w:val="14"/>
                <w:b w:val="1"/>
                <w:bCs w:val="1"/>
                <w:color w:val="auto"/>
                <w:w w:val="89"/>
              </w:rPr>
              <w:t>Definitive OpCo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40" w:type="dxa"/>
            <w:vAlign w:val="bottom"/>
            <w:gridSpan w:val="6"/>
          </w:tcPr>
          <w:p>
            <w:pPr>
              <w:jc w:val="center"/>
              <w:ind w:right="8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85"/>
              </w:rPr>
              <w:t>(Successor Company)</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gridSpan w:val="3"/>
          </w:tcPr>
          <w:p>
            <w:pPr>
              <w:jc w:val="center"/>
              <w:ind w:right="220"/>
              <w:spacing w:after="0" w:line="113" w:lineRule="exact"/>
              <w:rPr>
                <w:sz w:val="20"/>
                <w:szCs w:val="20"/>
                <w:color w:val="auto"/>
              </w:rPr>
            </w:pPr>
            <w:r>
              <w:rPr>
                <w:rFonts w:ascii="Arial" w:cs="Arial" w:eastAsia="Arial" w:hAnsi="Arial"/>
                <w:sz w:val="12"/>
                <w:szCs w:val="12"/>
                <w:b w:val="1"/>
                <w:bCs w:val="1"/>
                <w:color w:val="auto"/>
              </w:rPr>
              <w:t>Fiscal Year</w:t>
            </w:r>
          </w:p>
        </w:tc>
        <w:tc>
          <w:tcPr>
            <w:tcW w:w="14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18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27"/>
              <w:spacing w:after="0" w:line="113"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00" w:type="dxa"/>
            <w:vAlign w:val="bottom"/>
            <w:gridSpan w:val="4"/>
          </w:tcPr>
          <w:p>
            <w:pPr>
              <w:jc w:val="right"/>
              <w:ind w:right="560"/>
              <w:spacing w:after="0" w:line="140" w:lineRule="exact"/>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40"/>
              <w:spacing w:after="0" w:line="140"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280"/>
              <w:spacing w:after="0" w:line="140" w:lineRule="exact"/>
              <w:rPr>
                <w:sz w:val="20"/>
                <w:szCs w:val="20"/>
                <w:color w:val="auto"/>
              </w:rPr>
            </w:pPr>
            <w:r>
              <w:rPr>
                <w:rFonts w:ascii="Arial" w:cs="Arial" w:eastAsia="Arial" w:hAnsi="Arial"/>
                <w:sz w:val="14"/>
                <w:szCs w:val="14"/>
                <w:b w:val="1"/>
                <w:bCs w:val="1"/>
                <w:color w:val="auto"/>
                <w:w w:val="87"/>
              </w:rPr>
              <w:t>July 16, to</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7"/>
              </w:rPr>
              <w:t>January 1, to</w:t>
            </w:r>
          </w:p>
        </w:tc>
        <w:tc>
          <w:tcPr>
            <w:tcW w:w="0" w:type="dxa"/>
            <w:vAlign w:val="bottom"/>
          </w:tcPr>
          <w:p>
            <w:pPr>
              <w:spacing w:after="0"/>
              <w:rPr>
                <w:sz w:val="1"/>
                <w:szCs w:val="1"/>
                <w:color w:val="auto"/>
              </w:rPr>
            </w:pPr>
          </w:p>
        </w:tc>
      </w:tr>
      <w:tr>
        <w:trPr>
          <w:trHeight w:val="160"/>
        </w:trPr>
        <w:tc>
          <w:tcPr>
            <w:tcW w:w="3600" w:type="dxa"/>
            <w:vAlign w:val="bottom"/>
            <w:gridSpan w:val="3"/>
            <w:vMerge w:val="restart"/>
          </w:tcPr>
          <w:p>
            <w:pPr>
              <w:spacing w:after="0"/>
              <w:rPr>
                <w:sz w:val="20"/>
                <w:szCs w:val="20"/>
                <w:color w:val="auto"/>
              </w:rPr>
            </w:pPr>
            <w:r>
              <w:rPr>
                <w:rFonts w:ascii="Arial" w:cs="Arial" w:eastAsia="Arial" w:hAnsi="Arial"/>
                <w:sz w:val="14"/>
                <w:szCs w:val="14"/>
                <w:color w:val="auto"/>
              </w:rPr>
              <w:t>($ in thousands)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June 30,</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3"/>
                <w:szCs w:val="13"/>
                <w:color w:val="auto"/>
              </w:rPr>
            </w:pPr>
          </w:p>
        </w:tc>
        <w:tc>
          <w:tcPr>
            <w:tcW w:w="10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87"/>
              </w:rPr>
              <w:t>December 31,</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July 15,</w:t>
            </w:r>
          </w:p>
        </w:tc>
        <w:tc>
          <w:tcPr>
            <w:tcW w:w="0" w:type="dxa"/>
            <w:vAlign w:val="bottom"/>
          </w:tcPr>
          <w:p>
            <w:pPr>
              <w:spacing w:after="0"/>
              <w:rPr>
                <w:sz w:val="1"/>
                <w:szCs w:val="1"/>
                <w:color w:val="auto"/>
              </w:rPr>
            </w:pPr>
          </w:p>
        </w:tc>
      </w:tr>
      <w:tr>
        <w:trPr>
          <w:trHeight w:val="133"/>
        </w:trPr>
        <w:tc>
          <w:tcPr>
            <w:tcW w:w="360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Borders>
              <w:top w:val="single" w:sz="8" w:color="auto"/>
            </w:tcBorders>
          </w:tcPr>
          <w:p>
            <w:pPr>
              <w:jc w:val="right"/>
              <w:ind w:right="72"/>
              <w:spacing w:after="0" w:line="133"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64"/>
              <w:spacing w:after="0" w:line="133"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61"/>
              <w:spacing w:after="0" w:line="133" w:lineRule="exact"/>
              <w:rPr>
                <w:sz w:val="20"/>
                <w:szCs w:val="20"/>
                <w:color w:val="auto"/>
              </w:rPr>
            </w:pPr>
            <w:r>
              <w:rPr>
                <w:rFonts w:ascii="Arial" w:cs="Arial" w:eastAsia="Arial" w:hAnsi="Arial"/>
                <w:sz w:val="14"/>
                <w:szCs w:val="14"/>
                <w:b w:val="1"/>
                <w:bCs w:val="1"/>
                <w:color w:val="auto"/>
                <w:w w:val="83"/>
              </w:rPr>
              <w:t>2020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21"/>
              <w:spacing w:after="0" w:line="133" w:lineRule="exact"/>
              <w:rPr>
                <w:sz w:val="20"/>
                <w:szCs w:val="20"/>
                <w:color w:val="auto"/>
              </w:rPr>
            </w:pPr>
            <w:r>
              <w:rPr>
                <w:rFonts w:ascii="Arial" w:cs="Arial" w:eastAsia="Arial" w:hAnsi="Arial"/>
                <w:sz w:val="14"/>
                <w:szCs w:val="14"/>
                <w:b w:val="1"/>
                <w:bCs w:val="1"/>
                <w:color w:val="auto"/>
                <w:w w:val="89"/>
              </w:rPr>
              <w:t>2019</w:t>
            </w:r>
          </w:p>
        </w:tc>
        <w:tc>
          <w:tcPr>
            <w:tcW w:w="18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center"/>
              <w:ind w:right="47"/>
              <w:spacing w:after="0" w:line="133"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Cash provided by (used in):</w:t>
            </w:r>
          </w:p>
        </w:tc>
        <w:tc>
          <w:tcPr>
            <w:tcW w:w="3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gridSpan w:val="2"/>
          </w:tcPr>
          <w:p>
            <w:pPr>
              <w:ind w:left="320"/>
              <w:spacing w:after="0"/>
              <w:rPr>
                <w:sz w:val="20"/>
                <w:szCs w:val="20"/>
                <w:color w:val="auto"/>
              </w:rPr>
            </w:pPr>
            <w:r>
              <w:rPr>
                <w:rFonts w:ascii="Arial" w:cs="Arial" w:eastAsia="Arial" w:hAnsi="Arial"/>
                <w:sz w:val="17"/>
                <w:szCs w:val="17"/>
                <w:color w:val="auto"/>
              </w:rPr>
              <w:t>Operating activities</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$21,941</w:t>
            </w:r>
          </w:p>
        </w:tc>
        <w:tc>
          <w:tcPr>
            <w:tcW w:w="500" w:type="dxa"/>
            <w:vAlign w:val="bottom"/>
          </w:tcPr>
          <w:p>
            <w:pPr>
              <w:spacing w:after="0"/>
              <w:rPr>
                <w:sz w:val="17"/>
                <w:szCs w:val="17"/>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w w:val="87"/>
              </w:rPr>
              <w:t>$13,749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23,217</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(7,133)</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28,727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58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Investing activities</w:t>
            </w:r>
            <w:r>
              <w:rPr>
                <w:rFonts w:ascii="Arial" w:cs="Arial" w:eastAsia="Arial" w:hAnsi="Arial"/>
                <w:sz w:val="14"/>
                <w:szCs w:val="14"/>
                <w:color w:val="auto"/>
              </w:rPr>
              <w:t>(1)</w:t>
            </w:r>
          </w:p>
        </w:tc>
        <w:tc>
          <w:tcPr>
            <w:tcW w:w="1420" w:type="dxa"/>
            <w:vAlign w:val="bottom"/>
            <w:gridSpan w:val="3"/>
            <w:shd w:val="clear" w:color="auto" w:fill="CCEEFF"/>
          </w:tcPr>
          <w:p>
            <w:pPr>
              <w:jc w:val="right"/>
              <w:ind w:right="372"/>
              <w:spacing w:after="0"/>
              <w:rPr>
                <w:sz w:val="20"/>
                <w:szCs w:val="20"/>
                <w:color w:val="auto"/>
              </w:rPr>
            </w:pPr>
            <w:r>
              <w:rPr>
                <w:rFonts w:ascii="Arial" w:cs="Arial" w:eastAsia="Arial" w:hAnsi="Arial"/>
                <w:sz w:val="17"/>
                <w:szCs w:val="17"/>
                <w:color w:val="auto"/>
              </w:rPr>
              <w:t>(5,222)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(23,862)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7"/>
              </w:rPr>
              <w:t>(1,109,368)</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80" w:type="dxa"/>
            <w:vAlign w:val="bottom"/>
            <w:gridSpan w:val="2"/>
          </w:tcPr>
          <w:p>
            <w:pPr>
              <w:ind w:left="320"/>
              <w:spacing w:after="0"/>
              <w:rPr>
                <w:sz w:val="20"/>
                <w:szCs w:val="20"/>
                <w:color w:val="auto"/>
              </w:rPr>
            </w:pPr>
            <w:r>
              <w:rPr>
                <w:rFonts w:ascii="Arial" w:cs="Arial" w:eastAsia="Arial" w:hAnsi="Arial"/>
                <w:sz w:val="17"/>
                <w:szCs w:val="17"/>
                <w:color w:val="auto"/>
              </w:rPr>
              <w:t>Financing activities</w:t>
            </w:r>
          </w:p>
        </w:tc>
        <w:tc>
          <w:tcPr>
            <w:tcW w:w="1420" w:type="dxa"/>
            <w:vAlign w:val="bottom"/>
            <w:gridSpan w:val="3"/>
          </w:tcPr>
          <w:p>
            <w:pPr>
              <w:jc w:val="right"/>
              <w:ind w:right="372"/>
              <w:spacing w:after="0"/>
              <w:rPr>
                <w:sz w:val="20"/>
                <w:szCs w:val="20"/>
                <w:color w:val="auto"/>
              </w:rPr>
            </w:pPr>
            <w:r>
              <w:rPr>
                <w:rFonts w:ascii="Arial" w:cs="Arial" w:eastAsia="Arial" w:hAnsi="Arial"/>
                <w:sz w:val="17"/>
                <w:szCs w:val="17"/>
                <w:color w:val="auto"/>
              </w:rPr>
              <w:t>(3,062)</w:t>
            </w:r>
          </w:p>
        </w:tc>
        <w:tc>
          <w:tcPr>
            <w:tcW w:w="840" w:type="dxa"/>
            <w:vAlign w:val="bottom"/>
            <w:gridSpan w:val="2"/>
          </w:tcPr>
          <w:p>
            <w:pPr>
              <w:jc w:val="right"/>
              <w:ind w:right="280"/>
              <w:spacing w:after="0"/>
              <w:rPr>
                <w:sz w:val="20"/>
                <w:szCs w:val="20"/>
                <w:color w:val="auto"/>
              </w:rPr>
            </w:pPr>
            <w:r>
              <w:rPr>
                <w:rFonts w:ascii="Arial" w:cs="Arial" w:eastAsia="Arial" w:hAnsi="Arial"/>
                <w:sz w:val="17"/>
                <w:szCs w:val="17"/>
                <w:color w:val="auto"/>
              </w:rPr>
              <w:t>22,702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16,655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1,125,119</w:t>
            </w:r>
          </w:p>
        </w:tc>
        <w:tc>
          <w:tcPr>
            <w:tcW w:w="1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80" w:type="dxa"/>
            <w:vAlign w:val="bottom"/>
            <w:gridSpan w:val="2"/>
            <w:shd w:val="clear" w:color="auto" w:fill="CCEEFF"/>
          </w:tcPr>
          <w:p>
            <w:pPr>
              <w:spacing w:after="0" w:line="191" w:lineRule="exact"/>
              <w:rPr>
                <w:sz w:val="20"/>
                <w:szCs w:val="20"/>
                <w:color w:val="auto"/>
              </w:rPr>
            </w:pPr>
            <w:r>
              <w:rPr>
                <w:rFonts w:ascii="Arial" w:cs="Arial" w:eastAsia="Arial" w:hAnsi="Arial"/>
                <w:sz w:val="17"/>
                <w:szCs w:val="17"/>
                <w:color w:val="auto"/>
                <w:w w:val="97"/>
              </w:rPr>
              <w:t>Change in cash and cash equivalents (excluding</w:t>
            </w:r>
          </w:p>
        </w:tc>
        <w:tc>
          <w:tcPr>
            <w:tcW w:w="3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exchange rate changes)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13,657</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35,556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8,618</w:t>
            </w:r>
          </w:p>
        </w:tc>
        <w:tc>
          <w:tcPr>
            <w:tcW w:w="180" w:type="dxa"/>
            <w:vAlign w:val="bottom"/>
            <w:tcBorders>
              <w:right w:val="single" w:sz="8" w:color="auto"/>
            </w:tcBorders>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0" w:right="20" w:hanging="394"/>
        <w:spacing w:after="0" w:line="312"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Cash flows used in investing activities includes purchases of property, equipment, and other assets of $5.2 million and $0.9 million for the six months ended June 30, 2021 and 2020, respectively, and $1.4 million, $1.2 million, and $0.7 million, in the periods ended December 31, 2020, July 16, 2019 to December 31, 2019 (Successor), and January 1, 2019 to July 15, 2019 (Predecessor), respectively.</w:t>
      </w:r>
    </w:p>
    <w:p>
      <w:pPr>
        <w:spacing w:after="0" w:line="138"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108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9"/>
              </w:rPr>
              <w:t>Definitive OpCo</w:t>
            </w: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20" w:type="dxa"/>
            <w:vAlign w:val="bottom"/>
            <w:gridSpan w:val="5"/>
          </w:tcPr>
          <w:p>
            <w:pPr>
              <w:jc w:val="center"/>
              <w:ind w:left="72"/>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ind w:right="18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5"/>
          </w:tcPr>
          <w:p>
            <w:pPr>
              <w:jc w:val="center"/>
              <w:ind w:left="72"/>
              <w:spacing w:after="0"/>
              <w:rPr>
                <w:sz w:val="20"/>
                <w:szCs w:val="20"/>
                <w:color w:val="auto"/>
              </w:rPr>
            </w:pPr>
            <w:r>
              <w:rPr>
                <w:rFonts w:ascii="Arial" w:cs="Arial" w:eastAsia="Arial" w:hAnsi="Arial"/>
                <w:sz w:val="14"/>
                <w:szCs w:val="14"/>
                <w:b w:val="1"/>
                <w:bCs w:val="1"/>
                <w:color w:val="auto"/>
                <w:w w:val="83"/>
              </w:rPr>
              <w:t>Successor Company</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40" w:type="dxa"/>
            <w:vAlign w:val="bottom"/>
            <w:tcBorders>
              <w:top w:val="single" w:sz="8" w:color="auto"/>
            </w:tcBorders>
            <w:gridSpan w:val="5"/>
          </w:tcPr>
          <w:p>
            <w:pPr>
              <w:jc w:val="right"/>
              <w:ind w:right="592"/>
              <w:spacing w:after="0" w:line="120" w:lineRule="exact"/>
              <w:rPr>
                <w:sz w:val="20"/>
                <w:szCs w:val="20"/>
                <w:color w:val="auto"/>
              </w:rPr>
            </w:pPr>
            <w:r>
              <w:rPr>
                <w:rFonts w:ascii="Arial" w:cs="Arial" w:eastAsia="Arial" w:hAnsi="Arial"/>
                <w:sz w:val="12"/>
                <w:szCs w:val="12"/>
                <w:b w:val="1"/>
                <w:bCs w:val="1"/>
                <w:color w:val="auto"/>
              </w:rPr>
              <w:t>Six Months Ended</w:t>
            </w:r>
          </w:p>
        </w:tc>
        <w:tc>
          <w:tcPr>
            <w:tcW w:w="1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340"/>
              <w:spacing w:after="0" w:line="120" w:lineRule="exact"/>
              <w:rPr>
                <w:sz w:val="20"/>
                <w:szCs w:val="20"/>
                <w:color w:val="auto"/>
              </w:rPr>
            </w:pPr>
            <w:r>
              <w:rPr>
                <w:rFonts w:ascii="Arial" w:cs="Arial" w:eastAsia="Arial" w:hAnsi="Arial"/>
                <w:sz w:val="12"/>
                <w:szCs w:val="12"/>
                <w:b w:val="1"/>
                <w:bCs w:val="1"/>
                <w:color w:val="auto"/>
              </w:rPr>
              <w:t>Year ended</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Period from</w:t>
            </w:r>
          </w:p>
        </w:tc>
        <w:tc>
          <w:tcPr>
            <w:tcW w:w="5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20"/>
              <w:spacing w:after="0" w:line="120"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5"/>
          </w:tcPr>
          <w:p>
            <w:pPr>
              <w:jc w:val="right"/>
              <w:ind w:right="872"/>
              <w:spacing w:after="0" w:line="153"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tcBorders>
              <w:right w:val="single" w:sz="8" w:color="auto"/>
            </w:tcBorders>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w w:val="86"/>
              </w:rPr>
              <w:t>July 16, 2019 to</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133"/>
        </w:trPr>
        <w:tc>
          <w:tcPr>
            <w:tcW w:w="2800" w:type="dxa"/>
            <w:vAlign w:val="bottom"/>
            <w:gridSpan w:val="2"/>
          </w:tcPr>
          <w:p>
            <w:pPr>
              <w:spacing w:after="0" w:line="133" w:lineRule="exact"/>
              <w:rPr>
                <w:sz w:val="20"/>
                <w:szCs w:val="20"/>
                <w:color w:val="auto"/>
              </w:rPr>
            </w:pPr>
            <w:r>
              <w:rPr>
                <w:rFonts w:ascii="Arial" w:cs="Arial" w:eastAsia="Arial" w:hAnsi="Arial"/>
                <w:sz w:val="14"/>
                <w:szCs w:val="14"/>
                <w:color w:val="auto"/>
              </w:rPr>
              <w:t>($ in thousands)</w:t>
            </w:r>
          </w:p>
        </w:tc>
        <w:tc>
          <w:tcPr>
            <w:tcW w:w="380" w:type="dxa"/>
            <w:vAlign w:val="bottom"/>
          </w:tcPr>
          <w:p>
            <w:pPr>
              <w:spacing w:after="0"/>
              <w:rPr>
                <w:sz w:val="11"/>
                <w:szCs w:val="11"/>
                <w:color w:val="auto"/>
              </w:rPr>
            </w:pPr>
          </w:p>
        </w:tc>
        <w:tc>
          <w:tcPr>
            <w:tcW w:w="620" w:type="dxa"/>
            <w:vAlign w:val="bottom"/>
            <w:tcBorders>
              <w:top w:val="single" w:sz="8" w:color="auto"/>
            </w:tcBorders>
          </w:tcPr>
          <w:p>
            <w:pPr>
              <w:jc w:val="right"/>
              <w:ind w:right="114"/>
              <w:spacing w:after="0" w:line="133"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92"/>
              <w:spacing w:after="0" w:line="133"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1"/>
                <w:szCs w:val="11"/>
                <w:color w:val="auto"/>
              </w:rPr>
            </w:pPr>
          </w:p>
        </w:tc>
        <w:tc>
          <w:tcPr>
            <w:tcW w:w="920" w:type="dxa"/>
            <w:vAlign w:val="bottom"/>
            <w:gridSpan w:val="2"/>
          </w:tcPr>
          <w:p>
            <w:pPr>
              <w:jc w:val="center"/>
              <w:ind w:left="57"/>
              <w:spacing w:after="0" w:line="133" w:lineRule="exact"/>
              <w:rPr>
                <w:sz w:val="20"/>
                <w:szCs w:val="20"/>
                <w:color w:val="auto"/>
              </w:rPr>
            </w:pPr>
            <w:r>
              <w:rPr>
                <w:rFonts w:ascii="Arial" w:cs="Arial" w:eastAsia="Arial" w:hAnsi="Arial"/>
                <w:sz w:val="14"/>
                <w:szCs w:val="14"/>
                <w:b w:val="1"/>
                <w:bCs w:val="1"/>
                <w:color w:val="auto"/>
                <w:w w:val="83"/>
              </w:rPr>
              <w:t>2020</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Borders>
              <w:right w:val="single" w:sz="8" w:color="auto"/>
            </w:tcBorders>
            <w:gridSpan w:val="3"/>
          </w:tcPr>
          <w:p>
            <w:pPr>
              <w:jc w:val="center"/>
              <w:ind w:right="580"/>
              <w:spacing w:after="0" w:line="133" w:lineRule="exact"/>
              <w:rPr>
                <w:sz w:val="20"/>
                <w:szCs w:val="20"/>
                <w:color w:val="auto"/>
              </w:rPr>
            </w:pPr>
            <w:r>
              <w:rPr>
                <w:rFonts w:ascii="Arial" w:cs="Arial" w:eastAsia="Arial" w:hAnsi="Arial"/>
                <w:sz w:val="14"/>
                <w:szCs w:val="14"/>
                <w:b w:val="1"/>
                <w:bCs w:val="1"/>
                <w:color w:val="auto"/>
                <w:w w:val="87"/>
              </w:rPr>
              <w:t>December 31, 2019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800" w:type="dxa"/>
            <w:vAlign w:val="bottom"/>
            <w:tcBorders>
              <w:top w:val="single" w:sz="8" w:color="CCEEFF"/>
            </w:tcBorders>
            <w:gridSpan w:val="2"/>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Other Financial Data</w:t>
            </w:r>
            <w:r>
              <w:rPr>
                <w:rFonts w:ascii="Arial" w:cs="Arial" w:eastAsia="Arial" w:hAnsi="Arial"/>
                <w:sz w:val="14"/>
                <w:szCs w:val="14"/>
                <w:b w:val="1"/>
                <w:bCs w:val="1"/>
                <w:color w:val="auto"/>
              </w:rPr>
              <w:t>(1)</w:t>
            </w:r>
          </w:p>
        </w:tc>
        <w:tc>
          <w:tcPr>
            <w:tcW w:w="3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right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Net (Loss) Income</w:t>
            </w:r>
          </w:p>
        </w:tc>
        <w:tc>
          <w:tcPr>
            <w:tcW w:w="1320" w:type="dxa"/>
            <w:vAlign w:val="bottom"/>
            <w:gridSpan w:val="3"/>
          </w:tcPr>
          <w:p>
            <w:pPr>
              <w:jc w:val="right"/>
              <w:ind w:right="260"/>
              <w:spacing w:after="0"/>
              <w:rPr>
                <w:sz w:val="20"/>
                <w:szCs w:val="20"/>
                <w:color w:val="auto"/>
              </w:rPr>
            </w:pPr>
            <w:r>
              <w:rPr>
                <w:rFonts w:ascii="Arial" w:cs="Arial" w:eastAsia="Arial" w:hAnsi="Arial"/>
                <w:sz w:val="17"/>
                <w:szCs w:val="17"/>
                <w:color w:val="auto"/>
              </w:rPr>
              <w:t>$(25,527)</w:t>
            </w:r>
          </w:p>
        </w:tc>
        <w:tc>
          <w:tcPr>
            <w:tcW w:w="1100" w:type="dxa"/>
            <w:vAlign w:val="bottom"/>
            <w:gridSpan w:val="3"/>
          </w:tcPr>
          <w:p>
            <w:pPr>
              <w:jc w:val="right"/>
              <w:ind w:right="212"/>
              <w:spacing w:after="0"/>
              <w:rPr>
                <w:sz w:val="20"/>
                <w:szCs w:val="20"/>
                <w:color w:val="auto"/>
              </w:rPr>
            </w:pPr>
            <w:r>
              <w:rPr>
                <w:rFonts w:ascii="Arial" w:cs="Arial" w:eastAsia="Arial" w:hAnsi="Arial"/>
                <w:sz w:val="17"/>
                <w:szCs w:val="17"/>
                <w:color w:val="auto"/>
              </w:rPr>
              <w:t>$(25,333)</w:t>
            </w:r>
          </w:p>
        </w:tc>
        <w:tc>
          <w:tcPr>
            <w:tcW w:w="1260" w:type="dxa"/>
            <w:vAlign w:val="bottom"/>
            <w:gridSpan w:val="3"/>
          </w:tcPr>
          <w:p>
            <w:pPr>
              <w:jc w:val="right"/>
              <w:ind w:right="280"/>
              <w:spacing w:after="0"/>
              <w:rPr>
                <w:sz w:val="20"/>
                <w:szCs w:val="20"/>
                <w:color w:val="auto"/>
              </w:rPr>
            </w:pPr>
            <w:r>
              <w:rPr>
                <w:rFonts w:ascii="Arial" w:cs="Arial" w:eastAsia="Arial" w:hAnsi="Arial"/>
                <w:sz w:val="17"/>
                <w:szCs w:val="17"/>
                <w:color w:val="auto"/>
              </w:rPr>
              <w:t>$  (51,157)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7"/>
                <w:szCs w:val="17"/>
                <w:color w:val="auto"/>
              </w:rPr>
              <w:t>(49,266)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Reported gross profit</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57,451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39,845</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26,763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40,130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(Loss) Income from operations</w:t>
            </w:r>
          </w:p>
        </w:tc>
        <w:tc>
          <w:tcPr>
            <w:tcW w:w="1320" w:type="dxa"/>
            <w:vAlign w:val="bottom"/>
            <w:gridSpan w:val="3"/>
          </w:tcPr>
          <w:p>
            <w:pPr>
              <w:jc w:val="right"/>
              <w:ind w:right="260"/>
              <w:spacing w:after="0"/>
              <w:rPr>
                <w:sz w:val="20"/>
                <w:szCs w:val="20"/>
                <w:color w:val="auto"/>
              </w:rPr>
            </w:pPr>
            <w:r>
              <w:rPr>
                <w:rFonts w:ascii="Arial" w:cs="Arial" w:eastAsia="Arial" w:hAnsi="Arial"/>
                <w:sz w:val="17"/>
                <w:szCs w:val="17"/>
                <w:color w:val="auto"/>
              </w:rPr>
              <w:t>(8,781)</w:t>
            </w:r>
          </w:p>
        </w:tc>
        <w:tc>
          <w:tcPr>
            <w:tcW w:w="1100" w:type="dxa"/>
            <w:vAlign w:val="bottom"/>
            <w:gridSpan w:val="3"/>
          </w:tcPr>
          <w:p>
            <w:pPr>
              <w:jc w:val="right"/>
              <w:ind w:right="212"/>
              <w:spacing w:after="0"/>
              <w:rPr>
                <w:sz w:val="20"/>
                <w:szCs w:val="20"/>
                <w:color w:val="auto"/>
              </w:rPr>
            </w:pPr>
            <w:r>
              <w:rPr>
                <w:rFonts w:ascii="Arial" w:cs="Arial" w:eastAsia="Arial" w:hAnsi="Arial"/>
                <w:sz w:val="17"/>
                <w:szCs w:val="17"/>
                <w:color w:val="auto"/>
              </w:rPr>
              <w:t>(6,553)</w:t>
            </w:r>
          </w:p>
        </w:tc>
        <w:tc>
          <w:tcPr>
            <w:tcW w:w="1260" w:type="dxa"/>
            <w:vAlign w:val="bottom"/>
            <w:gridSpan w:val="3"/>
          </w:tcPr>
          <w:p>
            <w:pPr>
              <w:jc w:val="right"/>
              <w:ind w:right="280"/>
              <w:spacing w:after="0"/>
              <w:rPr>
                <w:sz w:val="20"/>
                <w:szCs w:val="20"/>
                <w:color w:val="auto"/>
              </w:rPr>
            </w:pPr>
            <w:r>
              <w:rPr>
                <w:rFonts w:ascii="Arial" w:cs="Arial" w:eastAsia="Arial" w:hAnsi="Arial"/>
                <w:sz w:val="17"/>
                <w:szCs w:val="17"/>
                <w:color w:val="auto"/>
              </w:rPr>
              <w:t>(14,445)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7"/>
                <w:szCs w:val="17"/>
                <w:color w:val="auto"/>
              </w:rPr>
              <w:t>(31,062)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13,033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Revenue</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76,757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40,045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Adjusted EBITDA</w:t>
            </w:r>
            <w:r>
              <w:rPr>
                <w:rFonts w:ascii="Arial" w:cs="Arial" w:eastAsia="Arial" w:hAnsi="Arial"/>
                <w:sz w:val="14"/>
                <w:szCs w:val="14"/>
                <w:color w:val="auto"/>
              </w:rPr>
              <w:t>(2)</w:t>
            </w:r>
          </w:p>
        </w:tc>
        <w:tc>
          <w:tcPr>
            <w:tcW w:w="1320" w:type="dxa"/>
            <w:vAlign w:val="bottom"/>
            <w:gridSpan w:val="3"/>
          </w:tcPr>
          <w:p>
            <w:pPr>
              <w:jc w:val="right"/>
              <w:ind w:right="320"/>
              <w:spacing w:after="0"/>
              <w:rPr>
                <w:sz w:val="20"/>
                <w:szCs w:val="20"/>
                <w:color w:val="auto"/>
              </w:rPr>
            </w:pPr>
            <w:r>
              <w:rPr>
                <w:rFonts w:ascii="Arial" w:cs="Arial" w:eastAsia="Arial" w:hAnsi="Arial"/>
                <w:sz w:val="17"/>
                <w:szCs w:val="17"/>
                <w:color w:val="auto"/>
              </w:rPr>
              <w:t>28,467</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26,203</w:t>
            </w:r>
          </w:p>
        </w:tc>
        <w:tc>
          <w:tcPr>
            <w:tcW w:w="340" w:type="dxa"/>
            <w:vAlign w:val="bottom"/>
          </w:tcPr>
          <w:p>
            <w:pPr>
              <w:spacing w:after="0"/>
              <w:rPr>
                <w:sz w:val="17"/>
                <w:szCs w:val="17"/>
                <w:color w:val="auto"/>
              </w:rPr>
            </w:pPr>
          </w:p>
        </w:tc>
        <w:tc>
          <w:tcPr>
            <w:tcW w:w="1260" w:type="dxa"/>
            <w:vAlign w:val="bottom"/>
            <w:gridSpan w:val="3"/>
          </w:tcPr>
          <w:p>
            <w:pPr>
              <w:jc w:val="right"/>
              <w:ind w:right="340"/>
              <w:spacing w:after="0"/>
              <w:rPr>
                <w:sz w:val="20"/>
                <w:szCs w:val="20"/>
                <w:color w:val="auto"/>
              </w:rPr>
            </w:pPr>
            <w:r>
              <w:rPr>
                <w:rFonts w:ascii="Arial" w:cs="Arial" w:eastAsia="Arial" w:hAnsi="Arial"/>
                <w:sz w:val="17"/>
                <w:szCs w:val="17"/>
                <w:color w:val="auto"/>
              </w:rPr>
              <w:t>53,505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18,651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23,656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Adjusted Gross Profit</w:t>
            </w:r>
            <w:r>
              <w:rPr>
                <w:rFonts w:ascii="Arial" w:cs="Arial" w:eastAsia="Arial" w:hAnsi="Arial"/>
                <w:sz w:val="14"/>
                <w:szCs w:val="14"/>
                <w:color w:val="auto"/>
              </w:rPr>
              <w:t>(3)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67,511</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49,291</w:t>
            </w:r>
          </w:p>
        </w:tc>
        <w:tc>
          <w:tcPr>
            <w:tcW w:w="3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107,080</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35,393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Net (Loss) Income Margin</w:t>
            </w:r>
            <w:r>
              <w:rPr>
                <w:rFonts w:ascii="Arial" w:cs="Arial" w:eastAsia="Arial" w:hAnsi="Arial"/>
                <w:sz w:val="14"/>
                <w:szCs w:val="14"/>
                <w:color w:val="auto"/>
              </w:rPr>
              <w:t>(4)</w:t>
            </w:r>
          </w:p>
        </w:tc>
        <w:tc>
          <w:tcPr>
            <w:tcW w:w="1320" w:type="dxa"/>
            <w:vAlign w:val="bottom"/>
            <w:gridSpan w:val="3"/>
          </w:tcPr>
          <w:p>
            <w:pPr>
              <w:jc w:val="right"/>
              <w:ind w:right="120"/>
              <w:spacing w:after="0"/>
              <w:rPr>
                <w:sz w:val="20"/>
                <w:szCs w:val="20"/>
                <w:color w:val="auto"/>
              </w:rPr>
            </w:pPr>
            <w:r>
              <w:rPr>
                <w:rFonts w:ascii="Arial" w:cs="Arial" w:eastAsia="Arial" w:hAnsi="Arial"/>
                <w:sz w:val="17"/>
                <w:szCs w:val="17"/>
                <w:color w:val="auto"/>
              </w:rPr>
              <w:t>(33)%</w:t>
            </w:r>
          </w:p>
        </w:tc>
        <w:tc>
          <w:tcPr>
            <w:tcW w:w="1100" w:type="dxa"/>
            <w:vAlign w:val="bottom"/>
            <w:gridSpan w:val="3"/>
          </w:tcPr>
          <w:p>
            <w:pPr>
              <w:jc w:val="right"/>
              <w:ind w:right="72"/>
              <w:spacing w:after="0"/>
              <w:rPr>
                <w:sz w:val="20"/>
                <w:szCs w:val="20"/>
                <w:color w:val="auto"/>
              </w:rPr>
            </w:pPr>
            <w:r>
              <w:rPr>
                <w:rFonts w:ascii="Arial" w:cs="Arial" w:eastAsia="Arial" w:hAnsi="Arial"/>
                <w:sz w:val="17"/>
                <w:szCs w:val="17"/>
                <w:color w:val="auto"/>
              </w:rPr>
              <w:t>(46)%</w:t>
            </w:r>
          </w:p>
        </w:tc>
        <w:tc>
          <w:tcPr>
            <w:tcW w:w="1260" w:type="dxa"/>
            <w:vAlign w:val="bottom"/>
            <w:gridSpan w:val="3"/>
          </w:tcPr>
          <w:p>
            <w:pPr>
              <w:jc w:val="right"/>
              <w:ind w:right="140"/>
              <w:spacing w:after="0"/>
              <w:rPr>
                <w:sz w:val="20"/>
                <w:szCs w:val="20"/>
                <w:color w:val="auto"/>
              </w:rPr>
            </w:pPr>
            <w:r>
              <w:rPr>
                <w:rFonts w:ascii="Arial" w:cs="Arial" w:eastAsia="Arial" w:hAnsi="Arial"/>
                <w:sz w:val="17"/>
                <w:szCs w:val="17"/>
                <w:color w:val="auto"/>
              </w:rPr>
              <w:t>(43)%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(123)%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Gross Margin</w:t>
            </w:r>
            <w:r>
              <w:rPr>
                <w:rFonts w:ascii="Arial" w:cs="Arial" w:eastAsia="Arial" w:hAnsi="Arial"/>
                <w:sz w:val="14"/>
                <w:szCs w:val="14"/>
                <w:color w:val="auto"/>
              </w:rPr>
              <w:t>(5)</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75%</w:t>
            </w:r>
          </w:p>
        </w:tc>
        <w:tc>
          <w:tcPr>
            <w:tcW w:w="1100" w:type="dxa"/>
            <w:vAlign w:val="bottom"/>
            <w:gridSpan w:val="3"/>
            <w:shd w:val="clear" w:color="auto" w:fill="CCEEFF"/>
          </w:tcPr>
          <w:p>
            <w:pPr>
              <w:jc w:val="right"/>
              <w:ind w:right="112"/>
              <w:spacing w:after="0"/>
              <w:rPr>
                <w:sz w:val="20"/>
                <w:szCs w:val="20"/>
                <w:color w:val="auto"/>
              </w:rPr>
            </w:pPr>
            <w:r>
              <w:rPr>
                <w:rFonts w:ascii="Arial" w:cs="Arial" w:eastAsia="Arial" w:hAnsi="Arial"/>
                <w:sz w:val="17"/>
                <w:szCs w:val="17"/>
                <w:color w:val="auto"/>
              </w:rPr>
              <w:t>73%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Adjusted Gross Margin</w:t>
            </w:r>
            <w:r>
              <w:rPr>
                <w:rFonts w:ascii="Arial" w:cs="Arial" w:eastAsia="Arial" w:hAnsi="Arial"/>
                <w:sz w:val="14"/>
                <w:szCs w:val="14"/>
                <w:color w:val="auto"/>
              </w:rPr>
              <w:t>(6)</w:t>
            </w:r>
          </w:p>
        </w:tc>
        <w:tc>
          <w:tcPr>
            <w:tcW w:w="1320" w:type="dxa"/>
            <w:vAlign w:val="bottom"/>
            <w:gridSpan w:val="3"/>
          </w:tcPr>
          <w:p>
            <w:pPr>
              <w:jc w:val="right"/>
              <w:ind w:right="180"/>
              <w:spacing w:after="0"/>
              <w:rPr>
                <w:sz w:val="20"/>
                <w:szCs w:val="20"/>
                <w:color w:val="auto"/>
              </w:rPr>
            </w:pPr>
            <w:r>
              <w:rPr>
                <w:rFonts w:ascii="Arial" w:cs="Arial" w:eastAsia="Arial" w:hAnsi="Arial"/>
                <w:sz w:val="17"/>
                <w:szCs w:val="17"/>
                <w:color w:val="auto"/>
              </w:rPr>
              <w:t>88%</w:t>
            </w:r>
          </w:p>
        </w:tc>
        <w:tc>
          <w:tcPr>
            <w:tcW w:w="1100" w:type="dxa"/>
            <w:vAlign w:val="bottom"/>
            <w:gridSpan w:val="3"/>
          </w:tcPr>
          <w:p>
            <w:pPr>
              <w:jc w:val="right"/>
              <w:ind w:right="112"/>
              <w:spacing w:after="0"/>
              <w:rPr>
                <w:sz w:val="20"/>
                <w:szCs w:val="20"/>
                <w:color w:val="auto"/>
              </w:rPr>
            </w:pPr>
            <w:r>
              <w:rPr>
                <w:rFonts w:ascii="Arial" w:cs="Arial" w:eastAsia="Arial" w:hAnsi="Arial"/>
                <w:sz w:val="17"/>
                <w:szCs w:val="17"/>
                <w:color w:val="auto"/>
              </w:rPr>
              <w:t>90%</w:t>
            </w:r>
          </w:p>
        </w:tc>
        <w:tc>
          <w:tcPr>
            <w:tcW w:w="1260" w:type="dxa"/>
            <w:vAlign w:val="bottom"/>
            <w:gridSpan w:val="3"/>
          </w:tcPr>
          <w:p>
            <w:pPr>
              <w:jc w:val="right"/>
              <w:ind w:right="200"/>
              <w:spacing w:after="0"/>
              <w:rPr>
                <w:sz w:val="20"/>
                <w:szCs w:val="20"/>
                <w:color w:val="auto"/>
              </w:rPr>
            </w:pPr>
            <w:r>
              <w:rPr>
                <w:rFonts w:ascii="Arial" w:cs="Arial" w:eastAsia="Arial" w:hAnsi="Arial"/>
                <w:sz w:val="17"/>
                <w:szCs w:val="17"/>
                <w:color w:val="auto"/>
              </w:rPr>
              <w:t>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88%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Adjusted Operating Income</w:t>
            </w:r>
            <w:r>
              <w:rPr>
                <w:rFonts w:ascii="Arial" w:cs="Arial" w:eastAsia="Arial" w:hAnsi="Arial"/>
                <w:sz w:val="14"/>
                <w:szCs w:val="14"/>
                <w:color w:val="auto"/>
              </w:rPr>
              <w:t>(7)</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27,215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25,619</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52,139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18,183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23,233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800" w:type="dxa"/>
            <w:vAlign w:val="bottom"/>
            <w:gridSpan w:val="2"/>
          </w:tcPr>
          <w:p>
            <w:pPr>
              <w:ind w:left="340"/>
              <w:spacing w:after="0"/>
              <w:rPr>
                <w:sz w:val="20"/>
                <w:szCs w:val="20"/>
                <w:color w:val="auto"/>
              </w:rPr>
            </w:pPr>
            <w:r>
              <w:rPr>
                <w:rFonts w:ascii="Arial" w:cs="Arial" w:eastAsia="Arial" w:hAnsi="Arial"/>
                <w:sz w:val="17"/>
                <w:szCs w:val="17"/>
                <w:color w:val="auto"/>
              </w:rPr>
              <w:t>Adjusted EBITDA Margin</w:t>
            </w:r>
            <w:r>
              <w:rPr>
                <w:rFonts w:ascii="Arial" w:cs="Arial" w:eastAsia="Arial" w:hAnsi="Arial"/>
                <w:sz w:val="14"/>
                <w:szCs w:val="14"/>
                <w:color w:val="auto"/>
              </w:rPr>
              <w:t>(8)</w:t>
            </w:r>
          </w:p>
        </w:tc>
        <w:tc>
          <w:tcPr>
            <w:tcW w:w="1320" w:type="dxa"/>
            <w:vAlign w:val="bottom"/>
            <w:gridSpan w:val="3"/>
          </w:tcPr>
          <w:p>
            <w:pPr>
              <w:jc w:val="right"/>
              <w:ind w:right="180"/>
              <w:spacing w:after="0"/>
              <w:rPr>
                <w:sz w:val="20"/>
                <w:szCs w:val="20"/>
                <w:color w:val="auto"/>
              </w:rPr>
            </w:pPr>
            <w:r>
              <w:rPr>
                <w:rFonts w:ascii="Arial" w:cs="Arial" w:eastAsia="Arial" w:hAnsi="Arial"/>
                <w:sz w:val="17"/>
                <w:szCs w:val="17"/>
                <w:color w:val="auto"/>
              </w:rPr>
              <w:t>37%</w:t>
            </w:r>
          </w:p>
        </w:tc>
        <w:tc>
          <w:tcPr>
            <w:tcW w:w="1100" w:type="dxa"/>
            <w:vAlign w:val="bottom"/>
            <w:gridSpan w:val="3"/>
          </w:tcPr>
          <w:p>
            <w:pPr>
              <w:jc w:val="right"/>
              <w:ind w:right="112"/>
              <w:spacing w:after="0"/>
              <w:rPr>
                <w:sz w:val="20"/>
                <w:szCs w:val="20"/>
                <w:color w:val="auto"/>
              </w:rPr>
            </w:pPr>
            <w:r>
              <w:rPr>
                <w:rFonts w:ascii="Arial" w:cs="Arial" w:eastAsia="Arial" w:hAnsi="Arial"/>
                <w:sz w:val="17"/>
                <w:szCs w:val="17"/>
                <w:color w:val="auto"/>
              </w:rPr>
              <w:t>48%</w:t>
            </w:r>
          </w:p>
        </w:tc>
        <w:tc>
          <w:tcPr>
            <w:tcW w:w="1260" w:type="dxa"/>
            <w:vAlign w:val="bottom"/>
            <w:gridSpan w:val="3"/>
          </w:tcPr>
          <w:p>
            <w:pPr>
              <w:jc w:val="right"/>
              <w:ind w:right="200"/>
              <w:spacing w:after="0"/>
              <w:rPr>
                <w:sz w:val="20"/>
                <w:szCs w:val="20"/>
                <w:color w:val="auto"/>
              </w:rPr>
            </w:pPr>
            <w:r>
              <w:rPr>
                <w:rFonts w:ascii="Arial" w:cs="Arial" w:eastAsia="Arial" w:hAnsi="Arial"/>
                <w:sz w:val="17"/>
                <w:szCs w:val="17"/>
                <w:color w:val="auto"/>
              </w:rPr>
              <w:t>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4"/>
        </w:trPr>
        <w:tc>
          <w:tcPr>
            <w:tcW w:w="28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Adjusted Net Income (Loss)</w:t>
            </w:r>
            <w:r>
              <w:rPr>
                <w:rFonts w:ascii="Arial" w:cs="Arial" w:eastAsia="Arial" w:hAnsi="Arial"/>
                <w:sz w:val="14"/>
                <w:szCs w:val="14"/>
                <w:color w:val="auto"/>
              </w:rPr>
              <w:t>(9)</w:t>
            </w:r>
          </w:p>
        </w:tc>
        <w:tc>
          <w:tcPr>
            <w:tcW w:w="13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10,469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6,839</w:t>
            </w:r>
          </w:p>
        </w:tc>
        <w:tc>
          <w:tcPr>
            <w:tcW w:w="3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7"/>
                <w:szCs w:val="17"/>
                <w:color w:val="auto"/>
              </w:rPr>
              <w:t>15,427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23,068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080" w:type="dxa"/>
            <w:vAlign w:val="bottom"/>
            <w:tcBorders>
              <w:bottom w:val="single" w:sz="8" w:color="auto"/>
            </w:tcBorders>
          </w:tcPr>
          <w:p>
            <w:pPr>
              <w:spacing w:after="0"/>
              <w:rPr>
                <w:sz w:val="8"/>
                <w:szCs w:val="8"/>
                <w:color w:val="auto"/>
              </w:rPr>
            </w:pPr>
          </w:p>
        </w:tc>
        <w:tc>
          <w:tcPr>
            <w:tcW w:w="1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right="20" w:hanging="394"/>
        <w:spacing w:after="0" w:line="269"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Adjusted EBITDA, Adjusted Gross Profit, Adjusted Gross Margin, Adjusted Operating Income and Adjusted Net Income (Loss) are not defined under GAAP. Our use of the terms EBITDA and Adjusted EBITDA may not be comparable to similarly titled measures of other companies in our industry and are not measures of performance calculated in accordance with GAAP. Our presentation of Adjusted EBITDA, Adjusted Gross Profit, Adjusted Gross Margin, Adjusted (Loss) Operating Income and Adjusted Net Income (Loss) are intended as supplemental measures of our performance that are not required by, or presented in accordance with, GAAP. These measures should not be considered as alternatives to income (loss) from operations, net income (loss), earnings per share or any other performance measures derived in accordance with GAAP, or as measures of operating cash flows or liquidity. See “Non-GAAP Financial Measures” for a discussion of our results of operations for definitions and a reconciliation of our net (loss) income to Adjusted EBITDA, our gross profit to Adjusted Gross Profit and Adjusted Gross Margin, our (loss) income from operations to Adjusted Operating Income and our (loss) income to Adjusted Net Income (Loss).</w:t>
      </w:r>
    </w:p>
    <w:p>
      <w:pPr>
        <w:spacing w:after="0" w:line="355"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640"/>
          </w:cols>
          <w:pgMar w:left="320" w:top="442" w:right="93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111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95745" cy="611124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right="200" w:hanging="394"/>
        <w:spacing w:after="0" w:line="291" w:lineRule="auto"/>
        <w:tabs>
          <w:tab w:leader="none" w:pos="1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Adjusted EBITDA is defined as earnings before (i) debt-related costs, including interest expense and (ii) interest income, (iii) provision for taxes and (iv) depreciation and amortization. Management further adjusts EBITDA in its presentation of Adjusted EBITDA to exclude</w:t>
      </w:r>
    </w:p>
    <w:p>
      <w:pPr>
        <w:ind w:left="1000"/>
        <w:spacing w:after="0"/>
        <w:rPr>
          <w:rFonts w:ascii="Arial" w:cs="Arial" w:eastAsia="Arial" w:hAnsi="Arial"/>
          <w:sz w:val="15"/>
          <w:szCs w:val="15"/>
          <w:color w:val="auto"/>
        </w:rPr>
      </w:pPr>
      <w:r>
        <w:rPr>
          <w:rFonts w:ascii="Arial" w:cs="Arial" w:eastAsia="Arial" w:hAnsi="Arial"/>
          <w:sz w:val="16"/>
          <w:szCs w:val="16"/>
          <w:color w:val="auto"/>
        </w:rPr>
        <w:t>(i) other (income) expense, (ii) stock-based compensation, (iii) acquisition-related expenses and (iv) other non-recurring expenses.</w:t>
      </w:r>
    </w:p>
    <w:p>
      <w:pPr>
        <w:spacing w:after="0" w:line="19" w:lineRule="exact"/>
        <w:rPr>
          <w:rFonts w:ascii="Arial" w:cs="Arial" w:eastAsia="Arial" w:hAnsi="Arial"/>
          <w:sz w:val="15"/>
          <w:szCs w:val="15"/>
          <w:color w:val="auto"/>
        </w:rPr>
      </w:pPr>
    </w:p>
    <w:p>
      <w:pPr>
        <w:ind w:left="1000" w:hanging="394"/>
        <w:spacing w:after="0"/>
        <w:tabs>
          <w:tab w:leader="none" w:pos="1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Adjusted Gross Profit is defined as revenue less cost of revenue (excluding acquisition-related amortization and equity compensation costs).</w:t>
      </w:r>
    </w:p>
    <w:p>
      <w:pPr>
        <w:spacing w:after="0" w:line="31" w:lineRule="exact"/>
        <w:rPr>
          <w:rFonts w:ascii="Arial" w:cs="Arial" w:eastAsia="Arial" w:hAnsi="Arial"/>
          <w:sz w:val="15"/>
          <w:szCs w:val="15"/>
          <w:color w:val="auto"/>
        </w:rPr>
      </w:pPr>
    </w:p>
    <w:p>
      <w:pPr>
        <w:ind w:left="1000" w:hanging="394"/>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Net (Loss) Income Margin is defined as net (loss) income as a percentage of revenue for the applicable period.</w:t>
      </w:r>
    </w:p>
    <w:p>
      <w:pPr>
        <w:spacing w:after="0" w:line="8" w:lineRule="exact"/>
        <w:rPr>
          <w:rFonts w:ascii="Arial" w:cs="Arial" w:eastAsia="Arial" w:hAnsi="Arial"/>
          <w:sz w:val="17"/>
          <w:szCs w:val="17"/>
          <w:color w:val="auto"/>
        </w:rPr>
      </w:pPr>
    </w:p>
    <w:p>
      <w:pPr>
        <w:ind w:left="1000" w:hanging="394"/>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Gross Margin is defined as reported gross profit as a percentage of revenue for the applicable period.</w:t>
      </w:r>
    </w:p>
    <w:p>
      <w:pPr>
        <w:spacing w:after="0" w:line="8" w:lineRule="exact"/>
        <w:rPr>
          <w:rFonts w:ascii="Arial" w:cs="Arial" w:eastAsia="Arial" w:hAnsi="Arial"/>
          <w:sz w:val="17"/>
          <w:szCs w:val="17"/>
          <w:color w:val="auto"/>
        </w:rPr>
      </w:pPr>
    </w:p>
    <w:p>
      <w:pPr>
        <w:ind w:left="1000" w:hanging="394"/>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Adjusted Gross Margin is defined as Adjusted Gross Profit as a percentage of revenue for the applicable period.</w:t>
      </w:r>
    </w:p>
    <w:p>
      <w:pPr>
        <w:spacing w:after="0" w:line="8" w:lineRule="exact"/>
        <w:rPr>
          <w:rFonts w:ascii="Arial" w:cs="Arial" w:eastAsia="Arial" w:hAnsi="Arial"/>
          <w:sz w:val="17"/>
          <w:szCs w:val="17"/>
          <w:color w:val="auto"/>
        </w:rPr>
      </w:pPr>
    </w:p>
    <w:p>
      <w:pPr>
        <w:ind w:left="1000" w:right="180" w:hanging="394"/>
        <w:spacing w:after="0" w:line="249"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Adjusted Operating Income is defined as (loss) income from operations plus (i) acquisition-related depreciation and amortization (ii) stock-based compensation, (iii) acquisition-related expenses and (iv) other non-recurring adjustments.</w:t>
      </w:r>
    </w:p>
    <w:p>
      <w:pPr>
        <w:spacing w:after="0" w:line="1" w:lineRule="exact"/>
        <w:rPr>
          <w:rFonts w:ascii="Arial" w:cs="Arial" w:eastAsia="Arial" w:hAnsi="Arial"/>
          <w:sz w:val="17"/>
          <w:szCs w:val="17"/>
          <w:color w:val="auto"/>
        </w:rPr>
      </w:pPr>
    </w:p>
    <w:p>
      <w:pPr>
        <w:ind w:left="1000" w:hanging="394"/>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Adjusted EBITDA Margin is calculated by dividing Adjusted EBITDA by revenue for the applicable period.</w:t>
      </w:r>
    </w:p>
    <w:p>
      <w:pPr>
        <w:spacing w:after="0" w:line="8" w:lineRule="exact"/>
        <w:rPr>
          <w:rFonts w:ascii="Arial" w:cs="Arial" w:eastAsia="Arial" w:hAnsi="Arial"/>
          <w:sz w:val="17"/>
          <w:szCs w:val="17"/>
          <w:color w:val="auto"/>
        </w:rPr>
      </w:pPr>
    </w:p>
    <w:p>
      <w:pPr>
        <w:ind w:left="1000" w:right="140" w:hanging="394"/>
        <w:spacing w:after="0" w:line="259"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Adjusted Net (Loss) Income is defined as (loss) income from operations plus (i) acquisition-related depreciation and amortization (ii) stock-based compensation, (iii) acquisition-related expenses and (iv) other non-recurring adjustments.</w:t>
      </w:r>
    </w:p>
    <w:p>
      <w:pPr>
        <w:spacing w:after="0" w:line="177" w:lineRule="exact"/>
        <w:rPr>
          <w:sz w:val="20"/>
          <w:szCs w:val="20"/>
          <w:color w:val="auto"/>
        </w:rPr>
      </w:pPr>
    </w:p>
    <w:p>
      <w:pPr>
        <w:ind w:left="600" w:right="3100"/>
        <w:spacing w:after="0" w:line="273" w:lineRule="auto"/>
        <w:rPr>
          <w:sz w:val="20"/>
          <w:szCs w:val="20"/>
          <w:color w:val="auto"/>
        </w:rPr>
      </w:pPr>
      <w:r>
        <w:rPr>
          <w:rFonts w:ascii="Arial" w:cs="Arial" w:eastAsia="Arial" w:hAnsi="Arial"/>
          <w:sz w:val="17"/>
          <w:szCs w:val="17"/>
          <w:color w:val="auto"/>
        </w:rPr>
        <w:t>The following table provides a reconciliation of EBITDA and Adjusted EBITDA to net income (loss), their most directly comparable GAAP measure, for each of the periods presented:</w:t>
      </w:r>
    </w:p>
    <w:p>
      <w:pPr>
        <w:spacing w:after="0" w:line="264" w:lineRule="exact"/>
        <w:rPr>
          <w:sz w:val="20"/>
          <w:szCs w:val="20"/>
          <w:color w:val="auto"/>
        </w:rPr>
      </w:pPr>
    </w:p>
    <w:p>
      <w:pPr>
        <w:ind w:left="600"/>
        <w:spacing w:after="0"/>
        <w:rPr>
          <w:sz w:val="20"/>
          <w:szCs w:val="20"/>
          <w:color w:val="auto"/>
        </w:rPr>
      </w:pPr>
      <w:r>
        <w:rPr>
          <w:rFonts w:ascii="Arial" w:cs="Arial" w:eastAsia="Arial" w:hAnsi="Arial"/>
          <w:sz w:val="17"/>
          <w:szCs w:val="17"/>
          <w:b w:val="1"/>
          <w:bCs w:val="1"/>
          <w:color w:val="auto"/>
        </w:rPr>
        <w:t>Adjusted EBITDA</w:t>
      </w:r>
    </w:p>
    <w:p>
      <w:pPr>
        <w:spacing w:after="0" w:line="212"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560" w:type="dxa"/>
            <w:vAlign w:val="bottom"/>
            <w:gridSpan w:val="4"/>
            <w:vMerge w:val="restart"/>
          </w:tcPr>
          <w:p>
            <w:pPr>
              <w:jc w:val="center"/>
              <w:ind w:right="460"/>
              <w:spacing w:after="0"/>
              <w:rPr>
                <w:sz w:val="20"/>
                <w:szCs w:val="20"/>
                <w:color w:val="auto"/>
              </w:rPr>
            </w:pPr>
            <w:r>
              <w:rPr>
                <w:rFonts w:ascii="Arial" w:cs="Arial" w:eastAsia="Arial" w:hAnsi="Arial"/>
                <w:sz w:val="14"/>
                <w:szCs w:val="14"/>
                <w:b w:val="1"/>
                <w:bCs w:val="1"/>
                <w:color w:val="auto"/>
                <w:w w:val="89"/>
              </w:rPr>
              <w:t>Definitive OpCo</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5"/>
          </w:tcPr>
          <w:p>
            <w:pPr>
              <w:jc w:val="center"/>
              <w:ind w:left="102"/>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3"/>
          </w:tcPr>
          <w:p>
            <w:pPr>
              <w:jc w:val="center"/>
              <w:ind w:right="18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5"/>
          </w:tcPr>
          <w:p>
            <w:pPr>
              <w:jc w:val="center"/>
              <w:ind w:left="102"/>
              <w:spacing w:after="0"/>
              <w:rPr>
                <w:sz w:val="20"/>
                <w:szCs w:val="20"/>
                <w:color w:val="auto"/>
              </w:rPr>
            </w:pPr>
            <w:r>
              <w:rPr>
                <w:rFonts w:ascii="Arial" w:cs="Arial" w:eastAsia="Arial" w:hAnsi="Arial"/>
                <w:sz w:val="14"/>
                <w:szCs w:val="14"/>
                <w:b w:val="1"/>
                <w:bCs w:val="1"/>
                <w:color w:val="auto"/>
                <w:w w:val="83"/>
              </w:rPr>
              <w:t>Successor Company</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0" w:type="dxa"/>
            <w:vAlign w:val="bottom"/>
            <w:tcBorders>
              <w:top w:val="single" w:sz="8" w:color="auto"/>
            </w:tcBorders>
            <w:gridSpan w:val="5"/>
          </w:tcPr>
          <w:p>
            <w:pPr>
              <w:jc w:val="right"/>
              <w:ind w:right="532"/>
              <w:spacing w:after="0" w:line="133" w:lineRule="exact"/>
              <w:rPr>
                <w:sz w:val="20"/>
                <w:szCs w:val="20"/>
                <w:color w:val="auto"/>
              </w:rPr>
            </w:pPr>
            <w:r>
              <w:rPr>
                <w:rFonts w:ascii="Arial" w:cs="Arial" w:eastAsia="Arial" w:hAnsi="Arial"/>
                <w:sz w:val="14"/>
                <w:szCs w:val="14"/>
                <w:b w:val="1"/>
                <w:bCs w:val="1"/>
                <w:color w:val="auto"/>
              </w:rPr>
              <w:t>Six Months Ended</w:t>
            </w: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84"/>
              </w:rPr>
              <w:t>Year ended</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Period from</w:t>
            </w:r>
          </w:p>
        </w:tc>
        <w:tc>
          <w:tcPr>
            <w:tcW w:w="5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20"/>
              <w:spacing w:after="0" w:line="133" w:lineRule="exact"/>
              <w:rPr>
                <w:sz w:val="20"/>
                <w:szCs w:val="20"/>
                <w:color w:val="auto"/>
              </w:rPr>
            </w:pPr>
            <w:r>
              <w:rPr>
                <w:rFonts w:ascii="Arial" w:cs="Arial" w:eastAsia="Arial" w:hAnsi="Arial"/>
                <w:sz w:val="14"/>
                <w:szCs w:val="14"/>
                <w:b w:val="1"/>
                <w:bCs w:val="1"/>
                <w:color w:val="auto"/>
                <w:w w:val="89"/>
              </w:rPr>
              <w:t>Period from</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Borders>
              <w:top w:val="single" w:sz="8" w:color="auto"/>
            </w:tcBorders>
            <w:gridSpan w:val="2"/>
          </w:tcPr>
          <w:p>
            <w:pPr>
              <w:jc w:val="right"/>
              <w:ind w:right="360"/>
              <w:spacing w:after="0" w:line="113" w:lineRule="exact"/>
              <w:rPr>
                <w:sz w:val="20"/>
                <w:szCs w:val="20"/>
                <w:color w:val="auto"/>
              </w:rPr>
            </w:pPr>
            <w:r>
              <w:rPr>
                <w:rFonts w:ascii="Arial" w:cs="Arial" w:eastAsia="Arial" w:hAnsi="Arial"/>
                <w:sz w:val="12"/>
                <w:szCs w:val="12"/>
                <w:b w:val="1"/>
                <w:bCs w:val="1"/>
                <w:color w:val="auto"/>
              </w:rPr>
              <w:t>June 30,</w:t>
            </w: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b w:val="1"/>
                <w:bCs w:val="1"/>
                <w:color w:val="auto"/>
              </w:rPr>
              <w:t>June 30,</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gridSpan w:val="2"/>
          </w:tcPr>
          <w:p>
            <w:pPr>
              <w:jc w:val="center"/>
              <w:ind w:right="300"/>
              <w:spacing w:after="0" w:line="113" w:lineRule="exact"/>
              <w:rPr>
                <w:sz w:val="20"/>
                <w:szCs w:val="20"/>
                <w:color w:val="auto"/>
              </w:rPr>
            </w:pPr>
            <w:r>
              <w:rPr>
                <w:rFonts w:ascii="Arial" w:cs="Arial" w:eastAsia="Arial" w:hAnsi="Arial"/>
                <w:sz w:val="12"/>
                <w:szCs w:val="12"/>
                <w:b w:val="1"/>
                <w:bCs w:val="1"/>
                <w:color w:val="auto"/>
              </w:rPr>
              <w:t>December 31,</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tcBorders>
              <w:right w:val="single" w:sz="8" w:color="auto"/>
            </w:tcBorders>
            <w:gridSpan w:val="2"/>
          </w:tcPr>
          <w:p>
            <w:pPr>
              <w:jc w:val="center"/>
              <w:ind w:right="660"/>
              <w:spacing w:after="0" w:line="113" w:lineRule="exact"/>
              <w:rPr>
                <w:sz w:val="20"/>
                <w:szCs w:val="20"/>
                <w:color w:val="auto"/>
              </w:rPr>
            </w:pPr>
            <w:r>
              <w:rPr>
                <w:rFonts w:ascii="Arial" w:cs="Arial" w:eastAsia="Arial" w:hAnsi="Arial"/>
                <w:sz w:val="12"/>
                <w:szCs w:val="12"/>
                <w:b w:val="1"/>
                <w:bCs w:val="1"/>
                <w:color w:val="auto"/>
              </w:rPr>
              <w:t>July 16, 2019 to</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tcPr>
          <w:p>
            <w:pPr>
              <w:jc w:val="center"/>
              <w:ind w:right="280"/>
              <w:spacing w:after="0" w:line="113" w:lineRule="exact"/>
              <w:rPr>
                <w:sz w:val="20"/>
                <w:szCs w:val="20"/>
                <w:color w:val="auto"/>
              </w:rPr>
            </w:pPr>
            <w:r>
              <w:rPr>
                <w:rFonts w:ascii="Arial" w:cs="Arial" w:eastAsia="Arial" w:hAnsi="Arial"/>
                <w:sz w:val="12"/>
                <w:szCs w:val="12"/>
                <w:b w:val="1"/>
                <w:bCs w:val="1"/>
                <w:color w:val="auto"/>
              </w:rPr>
              <w:t>January 1, 2019 to</w:t>
            </w:r>
          </w:p>
        </w:tc>
        <w:tc>
          <w:tcPr>
            <w:tcW w:w="0" w:type="dxa"/>
            <w:vAlign w:val="bottom"/>
          </w:tcPr>
          <w:p>
            <w:pPr>
              <w:spacing w:after="0"/>
              <w:rPr>
                <w:sz w:val="1"/>
                <w:szCs w:val="1"/>
                <w:color w:val="auto"/>
              </w:rPr>
            </w:pPr>
          </w:p>
        </w:tc>
      </w:tr>
      <w:tr>
        <w:trPr>
          <w:trHeight w:val="160"/>
        </w:trPr>
        <w:tc>
          <w:tcPr>
            <w:tcW w:w="29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84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3"/>
                <w:szCs w:val="13"/>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3"/>
                <w:szCs w:val="13"/>
                <w:color w:val="auto"/>
              </w:rPr>
            </w:pPr>
          </w:p>
        </w:tc>
        <w:tc>
          <w:tcPr>
            <w:tcW w:w="960" w:type="dxa"/>
            <w:vAlign w:val="bottom"/>
            <w:gridSpan w:val="2"/>
          </w:tcPr>
          <w:p>
            <w:pPr>
              <w:jc w:val="center"/>
              <w:ind w:left="77"/>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85"/>
              </w:rPr>
              <w:t>December 31, 2019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 Income</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$(25,527)</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$(25,333)</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  (51,157)</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58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16,770</w:t>
            </w:r>
          </w:p>
        </w:tc>
        <w:tc>
          <w:tcPr>
            <w:tcW w:w="3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18,780</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36,490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18,204</w:t>
            </w:r>
          </w:p>
        </w:tc>
        <w:tc>
          <w:tcPr>
            <w:tcW w:w="5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741</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516</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1,152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5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Amortization of intangible assets</w:t>
            </w:r>
          </w:p>
        </w:tc>
        <w:tc>
          <w:tcPr>
            <w:tcW w:w="2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28,853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58,428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30,617</w:t>
            </w: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EBITDA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20,837</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22,856</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44,913</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5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15,498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 xml:space="preserve">Other (income) expense, net </w:t>
            </w:r>
            <w:r>
              <w:rPr>
                <w:rFonts w:ascii="Arial" w:cs="Arial" w:eastAsia="Arial" w:hAnsi="Arial"/>
                <w:sz w:val="14"/>
                <w:szCs w:val="14"/>
                <w:color w:val="auto"/>
              </w:rPr>
              <w:t>(a)</w:t>
            </w:r>
          </w:p>
        </w:tc>
        <w:tc>
          <w:tcPr>
            <w:tcW w:w="1140" w:type="dxa"/>
            <w:vAlign w:val="bottom"/>
            <w:gridSpan w:val="3"/>
          </w:tcPr>
          <w:p>
            <w:pPr>
              <w:jc w:val="right"/>
              <w:ind w:right="240"/>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7"/>
                <w:szCs w:val="17"/>
                <w:color w:val="auto"/>
              </w:rPr>
            </w:pPr>
          </w:p>
        </w:tc>
        <w:tc>
          <w:tcPr>
            <w:tcW w:w="920" w:type="dxa"/>
            <w:vAlign w:val="bottom"/>
            <w:gridSpan w:val="2"/>
          </w:tcPr>
          <w:p>
            <w:pPr>
              <w:jc w:val="right"/>
              <w:ind w:right="312"/>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222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Equity compensation costs </w:t>
            </w:r>
            <w:r>
              <w:rPr>
                <w:rFonts w:ascii="Arial" w:cs="Arial" w:eastAsia="Arial" w:hAnsi="Arial"/>
                <w:sz w:val="14"/>
                <w:szCs w:val="14"/>
                <w:color w:val="auto"/>
              </w:rPr>
              <w:t>(b)</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872</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5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7"/>
                <w:szCs w:val="17"/>
                <w:color w:val="auto"/>
              </w:rPr>
              <w:t xml:space="preserve">Acquisition related expenses </w:t>
            </w:r>
            <w:r>
              <w:rPr>
                <w:rFonts w:ascii="Arial" w:cs="Arial" w:eastAsia="Arial" w:hAnsi="Arial"/>
                <w:sz w:val="14"/>
                <w:szCs w:val="14"/>
                <w:color w:val="auto"/>
              </w:rPr>
              <w:t>(c)</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3,469</w:t>
            </w:r>
          </w:p>
        </w:tc>
        <w:tc>
          <w:tcPr>
            <w:tcW w:w="3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708</w:t>
            </w:r>
          </w:p>
        </w:tc>
        <w:tc>
          <w:tcPr>
            <w:tcW w:w="30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3,776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14,703</w:t>
            </w:r>
          </w:p>
        </w:tc>
        <w:tc>
          <w:tcPr>
            <w:tcW w:w="5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1,151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4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w w:val="95"/>
              </w:rPr>
              <w:t>Non-recurring and one-time adjustments</w:t>
            </w:r>
          </w:p>
        </w:tc>
        <w:tc>
          <w:tcPr>
            <w:tcW w:w="220" w:type="dxa"/>
            <w:vAlign w:val="bottom"/>
            <w:vMerge w:val="restart"/>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3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3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2,847</w:t>
            </w: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3,193</w:t>
            </w:r>
          </w:p>
        </w:tc>
        <w:tc>
          <w:tcPr>
            <w:tcW w:w="580" w:type="dxa"/>
            <w:vAlign w:val="bottom"/>
            <w:tcBorders>
              <w:right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9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(d)</w:t>
            </w:r>
          </w:p>
        </w:tc>
        <w:tc>
          <w:tcPr>
            <w:tcW w:w="220" w:type="dxa"/>
            <w:vAlign w:val="bottom"/>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62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00" w:type="dxa"/>
            <w:vAlign w:val="bottom"/>
            <w:tcBorders>
              <w:bottom w:val="single" w:sz="8" w:color="auto"/>
            </w:tcBorders>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580" w:type="dxa"/>
            <w:vAlign w:val="bottom"/>
            <w:tcBorders>
              <w:right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Adjusted EBITDA</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28,467</w:t>
            </w:r>
          </w:p>
        </w:tc>
        <w:tc>
          <w:tcPr>
            <w:tcW w:w="3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26,203</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53,505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18,651</w:t>
            </w:r>
          </w:p>
        </w:tc>
        <w:tc>
          <w:tcPr>
            <w:tcW w:w="5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23,656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2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58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gridSpan w:val="3"/>
          </w:tcPr>
          <w:p>
            <w:pPr>
              <w:spacing w:after="0"/>
              <w:rPr>
                <w:sz w:val="20"/>
                <w:szCs w:val="20"/>
                <w:color w:val="auto"/>
              </w:rPr>
            </w:pPr>
            <w:r>
              <w:rPr>
                <w:rFonts w:ascii="Arial" w:cs="Arial" w:eastAsia="Arial" w:hAnsi="Arial"/>
                <w:sz w:val="17"/>
                <w:szCs w:val="17"/>
                <w:b w:val="1"/>
                <w:bCs w:val="1"/>
                <w:color w:val="auto"/>
              </w:rPr>
              <w:t>Adjusted EBITDA Margin</w:t>
            </w:r>
          </w:p>
        </w:tc>
        <w:tc>
          <w:tcPr>
            <w:tcW w:w="1140" w:type="dxa"/>
            <w:vAlign w:val="bottom"/>
            <w:gridSpan w:val="3"/>
          </w:tcPr>
          <w:p>
            <w:pPr>
              <w:jc w:val="right"/>
              <w:ind w:right="160"/>
              <w:spacing w:after="0"/>
              <w:rPr>
                <w:sz w:val="20"/>
                <w:szCs w:val="20"/>
                <w:color w:val="auto"/>
              </w:rPr>
            </w:pPr>
            <w:r>
              <w:rPr>
                <w:rFonts w:ascii="Arial" w:cs="Arial" w:eastAsia="Arial" w:hAnsi="Arial"/>
                <w:sz w:val="17"/>
                <w:szCs w:val="17"/>
                <w:color w:val="auto"/>
              </w:rPr>
              <w:t>37%</w:t>
            </w:r>
          </w:p>
        </w:tc>
        <w:tc>
          <w:tcPr>
            <w:tcW w:w="1080" w:type="dxa"/>
            <w:vAlign w:val="bottom"/>
            <w:gridSpan w:val="3"/>
          </w:tcPr>
          <w:p>
            <w:pPr>
              <w:jc w:val="right"/>
              <w:ind w:right="72"/>
              <w:spacing w:after="0"/>
              <w:rPr>
                <w:sz w:val="20"/>
                <w:szCs w:val="20"/>
                <w:color w:val="auto"/>
              </w:rPr>
            </w:pPr>
            <w:r>
              <w:rPr>
                <w:rFonts w:ascii="Arial" w:cs="Arial" w:eastAsia="Arial" w:hAnsi="Arial"/>
                <w:sz w:val="17"/>
                <w:szCs w:val="17"/>
                <w:color w:val="auto"/>
              </w:rPr>
              <w:t>48%</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color w:val="auto"/>
              </w:rPr>
              <w:t>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7"/>
                <w:szCs w:val="17"/>
                <w:color w:val="auto"/>
              </w:rPr>
              <w:t>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hanging="394"/>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9" w:lineRule="exact"/>
        <w:rPr>
          <w:rFonts w:ascii="Arial" w:cs="Arial" w:eastAsia="Arial" w:hAnsi="Arial"/>
          <w:sz w:val="17"/>
          <w:szCs w:val="17"/>
          <w:color w:val="auto"/>
        </w:rPr>
      </w:pPr>
    </w:p>
    <w:p>
      <w:pPr>
        <w:ind w:left="1000" w:right="140" w:hanging="394"/>
        <w:spacing w:after="0" w:line="24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000" w:right="640" w:hanging="394"/>
        <w:spacing w:after="0" w:line="249"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Acquisition related expenses primarily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000" w:right="120" w:hanging="394"/>
        <w:spacing w:after="0" w:line="254"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640"/>
          </w:cols>
          <w:pgMar w:left="320" w:top="442" w:right="9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62242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95745" cy="622427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right="420"/>
        <w:spacing w:after="0" w:line="306" w:lineRule="auto"/>
        <w:rPr>
          <w:sz w:val="20"/>
          <w:szCs w:val="20"/>
          <w:color w:val="auto"/>
        </w:rPr>
      </w:pPr>
      <w:r>
        <w:rPr>
          <w:rFonts w:ascii="Arial" w:cs="Arial" w:eastAsia="Arial" w:hAnsi="Arial"/>
          <w:sz w:val="16"/>
          <w:szCs w:val="16"/>
          <w:color w:val="auto"/>
        </w:rPr>
        <w:t>December 31, 2020, a sales-tax voluntary disclosure agreement in the period from July 16, 2019 to December 31, 2019, and the costs of exiting certain contracts assumed as part of an acquisition in the period from January 1, 2019 to July 15, 2019.</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provides a reconciliation of Adjusted Gross Profit and Adjusted Gross Margin to gross profit, its most directly comparable</w:t>
      </w:r>
    </w:p>
    <w:p>
      <w:pPr>
        <w:spacing w:after="0" w:line="3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GAAP measure, for each of the periods presented:</w:t>
      </w:r>
    </w:p>
    <w:p>
      <w:pPr>
        <w:spacing w:after="0" w:line="196"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Definitive OpCo</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3"/>
          </w:tcPr>
          <w:p>
            <w:pPr>
              <w:jc w:val="center"/>
              <w:ind w:right="69"/>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3"/>
          </w:tcPr>
          <w:p>
            <w:pPr>
              <w:jc w:val="center"/>
              <w:ind w:right="16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4"/>
          </w:tcPr>
          <w:p>
            <w:pPr>
              <w:jc w:val="center"/>
              <w:ind w:left="266"/>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4"/>
          </w:tcPr>
          <w:p>
            <w:pPr>
              <w:jc w:val="center"/>
              <w:ind w:left="266"/>
              <w:spacing w:after="0"/>
              <w:rPr>
                <w:sz w:val="20"/>
                <w:szCs w:val="20"/>
                <w:color w:val="auto"/>
              </w:rPr>
            </w:pPr>
            <w:r>
              <w:rPr>
                <w:rFonts w:ascii="Arial" w:cs="Arial" w:eastAsia="Arial" w:hAnsi="Arial"/>
                <w:sz w:val="14"/>
                <w:szCs w:val="14"/>
                <w:b w:val="1"/>
                <w:bCs w:val="1"/>
                <w:color w:val="auto"/>
                <w:w w:val="83"/>
              </w:rPr>
              <w:t>Successor Company</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gridSpan w:val="4"/>
            <w:vMerge w:val="restart"/>
          </w:tcPr>
          <w:p>
            <w:pPr>
              <w:ind w:left="320"/>
              <w:spacing w:after="0"/>
              <w:rPr>
                <w:sz w:val="20"/>
                <w:szCs w:val="20"/>
                <w:color w:val="auto"/>
              </w:rPr>
            </w:pPr>
            <w:r>
              <w:rPr>
                <w:rFonts w:ascii="Arial" w:cs="Arial" w:eastAsia="Arial" w:hAnsi="Arial"/>
                <w:sz w:val="14"/>
                <w:szCs w:val="14"/>
                <w:b w:val="1"/>
                <w:bCs w:val="1"/>
                <w:color w:val="auto"/>
                <w:w w:val="92"/>
              </w:rPr>
              <w:t>Six Months Ended</w:t>
            </w:r>
          </w:p>
        </w:tc>
        <w:tc>
          <w:tcPr>
            <w:tcW w:w="4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36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127"/>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jc w:val="center"/>
              <w:ind w:right="8"/>
              <w:spacing w:after="0" w:line="113" w:lineRule="exact"/>
              <w:rPr>
                <w:sz w:val="20"/>
                <w:szCs w:val="20"/>
                <w:color w:val="auto"/>
              </w:rPr>
            </w:pPr>
            <w:r>
              <w:rPr>
                <w:rFonts w:ascii="Arial" w:cs="Arial" w:eastAsia="Arial" w:hAnsi="Arial"/>
                <w:sz w:val="12"/>
                <w:szCs w:val="12"/>
                <w:b w:val="1"/>
                <w:bCs w:val="1"/>
                <w:color w:val="auto"/>
              </w:rPr>
              <w:t>Period from</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right"/>
              <w:ind w:right="400"/>
              <w:spacing w:after="0" w:line="140" w:lineRule="exact"/>
              <w:rPr>
                <w:sz w:val="20"/>
                <w:szCs w:val="20"/>
                <w:color w:val="auto"/>
              </w:rPr>
            </w:pPr>
            <w:r>
              <w:rPr>
                <w:rFonts w:ascii="Arial" w:cs="Arial" w:eastAsia="Arial" w:hAnsi="Arial"/>
                <w:sz w:val="14"/>
                <w:szCs w:val="14"/>
                <w:b w:val="1"/>
                <w:bCs w:val="1"/>
                <w:color w:val="auto"/>
                <w:w w:val="86"/>
              </w:rPr>
              <w:t>July 16, 2019 to</w:t>
            </w: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vMerge w:val="restart"/>
          </w:tcPr>
          <w:p>
            <w:pPr>
              <w:jc w:val="center"/>
              <w:ind w:right="240"/>
              <w:spacing w:after="0" w:line="140"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41"/>
        </w:trPr>
        <w:tc>
          <w:tcPr>
            <w:tcW w:w="21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18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3"/>
                <w:szCs w:val="13"/>
                <w:color w:val="auto"/>
              </w:rPr>
            </w:pPr>
          </w:p>
        </w:tc>
        <w:tc>
          <w:tcPr>
            <w:tcW w:w="14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Reported gross profit</w:t>
            </w:r>
          </w:p>
        </w:tc>
        <w:tc>
          <w:tcPr>
            <w:tcW w:w="4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57,451</w:t>
            </w:r>
          </w:p>
        </w:tc>
        <w:tc>
          <w:tcPr>
            <w:tcW w:w="3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39,845</w:t>
            </w:r>
          </w:p>
        </w:tc>
        <w:tc>
          <w:tcPr>
            <w:tcW w:w="3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87,849</w:t>
            </w: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26,763</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40,130</w:t>
            </w: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80" w:type="dxa"/>
            <w:vAlign w:val="bottom"/>
            <w:gridSpan w:val="2"/>
          </w:tcPr>
          <w:p>
            <w:pPr>
              <w:spacing w:after="0"/>
              <w:rPr>
                <w:sz w:val="20"/>
                <w:szCs w:val="20"/>
                <w:color w:val="auto"/>
              </w:rPr>
            </w:pPr>
            <w:r>
              <w:rPr>
                <w:rFonts w:ascii="Arial" w:cs="Arial" w:eastAsia="Arial" w:hAnsi="Arial"/>
                <w:sz w:val="15"/>
                <w:szCs w:val="15"/>
                <w:color w:val="auto"/>
              </w:rPr>
              <w:t>Amortization of intangible assets</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180" w:type="dxa"/>
            <w:vAlign w:val="bottom"/>
            <w:gridSpan w:val="2"/>
          </w:tcPr>
          <w:p>
            <w:pPr>
              <w:ind w:left="140"/>
              <w:spacing w:after="0"/>
              <w:rPr>
                <w:sz w:val="20"/>
                <w:szCs w:val="20"/>
                <w:color w:val="auto"/>
              </w:rPr>
            </w:pPr>
            <w:r>
              <w:rPr>
                <w:rFonts w:ascii="Arial" w:cs="Arial" w:eastAsia="Arial" w:hAnsi="Arial"/>
                <w:sz w:val="15"/>
                <w:szCs w:val="15"/>
                <w:color w:val="auto"/>
              </w:rPr>
              <w:t>resulting from acquisition-</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180" w:type="dxa"/>
            <w:vAlign w:val="bottom"/>
            <w:gridSpan w:val="2"/>
          </w:tcPr>
          <w:p>
            <w:pPr>
              <w:ind w:left="140"/>
              <w:spacing w:after="0"/>
              <w:rPr>
                <w:sz w:val="20"/>
                <w:szCs w:val="20"/>
                <w:color w:val="auto"/>
              </w:rPr>
            </w:pPr>
            <w:r>
              <w:rPr>
                <w:rFonts w:ascii="Arial" w:cs="Arial" w:eastAsia="Arial" w:hAnsi="Arial"/>
                <w:sz w:val="15"/>
                <w:szCs w:val="15"/>
                <w:color w:val="auto"/>
              </w:rPr>
              <w:t>related purchase accounting</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180" w:type="dxa"/>
            <w:vAlign w:val="bottom"/>
            <w:gridSpan w:val="2"/>
          </w:tcPr>
          <w:p>
            <w:pPr>
              <w:ind w:left="140"/>
              <w:spacing w:after="0" w:line="202" w:lineRule="exact"/>
              <w:rPr>
                <w:sz w:val="20"/>
                <w:szCs w:val="20"/>
                <w:color w:val="auto"/>
              </w:rPr>
            </w:pPr>
            <w:r>
              <w:rPr>
                <w:rFonts w:ascii="Arial" w:cs="Arial" w:eastAsia="Arial" w:hAnsi="Arial"/>
                <w:sz w:val="14"/>
                <w:szCs w:val="14"/>
                <w:color w:val="auto"/>
              </w:rPr>
              <w:t xml:space="preserve">adjustments </w:t>
            </w:r>
            <w:r>
              <w:rPr>
                <w:rFonts w:ascii="Arial" w:cs="Arial" w:eastAsia="Arial" w:hAnsi="Arial"/>
                <w:sz w:val="23"/>
                <w:szCs w:val="23"/>
                <w:color w:val="auto"/>
                <w:vertAlign w:val="superscript"/>
              </w:rPr>
              <w:t>(a)</w:t>
            </w: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10,029</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9,416</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19,169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8,602</w:t>
            </w:r>
          </w:p>
        </w:tc>
        <w:tc>
          <w:tcPr>
            <w:tcW w:w="3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498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Equity compensation costs</w:t>
            </w:r>
          </w:p>
        </w:tc>
        <w:tc>
          <w:tcPr>
            <w:tcW w:w="4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w:t>
            </w: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w:t>
            </w: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Adjusted Gross Profit</w:t>
            </w:r>
          </w:p>
        </w:tc>
        <w:tc>
          <w:tcPr>
            <w:tcW w:w="64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67,511</w:t>
            </w:r>
          </w:p>
        </w:tc>
        <w:tc>
          <w:tcPr>
            <w:tcW w:w="360" w:type="dxa"/>
            <w:vAlign w:val="bottom"/>
          </w:tcPr>
          <w:p>
            <w:pPr>
              <w:spacing w:after="0"/>
              <w:rPr>
                <w:sz w:val="16"/>
                <w:szCs w:val="16"/>
                <w:color w:val="auto"/>
              </w:rPr>
            </w:pPr>
          </w:p>
        </w:tc>
        <w:tc>
          <w:tcPr>
            <w:tcW w:w="54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49,291</w:t>
            </w:r>
          </w:p>
        </w:tc>
        <w:tc>
          <w:tcPr>
            <w:tcW w:w="360" w:type="dxa"/>
            <w:vAlign w:val="bottom"/>
          </w:tcPr>
          <w:p>
            <w:pPr>
              <w:spacing w:after="0"/>
              <w:rPr>
                <w:sz w:val="16"/>
                <w:szCs w:val="16"/>
                <w:color w:val="auto"/>
              </w:rPr>
            </w:pPr>
          </w:p>
        </w:tc>
        <w:tc>
          <w:tcPr>
            <w:tcW w:w="78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107,080</w:t>
            </w:r>
          </w:p>
        </w:tc>
        <w:tc>
          <w:tcPr>
            <w:tcW w:w="26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35,393</w:t>
            </w:r>
          </w:p>
        </w:tc>
        <w:tc>
          <w:tcPr>
            <w:tcW w:w="300" w:type="dxa"/>
            <w:vAlign w:val="bottom"/>
            <w:tcBorders>
              <w:right w:val="single" w:sz="8" w:color="auto"/>
            </w:tcBorders>
          </w:tcPr>
          <w:p>
            <w:pPr>
              <w:spacing w:after="0"/>
              <w:rPr>
                <w:sz w:val="16"/>
                <w:szCs w:val="16"/>
                <w:color w:val="auto"/>
              </w:rPr>
            </w:pPr>
          </w:p>
        </w:tc>
        <w:tc>
          <w:tcPr>
            <w:tcW w:w="4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40,884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w:t>
            </w:r>
          </w:p>
        </w:tc>
        <w:tc>
          <w:tcPr>
            <w:tcW w:w="4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76,757</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54,586</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118,317</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40,045</w:t>
            </w:r>
          </w:p>
        </w:tc>
        <w:tc>
          <w:tcPr>
            <w:tcW w:w="30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45,458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Adjusted Gross Margin</w:t>
            </w: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5"/>
                <w:szCs w:val="15"/>
                <w:color w:val="auto"/>
              </w:rPr>
              <w:t>88%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tcPr>
          <w:p>
            <w:pPr>
              <w:jc w:val="right"/>
              <w:ind w:right="172"/>
              <w:spacing w:after="0"/>
              <w:rPr>
                <w:sz w:val="20"/>
                <w:szCs w:val="20"/>
                <w:color w:val="auto"/>
              </w:rPr>
            </w:pPr>
            <w:r>
              <w:rPr>
                <w:rFonts w:ascii="Arial" w:cs="Arial" w:eastAsia="Arial" w:hAnsi="Arial"/>
                <w:sz w:val="15"/>
                <w:szCs w:val="15"/>
                <w:color w:val="auto"/>
              </w:rPr>
              <w:t>90%</w:t>
            </w: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91%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5"/>
                <w:szCs w:val="15"/>
                <w:color w:val="auto"/>
              </w:rPr>
              <w:t>88%</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right="180" w:hanging="394"/>
        <w:spacing w:after="0" w:line="273"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6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presents a reconciliation of (Loss) Income from Operations to Adjusted Operating Income for the periods presented:</w:t>
      </w:r>
    </w:p>
    <w:p>
      <w:pPr>
        <w:spacing w:after="0" w:line="220"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1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60" w:type="dxa"/>
            <w:vAlign w:val="bottom"/>
            <w:gridSpan w:val="4"/>
            <w:vMerge w:val="restart"/>
          </w:tcPr>
          <w:p>
            <w:pPr>
              <w:jc w:val="center"/>
              <w:ind w:left="187"/>
              <w:spacing w:after="0"/>
              <w:rPr>
                <w:sz w:val="20"/>
                <w:szCs w:val="20"/>
                <w:color w:val="auto"/>
              </w:rPr>
            </w:pPr>
            <w:r>
              <w:rPr>
                <w:rFonts w:ascii="Arial" w:cs="Arial" w:eastAsia="Arial" w:hAnsi="Arial"/>
                <w:sz w:val="14"/>
                <w:szCs w:val="14"/>
                <w:b w:val="1"/>
                <w:bCs w:val="1"/>
                <w:color w:val="auto"/>
                <w:w w:val="89"/>
              </w:rPr>
              <w:t>Definitive OpCo</w:t>
            </w: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6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60" w:type="dxa"/>
            <w:vAlign w:val="bottom"/>
            <w:gridSpan w:val="4"/>
          </w:tcPr>
          <w:p>
            <w:pPr>
              <w:jc w:val="center"/>
              <w:ind w:left="187"/>
              <w:spacing w:after="0" w:line="140" w:lineRule="exact"/>
              <w:rPr>
                <w:sz w:val="20"/>
                <w:szCs w:val="20"/>
                <w:color w:val="auto"/>
              </w:rPr>
            </w:pPr>
            <w:r>
              <w:rPr>
                <w:rFonts w:ascii="Arial" w:cs="Arial" w:eastAsia="Arial" w:hAnsi="Arial"/>
                <w:sz w:val="14"/>
                <w:szCs w:val="14"/>
                <w:b w:val="1"/>
                <w:bCs w:val="1"/>
                <w:color w:val="auto"/>
                <w:w w:val="96"/>
              </w:rPr>
              <w:t>(AIDH TopCo, LLC)</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3"/>
          </w:tcPr>
          <w:p>
            <w:pPr>
              <w:jc w:val="center"/>
              <w:ind w:right="4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gridSpan w:val="4"/>
          </w:tcPr>
          <w:p>
            <w:pPr>
              <w:jc w:val="center"/>
              <w:ind w:left="187"/>
              <w:spacing w:after="0"/>
              <w:rPr>
                <w:sz w:val="20"/>
                <w:szCs w:val="20"/>
                <w:color w:val="auto"/>
              </w:rPr>
            </w:pPr>
            <w:r>
              <w:rPr>
                <w:rFonts w:ascii="Arial" w:cs="Arial" w:eastAsia="Arial" w:hAnsi="Arial"/>
                <w:sz w:val="14"/>
                <w:szCs w:val="14"/>
                <w:b w:val="1"/>
                <w:bCs w:val="1"/>
                <w:color w:val="auto"/>
                <w:w w:val="85"/>
              </w:rPr>
              <w:t>Successor Company</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4"/>
            <w:vMerge w:val="restart"/>
          </w:tcPr>
          <w:p>
            <w:pPr>
              <w:ind w:left="280"/>
              <w:spacing w:after="0"/>
              <w:rPr>
                <w:sz w:val="20"/>
                <w:szCs w:val="20"/>
                <w:color w:val="auto"/>
              </w:rPr>
            </w:pPr>
            <w:r>
              <w:rPr>
                <w:rFonts w:ascii="Arial" w:cs="Arial" w:eastAsia="Arial" w:hAnsi="Arial"/>
                <w:sz w:val="14"/>
                <w:szCs w:val="14"/>
                <w:b w:val="1"/>
                <w:bCs w:val="1"/>
                <w:color w:val="auto"/>
                <w:w w:val="90"/>
              </w:rPr>
              <w:t>Six Months Ended</w:t>
            </w:r>
          </w:p>
        </w:tc>
        <w:tc>
          <w:tcPr>
            <w:tcW w:w="4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8"/>
              <w:spacing w:after="0" w:line="113" w:lineRule="exact"/>
              <w:rPr>
                <w:sz w:val="20"/>
                <w:szCs w:val="20"/>
                <w:color w:val="auto"/>
              </w:rPr>
            </w:pPr>
            <w:r>
              <w:rPr>
                <w:rFonts w:ascii="Arial" w:cs="Arial" w:eastAsia="Arial" w:hAnsi="Arial"/>
                <w:sz w:val="12"/>
                <w:szCs w:val="12"/>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380"/>
              <w:spacing w:after="0" w:line="140" w:lineRule="exact"/>
              <w:rPr>
                <w:sz w:val="20"/>
                <w:szCs w:val="20"/>
                <w:color w:val="auto"/>
              </w:rPr>
            </w:pPr>
            <w:r>
              <w:rPr>
                <w:rFonts w:ascii="Arial" w:cs="Arial" w:eastAsia="Arial" w:hAnsi="Arial"/>
                <w:sz w:val="14"/>
                <w:szCs w:val="14"/>
                <w:b w:val="1"/>
                <w:bCs w:val="1"/>
                <w:color w:val="auto"/>
                <w:w w:val="88"/>
              </w:rPr>
              <w:t>July 16, 2019 to</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40"/>
              <w:spacing w:after="0" w:line="140"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160"/>
        </w:trPr>
        <w:tc>
          <w:tcPr>
            <w:tcW w:w="29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3"/>
                <w:szCs w:val="13"/>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120" w:type="dxa"/>
            <w:vAlign w:val="bottom"/>
          </w:tcPr>
          <w:p>
            <w:pPr>
              <w:spacing w:after="0"/>
              <w:rPr>
                <w:sz w:val="13"/>
                <w:szCs w:val="13"/>
                <w:color w:val="auto"/>
              </w:rPr>
            </w:pP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(Loss) income from operations</w:t>
            </w: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(8,781)</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(6,553)</w:t>
            </w:r>
          </w:p>
        </w:tc>
        <w:tc>
          <w:tcPr>
            <w:tcW w:w="2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(14,445)</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(31,062)</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13,033</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gridSpan w:val="3"/>
          </w:tcPr>
          <w:p>
            <w:pPr>
              <w:spacing w:after="0"/>
              <w:rPr>
                <w:sz w:val="20"/>
                <w:szCs w:val="20"/>
                <w:color w:val="auto"/>
              </w:rPr>
            </w:pPr>
            <w:r>
              <w:rPr>
                <w:rFonts w:ascii="Arial" w:cs="Arial" w:eastAsia="Arial" w:hAnsi="Arial"/>
                <w:sz w:val="15"/>
                <w:szCs w:val="15"/>
                <w:color w:val="auto"/>
              </w:rPr>
              <w:t>Amortization of intangible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00" w:type="dxa"/>
            <w:vAlign w:val="bottom"/>
            <w:gridSpan w:val="3"/>
          </w:tcPr>
          <w:p>
            <w:pPr>
              <w:ind w:left="140"/>
              <w:spacing w:after="0" w:line="202" w:lineRule="exact"/>
              <w:rPr>
                <w:sz w:val="20"/>
                <w:szCs w:val="20"/>
                <w:color w:val="auto"/>
              </w:rPr>
            </w:pPr>
            <w:r>
              <w:rPr>
                <w:rFonts w:ascii="Arial" w:cs="Arial" w:eastAsia="Arial" w:hAnsi="Arial"/>
                <w:sz w:val="14"/>
                <w:szCs w:val="14"/>
                <w:color w:val="auto"/>
              </w:rPr>
              <w:t>assets</w:t>
            </w:r>
            <w:r>
              <w:rPr>
                <w:rFonts w:ascii="Arial" w:cs="Arial" w:eastAsia="Arial" w:hAnsi="Arial"/>
                <w:sz w:val="23"/>
                <w:szCs w:val="23"/>
                <w:color w:val="auto"/>
                <w:vertAlign w:val="superscript"/>
              </w:rPr>
              <w:t>(a)</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28,342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w w:val="95"/>
              </w:rPr>
              <w:t>28,825</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58,214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30,605</w:t>
            </w:r>
          </w:p>
        </w:tc>
        <w:tc>
          <w:tcPr>
            <w:tcW w:w="3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00" w:type="dxa"/>
            <w:vAlign w:val="bottom"/>
            <w:gridSpan w:val="3"/>
            <w:shd w:val="clear" w:color="auto" w:fill="CCEEFF"/>
          </w:tcPr>
          <w:p>
            <w:pPr>
              <w:spacing w:after="0" w:line="191" w:lineRule="exact"/>
              <w:rPr>
                <w:sz w:val="20"/>
                <w:szCs w:val="20"/>
                <w:color w:val="auto"/>
              </w:rPr>
            </w:pPr>
            <w:r>
              <w:rPr>
                <w:rFonts w:ascii="Arial" w:cs="Arial" w:eastAsia="Arial" w:hAnsi="Arial"/>
                <w:sz w:val="14"/>
                <w:szCs w:val="14"/>
                <w:color w:val="auto"/>
              </w:rPr>
              <w:t>Equity compensation costs</w:t>
            </w:r>
            <w:r>
              <w:rPr>
                <w:rFonts w:ascii="Arial" w:cs="Arial" w:eastAsia="Arial" w:hAnsi="Arial"/>
                <w:sz w:val="22"/>
                <w:szCs w:val="22"/>
                <w:color w:val="auto"/>
                <w:vertAlign w:val="superscript"/>
              </w:rPr>
              <w:t>(b)</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2,021</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gridSpan w:val="3"/>
          </w:tcPr>
          <w:p>
            <w:pPr>
              <w:spacing w:after="0" w:line="191"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2"/>
                <w:szCs w:val="22"/>
                <w:color w:val="auto"/>
                <w:vertAlign w:val="superscript"/>
              </w:rPr>
              <w:t>(c)</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3,469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708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3,776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14,703</w:t>
            </w:r>
          </w:p>
        </w:tc>
        <w:tc>
          <w:tcPr>
            <w:tcW w:w="3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gridSpan w:val="3"/>
            <w:shd w:val="clear" w:color="auto" w:fill="CCEEFF"/>
          </w:tcPr>
          <w:p>
            <w:pPr>
              <w:spacing w:after="0" w:line="191" w:lineRule="exact"/>
              <w:rPr>
                <w:sz w:val="20"/>
                <w:szCs w:val="20"/>
                <w:color w:val="auto"/>
              </w:rPr>
            </w:pPr>
            <w:r>
              <w:rPr>
                <w:rFonts w:ascii="Arial" w:cs="Arial" w:eastAsia="Arial" w:hAnsi="Arial"/>
                <w:sz w:val="14"/>
                <w:szCs w:val="14"/>
                <w:color w:val="auto"/>
              </w:rPr>
              <w:t>Other non-recurring adjustments</w:t>
            </w:r>
            <w:r>
              <w:rPr>
                <w:rFonts w:ascii="Arial" w:cs="Arial" w:eastAsia="Arial" w:hAnsi="Arial"/>
                <w:sz w:val="22"/>
                <w:szCs w:val="22"/>
                <w:color w:val="auto"/>
                <w:vertAlign w:val="superscript"/>
              </w:rPr>
              <w:t>(d)</w:t>
            </w:r>
          </w:p>
        </w:tc>
        <w:tc>
          <w:tcPr>
            <w:tcW w:w="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2,164</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3,193</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00" w:type="dxa"/>
            <w:vAlign w:val="bottom"/>
            <w:gridSpan w:val="3"/>
          </w:tcPr>
          <w:p>
            <w:pPr>
              <w:spacing w:after="0"/>
              <w:rPr>
                <w:sz w:val="20"/>
                <w:szCs w:val="20"/>
                <w:color w:val="auto"/>
              </w:rPr>
            </w:pPr>
            <w:r>
              <w:rPr>
                <w:rFonts w:ascii="Arial" w:cs="Arial" w:eastAsia="Arial" w:hAnsi="Arial"/>
                <w:sz w:val="15"/>
                <w:szCs w:val="15"/>
                <w:b w:val="1"/>
                <w:bCs w:val="1"/>
                <w:color w:val="auto"/>
              </w:rPr>
              <w:t>Adjusted Operating Income</w:t>
            </w:r>
          </w:p>
        </w:tc>
        <w:tc>
          <w:tcPr>
            <w:tcW w:w="220" w:type="dxa"/>
            <w:vAlign w:val="bottom"/>
            <w:gridSpan w:val="2"/>
          </w:tcPr>
          <w:p>
            <w:pPr>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27,215</w:t>
            </w:r>
          </w:p>
        </w:tc>
        <w:tc>
          <w:tcPr>
            <w:tcW w:w="280" w:type="dxa"/>
            <w:vAlign w:val="bottom"/>
          </w:tcPr>
          <w:p>
            <w:pPr>
              <w:spacing w:after="0"/>
              <w:rPr>
                <w:sz w:val="16"/>
                <w:szCs w:val="16"/>
                <w:color w:val="auto"/>
              </w:rPr>
            </w:pPr>
          </w:p>
        </w:tc>
        <w:tc>
          <w:tcPr>
            <w:tcW w:w="56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460" w:type="dxa"/>
            <w:vAlign w:val="bottom"/>
          </w:tcPr>
          <w:p>
            <w:pPr>
              <w:jc w:val="right"/>
              <w:spacing w:after="0"/>
              <w:rPr>
                <w:sz w:val="20"/>
                <w:szCs w:val="20"/>
                <w:color w:val="auto"/>
              </w:rPr>
            </w:pPr>
            <w:r>
              <w:rPr>
                <w:rFonts w:ascii="Arial" w:cs="Arial" w:eastAsia="Arial" w:hAnsi="Arial"/>
                <w:sz w:val="15"/>
                <w:szCs w:val="15"/>
                <w:color w:val="auto"/>
                <w:w w:val="95"/>
              </w:rPr>
              <w:t>25,619</w:t>
            </w:r>
          </w:p>
        </w:tc>
        <w:tc>
          <w:tcPr>
            <w:tcW w:w="280" w:type="dxa"/>
            <w:vAlign w:val="bottom"/>
          </w:tcPr>
          <w:p>
            <w:pPr>
              <w:spacing w:after="0"/>
              <w:rPr>
                <w:sz w:val="16"/>
                <w:szCs w:val="16"/>
                <w:color w:val="auto"/>
              </w:rPr>
            </w:pPr>
          </w:p>
        </w:tc>
        <w:tc>
          <w:tcPr>
            <w:tcW w:w="82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52,139</w:t>
            </w:r>
          </w:p>
        </w:tc>
        <w:tc>
          <w:tcPr>
            <w:tcW w:w="16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18,183</w:t>
            </w:r>
          </w:p>
        </w:tc>
        <w:tc>
          <w:tcPr>
            <w:tcW w:w="300" w:type="dxa"/>
            <w:vAlign w:val="bottom"/>
            <w:tcBorders>
              <w:right w:val="single" w:sz="8" w:color="auto"/>
            </w:tcBorders>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23,233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000" w:right="180" w:hanging="394"/>
        <w:spacing w:after="0" w:line="256"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7"/>
          <w:szCs w:val="17"/>
          <w:color w:val="auto"/>
        </w:rPr>
      </w:pPr>
    </w:p>
    <w:p>
      <w:pPr>
        <w:ind w:left="1000" w:right="140" w:hanging="394"/>
        <w:spacing w:after="0" w:line="249"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000" w:right="340" w:hanging="394"/>
        <w:spacing w:after="0" w:line="249"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Acquisition-related expenses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000" w:right="120" w:hanging="394"/>
        <w:spacing w:after="0" w:line="259" w:lineRule="auto"/>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w:t>
      </w:r>
    </w:p>
    <w:p>
      <w:pPr>
        <w:spacing w:after="0" w:line="368"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640"/>
          </w:cols>
          <w:pgMar w:left="320" w:top="442" w:right="9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190500</wp:posOffset>
            </wp:positionV>
            <wp:extent cx="6595745" cy="40430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95745" cy="404304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000" w:right="100"/>
        <w:spacing w:after="0" w:line="261" w:lineRule="auto"/>
        <w:rPr>
          <w:sz w:val="20"/>
          <w:szCs w:val="20"/>
          <w:color w:val="auto"/>
        </w:rPr>
      </w:pPr>
      <w:r>
        <w:rPr>
          <w:rFonts w:ascii="Arial" w:cs="Arial" w:eastAsia="Arial" w:hAnsi="Arial"/>
          <w:sz w:val="17"/>
          <w:szCs w:val="17"/>
          <w:color w:val="auto"/>
        </w:rPr>
        <w:t>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presents a reconciliation of Net (Loss) Income to Adjusted Net Income (Loss) for the periods presented:</w:t>
      </w: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41"/>
        </w:trPr>
        <w:tc>
          <w:tcPr>
            <w:tcW w:w="1080" w:type="dxa"/>
            <w:vAlign w:val="bottom"/>
          </w:tcPr>
          <w:p>
            <w:pPr>
              <w:spacing w:after="0"/>
              <w:rPr>
                <w:sz w:val="3"/>
                <w:szCs w:val="3"/>
                <w:color w:val="auto"/>
              </w:rPr>
            </w:pPr>
          </w:p>
        </w:tc>
        <w:tc>
          <w:tcPr>
            <w:tcW w:w="1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80" w:type="dxa"/>
            <w:vAlign w:val="bottom"/>
            <w:gridSpan w:val="4"/>
            <w:vMerge w:val="restart"/>
          </w:tcPr>
          <w:p>
            <w:pPr>
              <w:jc w:val="center"/>
              <w:ind w:left="207"/>
              <w:spacing w:after="0"/>
              <w:rPr>
                <w:sz w:val="20"/>
                <w:szCs w:val="20"/>
                <w:color w:val="auto"/>
              </w:rPr>
            </w:pPr>
            <w:r>
              <w:rPr>
                <w:rFonts w:ascii="Arial" w:cs="Arial" w:eastAsia="Arial" w:hAnsi="Arial"/>
                <w:sz w:val="14"/>
                <w:szCs w:val="14"/>
                <w:b w:val="1"/>
                <w:bCs w:val="1"/>
                <w:color w:val="auto"/>
                <w:w w:val="89"/>
              </w:rPr>
              <w:t>Definitive OpCo</w:t>
            </w: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10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4"/>
          </w:tcPr>
          <w:p>
            <w:pPr>
              <w:jc w:val="center"/>
              <w:ind w:left="227"/>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3"/>
          </w:tcPr>
          <w:p>
            <w:pPr>
              <w:jc w:val="center"/>
              <w:ind w:right="4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4"/>
          </w:tcPr>
          <w:p>
            <w:pPr>
              <w:jc w:val="center"/>
              <w:ind w:left="227"/>
              <w:spacing w:after="0"/>
              <w:rPr>
                <w:sz w:val="20"/>
                <w:szCs w:val="20"/>
                <w:color w:val="auto"/>
              </w:rPr>
            </w:pPr>
            <w:r>
              <w:rPr>
                <w:rFonts w:ascii="Arial" w:cs="Arial" w:eastAsia="Arial" w:hAnsi="Arial"/>
                <w:sz w:val="14"/>
                <w:szCs w:val="14"/>
                <w:b w:val="1"/>
                <w:bCs w:val="1"/>
                <w:color w:val="auto"/>
                <w:w w:val="83"/>
              </w:rPr>
              <w:t>Successor Company</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12"/>
        </w:trPr>
        <w:tc>
          <w:tcPr>
            <w:tcW w:w="1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0" w:type="dxa"/>
            <w:vAlign w:val="bottom"/>
            <w:tcBorders>
              <w:top w:val="single" w:sz="8" w:color="auto"/>
            </w:tcBorders>
            <w:gridSpan w:val="4"/>
            <w:vMerge w:val="restart"/>
          </w:tcPr>
          <w:p>
            <w:pPr>
              <w:ind w:left="320"/>
              <w:spacing w:after="0"/>
              <w:rPr>
                <w:sz w:val="20"/>
                <w:szCs w:val="20"/>
                <w:color w:val="auto"/>
              </w:rPr>
            </w:pPr>
            <w:r>
              <w:rPr>
                <w:rFonts w:ascii="Arial" w:cs="Arial" w:eastAsia="Arial" w:hAnsi="Arial"/>
                <w:sz w:val="14"/>
                <w:szCs w:val="14"/>
                <w:b w:val="1"/>
                <w:bCs w:val="1"/>
                <w:color w:val="auto"/>
                <w:w w:val="87"/>
              </w:rPr>
              <w:t>Six Months Ended</w:t>
            </w:r>
          </w:p>
        </w:tc>
        <w:tc>
          <w:tcPr>
            <w:tcW w:w="50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07"/>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8"/>
              <w:spacing w:after="0" w:line="113" w:lineRule="exact"/>
              <w:rPr>
                <w:sz w:val="20"/>
                <w:szCs w:val="20"/>
                <w:color w:val="auto"/>
              </w:rPr>
            </w:pPr>
            <w:r>
              <w:rPr>
                <w:rFonts w:ascii="Arial" w:cs="Arial" w:eastAsia="Arial" w:hAnsi="Arial"/>
                <w:sz w:val="12"/>
                <w:szCs w:val="12"/>
                <w:b w:val="1"/>
                <w:bCs w:val="1"/>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10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Borders>
              <w:right w:val="single" w:sz="8" w:color="auto"/>
            </w:tcBorders>
            <w:gridSpan w:val="2"/>
            <w:vMerge w:val="restart"/>
          </w:tcPr>
          <w:p>
            <w:pPr>
              <w:jc w:val="right"/>
              <w:ind w:right="400"/>
              <w:spacing w:after="0" w:line="140" w:lineRule="exact"/>
              <w:rPr>
                <w:sz w:val="20"/>
                <w:szCs w:val="20"/>
                <w:color w:val="auto"/>
              </w:rPr>
            </w:pPr>
            <w:r>
              <w:rPr>
                <w:rFonts w:ascii="Arial" w:cs="Arial" w:eastAsia="Arial" w:hAnsi="Arial"/>
                <w:sz w:val="14"/>
                <w:szCs w:val="14"/>
                <w:b w:val="1"/>
                <w:bCs w:val="1"/>
                <w:color w:val="auto"/>
                <w:w w:val="84"/>
              </w:rPr>
              <w:t>July 16, 2019 to</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jc w:val="center"/>
              <w:ind w:right="140"/>
              <w:spacing w:after="0" w:line="140"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41"/>
        </w:trPr>
        <w:tc>
          <w:tcPr>
            <w:tcW w:w="29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9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120" w:type="dxa"/>
            <w:vAlign w:val="bottom"/>
          </w:tcPr>
          <w:p>
            <w:pPr>
              <w:spacing w:after="0"/>
              <w:rPr>
                <w:sz w:val="13"/>
                <w:szCs w:val="13"/>
                <w:color w:val="auto"/>
              </w:rPr>
            </w:pP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Net (loss) income</w:t>
            </w:r>
          </w:p>
        </w:tc>
        <w:tc>
          <w:tcPr>
            <w:tcW w:w="4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(25,527)</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5"/>
              </w:rPr>
              <w:t>(25,333)</w:t>
            </w: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89"/>
              </w:rPr>
              <w:t>(51,157)</w:t>
            </w: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(49,266)</w:t>
            </w:r>
          </w:p>
        </w:tc>
        <w:tc>
          <w:tcPr>
            <w:tcW w:w="300" w:type="dxa"/>
            <w:vAlign w:val="bottom"/>
            <w:tcBorders>
              <w:top w:val="single" w:sz="8" w:color="CCEEFF"/>
              <w:right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12,868</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00" w:type="dxa"/>
            <w:vAlign w:val="bottom"/>
            <w:gridSpan w:val="3"/>
          </w:tcPr>
          <w:p>
            <w:pPr>
              <w:spacing w:after="0"/>
              <w:rPr>
                <w:sz w:val="20"/>
                <w:szCs w:val="20"/>
                <w:color w:val="auto"/>
              </w:rPr>
            </w:pPr>
            <w:r>
              <w:rPr>
                <w:rFonts w:ascii="Arial" w:cs="Arial" w:eastAsia="Arial" w:hAnsi="Arial"/>
                <w:sz w:val="15"/>
                <w:szCs w:val="15"/>
                <w:color w:val="auto"/>
              </w:rPr>
              <w:t>Amortization of intangible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900" w:type="dxa"/>
            <w:vAlign w:val="bottom"/>
            <w:gridSpan w:val="3"/>
          </w:tcPr>
          <w:p>
            <w:pPr>
              <w:ind w:left="140"/>
              <w:spacing w:after="0" w:line="202" w:lineRule="exact"/>
              <w:rPr>
                <w:sz w:val="20"/>
                <w:szCs w:val="20"/>
                <w:color w:val="auto"/>
              </w:rPr>
            </w:pPr>
            <w:r>
              <w:rPr>
                <w:rFonts w:ascii="Arial" w:cs="Arial" w:eastAsia="Arial" w:hAnsi="Arial"/>
                <w:sz w:val="14"/>
                <w:szCs w:val="14"/>
                <w:color w:val="auto"/>
              </w:rPr>
              <w:t>assets</w:t>
            </w:r>
            <w:r>
              <w:rPr>
                <w:rFonts w:ascii="Arial" w:cs="Arial" w:eastAsia="Arial" w:hAnsi="Arial"/>
                <w:sz w:val="23"/>
                <w:szCs w:val="23"/>
                <w:color w:val="auto"/>
                <w:vertAlign w:val="superscript"/>
              </w:rPr>
              <w:t>(a)</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28,342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28,825</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58,214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30,605</w:t>
            </w:r>
          </w:p>
        </w:tc>
        <w:tc>
          <w:tcPr>
            <w:tcW w:w="30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2,042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00" w:type="dxa"/>
            <w:vAlign w:val="bottom"/>
            <w:gridSpan w:val="3"/>
            <w:shd w:val="clear" w:color="auto" w:fill="CCEEFF"/>
          </w:tcPr>
          <w:p>
            <w:pPr>
              <w:spacing w:after="0" w:line="191" w:lineRule="exact"/>
              <w:rPr>
                <w:sz w:val="20"/>
                <w:szCs w:val="20"/>
                <w:color w:val="auto"/>
              </w:rPr>
            </w:pPr>
            <w:r>
              <w:rPr>
                <w:rFonts w:ascii="Arial" w:cs="Arial" w:eastAsia="Arial" w:hAnsi="Arial"/>
                <w:sz w:val="14"/>
                <w:szCs w:val="14"/>
                <w:color w:val="auto"/>
              </w:rPr>
              <w:t>Equity compensation costs</w:t>
            </w:r>
            <w:r>
              <w:rPr>
                <w:rFonts w:ascii="Arial" w:cs="Arial" w:eastAsia="Arial" w:hAnsi="Arial"/>
                <w:sz w:val="22"/>
                <w:szCs w:val="22"/>
                <w:color w:val="auto"/>
                <w:vertAlign w:val="superscript"/>
              </w:rPr>
              <w:t>(b)</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2,021</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744</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5,807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gridSpan w:val="3"/>
          </w:tcPr>
          <w:p>
            <w:pPr>
              <w:spacing w:after="0" w:line="191"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2"/>
                <w:szCs w:val="22"/>
                <w:color w:val="auto"/>
                <w:vertAlign w:val="superscript"/>
              </w:rPr>
              <w:t>(c)</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3,469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708</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3,776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14,703</w:t>
            </w:r>
          </w:p>
        </w:tc>
        <w:tc>
          <w:tcPr>
            <w:tcW w:w="30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00" w:type="dxa"/>
            <w:vAlign w:val="bottom"/>
            <w:gridSpan w:val="3"/>
            <w:shd w:val="clear" w:color="auto" w:fill="CCEEFF"/>
          </w:tcPr>
          <w:p>
            <w:pPr>
              <w:spacing w:after="0" w:line="191" w:lineRule="exact"/>
              <w:rPr>
                <w:sz w:val="20"/>
                <w:szCs w:val="20"/>
                <w:color w:val="auto"/>
              </w:rPr>
            </w:pPr>
            <w:r>
              <w:rPr>
                <w:rFonts w:ascii="Arial" w:cs="Arial" w:eastAsia="Arial" w:hAnsi="Arial"/>
                <w:sz w:val="14"/>
                <w:szCs w:val="14"/>
                <w:color w:val="auto"/>
              </w:rPr>
              <w:t>Other non-recurring adjustments</w:t>
            </w:r>
            <w:r>
              <w:rPr>
                <w:rFonts w:ascii="Arial" w:cs="Arial" w:eastAsia="Arial" w:hAnsi="Arial"/>
                <w:sz w:val="22"/>
                <w:szCs w:val="22"/>
                <w:color w:val="auto"/>
                <w:vertAlign w:val="superscript"/>
              </w:rPr>
              <w:t>(d)</w:t>
            </w: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2,164</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1,767</w:t>
            </w: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2,847</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3,193</w:t>
            </w:r>
          </w:p>
        </w:tc>
        <w:tc>
          <w:tcPr>
            <w:tcW w:w="300" w:type="dxa"/>
            <w:vAlign w:val="bottom"/>
            <w:tcBorders>
              <w:right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900" w:type="dxa"/>
            <w:vAlign w:val="bottom"/>
            <w:gridSpan w:val="3"/>
          </w:tcPr>
          <w:p>
            <w:pPr>
              <w:spacing w:after="0"/>
              <w:rPr>
                <w:sz w:val="20"/>
                <w:szCs w:val="20"/>
                <w:color w:val="auto"/>
              </w:rPr>
            </w:pPr>
            <w:r>
              <w:rPr>
                <w:rFonts w:ascii="Arial" w:cs="Arial" w:eastAsia="Arial" w:hAnsi="Arial"/>
                <w:sz w:val="15"/>
                <w:szCs w:val="15"/>
                <w:b w:val="1"/>
                <w:bCs w:val="1"/>
                <w:color w:val="auto"/>
              </w:rPr>
              <w:t>Adjusted Net Income (Loss)</w:t>
            </w:r>
          </w:p>
        </w:tc>
        <w:tc>
          <w:tcPr>
            <w:tcW w:w="200" w:type="dxa"/>
            <w:vAlign w:val="bottom"/>
            <w:gridSpan w:val="2"/>
          </w:tcPr>
          <w:p>
            <w:pPr>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10,469</w:t>
            </w:r>
          </w:p>
        </w:tc>
        <w:tc>
          <w:tcPr>
            <w:tcW w:w="280" w:type="dxa"/>
            <w:vAlign w:val="bottom"/>
          </w:tcPr>
          <w:p>
            <w:pPr>
              <w:spacing w:after="0"/>
              <w:rPr>
                <w:sz w:val="16"/>
                <w:szCs w:val="16"/>
                <w:color w:val="auto"/>
              </w:rPr>
            </w:pPr>
          </w:p>
        </w:tc>
        <w:tc>
          <w:tcPr>
            <w:tcW w:w="52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6,839</w:t>
            </w:r>
          </w:p>
        </w:tc>
        <w:tc>
          <w:tcPr>
            <w:tcW w:w="280" w:type="dxa"/>
            <w:vAlign w:val="bottom"/>
          </w:tcPr>
          <w:p>
            <w:pPr>
              <w:spacing w:after="0"/>
              <w:rPr>
                <w:sz w:val="16"/>
                <w:szCs w:val="16"/>
                <w:color w:val="auto"/>
              </w:rPr>
            </w:pPr>
          </w:p>
        </w:tc>
        <w:tc>
          <w:tcPr>
            <w:tcW w:w="800" w:type="dxa"/>
            <w:vAlign w:val="bottom"/>
            <w:gridSpan w:val="2"/>
          </w:tcPr>
          <w:p>
            <w:pPr>
              <w:ind w:left="220"/>
              <w:spacing w:after="0"/>
              <w:rPr>
                <w:sz w:val="20"/>
                <w:szCs w:val="20"/>
                <w:color w:val="auto"/>
              </w:rPr>
            </w:pPr>
            <w:r>
              <w:rPr>
                <w:rFonts w:ascii="Arial" w:cs="Arial" w:eastAsia="Arial" w:hAnsi="Arial"/>
                <w:sz w:val="15"/>
                <w:szCs w:val="15"/>
                <w:color w:val="auto"/>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15,427</w:t>
            </w:r>
          </w:p>
        </w:tc>
        <w:tc>
          <w:tcPr>
            <w:tcW w:w="160" w:type="dxa"/>
            <w:vAlign w:val="bottom"/>
          </w:tcPr>
          <w:p>
            <w:pPr>
              <w:spacing w:after="0"/>
              <w:rPr>
                <w:sz w:val="16"/>
                <w:szCs w:val="16"/>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5"/>
                <w:szCs w:val="15"/>
                <w:color w:val="auto"/>
              </w:rPr>
              <w:t>(21)</w:t>
            </w: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23,068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080" w:type="dxa"/>
            <w:vAlign w:val="bottom"/>
            <w:tcBorders>
              <w:bottom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right="180" w:hanging="394"/>
        <w:spacing w:after="0" w:line="256"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7"/>
          <w:szCs w:val="17"/>
          <w:color w:val="auto"/>
        </w:rPr>
      </w:pPr>
    </w:p>
    <w:p>
      <w:pPr>
        <w:ind w:left="1000" w:right="140" w:hanging="394"/>
        <w:spacing w:after="0" w:line="249"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1000" w:right="340" w:hanging="394"/>
        <w:spacing w:after="0" w:line="249"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Acquisition-related expenses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1000" w:right="60" w:hanging="394"/>
        <w:spacing w:after="0" w:line="252" w:lineRule="auto"/>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6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640"/>
          </w:cols>
          <w:pgMar w:left="320" w:top="442" w:right="9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RISK FACTORS</w:t>
      </w:r>
    </w:p>
    <w:p>
      <w:pPr>
        <w:spacing w:after="0" w:line="216"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i w:val="1"/>
          <w:iCs w:val="1"/>
          <w:color w:val="auto"/>
        </w:rPr>
        <w:t>An investment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14" w:lineRule="exact"/>
        <w:rPr>
          <w:sz w:val="20"/>
          <w:szCs w:val="20"/>
          <w:color w:val="auto"/>
        </w:rPr>
      </w:pPr>
    </w:p>
    <w:p>
      <w:pPr>
        <w:ind w:left="440" w:right="80"/>
        <w:spacing w:after="0" w:line="306" w:lineRule="auto"/>
        <w:rPr>
          <w:sz w:val="20"/>
          <w:szCs w:val="20"/>
          <w:color w:val="auto"/>
        </w:rPr>
      </w:pPr>
      <w:r>
        <w:rPr>
          <w:rFonts w:ascii="Arial" w:cs="Arial" w:eastAsia="Arial" w:hAnsi="Arial"/>
          <w:sz w:val="16"/>
          <w:szCs w:val="16"/>
          <w:b w:val="1"/>
          <w:bCs w:val="1"/>
          <w:i w:val="1"/>
          <w:iCs w:val="1"/>
          <w:color w:val="auto"/>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40" w:lineRule="exact"/>
        <w:rPr>
          <w:sz w:val="20"/>
          <w:szCs w:val="20"/>
          <w:color w:val="auto"/>
        </w:rPr>
      </w:pPr>
    </w:p>
    <w:p>
      <w:pPr>
        <w:ind w:left="440" w:right="40" w:firstLine="415"/>
        <w:spacing w:after="0" w:line="275" w:lineRule="auto"/>
        <w:rPr>
          <w:sz w:val="20"/>
          <w:szCs w:val="20"/>
          <w:color w:val="auto"/>
        </w:rPr>
      </w:pPr>
      <w:r>
        <w:rPr>
          <w:rFonts w:ascii="Arial" w:cs="Arial" w:eastAsia="Arial" w:hAnsi="Arial"/>
          <w:sz w:val="16"/>
          <w:szCs w:val="16"/>
          <w:color w:val="auto"/>
        </w:rPr>
        <w:t>For the year ended December 31, 2020 and the six months ended June 30, 2021, we derived 99%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w:t>
      </w:r>
    </w:p>
    <w:p>
      <w:pPr>
        <w:spacing w:after="0" w:line="167" w:lineRule="exact"/>
        <w:rPr>
          <w:sz w:val="20"/>
          <w:szCs w:val="20"/>
          <w:color w:val="auto"/>
        </w:rPr>
      </w:pPr>
    </w:p>
    <w:p>
      <w:pPr>
        <w:ind w:left="440" w:right="180" w:firstLine="415"/>
        <w:spacing w:after="0" w:line="261" w:lineRule="auto"/>
        <w:rPr>
          <w:sz w:val="20"/>
          <w:szCs w:val="20"/>
          <w:color w:val="auto"/>
        </w:rPr>
      </w:pPr>
      <w:r>
        <w:rPr>
          <w:rFonts w:ascii="Arial" w:cs="Arial" w:eastAsia="Arial" w:hAnsi="Arial"/>
          <w:sz w:val="17"/>
          <w:szCs w:val="17"/>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87" w:lineRule="exact"/>
        <w:rPr>
          <w:sz w:val="20"/>
          <w:szCs w:val="20"/>
          <w:color w:val="auto"/>
        </w:rPr>
      </w:pPr>
    </w:p>
    <w:p>
      <w:pPr>
        <w:ind w:left="1360" w:right="420" w:hanging="519"/>
        <w:spacing w:after="0" w:line="273" w:lineRule="auto"/>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awareness and acceptance of the healthcare commercial intelligence platform category generally, and the growth and evolution of the category and our addressable market;</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availability of products and services that compete with our platform;</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brand recognition;</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pricing;</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ease of adoption and use;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performance, features and user experience, and the development and acceptance of new features, integrations and capabilities;</w:t>
      </w:r>
    </w:p>
    <w:p>
      <w:pPr>
        <w:spacing w:after="0" w:line="134" w:lineRule="exact"/>
        <w:rPr>
          <w:rFonts w:ascii="Arial" w:cs="Arial" w:eastAsia="Arial" w:hAnsi="Arial"/>
          <w:sz w:val="16"/>
          <w:szCs w:val="16"/>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ability to consistently procure high-quality and useful data;</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level of customer support we provide;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accessibility across several operating system and applications;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integration with workflow insights and technologies.</w:t>
      </w:r>
    </w:p>
    <w:p>
      <w:pPr>
        <w:spacing w:after="0" w:line="212" w:lineRule="exact"/>
        <w:rPr>
          <w:sz w:val="20"/>
          <w:szCs w:val="20"/>
          <w:color w:val="auto"/>
        </w:rPr>
      </w:pPr>
    </w:p>
    <w:p>
      <w:pPr>
        <w:ind w:left="440" w:right="220" w:firstLine="415"/>
        <w:spacing w:after="0" w:line="261" w:lineRule="auto"/>
        <w:rPr>
          <w:sz w:val="20"/>
          <w:szCs w:val="20"/>
          <w:color w:val="auto"/>
        </w:rPr>
      </w:pPr>
      <w:r>
        <w:rPr>
          <w:rFonts w:ascii="Arial" w:cs="Arial" w:eastAsia="Arial" w:hAnsi="Arial"/>
          <w:sz w:val="17"/>
          <w:szCs w:val="17"/>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800"/>
          </w:cols>
          <w:pgMar w:left="320" w:top="442" w:right="77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60"/>
        <w:spacing w:after="0" w:line="273" w:lineRule="auto"/>
        <w:rPr>
          <w:sz w:val="20"/>
          <w:szCs w:val="20"/>
          <w:color w:val="auto"/>
        </w:rPr>
      </w:pPr>
      <w:r>
        <w:rPr>
          <w:rFonts w:ascii="Arial" w:cs="Arial" w:eastAsia="Arial" w:hAnsi="Arial"/>
          <w:sz w:val="17"/>
          <w:szCs w:val="17"/>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64" w:lineRule="exact"/>
        <w:rPr>
          <w:sz w:val="20"/>
          <w:szCs w:val="20"/>
          <w:color w:val="auto"/>
        </w:rPr>
      </w:pPr>
    </w:p>
    <w:p>
      <w:pPr>
        <w:ind w:left="440" w:right="60" w:firstLine="415"/>
        <w:spacing w:after="0" w:line="289" w:lineRule="auto"/>
        <w:rPr>
          <w:sz w:val="20"/>
          <w:szCs w:val="20"/>
          <w:color w:val="auto"/>
        </w:rPr>
      </w:pPr>
      <w:r>
        <w:rPr>
          <w:rFonts w:ascii="Arial" w:cs="Arial" w:eastAsia="Arial" w:hAnsi="Arial"/>
          <w:sz w:val="15"/>
          <w:szCs w:val="15"/>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If we fail to respond to advances in healthcare commercial intelligence, competitors could surpass the depth, breadth or accuracy of our platform.</w:t>
      </w:r>
    </w:p>
    <w:p>
      <w:pPr>
        <w:spacing w:after="0" w:line="144" w:lineRule="exact"/>
        <w:rPr>
          <w:sz w:val="20"/>
          <w:szCs w:val="20"/>
          <w:color w:val="auto"/>
        </w:rPr>
      </w:pPr>
    </w:p>
    <w:p>
      <w:pPr>
        <w:ind w:left="440" w:firstLine="415"/>
        <w:spacing w:after="0" w:line="289" w:lineRule="auto"/>
        <w:rPr>
          <w:sz w:val="20"/>
          <w:szCs w:val="20"/>
          <w:color w:val="auto"/>
        </w:rPr>
      </w:pPr>
      <w:r>
        <w:rPr>
          <w:rFonts w:ascii="Arial" w:cs="Arial" w:eastAsia="Arial" w:hAnsi="Arial"/>
          <w:sz w:val="15"/>
          <w:szCs w:val="15"/>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If we fail to respond to changes in healthcare commercial intelligence,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63"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If we are not able to obtain and maintain accurate, comprehensive or reliable data, we could experience reduced demand for our platform.</w:t>
      </w:r>
    </w:p>
    <w:p>
      <w:pPr>
        <w:spacing w:after="0" w:line="133" w:lineRule="exact"/>
        <w:rPr>
          <w:sz w:val="20"/>
          <w:szCs w:val="20"/>
          <w:color w:val="auto"/>
        </w:rPr>
      </w:pPr>
    </w:p>
    <w:p>
      <w:pPr>
        <w:ind w:left="440" w:right="100" w:firstLine="415"/>
        <w:spacing w:after="0" w:line="269" w:lineRule="auto"/>
        <w:rPr>
          <w:sz w:val="20"/>
          <w:szCs w:val="20"/>
          <w:color w:val="auto"/>
        </w:rPr>
      </w:pPr>
      <w:r>
        <w:rPr>
          <w:rFonts w:ascii="Arial" w:cs="Arial" w:eastAsia="Arial" w:hAnsi="Arial"/>
          <w:sz w:val="16"/>
          <w:szCs w:val="16"/>
          <w:color w:val="auto"/>
        </w:rPr>
        <w:t>The healthcare landscape is complex, opaque and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800"/>
          </w:cols>
          <w:pgMar w:left="320" w:top="442" w:right="77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have experienced rapid growth in recent periods, and our recent growth rates may not be indicative of our future growth.</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We have experienced rapid organic and acquisition-driven growth in recent periods. For the year ended December 31, 2020, our revenue was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$118.3 million, an increase of 38% as compared to our revenue of $85.5 million for the year ended December 31, 2019. For the six months ended June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30, 2021, our revenue was $76.8 million, an increase of 41% as compared to our revenue of $54.6 million for the six months ended June 30, 2020. We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cannot guarantee that we will sustain our recent revenue growth rate in future periods. Further, as we operate in a new and rapidly changing market,</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widespread acceptance and use of our platform is critical to our future growth and success. Our revenue growth may slow or our revenue may decline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a number of other reasons, including reduced demand for our platform, increased competition, a decrease in the growth or reduction in size of our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overall market, the impacts to our business from the COVID-19 pandemic, or if we cannot capitalize on growth opportunities.</w:t>
      </w:r>
    </w:p>
    <w:p>
      <w:pPr>
        <w:spacing w:after="0" w:line="20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may not achieve or sustain profitability in the future compared to historical levels as we increase investments in our business.</w:t>
      </w:r>
    </w:p>
    <w:p>
      <w:pPr>
        <w:spacing w:after="0" w:line="121"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We have incurred operating losses in the past and may continue to incur net losses in the future. For the year ended December 31, 2020, we had a net loss of $51.2 million, compared to a net loss of $36.4 million for the year ended December 31, 2019. For the six months ended June 30, 2021, we had a net loss of $25.5 million, compared to a net loss of $25.3 million for the six months ended June 30, 2020. We expect our operating expenses to increase in the future as we invest capital to make acquisitions, develop new features, add to our existing intelligence modules and invest in new products and data sources. Further, our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may not be able to achieve or sustain profitability in subsequent periods. 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prospectus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267" w:lineRule="exact"/>
        <w:rPr>
          <w:sz w:val="20"/>
          <w:szCs w:val="20"/>
          <w:color w:val="auto"/>
        </w:rPr>
      </w:pPr>
    </w:p>
    <w:p>
      <w:pPr>
        <w:ind w:left="440" w:right="620"/>
        <w:spacing w:after="0" w:line="273" w:lineRule="auto"/>
        <w:rPr>
          <w:sz w:val="20"/>
          <w:szCs w:val="20"/>
          <w:color w:val="auto"/>
        </w:rPr>
      </w:pPr>
      <w:r>
        <w:rPr>
          <w:rFonts w:ascii="Arial" w:cs="Arial" w:eastAsia="Arial" w:hAnsi="Arial"/>
          <w:sz w:val="17"/>
          <w:szCs w:val="17"/>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64" w:lineRule="exact"/>
        <w:rPr>
          <w:sz w:val="20"/>
          <w:szCs w:val="20"/>
          <w:color w:val="auto"/>
        </w:rPr>
      </w:pPr>
    </w:p>
    <w:p>
      <w:pPr>
        <w:ind w:left="440" w:right="140" w:firstLine="415"/>
        <w:spacing w:after="0" w:line="312" w:lineRule="auto"/>
        <w:rPr>
          <w:sz w:val="20"/>
          <w:szCs w:val="20"/>
          <w:color w:val="auto"/>
        </w:rPr>
      </w:pPr>
      <w:r>
        <w:rPr>
          <w:rFonts w:ascii="Arial" w:cs="Arial" w:eastAsia="Arial" w:hAnsi="Arial"/>
          <w:sz w:val="15"/>
          <w:szCs w:val="15"/>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780"/>
          </w:cols>
          <w:pgMar w:left="320" w:top="442" w:right="79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70" w:lineRule="auto"/>
        <w:rPr>
          <w:sz w:val="20"/>
          <w:szCs w:val="20"/>
          <w:color w:val="auto"/>
        </w:rPr>
      </w:pPr>
      <w:r>
        <w:rPr>
          <w:rFonts w:ascii="Arial" w:cs="Arial" w:eastAsia="Arial" w:hAnsi="Arial"/>
          <w:sz w:val="16"/>
          <w:szCs w:val="16"/>
          <w:color w:val="auto"/>
        </w:rPr>
        <w:t>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274" w:lineRule="exact"/>
        <w:rPr>
          <w:sz w:val="20"/>
          <w:szCs w:val="20"/>
          <w:color w:val="auto"/>
        </w:rPr>
      </w:pPr>
    </w:p>
    <w:p>
      <w:pPr>
        <w:ind w:left="440" w:right="80"/>
        <w:spacing w:after="0" w:line="279" w:lineRule="auto"/>
        <w:rPr>
          <w:sz w:val="20"/>
          <w:szCs w:val="20"/>
          <w:color w:val="auto"/>
        </w:rPr>
      </w:pPr>
      <w:r>
        <w:rPr>
          <w:rFonts w:ascii="Arial" w:cs="Arial" w:eastAsia="Arial" w:hAnsi="Arial"/>
          <w:sz w:val="16"/>
          <w:szCs w:val="16"/>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60" w:lineRule="exact"/>
        <w:rPr>
          <w:sz w:val="20"/>
          <w:szCs w:val="20"/>
          <w:color w:val="auto"/>
        </w:rPr>
      </w:pPr>
    </w:p>
    <w:p>
      <w:pPr>
        <w:ind w:left="440" w:right="120" w:firstLine="415"/>
        <w:spacing w:after="0" w:line="288" w:lineRule="auto"/>
        <w:rPr>
          <w:sz w:val="20"/>
          <w:szCs w:val="20"/>
          <w:color w:val="auto"/>
        </w:rPr>
      </w:pPr>
      <w:r>
        <w:rPr>
          <w:rFonts w:ascii="Arial" w:cs="Arial" w:eastAsia="Arial" w:hAnsi="Arial"/>
          <w:sz w:val="15"/>
          <w:szCs w:val="15"/>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162" w:lineRule="exact"/>
        <w:rPr>
          <w:sz w:val="20"/>
          <w:szCs w:val="20"/>
          <w:color w:val="auto"/>
        </w:rPr>
      </w:pPr>
    </w:p>
    <w:p>
      <w:pPr>
        <w:ind w:left="440" w:right="100" w:firstLine="415"/>
        <w:spacing w:after="0" w:line="302" w:lineRule="auto"/>
        <w:rPr>
          <w:sz w:val="20"/>
          <w:szCs w:val="20"/>
          <w:color w:val="auto"/>
        </w:rPr>
      </w:pPr>
      <w:r>
        <w:rPr>
          <w:rFonts w:ascii="Arial" w:cs="Arial" w:eastAsia="Arial" w:hAnsi="Arial"/>
          <w:sz w:val="15"/>
          <w:szCs w:val="15"/>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51" w:lineRule="exact"/>
        <w:rPr>
          <w:sz w:val="20"/>
          <w:szCs w:val="20"/>
          <w:color w:val="auto"/>
        </w:rPr>
      </w:pPr>
    </w:p>
    <w:p>
      <w:pPr>
        <w:ind w:left="440" w:right="280"/>
        <w:spacing w:after="0" w:line="273" w:lineRule="auto"/>
        <w:rPr>
          <w:sz w:val="20"/>
          <w:szCs w:val="20"/>
          <w:color w:val="auto"/>
        </w:rPr>
      </w:pPr>
      <w:r>
        <w:rPr>
          <w:rFonts w:ascii="Arial" w:cs="Arial" w:eastAsia="Arial" w:hAnsi="Arial"/>
          <w:sz w:val="17"/>
          <w:szCs w:val="17"/>
          <w:b w:val="1"/>
          <w:bCs w:val="1"/>
          <w:i w:val="1"/>
          <w:iCs w:val="1"/>
          <w:color w:val="auto"/>
        </w:rPr>
        <w:t>If we are unable to attract new customers and expand subscriptions of current customers, our revenue growth and financial performance will be negatively impacted.</w:t>
      </w:r>
    </w:p>
    <w:p>
      <w:pPr>
        <w:spacing w:after="0" w:line="64"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 subscribes to the platform on a per user per month basis. Customers can then add users and intelligence modules for additional monthly rates depending on their individual needs. We seek to expand existing customer subscriptions by adding new customers and</w:t>
      </w:r>
    </w:p>
    <w:p>
      <w:pPr>
        <w:spacing w:after="0" w:line="9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800"/>
          </w:cols>
          <w:pgMar w:left="320" w:top="442" w:right="77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1" w:lineRule="auto"/>
        <w:rPr>
          <w:sz w:val="20"/>
          <w:szCs w:val="20"/>
          <w:color w:val="auto"/>
        </w:rPr>
      </w:pPr>
      <w:r>
        <w:rPr>
          <w:rFonts w:ascii="Arial" w:cs="Arial" w:eastAsia="Arial" w:hAnsi="Arial"/>
          <w:sz w:val="16"/>
          <w:szCs w:val="16"/>
          <w:color w:val="auto"/>
        </w:rPr>
        <w:t>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Numerous factors may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requires increasingly sophisticated and costly sales and account management efforts targeted at senior management and other personnel. If our efforts to sell to enterprise organizations are not successful or do not generate additional revenue, our growth will suffer, which could have a material adverse effect on our business, financial condition and results of operations.</w:t>
      </w:r>
    </w:p>
    <w:p>
      <w:pPr>
        <w:spacing w:after="0" w:line="170"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as a result of the COVID-19 pandemic)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264" w:lineRule="exact"/>
        <w:rPr>
          <w:sz w:val="20"/>
          <w:szCs w:val="20"/>
          <w:color w:val="auto"/>
        </w:rPr>
      </w:pPr>
    </w:p>
    <w:p>
      <w:pPr>
        <w:ind w:left="440" w:right="120"/>
        <w:spacing w:after="0" w:line="273" w:lineRule="auto"/>
        <w:rPr>
          <w:sz w:val="20"/>
          <w:szCs w:val="20"/>
          <w:color w:val="auto"/>
        </w:rPr>
      </w:pPr>
      <w:r>
        <w:rPr>
          <w:rFonts w:ascii="Arial" w:cs="Arial" w:eastAsia="Arial" w:hAnsi="Arial"/>
          <w:sz w:val="17"/>
          <w:szCs w:val="17"/>
          <w:b w:val="1"/>
          <w:bCs w:val="1"/>
          <w:i w:val="1"/>
          <w:iCs w:val="1"/>
          <w:color w:val="auto"/>
        </w:rPr>
        <w:t>We may fail to offer the optimal pricing and packaging of our solutions, which could negatively impact our growth strategy and ability to effectively compete in the market.</w:t>
      </w:r>
    </w:p>
    <w:p>
      <w:pPr>
        <w:spacing w:after="0" w:line="64"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We may make changes to our pricing model from time to time. Demand for our solutions is sensitive to price, and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271" w:lineRule="exact"/>
        <w:rPr>
          <w:sz w:val="20"/>
          <w:szCs w:val="20"/>
          <w:color w:val="auto"/>
        </w:rPr>
      </w:pPr>
    </w:p>
    <w:p>
      <w:pPr>
        <w:ind w:left="440" w:right="60"/>
        <w:spacing w:after="0" w:line="312" w:lineRule="auto"/>
        <w:rPr>
          <w:sz w:val="20"/>
          <w:szCs w:val="20"/>
          <w:color w:val="auto"/>
        </w:rPr>
      </w:pPr>
      <w:r>
        <w:rPr>
          <w:rFonts w:ascii="Arial" w:cs="Arial" w:eastAsia="Arial" w:hAnsi="Arial"/>
          <w:sz w:val="15"/>
          <w:szCs w:val="15"/>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40"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As we target more of our sales efforts at larger Enterprise Customers, we may face longer sales cycles, greater competition, more complex customer due diligence, less favorable contractual terms and less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820"/>
          </w:cols>
          <w:pgMar w:left="320" w:top="442" w:right="7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2" w:lineRule="auto"/>
        <w:rPr>
          <w:sz w:val="20"/>
          <w:szCs w:val="20"/>
          <w:color w:val="auto"/>
        </w:rPr>
      </w:pPr>
      <w:r>
        <w:rPr>
          <w:rFonts w:ascii="Arial" w:cs="Arial" w:eastAsia="Arial" w:hAnsi="Arial"/>
          <w:sz w:val="16"/>
          <w:szCs w:val="16"/>
          <w:color w:val="auto"/>
        </w:rPr>
        <w:t>predictability in completing some of our sales. Consequently, a target customer’s decision to use our solutions may be an enterprise-wide decision and, if so, these types of sales would require us to provide greater levels of education regarding the use and benefits of our platform, as well as education regarding privacy and data 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If we fail to offer high-quality customer experience, our business and reputation will suffer.</w:t>
      </w:r>
    </w:p>
    <w:p>
      <w:pPr>
        <w:spacing w:after="0" w:line="110"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more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171" w:lineRule="exact"/>
        <w:rPr>
          <w:sz w:val="20"/>
          <w:szCs w:val="20"/>
          <w:color w:val="auto"/>
        </w:rPr>
      </w:pPr>
    </w:p>
    <w:p>
      <w:pPr>
        <w:ind w:left="440" w:right="140" w:firstLine="415"/>
        <w:spacing w:after="0" w:line="285" w:lineRule="auto"/>
        <w:rPr>
          <w:sz w:val="20"/>
          <w:szCs w:val="20"/>
          <w:color w:val="auto"/>
        </w:rPr>
      </w:pPr>
      <w:r>
        <w:rPr>
          <w:rFonts w:ascii="Arial" w:cs="Arial" w:eastAsia="Arial" w:hAnsi="Arial"/>
          <w:sz w:val="16"/>
          <w:szCs w:val="16"/>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60" w:lineRule="exact"/>
        <w:rPr>
          <w:sz w:val="20"/>
          <w:szCs w:val="20"/>
          <w:color w:val="auto"/>
        </w:rPr>
      </w:pPr>
    </w:p>
    <w:p>
      <w:pPr>
        <w:ind w:left="440" w:right="180"/>
        <w:spacing w:after="0" w:line="273" w:lineRule="auto"/>
        <w:rPr>
          <w:sz w:val="20"/>
          <w:szCs w:val="20"/>
          <w:color w:val="auto"/>
        </w:rPr>
      </w:pPr>
      <w:r>
        <w:rPr>
          <w:rFonts w:ascii="Arial" w:cs="Arial" w:eastAsia="Arial" w:hAnsi="Arial"/>
          <w:sz w:val="17"/>
          <w:szCs w:val="17"/>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64" w:lineRule="exact"/>
        <w:rPr>
          <w:sz w:val="20"/>
          <w:szCs w:val="20"/>
          <w:color w:val="auto"/>
        </w:rPr>
      </w:pPr>
    </w:p>
    <w:p>
      <w:pPr>
        <w:ind w:left="440" w:right="40" w:firstLine="415"/>
        <w:spacing w:after="0" w:line="270" w:lineRule="auto"/>
        <w:rPr>
          <w:sz w:val="20"/>
          <w:szCs w:val="20"/>
          <w:color w:val="auto"/>
        </w:rPr>
      </w:pPr>
      <w:r>
        <w:rPr>
          <w:rFonts w:ascii="Arial" w:cs="Arial" w:eastAsia="Arial" w:hAnsi="Arial"/>
          <w:sz w:val="16"/>
          <w:szCs w:val="16"/>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10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800"/>
          </w:cols>
          <w:pgMar w:left="320" w:top="442" w:right="77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252" w:lineRule="exact"/>
        <w:rPr>
          <w:sz w:val="20"/>
          <w:szCs w:val="20"/>
          <w:color w:val="auto"/>
        </w:rPr>
      </w:pPr>
    </w:p>
    <w:p>
      <w:pPr>
        <w:ind w:left="440" w:right="100"/>
        <w:spacing w:after="0" w:line="273" w:lineRule="auto"/>
        <w:rPr>
          <w:sz w:val="20"/>
          <w:szCs w:val="20"/>
          <w:color w:val="auto"/>
        </w:rPr>
      </w:pPr>
      <w:r>
        <w:rPr>
          <w:rFonts w:ascii="Arial" w:cs="Arial" w:eastAsia="Arial" w:hAnsi="Arial"/>
          <w:sz w:val="17"/>
          <w:szCs w:val="17"/>
          <w:b w:val="1"/>
          <w:bCs w:val="1"/>
          <w:i w:val="1"/>
          <w:iCs w:val="1"/>
          <w:color w:val="auto"/>
        </w:rPr>
        <w:t>The ongoing COVID-19 pandemic, including the resulting global economic uncertainty and measures taken in response to the pandemic, have had a material adverse effect on the rate at which we were able to grow our business.</w:t>
      </w:r>
    </w:p>
    <w:p>
      <w:pPr>
        <w:spacing w:after="0" w:line="64"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The pandemic caused by the novel strain of coronavirus (“COVID-19”) has disrupted the economy and put unprecedented strains on governments, healthcare systems, businesses and individuals around the world. The COVID-19 pandemic has caused significant disruption of global financial markets and economic uncertainty. Though our revenue was not impacted due to the recurring nature of our SaaS subscription-based business model, adverse market conditions resulting from the spread of COVID-19 had an adverse effect on our growth rate.</w:t>
      </w:r>
    </w:p>
    <w:p>
      <w:pPr>
        <w:spacing w:after="0" w:line="162" w:lineRule="exact"/>
        <w:rPr>
          <w:sz w:val="20"/>
          <w:szCs w:val="20"/>
          <w:color w:val="auto"/>
        </w:rPr>
      </w:pPr>
    </w:p>
    <w:p>
      <w:pPr>
        <w:ind w:left="440" w:right="20" w:firstLine="415"/>
        <w:spacing w:after="0" w:line="285" w:lineRule="auto"/>
        <w:rPr>
          <w:sz w:val="20"/>
          <w:szCs w:val="20"/>
          <w:color w:val="auto"/>
        </w:rPr>
      </w:pPr>
      <w:r>
        <w:rPr>
          <w:rFonts w:ascii="Arial" w:cs="Arial" w:eastAsia="Arial" w:hAnsi="Arial"/>
          <w:sz w:val="16"/>
          <w:szCs w:val="16"/>
          <w:color w:val="auto"/>
        </w:rPr>
        <w:t>As hospitals and other businesses in the healthcare ecosystem decreased spending during the first two quarters of 2020, demand for our platform among some of our Enterprise Customers decreased. As a result, we experienced slowed growth and a decline in new customer demand for our platform as well as lower demand from our existing customers for additional intelligence modules within our platform.</w:t>
      </w:r>
    </w:p>
    <w:p>
      <w:pPr>
        <w:spacing w:after="0" w:line="159"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Additionally, in response to the COVID-19 pandemic, we temporarily closed all of our offices (including our headquarters), enabled our employees to work remotely and shifted company events to virtual-only experiences. If the COVID-19 pandemic worsens, especially in the northeast region of the U.S., where we have our offices and our datacenter, our business activities originating from affected areas could be adversely affected. We may take further actions that alter our business operations as may be required by local, state or federal authorities or that we determine are in the best interests of our employees.</w:t>
      </w:r>
    </w:p>
    <w:p>
      <w:pPr>
        <w:spacing w:after="0" w:line="183"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6"/>
          <w:szCs w:val="16"/>
          <w:color w:val="auto"/>
        </w:rPr>
        <w:t>The extent and continued impact of the COVID-19 pandemic on our business will depend on certain developments, including: the duration and spread of the outbreak; government responses to the COVID-19 pandemic including vaccine availability and deployment;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SaaS subscription-based business model, the effect of the COVID-19 pandemic may not be fully reflected in our results of operations and overall financial condition until future periods, if at all.</w:t>
      </w:r>
    </w:p>
    <w:p>
      <w:pPr>
        <w:spacing w:after="0" w:line="169"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282" w:lineRule="exact"/>
        <w:rPr>
          <w:sz w:val="20"/>
          <w:szCs w:val="20"/>
          <w:color w:val="auto"/>
        </w:rPr>
      </w:pPr>
    </w:p>
    <w:p>
      <w:pPr>
        <w:ind w:left="440" w:right="240"/>
        <w:spacing w:after="0" w:line="261" w:lineRule="auto"/>
        <w:rPr>
          <w:sz w:val="20"/>
          <w:szCs w:val="20"/>
          <w:color w:val="auto"/>
        </w:rPr>
      </w:pPr>
      <w:r>
        <w:rPr>
          <w:rFonts w:ascii="Arial" w:cs="Arial" w:eastAsia="Arial" w:hAnsi="Arial"/>
          <w:sz w:val="17"/>
          <w:szCs w:val="17"/>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75"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As part of our business strategy, we make investments in, or acquisitions of, complementary businesses, solutions, databases and technologies, and we expect that we will continue to make such investments and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800"/>
          </w:cols>
          <w:pgMar w:left="320" w:top="442" w:right="7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253" w:lineRule="auto"/>
        <w:rPr>
          <w:sz w:val="20"/>
          <w:szCs w:val="20"/>
          <w:color w:val="auto"/>
        </w:rPr>
      </w:pPr>
      <w:r>
        <w:rPr>
          <w:rFonts w:ascii="Arial" w:cs="Arial" w:eastAsia="Arial" w:hAnsi="Arial"/>
          <w:sz w:val="17"/>
          <w:szCs w:val="17"/>
          <w:color w:val="auto"/>
        </w:rPr>
        <w:t>acquisitions in the future to further grow our business and our platform. For example, in October 2020, we completed our acquisition of Monocl, a provider of subscription-based medical and scientific expert data and insights. Integrating Monocl’s technology into our platform may dilute the quality of our platform as we work through the integration process which can take time and significant resources. As a Swedish company, Monocl operated under different regulatory regimes than we have as a U.S.-based company, which could result in dissynergies in our platforms. Further, we may have difficulty effectively integrating Monocl’s personnel and business into our Company and achieving the goals of the Monocl acquisition. We expect to incur additional costs to integrate prior acquisitions, such as IT integration expenses and costs related to the renegotiation of redundant data provider agreements.</w:t>
      </w:r>
    </w:p>
    <w:p>
      <w:pPr>
        <w:spacing w:after="0" w:line="186"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169"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Acquisitions and other transactions, arrangements and investments involve numerous risks and could create unforeseen operating difficulties and expenditures, including:</w:t>
      </w:r>
    </w:p>
    <w:p>
      <w:pPr>
        <w:spacing w:after="0" w:line="77" w:lineRule="exact"/>
        <w:rPr>
          <w:sz w:val="20"/>
          <w:szCs w:val="20"/>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potential failure to achieve the expected benefits on a timely basis or at all;</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difficulties in, and the cost of, integrating operations, technologies, solutions and platforms;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diversion of financial and managerial resources from existing operations;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potential entry into new markets in which we have little or no experience or where competitors may have stronger market positions;</w:t>
      </w:r>
    </w:p>
    <w:p>
      <w:pPr>
        <w:spacing w:after="0" w:line="145" w:lineRule="exact"/>
        <w:rPr>
          <w:rFonts w:ascii="Arial" w:cs="Arial" w:eastAsia="Arial" w:hAnsi="Arial"/>
          <w:sz w:val="15"/>
          <w:szCs w:val="15"/>
          <w:color w:val="auto"/>
        </w:rPr>
      </w:pPr>
    </w:p>
    <w:p>
      <w:pPr>
        <w:ind w:left="1360" w:hanging="519"/>
        <w:spacing w:after="0"/>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potential write-offs of acquired assets or investments and potential financial and credit risks associated with acquired customers;</w:t>
      </w:r>
    </w:p>
    <w:p>
      <w:pPr>
        <w:spacing w:after="0" w:line="134" w:lineRule="exact"/>
        <w:rPr>
          <w:rFonts w:ascii="Arial" w:cs="Arial" w:eastAsia="Arial" w:hAnsi="Arial"/>
          <w:sz w:val="16"/>
          <w:szCs w:val="16"/>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differences between our values and those of our acquired companies;</w:t>
      </w:r>
    </w:p>
    <w:p>
      <w:pPr>
        <w:spacing w:after="0" w:line="122" w:lineRule="exact"/>
        <w:rPr>
          <w:rFonts w:ascii="Arial" w:cs="Arial" w:eastAsia="Arial" w:hAnsi="Arial"/>
          <w:sz w:val="17"/>
          <w:szCs w:val="17"/>
          <w:color w:val="auto"/>
        </w:rPr>
      </w:pPr>
    </w:p>
    <w:p>
      <w:pPr>
        <w:ind w:left="1360" w:right="540" w:hanging="519"/>
        <w:spacing w:after="0" w:line="273" w:lineRule="auto"/>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difficulties in, and financial costs of, addressing acquired compensation structures inconsistent with our compensation structure;</w:t>
      </w:r>
    </w:p>
    <w:p>
      <w:pPr>
        <w:spacing w:after="0" w:line="134" w:lineRule="exact"/>
        <w:rPr>
          <w:rFonts w:ascii="Arial" w:cs="Arial" w:eastAsia="Arial" w:hAnsi="Arial"/>
          <w:sz w:val="16"/>
          <w:szCs w:val="16"/>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inability to generate sufficient revenue to offset acquisition or investment costs;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inability to maintain, or changes in, relationships with customers and partners of the acquired business;</w:t>
      </w:r>
    </w:p>
    <w:p>
      <w:pPr>
        <w:spacing w:after="0" w:line="122" w:lineRule="exact"/>
        <w:rPr>
          <w:rFonts w:ascii="Arial" w:cs="Arial" w:eastAsia="Arial" w:hAnsi="Arial"/>
          <w:sz w:val="17"/>
          <w:szCs w:val="17"/>
          <w:color w:val="auto"/>
        </w:rPr>
      </w:pPr>
    </w:p>
    <w:p>
      <w:pPr>
        <w:jc w:val="both"/>
        <w:ind w:left="1360" w:right="420" w:hanging="519"/>
        <w:spacing w:after="0" w:line="342" w:lineRule="auto"/>
        <w:tabs>
          <w:tab w:leader="none" w:pos="13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29" w:lineRule="exact"/>
        <w:rPr>
          <w:rFonts w:ascii="Arial" w:cs="Arial" w:eastAsia="Arial" w:hAnsi="Arial"/>
          <w:sz w:val="15"/>
          <w:szCs w:val="15"/>
          <w:color w:val="auto"/>
        </w:rPr>
      </w:pPr>
    </w:p>
    <w:p>
      <w:pPr>
        <w:ind w:left="1360" w:right="140" w:hanging="519"/>
        <w:spacing w:after="0" w:line="273" w:lineRule="auto"/>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difficulty with, and costs related to, transitioning the acquired technology onto our existing platform and customer acceptance of a new or changed platform on a temporary or permanent basis;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augmenting the acquired technologies and platforms to the levels that are consistent with our brand and reputation;</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potential for acquired platforms to impact the financial performance of existing platform;</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increasing or maintaining the security standards for acquired technology consistent with our platform;</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820"/>
          </w:cols>
          <w:pgMar w:left="320" w:top="442" w:right="75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hanging="519"/>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potential unknown liabilities associated with the acquired businesses, including risks associated with acquired technologies;</w:t>
      </w:r>
    </w:p>
    <w:p>
      <w:pPr>
        <w:spacing w:after="0" w:line="122"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challenges relating to the structure of an investment, such as governance, accountability and decision-making conflicts that may arise in the context of a joint venture or other majority ownership investments;</w:t>
      </w:r>
    </w:p>
    <w:p>
      <w:pPr>
        <w:spacing w:after="0" w:line="76"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material adverse effect on our results of operations because of the depreciation and amortization of amounts related to acquired intangible assets, fixed assets and deferred compensation;</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additional stock-based compensation;</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loss of acquired unearned revenue and unbilled unearned revenue;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delays in customer purchases due to uncertainty related to any acquisition;</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ineffective or inadequate controls, procedures and policies at the acquired company;</w:t>
      </w:r>
    </w:p>
    <w:p>
      <w:pPr>
        <w:spacing w:after="0" w:line="122" w:lineRule="exact"/>
        <w:rPr>
          <w:rFonts w:ascii="Arial" w:cs="Arial" w:eastAsia="Arial" w:hAnsi="Arial"/>
          <w:sz w:val="17"/>
          <w:szCs w:val="17"/>
          <w:color w:val="auto"/>
        </w:rPr>
      </w:pPr>
    </w:p>
    <w:p>
      <w:pPr>
        <w:ind w:left="1360" w:right="180" w:hanging="519"/>
        <w:spacing w:after="0" w:line="273" w:lineRule="auto"/>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the case of foreign acquisitions, challenges caused by integrating operations over distance and across different languages, cultures and political environments;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currency and regulatory risks and potential additional cybersecurity and compliance risks resulting from entry into new markets;</w:t>
      </w:r>
    </w:p>
    <w:p>
      <w:pPr>
        <w:spacing w:after="0" w:line="134" w:lineRule="exact"/>
        <w:rPr>
          <w:rFonts w:ascii="Arial" w:cs="Arial" w:eastAsia="Arial" w:hAnsi="Arial"/>
          <w:sz w:val="16"/>
          <w:szCs w:val="16"/>
          <w:color w:val="auto"/>
        </w:rPr>
      </w:pPr>
    </w:p>
    <w:p>
      <w:pPr>
        <w:ind w:left="1360" w:right="220" w:hanging="519"/>
        <w:spacing w:after="0" w:line="273" w:lineRule="auto"/>
        <w:tabs>
          <w:tab w:leader="none" w:pos="13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tax effects and costs of any such acquisitions, including the related integration into our tax structure and assessment of the impact on the realizability of our future tax assets or liabilities; and</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potential challenges by governmental authorities, including the U.S. Department of Justice, for anti-competitive or other reasons.</w:t>
      </w:r>
    </w:p>
    <w:p>
      <w:pPr>
        <w:spacing w:after="0" w:line="223" w:lineRule="exact"/>
        <w:rPr>
          <w:sz w:val="20"/>
          <w:szCs w:val="20"/>
          <w:color w:val="auto"/>
        </w:rPr>
      </w:pPr>
    </w:p>
    <w:p>
      <w:pPr>
        <w:ind w:left="440" w:right="100" w:firstLine="415"/>
        <w:spacing w:after="0" w:line="275" w:lineRule="auto"/>
        <w:rPr>
          <w:sz w:val="20"/>
          <w:szCs w:val="20"/>
          <w:color w:val="auto"/>
        </w:rPr>
      </w:pPr>
      <w:r>
        <w:rPr>
          <w:rFonts w:ascii="Arial" w:cs="Arial" w:eastAsia="Arial" w:hAnsi="Arial"/>
          <w:sz w:val="16"/>
          <w:szCs w:val="16"/>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69" w:lineRule="exact"/>
        <w:rPr>
          <w:sz w:val="20"/>
          <w:szCs w:val="20"/>
          <w:color w:val="auto"/>
        </w:rPr>
      </w:pPr>
    </w:p>
    <w:p>
      <w:pPr>
        <w:ind w:left="440" w:right="280"/>
        <w:spacing w:after="0" w:line="273" w:lineRule="auto"/>
        <w:rPr>
          <w:sz w:val="20"/>
          <w:szCs w:val="20"/>
          <w:color w:val="auto"/>
        </w:rPr>
      </w:pPr>
      <w:r>
        <w:rPr>
          <w:rFonts w:ascii="Arial" w:cs="Arial" w:eastAsia="Arial" w:hAnsi="Arial"/>
          <w:sz w:val="17"/>
          <w:szCs w:val="17"/>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64" w:lineRule="exact"/>
        <w:rPr>
          <w:sz w:val="20"/>
          <w:szCs w:val="20"/>
          <w:color w:val="auto"/>
        </w:rPr>
      </w:pPr>
    </w:p>
    <w:p>
      <w:pPr>
        <w:ind w:left="440" w:right="80" w:firstLine="415"/>
        <w:spacing w:after="0" w:line="269" w:lineRule="auto"/>
        <w:rPr>
          <w:sz w:val="20"/>
          <w:szCs w:val="20"/>
          <w:color w:val="auto"/>
        </w:rPr>
      </w:pPr>
      <w:r>
        <w:rPr>
          <w:rFonts w:ascii="Arial" w:cs="Arial" w:eastAsia="Arial" w:hAnsi="Arial"/>
          <w:sz w:val="16"/>
          <w:szCs w:val="16"/>
          <w:color w:val="auto"/>
        </w:rPr>
        <w:t>We have experienced, and expect to continue to experience, rapid growth, which has placed, and may continue to place, significant demands on our management and our operational and financial resources. We have three offices across the northeastern U.S., and as a result of the Monocl acquisition, one office in Sweden. We have experienced significant growth in headcount, with over 380 employees in 2019 and over 550 employees in 2020.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and as we expand internationally.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11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800"/>
          </w:cols>
          <w:pgMar w:left="320" w:top="442" w:right="77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79" w:lineRule="auto"/>
        <w:rPr>
          <w:sz w:val="20"/>
          <w:szCs w:val="20"/>
          <w:color w:val="auto"/>
        </w:rPr>
      </w:pPr>
      <w:r>
        <w:rPr>
          <w:rFonts w:ascii="Arial" w:cs="Arial" w:eastAsia="Arial" w:hAnsi="Arial"/>
          <w:sz w:val="16"/>
          <w:szCs w:val="16"/>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w:t>
      </w:r>
    </w:p>
    <w:p>
      <w:pPr>
        <w:spacing w:after="0" w:line="162"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80" w:lineRule="exact"/>
        <w:rPr>
          <w:sz w:val="20"/>
          <w:szCs w:val="20"/>
          <w:color w:val="auto"/>
        </w:rPr>
      </w:pPr>
    </w:p>
    <w:p>
      <w:pPr>
        <w:ind w:left="440" w:right="120" w:firstLine="415"/>
        <w:spacing w:after="0" w:line="275" w:lineRule="auto"/>
        <w:rPr>
          <w:sz w:val="20"/>
          <w:szCs w:val="20"/>
          <w:color w:val="auto"/>
        </w:rPr>
      </w:pPr>
      <w:r>
        <w:rPr>
          <w:rFonts w:ascii="Arial" w:cs="Arial" w:eastAsia="Arial" w:hAnsi="Arial"/>
          <w:sz w:val="16"/>
          <w:szCs w:val="16"/>
          <w:color w:val="auto"/>
        </w:rPr>
        <w:t>In addition, as we expand our business, it is important that we continue to maintain a high level of customer service and satisfaction. As our customer base continues to grow, we will need to expand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69" w:lineRule="exact"/>
        <w:rPr>
          <w:sz w:val="20"/>
          <w:szCs w:val="20"/>
          <w:color w:val="auto"/>
        </w:rPr>
      </w:pPr>
    </w:p>
    <w:p>
      <w:pPr>
        <w:ind w:left="440" w:right="300"/>
        <w:spacing w:after="0" w:line="342" w:lineRule="auto"/>
        <w:rPr>
          <w:sz w:val="20"/>
          <w:szCs w:val="20"/>
          <w:color w:val="auto"/>
        </w:rPr>
      </w:pPr>
      <w:r>
        <w:rPr>
          <w:rFonts w:ascii="Arial" w:cs="Arial" w:eastAsia="Arial" w:hAnsi="Arial"/>
          <w:sz w:val="15"/>
          <w:szCs w:val="15"/>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17"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p>
    <w:p>
      <w:pPr>
        <w:spacing w:after="0" w:line="183"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We are led by our CEO and founder, Jason Krantz, who plays an important role in driving our culture, determining our strategy and executing against that strategy across our business. If Mr. Krantz’s services became unavailable to us for any reason, it may be difficult or impossible for us to find an adequate replacement, which could cause us to be less successful in maintaining our culture and developing and effectively executing on our strategies.</w:t>
      </w:r>
    </w:p>
    <w:p>
      <w:pPr>
        <w:spacing w:after="0" w:line="180" w:lineRule="exact"/>
        <w:rPr>
          <w:sz w:val="20"/>
          <w:szCs w:val="20"/>
          <w:color w:val="auto"/>
        </w:rPr>
      </w:pPr>
    </w:p>
    <w:p>
      <w:pPr>
        <w:ind w:left="440" w:right="80" w:firstLine="415"/>
        <w:spacing w:after="0" w:line="293" w:lineRule="auto"/>
        <w:rPr>
          <w:sz w:val="20"/>
          <w:szCs w:val="20"/>
          <w:color w:val="auto"/>
        </w:rPr>
      </w:pPr>
      <w:r>
        <w:rPr>
          <w:rFonts w:ascii="Arial" w:cs="Arial" w:eastAsia="Arial" w:hAnsi="Arial"/>
          <w:sz w:val="15"/>
          <w:szCs w:val="15"/>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154"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If we hire employees from competitors or other companies, their former employers may attempt to assert that these employees have breached their legal obligations, resulting in a diversion of our time and resources. In</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800"/>
          </w:cols>
          <w:pgMar w:left="320" w:top="442" w:right="77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54" w:lineRule="auto"/>
        <w:rPr>
          <w:sz w:val="20"/>
          <w:szCs w:val="20"/>
          <w:color w:val="auto"/>
        </w:rPr>
      </w:pPr>
      <w:r>
        <w:rPr>
          <w:rFonts w:ascii="Arial" w:cs="Arial" w:eastAsia="Arial" w:hAnsi="Arial"/>
          <w:sz w:val="17"/>
          <w:szCs w:val="17"/>
          <w:color w:val="auto"/>
        </w:rPr>
        <w:t>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83" w:lineRule="exact"/>
        <w:rPr>
          <w:sz w:val="20"/>
          <w:szCs w:val="20"/>
          <w:color w:val="auto"/>
        </w:rPr>
      </w:pPr>
    </w:p>
    <w:p>
      <w:pPr>
        <w:jc w:val="both"/>
        <w:ind w:left="440" w:right="100" w:firstLine="415"/>
        <w:spacing w:after="0" w:line="261" w:lineRule="auto"/>
        <w:rPr>
          <w:sz w:val="20"/>
          <w:szCs w:val="20"/>
          <w:color w:val="auto"/>
        </w:rPr>
      </w:pPr>
      <w:r>
        <w:rPr>
          <w:rFonts w:ascii="Arial" w:cs="Arial" w:eastAsia="Arial" w:hAnsi="Arial"/>
          <w:sz w:val="17"/>
          <w:szCs w:val="17"/>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our business.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If we fail to protect and maintain our brand, our ability to attract and retain customers will be impaired, our reputation may be harmed.</w:t>
      </w:r>
    </w:p>
    <w:p>
      <w:pPr>
        <w:spacing w:after="0" w:line="121" w:lineRule="exact"/>
        <w:rPr>
          <w:sz w:val="20"/>
          <w:szCs w:val="20"/>
          <w:color w:val="auto"/>
        </w:rPr>
      </w:pPr>
    </w:p>
    <w:p>
      <w:pPr>
        <w:ind w:left="440" w:right="60" w:firstLine="415"/>
        <w:spacing w:after="0" w:line="279" w:lineRule="auto"/>
        <w:rPr>
          <w:sz w:val="20"/>
          <w:szCs w:val="20"/>
          <w:color w:val="auto"/>
        </w:rPr>
      </w:pPr>
      <w:r>
        <w:rPr>
          <w:rFonts w:ascii="Arial" w:cs="Arial" w:eastAsia="Arial" w:hAnsi="Arial"/>
          <w:sz w:val="16"/>
          <w:szCs w:val="16"/>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162" w:lineRule="exact"/>
        <w:rPr>
          <w:sz w:val="20"/>
          <w:szCs w:val="20"/>
          <w:color w:val="auto"/>
        </w:rPr>
      </w:pPr>
    </w:p>
    <w:p>
      <w:pPr>
        <w:jc w:val="both"/>
        <w:ind w:left="440" w:right="140" w:firstLine="415"/>
        <w:spacing w:after="0" w:line="279" w:lineRule="auto"/>
        <w:rPr>
          <w:sz w:val="20"/>
          <w:szCs w:val="20"/>
          <w:color w:val="auto"/>
        </w:rPr>
      </w:pPr>
      <w:r>
        <w:rPr>
          <w:rFonts w:ascii="Arial" w:cs="Arial" w:eastAsia="Arial" w:hAnsi="Arial"/>
          <w:sz w:val="16"/>
          <w:szCs w:val="16"/>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64" w:lineRule="exact"/>
        <w:rPr>
          <w:sz w:val="20"/>
          <w:szCs w:val="20"/>
          <w:color w:val="auto"/>
        </w:rPr>
      </w:pPr>
    </w:p>
    <w:p>
      <w:pPr>
        <w:ind w:left="440" w:right="200"/>
        <w:spacing w:after="0" w:line="379" w:lineRule="auto"/>
        <w:rPr>
          <w:sz w:val="20"/>
          <w:szCs w:val="20"/>
          <w:color w:val="auto"/>
        </w:rPr>
      </w:pPr>
      <w:r>
        <w:rPr>
          <w:rFonts w:ascii="Arial" w:cs="Arial" w:eastAsia="Arial" w:hAnsi="Arial"/>
          <w:sz w:val="14"/>
          <w:szCs w:val="14"/>
          <w:b w:val="1"/>
          <w:bCs w:val="1"/>
          <w:i w:val="1"/>
          <w:iCs w:val="1"/>
          <w:color w:val="auto"/>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p>
    <w:p>
      <w:pPr>
        <w:ind w:left="840"/>
        <w:spacing w:after="0"/>
        <w:rPr>
          <w:sz w:val="20"/>
          <w:szCs w:val="20"/>
          <w:color w:val="auto"/>
        </w:rPr>
      </w:pPr>
      <w:r>
        <w:rPr>
          <w:rFonts w:ascii="Arial" w:cs="Arial" w:eastAsia="Arial" w:hAnsi="Arial"/>
          <w:sz w:val="17"/>
          <w:szCs w:val="17"/>
          <w:color w:val="auto"/>
        </w:rPr>
        <w:t>Demand for our solutions could be affected by factors that affect the healthcare ecosystem, including:</w:t>
      </w:r>
    </w:p>
    <w:p>
      <w:pPr>
        <w:spacing w:after="0" w:line="123" w:lineRule="exact"/>
        <w:rPr>
          <w:sz w:val="20"/>
          <w:szCs w:val="20"/>
          <w:color w:val="auto"/>
        </w:rPr>
      </w:pPr>
    </w:p>
    <w:p>
      <w:pPr>
        <w:ind w:left="1360" w:right="220" w:hanging="519"/>
        <w:spacing w:after="0" w:line="312" w:lineRule="auto"/>
        <w:tabs>
          <w:tab w:leader="none" w:pos="13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52" w:lineRule="exact"/>
        <w:rPr>
          <w:rFonts w:ascii="Arial" w:cs="Arial" w:eastAsia="Arial" w:hAnsi="Arial"/>
          <w:sz w:val="15"/>
          <w:szCs w:val="15"/>
          <w:color w:val="auto"/>
        </w:rPr>
      </w:pPr>
    </w:p>
    <w:p>
      <w:pPr>
        <w:ind w:left="1360" w:hanging="519"/>
        <w:spacing w:after="0" w:line="269" w:lineRule="auto"/>
        <w:tabs>
          <w:tab w:leader="none" w:pos="13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800"/>
          </w:cols>
          <w:pgMar w:left="320" w:top="442" w:right="77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220" w:hanging="519"/>
        <w:spacing w:after="0" w:line="342" w:lineRule="auto"/>
        <w:tabs>
          <w:tab w:leader="none" w:pos="13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29" w:lineRule="exact"/>
        <w:rPr>
          <w:rFonts w:ascii="Arial" w:cs="Arial" w:eastAsia="Arial" w:hAnsi="Arial"/>
          <w:sz w:val="15"/>
          <w:szCs w:val="15"/>
          <w:color w:val="auto"/>
        </w:rPr>
      </w:pPr>
    </w:p>
    <w:p>
      <w:pPr>
        <w:ind w:left="1360" w:right="80" w:hanging="519"/>
        <w:spacing w:after="0" w:line="272" w:lineRule="auto"/>
        <w:tabs>
          <w:tab w:leader="none" w:pos="1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79" w:lineRule="exact"/>
        <w:rPr>
          <w:rFonts w:ascii="Arial" w:cs="Arial" w:eastAsia="Arial" w:hAnsi="Arial"/>
          <w:sz w:val="16"/>
          <w:szCs w:val="16"/>
          <w:color w:val="auto"/>
        </w:rPr>
      </w:pPr>
    </w:p>
    <w:p>
      <w:pPr>
        <w:ind w:left="1360" w:hanging="519"/>
        <w:spacing w:after="0" w:line="275" w:lineRule="auto"/>
        <w:tabs>
          <w:tab w:leader="none" w:pos="1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This could result in reductions in sales of our solutions, longer sales cycles, reductions in subscription duration and value, slower adoption of new solutions, and increased price competition.</w:t>
      </w:r>
    </w:p>
    <w:p>
      <w:pPr>
        <w:spacing w:after="0" w:line="167" w:lineRule="exact"/>
        <w:rPr>
          <w:sz w:val="20"/>
          <w:szCs w:val="20"/>
          <w:color w:val="auto"/>
        </w:rPr>
      </w:pPr>
    </w:p>
    <w:p>
      <w:pPr>
        <w:ind w:left="440" w:right="600" w:firstLine="415"/>
        <w:spacing w:after="0" w:line="306" w:lineRule="auto"/>
        <w:rPr>
          <w:sz w:val="20"/>
          <w:szCs w:val="20"/>
          <w:color w:val="auto"/>
        </w:rPr>
      </w:pPr>
      <w:r>
        <w:rPr>
          <w:rFonts w:ascii="Arial" w:cs="Arial" w:eastAsia="Arial" w:hAnsi="Arial"/>
          <w:sz w:val="16"/>
          <w:szCs w:val="16"/>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243" w:lineRule="exact"/>
        <w:rPr>
          <w:sz w:val="20"/>
          <w:szCs w:val="20"/>
          <w:color w:val="auto"/>
        </w:rPr>
      </w:pPr>
    </w:p>
    <w:p>
      <w:pPr>
        <w:ind w:left="440" w:right="40"/>
        <w:spacing w:after="0" w:line="273" w:lineRule="auto"/>
        <w:rPr>
          <w:sz w:val="20"/>
          <w:szCs w:val="20"/>
          <w:color w:val="auto"/>
        </w:rPr>
      </w:pPr>
      <w:r>
        <w:rPr>
          <w:rFonts w:ascii="Arial" w:cs="Arial" w:eastAsia="Arial" w:hAnsi="Arial"/>
          <w:sz w:val="17"/>
          <w:szCs w:val="17"/>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64" w:lineRule="exact"/>
        <w:rPr>
          <w:sz w:val="20"/>
          <w:szCs w:val="20"/>
          <w:color w:val="auto"/>
        </w:rPr>
      </w:pPr>
    </w:p>
    <w:p>
      <w:pPr>
        <w:ind w:left="440" w:right="180" w:firstLine="415"/>
        <w:spacing w:after="0" w:line="295" w:lineRule="auto"/>
        <w:rPr>
          <w:sz w:val="20"/>
          <w:szCs w:val="20"/>
          <w:color w:val="auto"/>
        </w:rPr>
      </w:pPr>
      <w:r>
        <w:rPr>
          <w:rFonts w:ascii="Arial" w:cs="Arial" w:eastAsia="Arial" w:hAnsi="Arial"/>
          <w:sz w:val="15"/>
          <w:szCs w:val="15"/>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64" w:lineRule="exact"/>
        <w:rPr>
          <w:sz w:val="20"/>
          <w:szCs w:val="20"/>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need to educate prospective customers about the uses and benefits of our platform;</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discretionary nature of purchase and budget cycles and decisions;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evolving functionality demands;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announcements of planned introductions of new intelligence modules by us or our competitors;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lengthy and multi-faceted purchasing approval processes.</w:t>
      </w:r>
    </w:p>
    <w:p>
      <w:pPr>
        <w:spacing w:after="0" w:line="212"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If we have overestimated the size of our total addressable market, our future growth rate may be limited.</w:t>
      </w:r>
    </w:p>
    <w:p>
      <w:pPr>
        <w:spacing w:after="0" w:line="110"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We have estimated the size of our total addressable market based on internally generated data and assumptions, and such information is inherently imprecise. In addition, our projections, assumptions, and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800"/>
          </w:cols>
          <w:pgMar w:left="320" w:top="442" w:right="77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302" w:lineRule="auto"/>
        <w:rPr>
          <w:sz w:val="20"/>
          <w:szCs w:val="20"/>
          <w:color w:val="auto"/>
        </w:rPr>
      </w:pPr>
      <w:r>
        <w:rPr>
          <w:rFonts w:ascii="Arial" w:cs="Arial" w:eastAsia="Arial" w:hAnsi="Arial"/>
          <w:sz w:val="15"/>
          <w:szCs w:val="15"/>
          <w:color w:val="auto"/>
        </w:rPr>
        <w:t>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149" w:lineRule="exact"/>
        <w:rPr>
          <w:sz w:val="20"/>
          <w:szCs w:val="20"/>
          <w:color w:val="auto"/>
        </w:rPr>
      </w:pPr>
    </w:p>
    <w:p>
      <w:pPr>
        <w:ind w:left="440" w:right="140" w:firstLine="415"/>
        <w:spacing w:after="0" w:line="285" w:lineRule="auto"/>
        <w:rPr>
          <w:sz w:val="20"/>
          <w:szCs w:val="20"/>
          <w:color w:val="auto"/>
        </w:rPr>
      </w:pPr>
      <w:r>
        <w:rPr>
          <w:rFonts w:ascii="Arial" w:cs="Arial" w:eastAsia="Arial" w:hAnsi="Arial"/>
          <w:sz w:val="16"/>
          <w:szCs w:val="16"/>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Our business could be negatively affected by changes in search engine algorithms and dynamics or other traffic-generating arrangements.</w:t>
      </w:r>
    </w:p>
    <w:p>
      <w:pPr>
        <w:spacing w:after="0" w:line="133" w:lineRule="exact"/>
        <w:rPr>
          <w:sz w:val="20"/>
          <w:szCs w:val="20"/>
          <w:color w:val="auto"/>
        </w:rPr>
      </w:pPr>
    </w:p>
    <w:p>
      <w:pPr>
        <w:ind w:left="440" w:right="60" w:firstLine="415"/>
        <w:spacing w:after="0" w:line="291" w:lineRule="auto"/>
        <w:rPr>
          <w:sz w:val="20"/>
          <w:szCs w:val="20"/>
          <w:color w:val="auto"/>
        </w:rPr>
      </w:pPr>
      <w:r>
        <w:rPr>
          <w:rFonts w:ascii="Arial" w:cs="Arial" w:eastAsia="Arial" w:hAnsi="Arial"/>
          <w:sz w:val="15"/>
          <w:szCs w:val="15"/>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Operations outside the U.S. expose us to risks inherent in international operations.</w:t>
      </w:r>
    </w:p>
    <w:p>
      <w:pPr>
        <w:spacing w:after="0" w:line="110" w:lineRule="exact"/>
        <w:rPr>
          <w:sz w:val="20"/>
          <w:szCs w:val="20"/>
          <w:color w:val="auto"/>
        </w:rPr>
      </w:pPr>
    </w:p>
    <w:p>
      <w:pPr>
        <w:ind w:left="440" w:right="100" w:firstLine="415"/>
        <w:spacing w:after="0" w:line="275" w:lineRule="auto"/>
        <w:rPr>
          <w:sz w:val="20"/>
          <w:szCs w:val="20"/>
          <w:color w:val="auto"/>
        </w:rPr>
      </w:pPr>
      <w:r>
        <w:rPr>
          <w:rFonts w:ascii="Arial" w:cs="Arial" w:eastAsia="Arial" w:hAnsi="Arial"/>
          <w:sz w:val="16"/>
          <w:szCs w:val="16"/>
          <w:color w:val="auto"/>
        </w:rPr>
        <w:t>Our recent acquisition of Swedish subscription-based provider of scientific data, Monocl, in October 2020 creates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We have a limited operating history, which makes it difficult to forecast our revenue and evaluate our business and future prospects.</w:t>
      </w:r>
    </w:p>
    <w:p>
      <w:pPr>
        <w:spacing w:after="0" w:line="121"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800"/>
          </w:cols>
          <w:pgMar w:left="320" w:top="442" w:right="77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379" w:lineRule="auto"/>
        <w:rPr>
          <w:sz w:val="20"/>
          <w:szCs w:val="20"/>
          <w:color w:val="auto"/>
        </w:rPr>
      </w:pPr>
      <w:r>
        <w:rPr>
          <w:rFonts w:ascii="Arial" w:cs="Arial" w:eastAsia="Arial" w:hAnsi="Arial"/>
          <w:sz w:val="14"/>
          <w:szCs w:val="14"/>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ind w:left="440" w:right="360" w:firstLine="415"/>
        <w:spacing w:after="0" w:line="273" w:lineRule="auto"/>
        <w:rPr>
          <w:sz w:val="20"/>
          <w:szCs w:val="20"/>
          <w:color w:val="auto"/>
        </w:rPr>
      </w:pPr>
      <w:r>
        <w:rPr>
          <w:rFonts w:ascii="Arial" w:cs="Arial" w:eastAsia="Arial" w:hAnsi="Arial"/>
          <w:sz w:val="17"/>
          <w:szCs w:val="17"/>
          <w:color w:val="auto"/>
        </w:rPr>
        <w:t>We may require additional financing, and we may not be able to obtain debt or equity financing on favorable terms, if at all. The terms of any additional debt financing may be similar or more restrictive than our current debt facilities.</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If we need additional capital and cannot raise it on acceptable terms, or at all, we may not be able to, among other things:</w:t>
      </w:r>
    </w:p>
    <w:p>
      <w:pPr>
        <w:spacing w:after="0" w:line="123" w:lineRule="exact"/>
        <w:rPr>
          <w:sz w:val="20"/>
          <w:szCs w:val="20"/>
          <w:color w:val="auto"/>
        </w:rPr>
      </w:pPr>
    </w:p>
    <w:p>
      <w:pPr>
        <w:ind w:left="1360" w:hanging="519"/>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develop new features, intelligence modules, updates, integrations, capabilities and enhancements;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continue to provide synthesis of real-time data;</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hire, train and retain employees;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respond to competitive pressures or unanticipated working capital requirements; or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pursue acquisition opportunities.</w:t>
      </w:r>
    </w:p>
    <w:p>
      <w:pPr>
        <w:spacing w:after="0" w:line="31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Catastrophic events could disrupt our business and adversely affect our operating results.</w:t>
      </w:r>
    </w:p>
    <w:p>
      <w:pPr>
        <w:spacing w:after="0" w:line="110" w:lineRule="exact"/>
        <w:rPr>
          <w:sz w:val="20"/>
          <w:szCs w:val="20"/>
          <w:color w:val="auto"/>
        </w:rPr>
      </w:pPr>
    </w:p>
    <w:p>
      <w:pPr>
        <w:ind w:left="440" w:right="40" w:firstLine="415"/>
        <w:spacing w:after="0" w:line="272" w:lineRule="auto"/>
        <w:rPr>
          <w:sz w:val="20"/>
          <w:szCs w:val="20"/>
          <w:color w:val="auto"/>
        </w:rPr>
      </w:pPr>
      <w:r>
        <w:rPr>
          <w:rFonts w:ascii="Arial" w:cs="Arial" w:eastAsia="Arial" w:hAnsi="Arial"/>
          <w:sz w:val="16"/>
          <w:szCs w:val="16"/>
          <w:color w:val="auto"/>
        </w:rPr>
        <w:t>Our corporate headquarters are located in Framingham, Massachusetts.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 all of which could have a material adverse effect on our business, financial condition and results of operations.</w:t>
      </w:r>
    </w:p>
    <w:p>
      <w:pPr>
        <w:spacing w:after="0" w:line="270" w:lineRule="exact"/>
        <w:rPr>
          <w:sz w:val="20"/>
          <w:szCs w:val="20"/>
          <w:color w:val="auto"/>
        </w:rPr>
      </w:pPr>
    </w:p>
    <w:p>
      <w:pPr>
        <w:ind w:left="440" w:right="240"/>
        <w:spacing w:after="0" w:line="273" w:lineRule="auto"/>
        <w:rPr>
          <w:sz w:val="20"/>
          <w:szCs w:val="20"/>
          <w:color w:val="auto"/>
        </w:rPr>
      </w:pPr>
      <w:r>
        <w:rPr>
          <w:rFonts w:ascii="Arial" w:cs="Arial" w:eastAsia="Arial" w:hAnsi="Arial"/>
          <w:sz w:val="17"/>
          <w:szCs w:val="17"/>
          <w:b w:val="1"/>
          <w:bCs w:val="1"/>
          <w:i w:val="1"/>
          <w:iCs w:val="1"/>
          <w:color w:val="auto"/>
        </w:rPr>
        <w:t>Our solutions utilize open-source software, and any failure to comply with the terms of one or more of these open-source licenses could adversely affect our business.</w:t>
      </w:r>
    </w:p>
    <w:p>
      <w:pPr>
        <w:spacing w:after="0" w:line="64"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Our solutions include software subject to open-source licenses. The terms of various open-source licenses have not been interpreted by U.S. courts, and there is a risk that such licenses could be construed in a manner that imposes unanticipated conditions or restrictions on our ability to market our solutions. Certain open-source software licenses require a user who intends to distribute the open-source software as a component of the user’s software to disclose publicly part or all of the source code to the user’s software. Additionally, certain open-source software licenses require the user of such software to make any derivative works of the open-source code available to others on terms that are unfavorable to such user or at no cost. This can effectively render what was previously proprietary software open-source software.</w:t>
      </w:r>
    </w:p>
    <w:p>
      <w:pPr>
        <w:spacing w:after="0" w:line="169"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open-source license, we could be required to publicly release the affected portions of our source code, re-engineer all or a portion of our solutions, or otherwise be limited in the licensing of our solutions, each of which could reduce or eliminate the value of our solutions. In addition to risks related to license requirements, use of open-source software can lead to greater risks than use of third-party commercial software, as open-source licensors generally do not provide warranties or controls on the origin of the software.</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800"/>
          </w:cols>
          <w:pgMar w:left="320" w:top="442" w:right="77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64" w:lineRule="exact"/>
        <w:rPr>
          <w:sz w:val="20"/>
          <w:szCs w:val="20"/>
          <w:color w:val="auto"/>
        </w:rPr>
      </w:pPr>
    </w:p>
    <w:p>
      <w:pPr>
        <w:ind w:left="440" w:right="20" w:firstLine="415"/>
        <w:spacing w:after="0" w:line="271" w:lineRule="auto"/>
        <w:rPr>
          <w:sz w:val="20"/>
          <w:szCs w:val="20"/>
          <w:color w:val="auto"/>
        </w:rPr>
      </w:pPr>
      <w:r>
        <w:rPr>
          <w:rFonts w:ascii="Arial" w:cs="Arial" w:eastAsia="Arial" w:hAnsi="Arial"/>
          <w:sz w:val="16"/>
          <w:szCs w:val="16"/>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Data Privacy and Cybersecurity</w:t>
      </w:r>
    </w:p>
    <w:p>
      <w:pPr>
        <w:spacing w:after="0" w:line="114" w:lineRule="exact"/>
        <w:rPr>
          <w:sz w:val="20"/>
          <w:szCs w:val="20"/>
          <w:color w:val="auto"/>
        </w:rPr>
      </w:pPr>
    </w:p>
    <w:p>
      <w:pPr>
        <w:ind w:left="440" w:right="560"/>
        <w:spacing w:after="0" w:line="273" w:lineRule="auto"/>
        <w:rPr>
          <w:sz w:val="20"/>
          <w:szCs w:val="20"/>
          <w:color w:val="auto"/>
        </w:rPr>
      </w:pPr>
      <w:r>
        <w:rPr>
          <w:rFonts w:ascii="Arial" w:cs="Arial" w:eastAsia="Arial" w:hAnsi="Arial"/>
          <w:sz w:val="17"/>
          <w:szCs w:val="17"/>
          <w:b w:val="1"/>
          <w:bCs w:val="1"/>
          <w:i w:val="1"/>
          <w:iCs w:val="1"/>
          <w:color w:val="auto"/>
        </w:rPr>
        <w:t>Cyber-attacks and security vulnerabilities could have a material adverse effect on our reputation, business, financial condition and results of operations.</w:t>
      </w:r>
    </w:p>
    <w:p>
      <w:pPr>
        <w:spacing w:after="0" w:line="64"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Our solutions involve the storage and transmission of proprietary information including personal information of medical professionals, de-identified personal information of patients and clinical trial participants, and other sensitive information. Our business, brand, reputation and ability to attract and retain customers depends upon the satisfactory performance, reliability and availability of our platform. Interruptions in our computer and information technology systems, whether due to fire, flood, power loss, terrorist attacks, acts of war, system failures, computer viruses, software errors, physical or electronic break-ins or malicious hacks or attacks on our systems (such as denial of service attacks),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172"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 platform and other aspects of our solutions, including those provided or facilitated by our third-party service providers, are vital to our operations and business strategy. Cyber-attacks can take many forms, but they typically aim to obtain unauthorized access to confidential information, manipulate or destroy data or disrupt, sabotage or degrade service on our systems.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w:t>
      </w:r>
    </w:p>
    <w:p>
      <w:pPr>
        <w:spacing w:after="0" w:line="9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800"/>
          </w:cols>
          <w:pgMar w:left="320" w:top="442" w:right="77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400"/>
        <w:spacing w:after="0" w:line="261" w:lineRule="auto"/>
        <w:rPr>
          <w:sz w:val="20"/>
          <w:szCs w:val="20"/>
          <w:color w:val="auto"/>
        </w:rPr>
      </w:pPr>
      <w:r>
        <w:rPr>
          <w:rFonts w:ascii="Arial" w:cs="Arial" w:eastAsia="Arial" w:hAnsi="Arial"/>
          <w:sz w:val="17"/>
          <w:szCs w:val="17"/>
          <w:color w:val="auto"/>
        </w:rPr>
        <w:t>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176" w:lineRule="exact"/>
        <w:rPr>
          <w:sz w:val="20"/>
          <w:szCs w:val="20"/>
          <w:color w:val="auto"/>
        </w:rPr>
      </w:pPr>
    </w:p>
    <w:p>
      <w:pPr>
        <w:ind w:left="440" w:right="100" w:firstLine="415"/>
        <w:spacing w:after="0" w:line="254" w:lineRule="auto"/>
        <w:rPr>
          <w:sz w:val="20"/>
          <w:szCs w:val="20"/>
          <w:color w:val="auto"/>
        </w:rPr>
      </w:pPr>
      <w:r>
        <w:rPr>
          <w:rFonts w:ascii="Arial" w:cs="Arial" w:eastAsia="Arial" w:hAnsi="Arial"/>
          <w:sz w:val="17"/>
          <w:szCs w:val="17"/>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w:t>
      </w:r>
    </w:p>
    <w:p>
      <w:pPr>
        <w:spacing w:after="0" w:line="183" w:lineRule="exact"/>
        <w:rPr>
          <w:sz w:val="20"/>
          <w:szCs w:val="20"/>
          <w:color w:val="auto"/>
        </w:rPr>
      </w:pPr>
    </w:p>
    <w:p>
      <w:pPr>
        <w:ind w:left="440" w:right="40" w:firstLine="415"/>
        <w:spacing w:after="0" w:line="286" w:lineRule="auto"/>
        <w:rPr>
          <w:sz w:val="20"/>
          <w:szCs w:val="20"/>
          <w:color w:val="auto"/>
        </w:rPr>
      </w:pPr>
      <w:r>
        <w:rPr>
          <w:rFonts w:ascii="Arial" w:cs="Arial" w:eastAsia="Arial" w:hAnsi="Arial"/>
          <w:sz w:val="15"/>
          <w:szCs w:val="15"/>
          <w:color w:val="auto"/>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data Privacy Laws (as defined below) for actions arising from certain data security incidents.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We maintain errors, omissions and cyber liability insurance policies covering certain security and privacy damages. However, we cannot guarantee that our coverage will be adequate for liabilities actually incurred or that insurance will continue to be available to us on economically reasonable terms, or at all.</w:t>
      </w:r>
    </w:p>
    <w:p>
      <w:pPr>
        <w:spacing w:after="0" w:line="169" w:lineRule="exact"/>
        <w:rPr>
          <w:sz w:val="20"/>
          <w:szCs w:val="20"/>
          <w:color w:val="auto"/>
        </w:rPr>
      </w:pPr>
    </w:p>
    <w:p>
      <w:pPr>
        <w:ind w:left="440" w:right="20" w:firstLine="415"/>
        <w:spacing w:after="0" w:line="295" w:lineRule="auto"/>
        <w:rPr>
          <w:sz w:val="20"/>
          <w:szCs w:val="20"/>
          <w:color w:val="auto"/>
        </w:rPr>
      </w:pPr>
      <w:r>
        <w:rPr>
          <w:rFonts w:ascii="Arial" w:cs="Arial" w:eastAsia="Arial" w:hAnsi="Arial"/>
          <w:sz w:val="15"/>
          <w:szCs w:val="15"/>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 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it could have a material adverse effect on our business, financial condition and results of operations.</w:t>
      </w:r>
    </w:p>
    <w:p>
      <w:pPr>
        <w:spacing w:after="0" w:line="254" w:lineRule="exact"/>
        <w:rPr>
          <w:sz w:val="20"/>
          <w:szCs w:val="20"/>
          <w:color w:val="auto"/>
        </w:rPr>
      </w:pPr>
    </w:p>
    <w:p>
      <w:pPr>
        <w:ind w:left="440"/>
        <w:spacing w:after="0" w:line="306" w:lineRule="auto"/>
        <w:rPr>
          <w:sz w:val="20"/>
          <w:szCs w:val="20"/>
          <w:color w:val="auto"/>
        </w:rPr>
      </w:pPr>
      <w:r>
        <w:rPr>
          <w:rFonts w:ascii="Arial" w:cs="Arial" w:eastAsia="Arial" w:hAnsi="Arial"/>
          <w:sz w:val="16"/>
          <w:szCs w:val="16"/>
          <w:b w:val="1"/>
          <w:bCs w:val="1"/>
          <w:i w:val="1"/>
          <w:iCs w:val="1"/>
          <w:color w:val="auto"/>
        </w:rPr>
        <w:t>Actual or perceived failure to comply with applicable data protection, privacy and security laws, regulations, standards and other requirements could adversely affect our reputation, business, financial condition and results of operations, and financial condition.</w:t>
      </w:r>
    </w:p>
    <w:p>
      <w:pPr>
        <w:spacing w:after="0" w:line="4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Our customers use our solutions to understand and navigate the healthcare ecosystem. The collection, processing, retention, security, transfer and disclosure of personal information are subject to a variety of laws and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800"/>
          </w:cols>
          <w:pgMar w:left="320" w:top="442" w:right="77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69" w:lineRule="auto"/>
        <w:rPr>
          <w:sz w:val="20"/>
          <w:szCs w:val="20"/>
          <w:color w:val="auto"/>
        </w:rPr>
      </w:pPr>
      <w:r>
        <w:rPr>
          <w:rFonts w:ascii="Arial" w:cs="Arial" w:eastAsia="Arial" w:hAnsi="Arial"/>
          <w:sz w:val="16"/>
          <w:szCs w:val="16"/>
          <w:color w:val="auto"/>
        </w:rPr>
        <w:t>regulations in the United States and abroad that govern data privacy and security (collectively, “Privacy Laws”), which can be enforced in some cases by private parties in addition to governmental and regulatory entities, and from time to time, we may not be in full compliance with all such Privacy Laws. These Privacy Laws often require companies to implement specific privacy and information security controls to protect certain types of information, such as health information.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p>
    <w:p>
      <w:pPr>
        <w:spacing w:after="0" w:line="177"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w:t>
      </w:r>
    </w:p>
    <w:p>
      <w:pPr>
        <w:spacing w:after="0" w:line="183" w:lineRule="exact"/>
        <w:rPr>
          <w:sz w:val="20"/>
          <w:szCs w:val="20"/>
          <w:color w:val="auto"/>
        </w:rPr>
      </w:pPr>
    </w:p>
    <w:p>
      <w:pPr>
        <w:ind w:left="440" w:right="20" w:firstLine="415"/>
        <w:spacing w:after="0" w:line="269" w:lineRule="auto"/>
        <w:rPr>
          <w:sz w:val="20"/>
          <w:szCs w:val="20"/>
          <w:color w:val="auto"/>
        </w:rPr>
      </w:pPr>
      <w:r>
        <w:rPr>
          <w:rFonts w:ascii="Arial" w:cs="Arial" w:eastAsia="Arial" w:hAnsi="Arial"/>
          <w:sz w:val="16"/>
          <w:szCs w:val="16"/>
          <w:color w:val="auto"/>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174" w:lineRule="exact"/>
        <w:rPr>
          <w:sz w:val="20"/>
          <w:szCs w:val="20"/>
          <w:color w:val="auto"/>
        </w:rPr>
      </w:pPr>
    </w:p>
    <w:p>
      <w:pPr>
        <w:ind w:left="440" w:right="140" w:firstLine="415"/>
        <w:spacing w:after="0" w:line="272" w:lineRule="auto"/>
        <w:rPr>
          <w:sz w:val="20"/>
          <w:szCs w:val="20"/>
          <w:color w:val="auto"/>
        </w:rPr>
      </w:pPr>
      <w:r>
        <w:rPr>
          <w:rFonts w:ascii="Arial" w:cs="Arial" w:eastAsia="Arial" w:hAnsi="Arial"/>
          <w:sz w:val="16"/>
          <w:szCs w:val="16"/>
          <w:color w:val="auto"/>
        </w:rPr>
        <w:t>In general, health information is among the most sensitive (and highly regulated) of personal information. Privacy Laws in the United States and around the world are designed to ensure that information about an individual’s health is properly protected from inappropriate access, use and disclosure. For example, in the United States, HIPAA and its implementation regulations impose, among other things, certain standards relating to the privacy, security, transmission and breach reporting of individually identifiable health information.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800"/>
          </w:cols>
          <w:pgMar w:left="320" w:top="442" w:right="77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69" w:lineRule="auto"/>
        <w:rPr>
          <w:sz w:val="20"/>
          <w:szCs w:val="20"/>
          <w:color w:val="auto"/>
        </w:rPr>
      </w:pPr>
      <w:r>
        <w:rPr>
          <w:rFonts w:ascii="Arial" w:cs="Arial" w:eastAsia="Arial" w:hAnsi="Arial"/>
          <w:sz w:val="16"/>
          <w:szCs w:val="16"/>
          <w:color w:val="auto"/>
        </w:rPr>
        <w:t>Certain of our customers may be either “business associates” or “covered entities” under HIPAA, including certain of our customers that are not traditional healthcare providers. For example, some of our customers are 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74" w:lineRule="exact"/>
        <w:rPr>
          <w:sz w:val="20"/>
          <w:szCs w:val="20"/>
          <w:color w:val="auto"/>
        </w:rPr>
      </w:pPr>
    </w:p>
    <w:p>
      <w:pPr>
        <w:jc w:val="both"/>
        <w:ind w:left="440" w:firstLine="415"/>
        <w:spacing w:after="0" w:line="288" w:lineRule="auto"/>
        <w:rPr>
          <w:sz w:val="20"/>
          <w:szCs w:val="20"/>
          <w:color w:val="auto"/>
        </w:rPr>
      </w:pPr>
      <w:r>
        <w:rPr>
          <w:rFonts w:ascii="Arial" w:cs="Arial" w:eastAsia="Arial" w:hAnsi="Arial"/>
          <w:sz w:val="15"/>
          <w:szCs w:val="15"/>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w:t>
      </w:r>
    </w:p>
    <w:p>
      <w:pPr>
        <w:spacing w:after="0" w:line="1" w:lineRule="exact"/>
        <w:rPr>
          <w:sz w:val="20"/>
          <w:szCs w:val="20"/>
          <w:color w:val="auto"/>
        </w:rPr>
      </w:pPr>
    </w:p>
    <w:p>
      <w:pPr>
        <w:ind w:left="440" w:right="60"/>
        <w:spacing w:after="0" w:line="254" w:lineRule="auto"/>
        <w:rPr>
          <w:sz w:val="20"/>
          <w:szCs w:val="20"/>
          <w:color w:val="auto"/>
        </w:rPr>
      </w:pPr>
      <w:r>
        <w:rPr>
          <w:rFonts w:ascii="Arial" w:cs="Arial" w:eastAsia="Arial" w:hAnsi="Arial"/>
          <w:sz w:val="17"/>
          <w:szCs w:val="17"/>
          <w:color w:val="auto"/>
        </w:rPr>
        <w:t>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p>
    <w:p>
      <w:pPr>
        <w:spacing w:after="0" w:line="182" w:lineRule="exact"/>
        <w:rPr>
          <w:sz w:val="20"/>
          <w:szCs w:val="20"/>
          <w:color w:val="auto"/>
        </w:rPr>
      </w:pPr>
    </w:p>
    <w:p>
      <w:pPr>
        <w:ind w:left="440" w:right="160" w:firstLine="415"/>
        <w:spacing w:after="0" w:line="295" w:lineRule="auto"/>
        <w:rPr>
          <w:sz w:val="20"/>
          <w:szCs w:val="20"/>
          <w:color w:val="auto"/>
        </w:rPr>
      </w:pPr>
      <w:r>
        <w:rPr>
          <w:rFonts w:ascii="Arial" w:cs="Arial" w:eastAsia="Arial" w:hAnsi="Arial"/>
          <w:sz w:val="15"/>
          <w:szCs w:val="15"/>
          <w:color w:val="auto"/>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153"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Further, in November 2020, California passed the California Privacy Rights Act (“CPRA”). The CPRA broadly amends the CCPA and imposes additional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Similarly, other states are instituting privacy and data security laws,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800"/>
          </w:cols>
          <w:pgMar w:left="320" w:top="442" w:right="77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85" w:lineRule="auto"/>
        <w:rPr>
          <w:sz w:val="20"/>
          <w:szCs w:val="20"/>
          <w:color w:val="auto"/>
        </w:rPr>
      </w:pPr>
      <w:r>
        <w:rPr>
          <w:rFonts w:ascii="Arial" w:cs="Arial" w:eastAsia="Arial" w:hAnsi="Arial"/>
          <w:sz w:val="15"/>
          <w:szCs w:val="15"/>
          <w:color w:val="auto"/>
        </w:rPr>
        <w:t>We may also be subject to international Privacy Laws such as the European Union’s (the “EU”) General Data Protection Regulation (“GDPR”), the UK Data Protection Act 2018, Canada’s Personal Information Protection and Electronic Documents Act and other international data protection, privacy, data security, data localization and similar national, state/provincial and local laws. The GDPR imposes stringent operational requirements on “controllers” and “processors” of personal data, including, for example, requiring enhanced disclosures to data subjects about how personal data is processed, limiting retention periods of personal data, requiring mandatory data breach notification, requiring certain record keeping and risk assessment obligations, and requiring additional policies and procedures. In addition, data subjects have more robust rights with regard to their personal data. Personal data, as defined under the GDPR, of medical experts or professionals in the EU is principally processed by our EU subsidiary, Monocl AB. Because our EU subsidiary operates under a Swedish publishing certificate issued in accordance with Swedish national law, such processing of personal data by our EU subsidiary falls within the scope of Article 85 GDPR and is exempt from certain core provisions of the GDPR including, but not limited to, requirements relating to the rights of the data subject (Chapter II) and the transfer of personal data to third countries or international organizations (Chapter V). Notwithstanding such exemption, we may from time to time receive data subject requests that we may deny or decline to respond to in reliance on Article 85, which may lead data subjects to lodge complaints with data protection authorities. There is a possibility that such data protection authorities could disagree with Monocl AB’s reliance on Article 85. The GDPR treats health information as a “special category of personal data,” subject to heightened requirements, including that such information typically cannot be collected, used, or disclosed without explicit consent. Neither we nor our EU subsidiary, which principally processes EU personal data, currently process such health information.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w:t>
      </w:r>
    </w:p>
    <w:p>
      <w:pPr>
        <w:spacing w:after="0" w:line="174" w:lineRule="exact"/>
        <w:rPr>
          <w:sz w:val="20"/>
          <w:szCs w:val="20"/>
          <w:color w:val="auto"/>
        </w:rPr>
      </w:pPr>
    </w:p>
    <w:p>
      <w:pPr>
        <w:ind w:left="440" w:right="40" w:firstLine="415"/>
        <w:spacing w:after="0" w:line="269" w:lineRule="auto"/>
        <w:rPr>
          <w:sz w:val="20"/>
          <w:szCs w:val="20"/>
          <w:color w:val="auto"/>
        </w:rPr>
      </w:pPr>
      <w:r>
        <w:rPr>
          <w:rFonts w:ascii="Arial" w:cs="Arial" w:eastAsia="Arial" w:hAnsi="Arial"/>
          <w:sz w:val="16"/>
          <w:szCs w:val="16"/>
          <w:color w:val="auto"/>
        </w:rPr>
        <w:t>Additionally, we are subject to laws, rules, and regulations (including under the GDPR) regarding cross-border transfers of personal data, including laws relating to the transfer of personal data outside the EU and the UK. We rely on transfer mechanisms permitted under these laws, including standard contractual clauses, which have been subject to regulatory and judicial scrutiny. If these existing mechanisms for transferring personal data from the EU, the UK, or other jurisdictions are unavailable, we may be unable to transfer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w:t>
      </w:r>
    </w:p>
    <w:p>
      <w:pPr>
        <w:spacing w:after="0" w:line="171"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Customers expect that our solutions can be used in compliance with data protection and data Privacy Laws and regulations. The functional and operational requirements and costs of compliance with such laws and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800"/>
          </w:cols>
          <w:pgMar w:left="320" w:top="442" w:right="7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0"/>
        <w:spacing w:after="0" w:line="279" w:lineRule="auto"/>
        <w:rPr>
          <w:sz w:val="20"/>
          <w:szCs w:val="20"/>
          <w:color w:val="auto"/>
        </w:rPr>
      </w:pPr>
      <w:r>
        <w:rPr>
          <w:rFonts w:ascii="Arial" w:cs="Arial" w:eastAsia="Arial" w:hAnsi="Arial"/>
          <w:sz w:val="16"/>
          <w:szCs w:val="16"/>
          <w:color w:val="auto"/>
        </w:rPr>
        <w:t>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 affect our customers’ ability or desire to collect, use, process, store and disclose personal information and health data using our solutions, or to license data products from us, which could reduce demand for our solutions.</w:t>
      </w:r>
    </w:p>
    <w:p>
      <w:pPr>
        <w:spacing w:after="0" w:line="162" w:lineRule="exact"/>
        <w:rPr>
          <w:sz w:val="20"/>
          <w:szCs w:val="20"/>
          <w:color w:val="auto"/>
        </w:rPr>
      </w:pPr>
    </w:p>
    <w:p>
      <w:pPr>
        <w:ind w:left="440" w:right="100" w:firstLine="415"/>
        <w:spacing w:after="0" w:line="291" w:lineRule="auto"/>
        <w:rPr>
          <w:sz w:val="20"/>
          <w:szCs w:val="20"/>
          <w:color w:val="auto"/>
        </w:rPr>
      </w:pPr>
      <w:r>
        <w:rPr>
          <w:rFonts w:ascii="Arial" w:cs="Arial" w:eastAsia="Arial" w:hAnsi="Arial"/>
          <w:sz w:val="15"/>
          <w:szCs w:val="15"/>
          <w:color w:val="auto"/>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Failure to comply with such Privacy Laws, certain certification/registration requirement, annual re-certification/registration requirements associated with these Privacy Laws, and failure to resolve any serious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Legal and Regulatory Risks</w:t>
      </w:r>
    </w:p>
    <w:p>
      <w:pPr>
        <w:spacing w:after="0" w:line="114" w:lineRule="exact"/>
        <w:rPr>
          <w:sz w:val="20"/>
          <w:szCs w:val="20"/>
          <w:color w:val="auto"/>
        </w:rPr>
      </w:pPr>
    </w:p>
    <w:p>
      <w:pPr>
        <w:ind w:left="440" w:right="20"/>
        <w:spacing w:after="0" w:line="342" w:lineRule="auto"/>
        <w:rPr>
          <w:sz w:val="20"/>
          <w:szCs w:val="20"/>
          <w:color w:val="auto"/>
        </w:rPr>
      </w:pPr>
      <w:r>
        <w:rPr>
          <w:rFonts w:ascii="Arial" w:cs="Arial" w:eastAsia="Arial" w:hAnsi="Arial"/>
          <w:sz w:val="15"/>
          <w:szCs w:val="15"/>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17"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150"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284" w:lineRule="exact"/>
        <w:rPr>
          <w:sz w:val="20"/>
          <w:szCs w:val="20"/>
          <w:color w:val="auto"/>
        </w:rPr>
      </w:pPr>
    </w:p>
    <w:p>
      <w:pPr>
        <w:ind w:left="440" w:right="100"/>
        <w:spacing w:after="0" w:line="379" w:lineRule="auto"/>
        <w:rPr>
          <w:sz w:val="20"/>
          <w:szCs w:val="20"/>
          <w:color w:val="auto"/>
        </w:rPr>
      </w:pPr>
      <w:r>
        <w:rPr>
          <w:rFonts w:ascii="Arial" w:cs="Arial" w:eastAsia="Arial" w:hAnsi="Arial"/>
          <w:sz w:val="14"/>
          <w:szCs w:val="14"/>
          <w:b w:val="1"/>
          <w:bCs w:val="1"/>
          <w:i w:val="1"/>
          <w:iCs w:val="1"/>
          <w:color w:val="auto"/>
        </w:rPr>
        <w:t>We are subject to sanctions, anti-corruption, anti-bribery, anti-money laundering and similar laws, and non-compliance with such laws can subject us to criminal penalties or significant fines and have a material adverse effect on our business, financial condition and results of operations.</w:t>
      </w:r>
    </w:p>
    <w:p>
      <w:pPr>
        <w:ind w:left="440" w:right="20" w:firstLine="415"/>
        <w:spacing w:after="0" w:line="272" w:lineRule="auto"/>
        <w:rPr>
          <w:sz w:val="20"/>
          <w:szCs w:val="20"/>
          <w:color w:val="auto"/>
        </w:rPr>
      </w:pPr>
      <w:r>
        <w:rPr>
          <w:rFonts w:ascii="Arial" w:cs="Arial" w:eastAsia="Arial" w:hAnsi="Arial"/>
          <w:sz w:val="16"/>
          <w:szCs w:val="16"/>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 records and maintain a system of adequate internal controls. The UK Bribery Act 2010 and other anti-corruption laws also prohibit commercial bribery not involving government officials, and requesting or accepting bribes. We</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800"/>
          </w:cols>
          <w:pgMar w:left="320" w:top="442" w:right="77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spacing w:after="0" w:line="287" w:lineRule="auto"/>
        <w:rPr>
          <w:sz w:val="20"/>
          <w:szCs w:val="20"/>
          <w:color w:val="auto"/>
        </w:rPr>
      </w:pPr>
      <w:r>
        <w:rPr>
          <w:rFonts w:ascii="Arial" w:cs="Arial" w:eastAsia="Arial" w:hAnsi="Arial"/>
          <w:sz w:val="15"/>
          <w:szCs w:val="15"/>
          <w:color w:val="auto"/>
        </w:rPr>
        <w:t>also are subject to applicable anti-money laundering laws, which prohibit engaging in certain transactions involving criminally-derived property or the proceeds of criminal activity. Our activities are also subject to applicable trade and economic sanctions laws and regulations, including those administered by the U.S. Treasury Department’s Office of Foreign Assets Control and the U.S. Department of State. These sanctions laws and regulations prohibit certain transactions involving sanctioned countries, governments, and persons without a license or other appropriate authorization. As we increase our international sales and business, our risks under these laws may increase. Changes to U.S.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162" w:lineRule="exact"/>
        <w:rPr>
          <w:sz w:val="20"/>
          <w:szCs w:val="20"/>
          <w:color w:val="auto"/>
        </w:rPr>
      </w:pPr>
    </w:p>
    <w:p>
      <w:pPr>
        <w:ind w:left="440" w:right="140" w:firstLine="415"/>
        <w:spacing w:after="0" w:line="254" w:lineRule="auto"/>
        <w:rPr>
          <w:sz w:val="20"/>
          <w:szCs w:val="20"/>
          <w:color w:val="auto"/>
        </w:rPr>
      </w:pPr>
      <w:r>
        <w:rPr>
          <w:rFonts w:ascii="Arial" w:cs="Arial" w:eastAsia="Arial" w:hAnsi="Arial"/>
          <w:sz w:val="17"/>
          <w:szCs w:val="17"/>
          <w:color w:val="auto"/>
        </w:rPr>
        <w:t>Any violation or allegation of violations of economic and trade sanctions laws,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could be subject to claims brought by our customers, which could be costly and time consuming to defend.</w:t>
      </w:r>
    </w:p>
    <w:p>
      <w:pPr>
        <w:spacing w:after="0" w:line="110"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71"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64" w:lineRule="exact"/>
        <w:rPr>
          <w:sz w:val="20"/>
          <w:szCs w:val="20"/>
          <w:color w:val="auto"/>
        </w:rPr>
      </w:pPr>
    </w:p>
    <w:p>
      <w:pPr>
        <w:ind w:left="440" w:right="100" w:firstLine="415"/>
        <w:spacing w:after="0" w:line="254"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800"/>
          </w:cols>
          <w:pgMar w:left="320" w:top="442" w:right="7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73" w:lineRule="auto"/>
        <w:rPr>
          <w:sz w:val="20"/>
          <w:szCs w:val="20"/>
          <w:color w:val="auto"/>
        </w:rPr>
      </w:pPr>
      <w:r>
        <w:rPr>
          <w:rFonts w:ascii="Arial" w:cs="Arial" w:eastAsia="Arial" w:hAnsi="Arial"/>
          <w:sz w:val="17"/>
          <w:szCs w:val="17"/>
          <w:color w:val="auto"/>
        </w:rPr>
        <w:t>on our business, financial condition and results of operations. Any claims or litigation, even if fully indemnified or insured, could make it more difficult to effectively compete or to obtain adequate insurance in the future.</w:t>
      </w:r>
    </w:p>
    <w:p>
      <w:pPr>
        <w:spacing w:after="0" w:line="166" w:lineRule="exact"/>
        <w:rPr>
          <w:sz w:val="20"/>
          <w:szCs w:val="20"/>
          <w:color w:val="auto"/>
        </w:rPr>
      </w:pPr>
    </w:p>
    <w:p>
      <w:pPr>
        <w:ind w:left="440" w:right="80" w:firstLine="415"/>
        <w:spacing w:after="0" w:line="254" w:lineRule="auto"/>
        <w:rPr>
          <w:sz w:val="20"/>
          <w:szCs w:val="20"/>
          <w:color w:val="auto"/>
        </w:rPr>
      </w:pPr>
      <w:r>
        <w:rPr>
          <w:rFonts w:ascii="Arial" w:cs="Arial" w:eastAsia="Arial" w:hAnsi="Arial"/>
          <w:sz w:val="17"/>
          <w:szCs w:val="17"/>
          <w:color w:val="auto"/>
        </w:rPr>
        <w:t>In addition, we may be required to spend significant resources to monitor and protect our contractual, intellectual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be subject to liability if we breach our contracts, and our insurance may be inadequate to cover our losses.</w:t>
      </w:r>
    </w:p>
    <w:p>
      <w:pPr>
        <w:spacing w:after="0" w:line="110"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67" w:lineRule="exact"/>
        <w:rPr>
          <w:sz w:val="20"/>
          <w:szCs w:val="20"/>
          <w:color w:val="auto"/>
        </w:rPr>
      </w:pPr>
    </w:p>
    <w:p>
      <w:pPr>
        <w:ind w:left="440" w:right="520" w:firstLine="415"/>
        <w:spacing w:after="0" w:line="306" w:lineRule="auto"/>
        <w:rPr>
          <w:sz w:val="20"/>
          <w:szCs w:val="20"/>
          <w:color w:val="auto"/>
        </w:rPr>
      </w:pPr>
      <w:r>
        <w:rPr>
          <w:rFonts w:ascii="Arial" w:cs="Arial" w:eastAsia="Arial" w:hAnsi="Arial"/>
          <w:sz w:val="16"/>
          <w:szCs w:val="16"/>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be subject to legal liability for collecting, displaying or distributing information.</w:t>
      </w:r>
    </w:p>
    <w:p>
      <w:pPr>
        <w:spacing w:after="0" w:line="110" w:lineRule="exact"/>
        <w:rPr>
          <w:sz w:val="20"/>
          <w:szCs w:val="20"/>
          <w:color w:val="auto"/>
        </w:rPr>
      </w:pPr>
    </w:p>
    <w:p>
      <w:pPr>
        <w:ind w:left="440" w:right="20" w:firstLine="415"/>
        <w:spacing w:after="0" w:line="272" w:lineRule="auto"/>
        <w:rPr>
          <w:sz w:val="20"/>
          <w:szCs w:val="20"/>
          <w:color w:val="auto"/>
        </w:rPr>
      </w:pPr>
      <w:r>
        <w:rPr>
          <w:rFonts w:ascii="Arial" w:cs="Arial" w:eastAsia="Arial" w:hAnsi="Arial"/>
          <w:sz w:val="16"/>
          <w:szCs w:val="16"/>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not be able to adequately protect our proprietary and intellectual property rights in our data analytics or data science.</w:t>
      </w:r>
    </w:p>
    <w:p>
      <w:pPr>
        <w:spacing w:after="0" w:line="110" w:lineRule="exact"/>
        <w:rPr>
          <w:sz w:val="20"/>
          <w:szCs w:val="20"/>
          <w:color w:val="auto"/>
        </w:rPr>
      </w:pPr>
    </w:p>
    <w:p>
      <w:pPr>
        <w:ind w:left="440" w:right="80" w:firstLine="415"/>
        <w:spacing w:after="0" w:line="293" w:lineRule="auto"/>
        <w:rPr>
          <w:sz w:val="20"/>
          <w:szCs w:val="20"/>
          <w:color w:val="auto"/>
        </w:rPr>
      </w:pPr>
      <w:r>
        <w:rPr>
          <w:rFonts w:ascii="Arial" w:cs="Arial" w:eastAsia="Arial" w:hAnsi="Arial"/>
          <w:sz w:val="15"/>
          <w:szCs w:val="15"/>
          <w:color w:val="auto"/>
        </w:rPr>
        <w:t>Our success is dependent, in part, upon protecting our proprietary information and technology including our trade secrets and other unpatented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law, including by entering into confidentiality and non-disclosure agreements, and other contractual arrangements, along with copyright law, rather than on registered intellectual property such as patents or registered trademarks. No assurance can be given that confidentiality, non-disclosure, or invention assignment agreements with employees, consultants or other parties will not be breached and will otherwise be effective in controlling access to and distribution of our platform, or</w:t>
      </w:r>
    </w:p>
    <w:p>
      <w:pPr>
        <w:spacing w:after="0" w:line="9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800"/>
          </w:cols>
          <w:pgMar w:left="320" w:top="442" w:right="77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40"/>
        <w:spacing w:after="0" w:line="285" w:lineRule="auto"/>
        <w:rPr>
          <w:sz w:val="20"/>
          <w:szCs w:val="20"/>
          <w:color w:val="auto"/>
        </w:rPr>
      </w:pPr>
      <w:r>
        <w:rPr>
          <w:rFonts w:ascii="Arial" w:cs="Arial" w:eastAsia="Arial" w:hAnsi="Arial"/>
          <w:sz w:val="16"/>
          <w:szCs w:val="16"/>
          <w:color w:val="auto"/>
        </w:rPr>
        <w:t>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59" w:lineRule="exact"/>
        <w:rPr>
          <w:sz w:val="20"/>
          <w:szCs w:val="20"/>
          <w:color w:val="auto"/>
        </w:rPr>
      </w:pPr>
    </w:p>
    <w:p>
      <w:pPr>
        <w:ind w:left="440" w:right="20" w:firstLine="415"/>
        <w:spacing w:after="0" w:line="269" w:lineRule="auto"/>
        <w:rPr>
          <w:sz w:val="20"/>
          <w:szCs w:val="20"/>
          <w:color w:val="auto"/>
        </w:rPr>
      </w:pPr>
      <w:r>
        <w:rPr>
          <w:rFonts w:ascii="Arial" w:cs="Arial" w:eastAsia="Arial" w:hAnsi="Arial"/>
          <w:sz w:val="16"/>
          <w:szCs w:val="16"/>
          <w:color w:val="auto"/>
        </w:rPr>
        <w:t>Current law may not provide for adequate protection of our platform or data analytics.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data analytics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77"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To protect our intellectual property rights, we may be required to spend significant resources to monitor and protect these rights, and we may or may not be able to detect infringement by our customers or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 and have a material adverse effect on our business, financial condition and results of operations.</w:t>
      </w:r>
    </w:p>
    <w:p>
      <w:pPr>
        <w:spacing w:after="0" w:line="174" w:lineRule="exact"/>
        <w:rPr>
          <w:sz w:val="20"/>
          <w:szCs w:val="20"/>
          <w:color w:val="auto"/>
        </w:rPr>
      </w:pPr>
    </w:p>
    <w:p>
      <w:pPr>
        <w:ind w:left="440" w:right="20" w:firstLine="415"/>
        <w:spacing w:after="0" w:line="298" w:lineRule="auto"/>
        <w:rPr>
          <w:sz w:val="20"/>
          <w:szCs w:val="20"/>
          <w:color w:val="auto"/>
        </w:rPr>
      </w:pPr>
      <w:r>
        <w:rPr>
          <w:rFonts w:ascii="Arial" w:cs="Arial" w:eastAsia="Arial" w:hAnsi="Arial"/>
          <w:sz w:val="15"/>
          <w:szCs w:val="15"/>
          <w:color w:val="auto"/>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be subject to claims by others that we are infringing on their intellectual property rights.</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 infringement and other intellectual property claims against us increases. We may be unaware of the intellectual property rights that others may claim cover some or all of our technology or services. Because patent applications</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800"/>
          </w:cols>
          <w:pgMar w:left="320" w:top="442" w:right="77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20"/>
        <w:spacing w:after="0" w:line="273" w:lineRule="auto"/>
        <w:rPr>
          <w:sz w:val="20"/>
          <w:szCs w:val="20"/>
          <w:color w:val="auto"/>
        </w:rPr>
      </w:pPr>
      <w:r>
        <w:rPr>
          <w:rFonts w:ascii="Arial" w:cs="Arial" w:eastAsia="Arial" w:hAnsi="Arial"/>
          <w:sz w:val="17"/>
          <w:szCs w:val="17"/>
          <w:color w:val="auto"/>
        </w:rPr>
        <w:t>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166" w:lineRule="exact"/>
        <w:rPr>
          <w:sz w:val="20"/>
          <w:szCs w:val="20"/>
          <w:color w:val="auto"/>
        </w:rPr>
      </w:pPr>
    </w:p>
    <w:p>
      <w:pPr>
        <w:ind w:left="440" w:right="60" w:firstLine="415"/>
        <w:spacing w:after="0" w:line="272" w:lineRule="auto"/>
        <w:rPr>
          <w:sz w:val="20"/>
          <w:szCs w:val="20"/>
          <w:color w:val="auto"/>
        </w:rPr>
      </w:pPr>
      <w:r>
        <w:rPr>
          <w:rFonts w:ascii="Arial" w:cs="Arial" w:eastAsia="Arial" w:hAnsi="Arial"/>
          <w:sz w:val="16"/>
          <w:szCs w:val="16"/>
          <w:color w:val="auto"/>
        </w:rPr>
        <w:t>Third parties may assert claims that we or our customers infringe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services that infringe or allegedly infringe on the plaintiff’s intellectual property rights. To resolve these claims, we may enter into licensing agreements with restrictive terms or significant fees, stop selling, be required to implement costly redesigns to the affected services, or pay damages to satisfy contractual obligations to others. If we do not resolve these claims in advance of a trial, there is no guarantee that we will be successful in court. These outcomes could have a material adverse effect on our business, financial condition and results of operations.</w:t>
      </w:r>
    </w:p>
    <w:p>
      <w:pPr>
        <w:spacing w:after="0" w:line="169"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In addition, certain contracts with our suppliers or customers contain provisions whereby we indemnify, subject to certain limitations, the counterparty for damages suffered as a result of claims related to intellectual property infringement and the use of data analytics. Claims made under these provisions could be expensive to litigate and could result in significant payments. Even if we were to prevail in such a dispute, any litigation regarding our intellectual property could be costly and time-consuming and divert the attention of our management and key personnel from our business operations.</w:t>
      </w:r>
    </w:p>
    <w:p>
      <w:pPr>
        <w:spacing w:after="0" w:line="284"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i w:val="1"/>
          <w:iCs w:val="1"/>
          <w:color w:val="auto"/>
        </w:rPr>
        <w:t>Our business could be adversely impacted by changes in laws and regulations related to the Internet or changes in access to the Internet generally.</w:t>
      </w:r>
    </w:p>
    <w:p>
      <w:pPr>
        <w:spacing w:after="0" w:line="133" w:lineRule="exact"/>
        <w:rPr>
          <w:sz w:val="20"/>
          <w:szCs w:val="20"/>
          <w:color w:val="auto"/>
        </w:rPr>
      </w:pPr>
    </w:p>
    <w:p>
      <w:pPr>
        <w:ind w:left="440" w:right="20" w:firstLine="415"/>
        <w:spacing w:after="0" w:line="253" w:lineRule="auto"/>
        <w:rPr>
          <w:sz w:val="20"/>
          <w:szCs w:val="20"/>
          <w:color w:val="auto"/>
        </w:rPr>
      </w:pPr>
      <w:r>
        <w:rPr>
          <w:rFonts w:ascii="Arial" w:cs="Arial" w:eastAsia="Arial" w:hAnsi="Arial"/>
          <w:sz w:val="17"/>
          <w:szCs w:val="17"/>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186"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153"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 Moreover, the performance of the Internet and its acceptance as a business tool has been adversely affected by “viruses,” “worms,” and similar malicious programs and the Internet has experienced a variety of outages and</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820"/>
          </w:cols>
          <w:pgMar w:left="320" w:top="442" w:right="75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61" w:lineRule="auto"/>
        <w:rPr>
          <w:sz w:val="20"/>
          <w:szCs w:val="20"/>
          <w:color w:val="auto"/>
        </w:rPr>
      </w:pPr>
      <w:r>
        <w:rPr>
          <w:rFonts w:ascii="Arial" w:cs="Arial" w:eastAsia="Arial" w:hAnsi="Arial"/>
          <w:sz w:val="17"/>
          <w:szCs w:val="17"/>
          <w:color w:val="auto"/>
        </w:rPr>
        <w:t>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Certain Tax Matters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Unanticipated changes in our effective tax rate and additional tax liabilities may impact our financial results.</w:t>
      </w:r>
    </w:p>
    <w:p>
      <w:pPr>
        <w:spacing w:after="0" w:line="11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We will be subject to taxes in the U.S. and certain foreign jurisdictions. Due to economic and political conditions, tax rates in various jurisdictions, including the U.S., may be subject to change. In particular, as a result of the most recent presidential and congressional elections in the U.S., there could be significant changes in tax law and regulations that could result in additional federal income taxes being imposed on us. For example,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69"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84" w:lineRule="exact"/>
        <w:rPr>
          <w:sz w:val="20"/>
          <w:szCs w:val="20"/>
          <w:color w:val="auto"/>
        </w:rPr>
      </w:pPr>
    </w:p>
    <w:p>
      <w:pPr>
        <w:ind w:left="440" w:right="200"/>
        <w:spacing w:after="0" w:line="273" w:lineRule="auto"/>
        <w:rPr>
          <w:sz w:val="20"/>
          <w:szCs w:val="20"/>
          <w:color w:val="auto"/>
        </w:rPr>
      </w:pPr>
      <w:r>
        <w:rPr>
          <w:rFonts w:ascii="Arial" w:cs="Arial" w:eastAsia="Arial" w:hAnsi="Arial"/>
          <w:sz w:val="17"/>
          <w:szCs w:val="17"/>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64" w:lineRule="exact"/>
        <w:rPr>
          <w:sz w:val="20"/>
          <w:szCs w:val="20"/>
          <w:color w:val="auto"/>
        </w:rPr>
      </w:pPr>
    </w:p>
    <w:p>
      <w:pPr>
        <w:ind w:left="440" w:right="40" w:firstLine="415"/>
        <w:spacing w:after="0" w:line="291"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159" w:lineRule="exact"/>
        <w:rPr>
          <w:sz w:val="20"/>
          <w:szCs w:val="20"/>
          <w:color w:val="auto"/>
        </w:rPr>
      </w:pPr>
    </w:p>
    <w:p>
      <w:pPr>
        <w:ind w:left="440" w:right="80" w:firstLine="415"/>
        <w:spacing w:after="0" w:line="298" w:lineRule="auto"/>
        <w:rPr>
          <w:sz w:val="20"/>
          <w:szCs w:val="20"/>
          <w:color w:val="auto"/>
        </w:rPr>
      </w:pPr>
      <w:r>
        <w:rPr>
          <w:rFonts w:ascii="Arial" w:cs="Arial" w:eastAsia="Arial" w:hAnsi="Arial"/>
          <w:sz w:val="15"/>
          <w:szCs w:val="15"/>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252" w:lineRule="exact"/>
        <w:rPr>
          <w:sz w:val="20"/>
          <w:szCs w:val="20"/>
          <w:color w:val="auto"/>
        </w:rPr>
      </w:pPr>
    </w:p>
    <w:p>
      <w:pPr>
        <w:ind w:left="440" w:right="260"/>
        <w:spacing w:after="0" w:line="273" w:lineRule="auto"/>
        <w:rPr>
          <w:sz w:val="20"/>
          <w:szCs w:val="20"/>
          <w:color w:val="auto"/>
        </w:rPr>
      </w:pPr>
      <w:r>
        <w:rPr>
          <w:rFonts w:ascii="Arial" w:cs="Arial" w:eastAsia="Arial" w:hAnsi="Arial"/>
          <w:sz w:val="17"/>
          <w:szCs w:val="17"/>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64"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States and some local taxing jurisdictions have differing rules and regulations governing sales and use taxes, and these rules and regulations are subject to varying interpretations that may change over time. The application</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820"/>
          </w:cols>
          <w:pgMar w:left="320" w:top="442" w:right="7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91" w:lineRule="auto"/>
        <w:rPr>
          <w:sz w:val="20"/>
          <w:szCs w:val="20"/>
          <w:color w:val="auto"/>
        </w:rPr>
      </w:pPr>
      <w:r>
        <w:rPr>
          <w:rFonts w:ascii="Arial" w:cs="Arial" w:eastAsia="Arial" w:hAnsi="Arial"/>
          <w:sz w:val="15"/>
          <w:szCs w:val="15"/>
          <w:color w:val="auto"/>
        </w:rPr>
        <w:t>of federal, state, local and foreign tax laws to services provided electronically is unclear and continually evolving. In particular, the applicability of sales taxes to our platform in various jurisdictions is unclear. 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159" w:lineRule="exact"/>
        <w:rPr>
          <w:sz w:val="20"/>
          <w:szCs w:val="20"/>
          <w:color w:val="auto"/>
        </w:rPr>
      </w:pPr>
    </w:p>
    <w:p>
      <w:pPr>
        <w:ind w:left="440" w:right="160" w:firstLine="415"/>
        <w:spacing w:after="0" w:line="255" w:lineRule="auto"/>
        <w:rPr>
          <w:sz w:val="20"/>
          <w:szCs w:val="20"/>
          <w:color w:val="auto"/>
        </w:rPr>
      </w:pPr>
      <w:r>
        <w:rPr>
          <w:rFonts w:ascii="Arial" w:cs="Arial" w:eastAsia="Arial" w:hAnsi="Arial"/>
          <w:sz w:val="17"/>
          <w:szCs w:val="17"/>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Accounting and Financial Reporting Matters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Deferred revenue and change in deferred revenue may not be accurate indicators of our future financial results.</w:t>
      </w:r>
    </w:p>
    <w:p>
      <w:pPr>
        <w:spacing w:after="0" w:line="110" w:lineRule="exact"/>
        <w:rPr>
          <w:sz w:val="20"/>
          <w:szCs w:val="20"/>
          <w:color w:val="auto"/>
        </w:rPr>
      </w:pPr>
    </w:p>
    <w:p>
      <w:pPr>
        <w:ind w:left="440" w:right="60" w:firstLine="415"/>
        <w:spacing w:after="0" w:line="269" w:lineRule="auto"/>
        <w:rPr>
          <w:sz w:val="20"/>
          <w:szCs w:val="20"/>
          <w:color w:val="auto"/>
        </w:rPr>
      </w:pPr>
      <w:r>
        <w:rPr>
          <w:rFonts w:ascii="Arial" w:cs="Arial" w:eastAsia="Arial" w:hAnsi="Arial"/>
          <w:sz w:val="16"/>
          <w:szCs w:val="16"/>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See “Management’s Discussion and Analysis and Results of Operations—Historical Cash Flows.”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78" w:lineRule="exact"/>
        <w:rPr>
          <w:sz w:val="20"/>
          <w:szCs w:val="20"/>
          <w:color w:val="auto"/>
        </w:rPr>
      </w:pPr>
    </w:p>
    <w:p>
      <w:pPr>
        <w:ind w:left="440" w:right="600"/>
        <w:spacing w:after="0" w:line="273" w:lineRule="auto"/>
        <w:rPr>
          <w:sz w:val="20"/>
          <w:szCs w:val="20"/>
          <w:color w:val="auto"/>
        </w:rPr>
      </w:pPr>
      <w:r>
        <w:rPr>
          <w:rFonts w:ascii="Arial" w:cs="Arial" w:eastAsia="Arial" w:hAnsi="Arial"/>
          <w:sz w:val="17"/>
          <w:szCs w:val="17"/>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64"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15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820"/>
          </w:cols>
          <w:pgMar w:left="320" w:top="442" w:right="75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40"/>
        <w:spacing w:after="0" w:line="273" w:lineRule="auto"/>
        <w:rPr>
          <w:sz w:val="20"/>
          <w:szCs w:val="20"/>
          <w:color w:val="auto"/>
        </w:rPr>
      </w:pPr>
      <w:r>
        <w:rPr>
          <w:rFonts w:ascii="Arial" w:cs="Arial" w:eastAsia="Arial" w:hAnsi="Arial"/>
          <w:sz w:val="17"/>
          <w:szCs w:val="17"/>
          <w:color w:val="auto"/>
        </w:rPr>
        <w:t>incurred, which could result in our recognition of more costs than revenue in the earlier portion of the subscription term, and we may not attain profitability in any given period.</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have broad discretion in the use of our cash balances and may not use them effectively.</w:t>
      </w:r>
    </w:p>
    <w:p>
      <w:pPr>
        <w:spacing w:after="0" w:line="110" w:lineRule="exact"/>
        <w:rPr>
          <w:sz w:val="20"/>
          <w:szCs w:val="20"/>
          <w:color w:val="auto"/>
        </w:rPr>
      </w:pPr>
    </w:p>
    <w:p>
      <w:pPr>
        <w:ind w:left="440" w:right="180" w:firstLine="415"/>
        <w:spacing w:after="0" w:line="257" w:lineRule="auto"/>
        <w:rPr>
          <w:sz w:val="20"/>
          <w:szCs w:val="20"/>
          <w:color w:val="auto"/>
        </w:rPr>
      </w:pPr>
      <w:r>
        <w:rPr>
          <w:rFonts w:ascii="Arial" w:cs="Arial" w:eastAsia="Arial" w:hAnsi="Arial"/>
          <w:sz w:val="17"/>
          <w:szCs w:val="17"/>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282" w:lineRule="exact"/>
        <w:rPr>
          <w:sz w:val="20"/>
          <w:szCs w:val="20"/>
          <w:color w:val="auto"/>
        </w:rPr>
      </w:pPr>
    </w:p>
    <w:p>
      <w:pPr>
        <w:ind w:left="440" w:right="140"/>
        <w:spacing w:after="0" w:line="273" w:lineRule="auto"/>
        <w:rPr>
          <w:sz w:val="20"/>
          <w:szCs w:val="20"/>
          <w:color w:val="auto"/>
        </w:rPr>
      </w:pPr>
      <w:r>
        <w:rPr>
          <w:rFonts w:ascii="Arial" w:cs="Arial" w:eastAsia="Arial" w:hAnsi="Arial"/>
          <w:sz w:val="17"/>
          <w:szCs w:val="17"/>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4"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We have a significant amount of goodwill and intangible assets on our balance sheet, and our results of operations may be adversely affected if we fail to realize the full value of our goodwill and intangible assets. Our balance sheet reflects goodwill of $1.3 billion and $1.2 billion as of December 31, 2020 and 2019, respectively, and intangible assets, net of $410.2 million and $446.4 million as of December 31, 2020 and 2019, respectively. Our balance sheet reflects goodwill of $1.3 billion and intangible assets, net, of $381.4 million as of June 30, 2021.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69" w:lineRule="exact"/>
        <w:rPr>
          <w:sz w:val="20"/>
          <w:szCs w:val="20"/>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underperformance relative to historical or projected future operating results;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changes in the manner of our use of acquired assets or the strategy for our overall business;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negative industry or economic trends; or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decline in our market capitalization relative to net book value for a sustained period.</w:t>
      </w:r>
    </w:p>
    <w:p>
      <w:pPr>
        <w:spacing w:after="0" w:line="212" w:lineRule="exact"/>
        <w:rPr>
          <w:sz w:val="20"/>
          <w:szCs w:val="20"/>
          <w:color w:val="auto"/>
        </w:rPr>
      </w:pPr>
    </w:p>
    <w:p>
      <w:pPr>
        <w:jc w:val="both"/>
        <w:ind w:left="440" w:right="280" w:firstLine="415"/>
        <w:spacing w:after="0" w:line="285" w:lineRule="auto"/>
        <w:rPr>
          <w:sz w:val="20"/>
          <w:szCs w:val="20"/>
          <w:color w:val="auto"/>
        </w:rPr>
      </w:pPr>
      <w:r>
        <w:rPr>
          <w:rFonts w:ascii="Arial" w:cs="Arial" w:eastAsia="Arial" w:hAnsi="Arial"/>
          <w:sz w:val="16"/>
          <w:szCs w:val="16"/>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Our Indebtedness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not be able to secure sufficient additional financing on favorable terms, or at all, to meet our future capital needs.</w:t>
      </w:r>
    </w:p>
    <w:p>
      <w:pPr>
        <w:spacing w:after="0" w:line="11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780"/>
          </w:cols>
          <w:pgMar w:left="320" w:top="442" w:right="7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260"/>
        <w:spacing w:after="0" w:line="261" w:lineRule="auto"/>
        <w:rPr>
          <w:sz w:val="20"/>
          <w:szCs w:val="20"/>
          <w:color w:val="auto"/>
        </w:rPr>
      </w:pPr>
      <w:r>
        <w:rPr>
          <w:rFonts w:ascii="Arial" w:cs="Arial" w:eastAsia="Arial" w:hAnsi="Arial"/>
          <w:sz w:val="17"/>
          <w:szCs w:val="17"/>
          <w:color w:val="auto"/>
        </w:rPr>
        <w:t>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Any default under our debt agreements could have significant consequences.</w:t>
      </w:r>
    </w:p>
    <w:p>
      <w:pPr>
        <w:spacing w:after="0" w:line="110" w:lineRule="exact"/>
        <w:rPr>
          <w:sz w:val="20"/>
          <w:szCs w:val="20"/>
          <w:color w:val="auto"/>
        </w:rPr>
      </w:pPr>
    </w:p>
    <w:p>
      <w:pPr>
        <w:ind w:left="440" w:right="20" w:firstLine="415"/>
        <w:spacing w:after="0" w:line="295" w:lineRule="auto"/>
        <w:rPr>
          <w:sz w:val="20"/>
          <w:szCs w:val="20"/>
          <w:color w:val="auto"/>
        </w:rPr>
      </w:pPr>
      <w:r>
        <w:rPr>
          <w:rFonts w:ascii="Arial" w:cs="Arial" w:eastAsia="Arial" w:hAnsi="Arial"/>
          <w:sz w:val="15"/>
          <w:szCs w:val="15"/>
          <w:color w:val="auto"/>
        </w:rPr>
        <w:t>Our Credit Agreement (as defined herein) contains covenants imposing certain restrictions on our business. These restrictions may affect our ability to operate our business and may limit our ability to take advantage of potential business opportunities as they arise. The Credit Agreements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Credit Agreement also requires us to maintain a maximum total leverage ratio.</w:t>
      </w:r>
    </w:p>
    <w:p>
      <w:pPr>
        <w:spacing w:after="0" w:line="153"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Our ability to comply with these covenants under the Credit Agreement may be affected by events beyond our control, including prevailing economic, financial and industry conditions. The breach of any of these covenants could result in an event of default, which would permit Owl Rock Capital Corporation (the “Administrative Agent”) or the specified threshold of lenders to declare all outstanding debt to be due and payable, together with accrued and unpaid interest. Our obligations under the Credit Agreement are secured by liens on substantially all of our assets, subject to agreed-upon exceptions. Any default by us under the Credit Agreement could have a material adverse effect on our business, financial condition and results of operations.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may be adversely impacted by the potential discontinuation of the London Interbank Offered Rate (“LIBOR”).</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We have loans under our Credit Agreement that use LIBOR as a reference rate. The financial authority that regulates LIBOR has announced that it intends to stop compelling banks to submit rates for the calculation of LIBOR, only certain LIBOR tenors may continue beyond 2021 and the most widely used LIBOR tenors may continue until mid-2023. It is unclear if LIBOR will cease to exist, whether reforms to LIBOR may be enacted, precisely how any alternative reference rates would be calculated and published or whether alternative reference rates will gain market acceptance as a replacement for LIBOR. The U.S. Federal Reserve, in conjunction with the Alternative Reference Rates Committee, a steering committee comprised of large U.S. financial institutions, is considering replacing U.S. dollar LIBOR with a new index calculated by short term repurchase agreements, backed by U.S. Treasury securities. Any transition from LIBOR may cause us to incur increased costs and additional risk. If LIBOR is discontinued or if the method of calculating LIBOR changes from its current form, interest rates on our current or future indebtedness may be adversely affected. If LIBOR is discontinued and no agreement on its replacement is reached, the loans under our Credit Agreement will use alternate base rate as a reference rate. If LIBOR is discontinued, interest rates will generally be based on an alternative variable rate specified in the documentation governing our indebtedness or as otherwise agreed upon. The alternative variable rate could be higher and more volatile than LIBOR prior to its discontinuance. At this time, due to a lack of consensus as to what rate or rates may become accepted alternatives to LIBOR, it is impossible to predict the effect of any such alternatives on our liquidity, interest expense or the value of the loans under our Credit Agreement.</w:t>
      </w:r>
    </w:p>
    <w:p>
      <w:pPr>
        <w:spacing w:after="0" w:line="9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800"/>
          </w:cols>
          <w:pgMar w:left="320" w:top="442" w:right="7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level of indebtedness could have a material adverse effect on our business, financial condition and results of operations.</w:t>
      </w:r>
    </w:p>
    <w:p>
      <w:pPr>
        <w:spacing w:after="0" w:line="110" w:lineRule="exact"/>
        <w:rPr>
          <w:sz w:val="20"/>
          <w:szCs w:val="20"/>
          <w:color w:val="auto"/>
        </w:rPr>
      </w:pPr>
    </w:p>
    <w:p>
      <w:pPr>
        <w:ind w:left="440" w:right="60" w:firstLine="415"/>
        <w:spacing w:after="0" w:line="342" w:lineRule="auto"/>
        <w:rPr>
          <w:sz w:val="20"/>
          <w:szCs w:val="20"/>
          <w:color w:val="auto"/>
        </w:rPr>
      </w:pPr>
      <w:r>
        <w:rPr>
          <w:rFonts w:ascii="Arial" w:cs="Arial" w:eastAsia="Arial" w:hAnsi="Arial"/>
          <w:sz w:val="15"/>
          <w:szCs w:val="15"/>
          <w:color w:val="auto"/>
        </w:rPr>
        <w:t>The total principal amount of debt outstanding under our Credit Agreement, excluding unamortized debt issuance costs, as of December 31, 2020 and June 30, 2021 was $472.7 million and $470.4 million, respectively. Our indebtedness could have significant effects on our business, such as:</w:t>
      </w:r>
    </w:p>
    <w:p>
      <w:pPr>
        <w:spacing w:after="0" w:line="30" w:lineRule="exact"/>
        <w:rPr>
          <w:sz w:val="20"/>
          <w:szCs w:val="20"/>
          <w:color w:val="auto"/>
        </w:rPr>
      </w:pPr>
    </w:p>
    <w:p>
      <w:pPr>
        <w:ind w:left="1360" w:right="80" w:hanging="519"/>
        <w:spacing w:after="0" w:line="273"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limiting our ability to borrow additional amounts to fund acquisitions, debt service requirements, execution of our growth strategy, capital expenditures and other purposes;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limiting our ability to make investments, including acquisitions, loans and advances, and to sell, transfer or otherwise dispose of assets;</w:t>
      </w:r>
    </w:p>
    <w:p>
      <w:pPr>
        <w:spacing w:after="0" w:line="145" w:lineRule="exact"/>
        <w:rPr>
          <w:rFonts w:ascii="Arial" w:cs="Arial" w:eastAsia="Arial" w:hAnsi="Arial"/>
          <w:sz w:val="15"/>
          <w:szCs w:val="15"/>
          <w:color w:val="auto"/>
        </w:rPr>
      </w:pPr>
    </w:p>
    <w:p>
      <w:pPr>
        <w:ind w:left="1360" w:right="20" w:hanging="519"/>
        <w:spacing w:after="0" w:line="261"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87" w:lineRule="exact"/>
        <w:rPr>
          <w:rFonts w:ascii="Arial" w:cs="Arial" w:eastAsia="Arial" w:hAnsi="Arial"/>
          <w:sz w:val="17"/>
          <w:szCs w:val="17"/>
          <w:color w:val="auto"/>
        </w:rPr>
      </w:pPr>
    </w:p>
    <w:p>
      <w:pPr>
        <w:ind w:left="1360" w:right="60" w:hanging="519"/>
        <w:spacing w:after="0" w:line="273"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making us more vulnerable to adverse changes in general economic, industry and competitive conditions, in government regulation and in our business by limiting our ability to plan for and react to changing conditions;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placing us at a competitive disadvantage compared with our competitors that have less debt; and</w:t>
      </w:r>
    </w:p>
    <w:p>
      <w:pPr>
        <w:spacing w:after="0" w:line="122" w:lineRule="exact"/>
        <w:rPr>
          <w:rFonts w:ascii="Arial" w:cs="Arial" w:eastAsia="Arial" w:hAnsi="Arial"/>
          <w:sz w:val="17"/>
          <w:szCs w:val="17"/>
          <w:color w:val="auto"/>
        </w:rPr>
      </w:pPr>
    </w:p>
    <w:p>
      <w:pPr>
        <w:ind w:left="1360" w:right="380" w:hanging="519"/>
        <w:spacing w:after="0" w:line="273" w:lineRule="auto"/>
        <w:tabs>
          <w:tab w:leader="none" w:pos="1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exposing us to risks inherent in interest rate fluctuations because our borrowings are at variable rates of interest, which could result in higher interest expense in the event of increases in interest rates.</w:t>
      </w:r>
    </w:p>
    <w:p>
      <w:pPr>
        <w:spacing w:after="0" w:line="166"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pacing w:after="0" w:line="183" w:lineRule="exact"/>
        <w:rPr>
          <w:sz w:val="20"/>
          <w:szCs w:val="20"/>
          <w:color w:val="auto"/>
        </w:rPr>
      </w:pPr>
    </w:p>
    <w:p>
      <w:pPr>
        <w:ind w:left="440" w:right="40" w:firstLine="415"/>
        <w:spacing w:after="0" w:line="302" w:lineRule="auto"/>
        <w:rPr>
          <w:sz w:val="20"/>
          <w:szCs w:val="20"/>
          <w:color w:val="auto"/>
        </w:rPr>
      </w:pPr>
      <w:r>
        <w:rPr>
          <w:rFonts w:ascii="Arial" w:cs="Arial" w:eastAsia="Arial" w:hAnsi="Arial"/>
          <w:sz w:val="15"/>
          <w:szCs w:val="15"/>
          <w:color w:val="auto"/>
        </w:rPr>
        <w:t>Pursuant to our Credit Agreement, we are required to maintain, on a consolidated basis, a maximum ratio of consolidated net debt to consolidated EBITDA (with certain adjustments as set forth in the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51" w:lineRule="exact"/>
        <w:rPr>
          <w:sz w:val="20"/>
          <w:szCs w:val="20"/>
          <w:color w:val="auto"/>
        </w:rPr>
      </w:pPr>
    </w:p>
    <w:p>
      <w:pPr>
        <w:ind w:left="440" w:right="220"/>
        <w:spacing w:after="0" w:line="273" w:lineRule="auto"/>
        <w:rPr>
          <w:sz w:val="20"/>
          <w:szCs w:val="20"/>
          <w:color w:val="auto"/>
        </w:rPr>
      </w:pPr>
      <w:r>
        <w:rPr>
          <w:rFonts w:ascii="Arial" w:cs="Arial" w:eastAsia="Arial" w:hAnsi="Arial"/>
          <w:sz w:val="17"/>
          <w:szCs w:val="17"/>
          <w:b w:val="1"/>
          <w:bCs w:val="1"/>
          <w:i w:val="1"/>
          <w:iCs w:val="1"/>
          <w:color w:val="auto"/>
        </w:rPr>
        <w:t>The failure to comply with the covenants under our Credit Agreement or volatility in the credit and capital markets could have a material adverse effect on our business, financial condition, liquidity and results of operation.</w:t>
      </w:r>
    </w:p>
    <w:p>
      <w:pPr>
        <w:spacing w:after="0" w:line="64" w:lineRule="exact"/>
        <w:rPr>
          <w:sz w:val="20"/>
          <w:szCs w:val="20"/>
          <w:color w:val="auto"/>
        </w:rPr>
      </w:pPr>
    </w:p>
    <w:p>
      <w:pPr>
        <w:ind w:left="440" w:right="100" w:firstLine="415"/>
        <w:spacing w:after="0" w:line="253" w:lineRule="auto"/>
        <w:rPr>
          <w:sz w:val="20"/>
          <w:szCs w:val="20"/>
          <w:color w:val="auto"/>
        </w:rPr>
      </w:pPr>
      <w:r>
        <w:rPr>
          <w:rFonts w:ascii="Arial" w:cs="Arial" w:eastAsia="Arial" w:hAnsi="Arial"/>
          <w:sz w:val="17"/>
          <w:szCs w:val="17"/>
          <w:color w:val="auto"/>
        </w:rPr>
        <w:t>Our ability to manage our debt is dependent on our level of positive cash flow from the sale of our platform.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12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780"/>
          </w:cols>
          <w:pgMar w:left="320" w:top="442" w:right="79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Our Organizational Structure</w:t>
      </w:r>
    </w:p>
    <w:p>
      <w:pPr>
        <w:spacing w:after="0" w:line="114" w:lineRule="exact"/>
        <w:rPr>
          <w:sz w:val="20"/>
          <w:szCs w:val="20"/>
          <w:color w:val="auto"/>
        </w:rPr>
      </w:pPr>
    </w:p>
    <w:p>
      <w:pPr>
        <w:ind w:left="440" w:right="20"/>
        <w:spacing w:after="0" w:line="261" w:lineRule="auto"/>
        <w:rPr>
          <w:sz w:val="20"/>
          <w:szCs w:val="20"/>
          <w:color w:val="auto"/>
        </w:rPr>
      </w:pPr>
      <w:r>
        <w:rPr>
          <w:rFonts w:ascii="Arial" w:cs="Arial" w:eastAsia="Arial" w:hAnsi="Arial"/>
          <w:sz w:val="17"/>
          <w:szCs w:val="17"/>
          <w:b w:val="1"/>
          <w:bCs w:val="1"/>
          <w:i w:val="1"/>
          <w:iCs w:val="1"/>
          <w:color w:val="auto"/>
        </w:rPr>
        <w:t>We are a holding company and our principal asset after completion of this offering will be our 59.1% economic ownership interest in Definitive OpCo, and we are accordingly dependent upon distributions from Definitive OpCo to pay dividends, if any, and taxes, make payments under the Tax Receivable Agreement and pay other expenses.</w:t>
      </w:r>
    </w:p>
    <w:p>
      <w:pPr>
        <w:spacing w:after="0" w:line="75"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We are a holding company and, upon completion of the Reorganization Transactions and this offering, our principal asset will be our ownership of 59.1% of the outstanding LLC Units, inclusive of unvested LLC Units. See “Organizational Structure.” We have no independent means of generating revenue. Definitive OpCo is, and will continue to be, treated as a partnership for U.S. federal and applicable state and local income tax purposes and, as such, will generally not be subject to entity-level U.S. federal and applicable state and local income tax. Instead, the taxable income of Definitive OpCo will be allocated to holders of LLC Units, including us. Accordingly, we will incur income taxes on our allocable share of any taxable income of Definitive OpCo. We will also incur expenses related to our operations, and will have obligations to make payments under the Tax Receivable Agreement. As the sole managing member of Definitive OpCo, we intend to cause Definitive OpCo to make distributions to the holders of LLC Units (including us) in amounts sufficient to (i) cover all of the income taxes payable on our and the other LLC Unit holders’ respective allocable shares of the taxable income of Definitive OpCo, (ii) allow us to make any payments required under the Tax Receivable Agreement we intend to enter into as part of the Reorganization Transactions, (iii) fund dividends to our stockholders in accordance with our dividend policy, to the extent that our board of directors declares such dividends and (iv) pay our expenses.</w:t>
      </w:r>
    </w:p>
    <w:p>
      <w:pPr>
        <w:spacing w:after="0" w:line="174" w:lineRule="exact"/>
        <w:rPr>
          <w:sz w:val="20"/>
          <w:szCs w:val="20"/>
          <w:color w:val="auto"/>
        </w:rPr>
      </w:pPr>
    </w:p>
    <w:p>
      <w:pPr>
        <w:ind w:left="440" w:right="200" w:firstLine="415"/>
        <w:spacing w:after="0" w:line="279" w:lineRule="auto"/>
        <w:rPr>
          <w:sz w:val="20"/>
          <w:szCs w:val="20"/>
          <w:color w:val="auto"/>
        </w:rPr>
      </w:pPr>
      <w:r>
        <w:rPr>
          <w:rFonts w:ascii="Arial" w:cs="Arial" w:eastAsia="Arial" w:hAnsi="Arial"/>
          <w:sz w:val="16"/>
          <w:szCs w:val="16"/>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w:t>
      </w:r>
    </w:p>
    <w:p>
      <w:pPr>
        <w:spacing w:after="0" w:line="264"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64"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Under the Amended LLC Agreement, Definitive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an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 See “Certain Relationships and Related Party Transactions—Amended Definitive OpCo Agreement.”</w:t>
      </w: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780"/>
          </w:cols>
          <w:pgMar w:left="320" w:top="442" w:right="79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73" w:lineRule="auto"/>
        <w:rPr>
          <w:sz w:val="20"/>
          <w:szCs w:val="20"/>
          <w:color w:val="auto"/>
        </w:rPr>
      </w:pPr>
      <w:r>
        <w:rPr>
          <w:rFonts w:ascii="Arial" w:cs="Arial" w:eastAsia="Arial" w:hAnsi="Arial"/>
          <w:sz w:val="17"/>
          <w:szCs w:val="17"/>
          <w:b w:val="1"/>
          <w:bCs w:val="1"/>
          <w:i w:val="1"/>
          <w:iCs w:val="1"/>
          <w:color w:val="auto"/>
        </w:rPr>
        <w:t>The Tax Receivable Agreement with the TRA Parties requires us to make cash payments to them in respect of certain tax benefits to which we may become entitled, and we expect that the payments we will be required to make will be substantial.</w:t>
      </w:r>
    </w:p>
    <w:p>
      <w:pPr>
        <w:spacing w:after="0" w:line="64" w:lineRule="exact"/>
        <w:rPr>
          <w:sz w:val="20"/>
          <w:szCs w:val="20"/>
          <w:color w:val="auto"/>
        </w:rPr>
      </w:pPr>
    </w:p>
    <w:p>
      <w:pPr>
        <w:ind w:left="440" w:right="20" w:firstLine="415"/>
        <w:spacing w:after="0" w:line="285" w:lineRule="auto"/>
        <w:rPr>
          <w:sz w:val="20"/>
          <w:szCs w:val="20"/>
          <w:color w:val="auto"/>
        </w:rPr>
      </w:pPr>
      <w:r>
        <w:rPr>
          <w:rFonts w:ascii="Arial" w:cs="Arial" w:eastAsia="Arial" w:hAnsi="Arial"/>
          <w:sz w:val="15"/>
          <w:szCs w:val="15"/>
          <w:color w:val="auto"/>
        </w:rPr>
        <w:t>Under the Tax Receivable Agreement, we will be required to make cash payments to the TRA Parties equal to 85% of the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The payment obligations under the Tax Receivable Agreement are obligations of the Company and we expect that the amount of the cash payments that we will be required to make under the Tax Receivable Agreement will be significant. Any payments made by us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Assuming no material changes in relevant tax law and that we earn sufficient taxable income to realize such benefits, the tax attributes available to us as a result of the Reorganization Transactions would be expected to result in tax savings of approximately $240.8 million. We would be required to pay the TRA Parties approximately 85% of such amount, or $204.6 million, over the 15-year period from the date of the completion of this offering. Further, assuming no material changes in relevant tax law and that we earn sufficient taxable income to realize all tax benefits that are subject to the Tax Receivable Agreement, the tax savings associated with all tax attributes described above would aggregate to approximately $820.7 million over 15 years from the date of the completion of this offering, based on an assumed IPO price of $25.00 per share of Class A common stock, the midpoint of the estimated price range set forth on the cover page of this prospectus and assuming all future exchanges would occur on the date of this offering. Under this scenario, we would be required to pay the TRA Parties approximately 85% of such amount, or $697.6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271"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w:t>
      </w:r>
    </w:p>
    <w:p>
      <w:pPr>
        <w:spacing w:after="0" w:line="64"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TRA Parties that will not benefit the holders of our Class A common stock to the same extent that it will benefit the TRA Parties. We will enter into the Tax Receivable Agreement with Definitive OpCo and the TRA Parties in connection with the completion of this offering, which will provide for the payment by us to the TRA Parties of 85% of the amount of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800"/>
          </w:cols>
          <w:pgMar w:left="320" w:top="442" w:right="77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00"/>
        <w:spacing w:after="0" w:line="279" w:lineRule="auto"/>
        <w:rPr>
          <w:sz w:val="20"/>
          <w:szCs w:val="20"/>
          <w:color w:val="auto"/>
        </w:rPr>
      </w:pPr>
      <w:r>
        <w:rPr>
          <w:rFonts w:ascii="Arial" w:cs="Arial" w:eastAsia="Arial" w:hAnsi="Arial"/>
          <w:sz w:val="16"/>
          <w:szCs w:val="16"/>
          <w:color w:val="auto"/>
        </w:rPr>
        <w:t>LLC Units from certain Pre-IPO LLC Members in connection with this offering and (b) future exchanges of LLC Units by Continuing Pre-IPO LLC Members for Class A common stock and (iii) certain payments made under the Tax Receivable Agreement. See “Certain Relationships and Related Party Transactions—Tax Receivable Agreement”. Although we will retain 15% of the amount of such tax benefits, this and other aspects of our organizational structure may adversely impact the future trading market for our Class A common stock.</w:t>
      </w:r>
    </w:p>
    <w:p>
      <w:pPr>
        <w:spacing w:after="0" w:line="264"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64" w:lineRule="exact"/>
        <w:rPr>
          <w:sz w:val="20"/>
          <w:szCs w:val="20"/>
          <w:color w:val="auto"/>
        </w:rPr>
      </w:pPr>
    </w:p>
    <w:p>
      <w:pPr>
        <w:ind w:left="440" w:right="40" w:firstLine="415"/>
        <w:spacing w:after="0" w:line="253" w:lineRule="auto"/>
        <w:rPr>
          <w:sz w:val="20"/>
          <w:szCs w:val="20"/>
          <w:color w:val="auto"/>
        </w:rPr>
      </w:pPr>
      <w:r>
        <w:rPr>
          <w:rFonts w:ascii="Arial" w:cs="Arial" w:eastAsia="Arial" w:hAnsi="Arial"/>
          <w:sz w:val="17"/>
          <w:szCs w:val="17"/>
          <w:color w:val="auto"/>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 accelerated payments required in such circumstances will be calculated by reference to the present value (at a discount rate equal to LIBOR plus 100 basis points) of all future payments that holders of LLC Units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183"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271" w:lineRule="exact"/>
        <w:rPr>
          <w:sz w:val="20"/>
          <w:szCs w:val="20"/>
          <w:color w:val="auto"/>
        </w:rPr>
      </w:pPr>
    </w:p>
    <w:p>
      <w:pPr>
        <w:ind w:left="440" w:right="160"/>
        <w:spacing w:after="0" w:line="306" w:lineRule="auto"/>
        <w:rPr>
          <w:sz w:val="20"/>
          <w:szCs w:val="20"/>
          <w:color w:val="auto"/>
        </w:rPr>
      </w:pPr>
      <w:r>
        <w:rPr>
          <w:rFonts w:ascii="Arial" w:cs="Arial" w:eastAsia="Arial" w:hAnsi="Arial"/>
          <w:sz w:val="16"/>
          <w:szCs w:val="16"/>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40"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52" w:lineRule="exact"/>
        <w:rPr>
          <w:sz w:val="20"/>
          <w:szCs w:val="20"/>
          <w:color w:val="auto"/>
        </w:rPr>
      </w:pPr>
    </w:p>
    <w:p>
      <w:pPr>
        <w:ind w:left="440" w:right="360"/>
        <w:spacing w:after="0" w:line="273" w:lineRule="auto"/>
        <w:rPr>
          <w:sz w:val="20"/>
          <w:szCs w:val="20"/>
          <w:color w:val="auto"/>
        </w:rPr>
      </w:pPr>
      <w:r>
        <w:rPr>
          <w:rFonts w:ascii="Arial" w:cs="Arial" w:eastAsia="Arial" w:hAnsi="Arial"/>
          <w:sz w:val="17"/>
          <w:szCs w:val="17"/>
          <w:b w:val="1"/>
          <w:bCs w:val="1"/>
          <w:i w:val="1"/>
          <w:iCs w:val="1"/>
          <w:color w:val="auto"/>
        </w:rPr>
        <w:t>We will not be reimbursed for any payments made to the TRA Parties under the Tax Receivable Agreement in the event that any tax benefits are disallowed.</w:t>
      </w:r>
    </w:p>
    <w:p>
      <w:pPr>
        <w:spacing w:after="0" w:line="64" w:lineRule="exact"/>
        <w:rPr>
          <w:sz w:val="20"/>
          <w:szCs w:val="20"/>
          <w:color w:val="auto"/>
        </w:rPr>
      </w:pPr>
    </w:p>
    <w:p>
      <w:pPr>
        <w:ind w:left="440" w:right="20" w:firstLine="415"/>
        <w:spacing w:after="0" w:line="275"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820"/>
          </w:cols>
          <w:pgMar w:left="320" w:top="442" w:right="75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69" w:lineRule="auto"/>
        <w:rPr>
          <w:sz w:val="20"/>
          <w:szCs w:val="20"/>
          <w:color w:val="auto"/>
        </w:rPr>
      </w:pPr>
      <w:r>
        <w:rPr>
          <w:rFonts w:ascii="Arial" w:cs="Arial" w:eastAsia="Arial" w:hAnsi="Arial"/>
          <w:sz w:val="16"/>
          <w:szCs w:val="16"/>
          <w:color w:val="auto"/>
        </w:rPr>
        <w:t>interests of the TRA Parties in any such challenge may differ from or conflict with our interests and your interests, 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p>
    <w:p>
      <w:pPr>
        <w:spacing w:after="0" w:line="273" w:lineRule="exact"/>
        <w:rPr>
          <w:sz w:val="20"/>
          <w:szCs w:val="20"/>
          <w:color w:val="auto"/>
        </w:rPr>
      </w:pPr>
    </w:p>
    <w:p>
      <w:pPr>
        <w:ind w:left="440" w:right="220"/>
        <w:spacing w:after="0" w:line="261" w:lineRule="auto"/>
        <w:rPr>
          <w:sz w:val="20"/>
          <w:szCs w:val="20"/>
          <w:color w:val="auto"/>
        </w:rPr>
      </w:pPr>
      <w:r>
        <w:rPr>
          <w:rFonts w:ascii="Arial" w:cs="Arial" w:eastAsia="Arial" w:hAnsi="Arial"/>
          <w:sz w:val="17"/>
          <w:szCs w:val="17"/>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75"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83" w:lineRule="exact"/>
        <w:rPr>
          <w:sz w:val="20"/>
          <w:szCs w:val="20"/>
          <w:color w:val="auto"/>
        </w:rPr>
      </w:pPr>
    </w:p>
    <w:p>
      <w:pPr>
        <w:ind w:left="440" w:right="40" w:firstLine="415"/>
        <w:spacing w:after="0" w:line="279" w:lineRule="auto"/>
        <w:rPr>
          <w:sz w:val="20"/>
          <w:szCs w:val="20"/>
          <w:color w:val="auto"/>
        </w:rPr>
      </w:pPr>
      <w:r>
        <w:rPr>
          <w:rFonts w:ascii="Arial" w:cs="Arial" w:eastAsia="Arial" w:hAnsi="Arial"/>
          <w:sz w:val="16"/>
          <w:szCs w:val="16"/>
          <w:color w:val="auto"/>
        </w:rPr>
        <w:t>As a result of the Reorganization Transactions, we obtained control over Definitive OpCo. As the sole managing member of Definitive OpCo, Definitive controls and operates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162"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Risks Related to this Offering and Ownership of Our Class A Common Stock</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Future offerings of debt or equity securities by us may have a material adverse effect on the market price of our Class A common stock.</w:t>
      </w:r>
    </w:p>
    <w:p>
      <w:pPr>
        <w:spacing w:after="0" w:line="121"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780"/>
          </w:cols>
          <w:pgMar w:left="320" w:top="442" w:right="79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69" w:lineRule="auto"/>
        <w:rPr>
          <w:sz w:val="20"/>
          <w:szCs w:val="20"/>
          <w:color w:val="auto"/>
        </w:rPr>
      </w:pPr>
      <w:r>
        <w:rPr>
          <w:rFonts w:ascii="Arial" w:cs="Arial" w:eastAsia="Arial" w:hAnsi="Arial"/>
          <w:sz w:val="16"/>
          <w:szCs w:val="16"/>
          <w:color w:val="auto"/>
        </w:rPr>
        <w:t>Any future debt financing could involve restrictive covenants relating to our capital-raising activities and other financial and operational matters, which might make it more difficult for us to obtain additional capital and 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Certain of our directors and stockholders will not have any obligation to present business opportunities to us and may compete with us.</w:t>
      </w:r>
    </w:p>
    <w:p>
      <w:pPr>
        <w:spacing w:after="0" w:line="121"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Our amended and restated certificate of incorporation will provide that our directors and stockholders affiliated with Advent, Spectrum Equity and 22C Capital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149"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As a result, our directors and stockholders affiliated with Advent, Spectrum Equity and 22C Capital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We do not anticipate paying any dividends on our Class A common stock in the foreseeable future.</w:t>
      </w:r>
    </w:p>
    <w:p>
      <w:pPr>
        <w:spacing w:after="0" w:line="110" w:lineRule="exact"/>
        <w:rPr>
          <w:sz w:val="20"/>
          <w:szCs w:val="20"/>
          <w:color w:val="auto"/>
        </w:rPr>
      </w:pPr>
    </w:p>
    <w:p>
      <w:pPr>
        <w:ind w:left="440" w:right="80" w:firstLine="415"/>
        <w:spacing w:after="0" w:line="279" w:lineRule="auto"/>
        <w:rPr>
          <w:sz w:val="20"/>
          <w:szCs w:val="20"/>
          <w:color w:val="auto"/>
        </w:rPr>
      </w:pPr>
      <w:r>
        <w:rPr>
          <w:rFonts w:ascii="Arial" w:cs="Arial" w:eastAsia="Arial" w:hAnsi="Arial"/>
          <w:sz w:val="16"/>
          <w:szCs w:val="16"/>
          <w:color w:val="auto"/>
        </w:rPr>
        <w:t>We do not currently intend to pay any cash dividends on our Class A common stock, and our Credit Agreement limits our ability to pay dividends on our Class A common stock.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w:t>
      </w:r>
    </w:p>
    <w:p>
      <w:pPr>
        <w:spacing w:after="0" w:line="264" w:lineRule="exact"/>
        <w:rPr>
          <w:sz w:val="20"/>
          <w:szCs w:val="20"/>
          <w:color w:val="auto"/>
        </w:rPr>
      </w:pPr>
    </w:p>
    <w:p>
      <w:pPr>
        <w:ind w:left="440" w:right="480"/>
        <w:spacing w:after="0" w:line="306" w:lineRule="auto"/>
        <w:rPr>
          <w:sz w:val="20"/>
          <w:szCs w:val="20"/>
          <w:color w:val="auto"/>
        </w:rPr>
      </w:pPr>
      <w:r>
        <w:rPr>
          <w:rFonts w:ascii="Arial" w:cs="Arial" w:eastAsia="Arial" w:hAnsi="Arial"/>
          <w:sz w:val="16"/>
          <w:szCs w:val="16"/>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40" w:lineRule="exact"/>
        <w:rPr>
          <w:sz w:val="20"/>
          <w:szCs w:val="20"/>
          <w:color w:val="auto"/>
        </w:rPr>
      </w:pPr>
    </w:p>
    <w:p>
      <w:pPr>
        <w:ind w:left="440" w:right="180" w:firstLine="415"/>
        <w:spacing w:after="0" w:line="279" w:lineRule="auto"/>
        <w:rPr>
          <w:sz w:val="20"/>
          <w:szCs w:val="20"/>
          <w:color w:val="auto"/>
        </w:rPr>
      </w:pPr>
      <w:r>
        <w:rPr>
          <w:rFonts w:ascii="Arial" w:cs="Arial" w:eastAsia="Arial" w:hAnsi="Arial"/>
          <w:sz w:val="16"/>
          <w:szCs w:val="16"/>
          <w:color w:val="auto"/>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820"/>
          </w:cols>
          <w:pgMar w:left="320" w:top="442" w:right="7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80"/>
        <w:spacing w:after="0" w:line="273"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64"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The trading market for our Class A common stock will be influenced by the research and reports that industry or securities analysts publish about us or our business. We do not currently have and may never obtain research coverage by securities and industry analysts. If no securities or industry analysts commence coverage of us, the trading price for our Class A common stock would be negatively impacted. If we obtain securities or industry analyst coverage and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IPO price.</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No market currently exists for our Class A common stock, and we cannot assure you that an active market will develop for such stock.</w:t>
      </w:r>
    </w:p>
    <w:p>
      <w:pPr>
        <w:spacing w:after="0" w:line="121" w:lineRule="exact"/>
        <w:rPr>
          <w:sz w:val="20"/>
          <w:szCs w:val="20"/>
          <w:color w:val="auto"/>
        </w:rPr>
      </w:pPr>
    </w:p>
    <w:p>
      <w:pPr>
        <w:ind w:left="440" w:right="80" w:firstLine="415"/>
        <w:spacing w:after="0" w:line="272" w:lineRule="auto"/>
        <w:rPr>
          <w:sz w:val="20"/>
          <w:szCs w:val="20"/>
          <w:color w:val="auto"/>
        </w:rPr>
      </w:pPr>
      <w:r>
        <w:rPr>
          <w:rFonts w:ascii="Arial" w:cs="Arial" w:eastAsia="Arial" w:hAnsi="Arial"/>
          <w:sz w:val="16"/>
          <w:szCs w:val="16"/>
          <w:color w:val="auto"/>
        </w:rPr>
        <w:t>Prior to this offering, there has been no public market for our Class A common stock. The IPO price for our Class A common stock has been determined through negotiations among us and the representatives of the underwriters and may not be indicative of the market price of our Class A common stock after this offering or to any other established criteria of the value of our business. If you purchase shares of our Class A common stock, you may not be able to resell those shares at or above the IPO price. We cannot predict the extent to which investor interest in us will lead to the development of an active trading market on Nasdaq or otherwise or how liquid that market might become. An active public market for our Class A common stock may not develop or be sustained after this offering. If an active public market does not develop or is not sustained, it may be difficult for you to sell your shares of Class A common stock at a price that is attractive to you or at all.</w:t>
      </w:r>
    </w:p>
    <w:p>
      <w:pPr>
        <w:spacing w:after="0" w:line="270" w:lineRule="exact"/>
        <w:rPr>
          <w:sz w:val="20"/>
          <w:szCs w:val="20"/>
          <w:color w:val="auto"/>
        </w:rPr>
      </w:pPr>
    </w:p>
    <w:p>
      <w:pPr>
        <w:ind w:left="440" w:right="520"/>
        <w:spacing w:after="0" w:line="273" w:lineRule="auto"/>
        <w:rPr>
          <w:sz w:val="20"/>
          <w:szCs w:val="20"/>
          <w:color w:val="auto"/>
        </w:rPr>
      </w:pPr>
      <w:r>
        <w:rPr>
          <w:rFonts w:ascii="Arial" w:cs="Arial" w:eastAsia="Arial" w:hAnsi="Arial"/>
          <w:sz w:val="17"/>
          <w:szCs w:val="17"/>
          <w:b w:val="1"/>
          <w:bCs w:val="1"/>
          <w:i w:val="1"/>
          <w:iCs w:val="1"/>
          <w:color w:val="auto"/>
        </w:rPr>
        <w:t>The market price and trading volume of our Class A common stock may be volatile, which could result in rapid and substantial losses for our stockholders, and you may lose all or part of your investment.</w:t>
      </w:r>
    </w:p>
    <w:p>
      <w:pPr>
        <w:spacing w:after="0" w:line="64"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Shares of our Class A common stock sold in this offering may experience significant volatility on the .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94" w:lineRule="exact"/>
        <w:rPr>
          <w:sz w:val="20"/>
          <w:szCs w:val="20"/>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variations in our quarterly or annual results of operations;</w:t>
      </w:r>
    </w:p>
    <w:p>
      <w:pPr>
        <w:spacing w:after="0" w:line="122" w:lineRule="exact"/>
        <w:rPr>
          <w:rFonts w:ascii="Arial" w:cs="Arial" w:eastAsia="Arial" w:hAnsi="Arial"/>
          <w:sz w:val="17"/>
          <w:szCs w:val="17"/>
          <w:color w:val="auto"/>
        </w:rPr>
      </w:pPr>
    </w:p>
    <w:p>
      <w:pPr>
        <w:ind w:left="1360" w:right="60" w:hanging="519"/>
        <w:spacing w:after="0" w:line="273" w:lineRule="auto"/>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our earnings estimates (if provided) or differences between our actual results of operations and those expected by investors and analysts;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contents of published research reports about us or our industry or the failure of securities analysts to cover our Class A common stock;</w:t>
      </w:r>
    </w:p>
    <w:p>
      <w:pPr>
        <w:spacing w:after="0" w:line="145" w:lineRule="exact"/>
        <w:rPr>
          <w:rFonts w:ascii="Arial" w:cs="Arial" w:eastAsia="Arial" w:hAnsi="Arial"/>
          <w:sz w:val="15"/>
          <w:szCs w:val="15"/>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additions or departures of key management personnel;</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increased indebtedness we may incur in the future;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announcements by us or others and developments affecting us;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actions by institutional stockholders;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litigation and governmental investigations;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legislative or regulatory changes;</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800"/>
          </w:cols>
          <w:pgMar w:left="320" w:top="442" w:right="77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hanging="519"/>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judicial pronouncements interpreting laws and regulations;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changes in government programs;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changes in market valuations of similar companies;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speculation or reports by the press or investment community with respect to us or our industry in general;</w:t>
      </w:r>
    </w:p>
    <w:p>
      <w:pPr>
        <w:spacing w:after="0" w:line="122" w:lineRule="exact"/>
        <w:rPr>
          <w:rFonts w:ascii="Arial" w:cs="Arial" w:eastAsia="Arial" w:hAnsi="Arial"/>
          <w:sz w:val="17"/>
          <w:szCs w:val="17"/>
          <w:color w:val="auto"/>
        </w:rPr>
      </w:pPr>
    </w:p>
    <w:p>
      <w:pPr>
        <w:ind w:left="1360" w:right="60" w:hanging="519"/>
        <w:spacing w:after="0" w:line="273" w:lineRule="auto"/>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contracts, acquisitions, dispositions, strategic relationships, joint ventures or capital commitments; and</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general market, political and economic conditions, including local conditions in the markets in which we operate.</w:t>
      </w:r>
    </w:p>
    <w:p>
      <w:pPr>
        <w:spacing w:after="0" w:line="212"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52" w:lineRule="exact"/>
        <w:rPr>
          <w:sz w:val="20"/>
          <w:szCs w:val="20"/>
          <w:color w:val="auto"/>
        </w:rPr>
      </w:pPr>
    </w:p>
    <w:p>
      <w:pPr>
        <w:ind w:left="440" w:right="360"/>
        <w:spacing w:after="0" w:line="273" w:lineRule="auto"/>
        <w:rPr>
          <w:sz w:val="20"/>
          <w:szCs w:val="20"/>
          <w:color w:val="auto"/>
        </w:rPr>
      </w:pPr>
      <w:r>
        <w:rPr>
          <w:rFonts w:ascii="Arial" w:cs="Arial" w:eastAsia="Arial" w:hAnsi="Arial"/>
          <w:sz w:val="17"/>
          <w:szCs w:val="17"/>
          <w:b w:val="1"/>
          <w:bCs w:val="1"/>
          <w:i w:val="1"/>
          <w:iCs w:val="1"/>
          <w:color w:val="auto"/>
        </w:rPr>
        <w:t>The market price of our Class A common stock could be negatively affected by sales of substantial amounts of our Class A common stock in the public markets.</w:t>
      </w:r>
    </w:p>
    <w:p>
      <w:pPr>
        <w:spacing w:after="0" w:line="64"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After this offering, we will have 87,522,796 shares of Class A common stock outstanding. Of our issued and outstanding shares, all the Class A common stock sold in this offering will be freely transferable, except for any shares held by our “affiliates,” as that term is defined in Rule 144 under the Securities Act and any shares sold to our directors or officers pursuant to our directed share program. Following closing of this offering, approximately 75.5% of our outstanding Class A common stock, or 73.2% if the underwriters exercise their option to purchase additional shares in full, will be indirectly beneficially owned by Advent, and can be resold into the public markets in the future in accordance with the requirements of Rule 144. See “Shares Eligible For Future Sale.”</w:t>
      </w:r>
    </w:p>
    <w:p>
      <w:pPr>
        <w:spacing w:after="0" w:line="183"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We and our officers, directors and holders of substantially all of our outstanding capital stock and other securities have agreed, subject to specified exceptions, not to directly or indirectly:</w:t>
      </w:r>
    </w:p>
    <w:p>
      <w:pPr>
        <w:spacing w:after="0" w:line="77" w:lineRule="exact"/>
        <w:rPr>
          <w:sz w:val="20"/>
          <w:szCs w:val="20"/>
          <w:color w:val="auto"/>
        </w:rPr>
      </w:pPr>
    </w:p>
    <w:p>
      <w:pPr>
        <w:ind w:left="1360" w:right="20" w:hanging="519"/>
        <w:spacing w:after="0" w:line="273" w:lineRule="auto"/>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w:t>
      </w:r>
    </w:p>
    <w:p>
      <w:pPr>
        <w:spacing w:after="0" w:line="76" w:lineRule="exact"/>
        <w:rPr>
          <w:rFonts w:ascii="Arial" w:cs="Arial" w:eastAsia="Arial" w:hAnsi="Arial"/>
          <w:sz w:val="17"/>
          <w:szCs w:val="17"/>
          <w:color w:val="auto"/>
        </w:rPr>
      </w:pPr>
    </w:p>
    <w:p>
      <w:pPr>
        <w:ind w:left="1360" w:right="100" w:hanging="519"/>
        <w:spacing w:after="0" w:line="257" w:lineRule="auto"/>
        <w:tabs>
          <w:tab w:leader="none" w:pos="13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otherwise dispose of any shares of Class A common stock, options or warrants to acquire shares of Class A common stock, or securities exchangeable or exercisable for or convertible into shares of Class A common stock currently or hereafter owned either of record or beneficially, or publicly announce an intention to do any of the foregoing for a period of 180 days after the date of this prospectus without the prior written consent of the representatives of the underwriters.</w:t>
      </w:r>
    </w:p>
    <w:p>
      <w:pPr>
        <w:spacing w:after="0" w:line="18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This restriction terminates after the close of trading of the Class A common stock on and including the 180th day after the date of this prospectus. The representatives of the underwriters may, in their sole discretion and at any time or from time to time before the termination of the 180-day period release all or any portion of the securities subject to lock-up agreements. See “Underwriting.”</w:t>
      </w:r>
    </w:p>
    <w:p>
      <w:pPr>
        <w:spacing w:after="0" w:line="176"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market price of our Class A common stock may decline significantly when the restrictions on resale by our existing stockholders lapse. A decline in the price of our Class A common stock might impede our ability to raise capital through the issuance of additional Class A common stock or other equity securities.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800"/>
          </w:cols>
          <w:pgMar w:left="320" w:top="442" w:right="77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253" w:lineRule="auto"/>
        <w:rPr>
          <w:sz w:val="20"/>
          <w:szCs w:val="20"/>
          <w:color w:val="auto"/>
        </w:rPr>
      </w:pPr>
      <w:r>
        <w:rPr>
          <w:rFonts w:ascii="Arial" w:cs="Arial" w:eastAsia="Arial" w:hAnsi="Arial"/>
          <w:sz w:val="17"/>
          <w:szCs w:val="17"/>
          <w:color w:val="auto"/>
        </w:rPr>
        <w:t>In addition, the cornerstone investors have, severally and not jointly, indicated an interest in purchasing an aggregate of up to $40.0 million each (up to $80.0 million in the aggregate) of the shares of Class A common stock offered in this offering at the initial public offering price. Because this indication of interest is not a binding agreement or commitment to purchase, the cornerstone investors may decide to purchase more, less or no shares of our Class A common stock in this offering, or the underwriters may decide to sell more, less or no shares of our Class A common stock in this offering to the cornerstone investors. If one or more of the cornerstone investors are allocated all or a portion of the shares in which they have indicated an interest in this offering or more, and purchase any such shares, such purchase could reduce the available public float for our shares if the cornerstone investors hold such shares long term.</w:t>
      </w:r>
    </w:p>
    <w:p>
      <w:pPr>
        <w:spacing w:after="0" w:line="287" w:lineRule="exact"/>
        <w:rPr>
          <w:sz w:val="20"/>
          <w:szCs w:val="20"/>
          <w:color w:val="auto"/>
        </w:rPr>
      </w:pPr>
    </w:p>
    <w:p>
      <w:pPr>
        <w:ind w:left="440" w:right="720"/>
        <w:spacing w:after="0" w:line="273" w:lineRule="auto"/>
        <w:rPr>
          <w:sz w:val="20"/>
          <w:szCs w:val="20"/>
          <w:color w:val="auto"/>
        </w:rPr>
      </w:pPr>
      <w:r>
        <w:rPr>
          <w:rFonts w:ascii="Arial" w:cs="Arial" w:eastAsia="Arial" w:hAnsi="Arial"/>
          <w:sz w:val="17"/>
          <w:szCs w:val="17"/>
          <w:b w:val="1"/>
          <w:bCs w:val="1"/>
          <w:i w:val="1"/>
          <w:iCs w:val="1"/>
          <w:color w:val="auto"/>
        </w:rPr>
        <w:t>The future issuance of additional Class A common stock in connection with any equity plans, acquisitions or otherwise will dilute all other stockholdings.</w:t>
      </w:r>
    </w:p>
    <w:p>
      <w:pPr>
        <w:spacing w:after="0" w:line="64" w:lineRule="exact"/>
        <w:rPr>
          <w:sz w:val="20"/>
          <w:szCs w:val="20"/>
          <w:color w:val="auto"/>
        </w:rPr>
      </w:pPr>
    </w:p>
    <w:p>
      <w:pPr>
        <w:jc w:val="both"/>
        <w:ind w:left="440" w:right="40" w:firstLine="415"/>
        <w:spacing w:after="0" w:line="302" w:lineRule="auto"/>
        <w:rPr>
          <w:sz w:val="20"/>
          <w:szCs w:val="20"/>
          <w:color w:val="auto"/>
        </w:rPr>
      </w:pPr>
      <w:r>
        <w:rPr>
          <w:rFonts w:ascii="Arial" w:cs="Arial" w:eastAsia="Arial" w:hAnsi="Arial"/>
          <w:sz w:val="15"/>
          <w:szCs w:val="15"/>
          <w:color w:val="auto"/>
        </w:rPr>
        <w:t>After this offering, we will have an aggregate of 8,982,524 shares of Class A common stock authorized but unissued and not reserved for issuance under our equity incentive plans. We may issue all these shares of Class A 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the investors who purchase Class A common stock in this offering.</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You will incur immediate dilution as a result of this offering.</w:t>
      </w:r>
    </w:p>
    <w:p>
      <w:pPr>
        <w:spacing w:after="0" w:line="11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If you purchase Class A common stock in this offering, you will pay more for your shares than the amounts paid by existing stockholders for their shares. As a result, you will incur immediate dilution of $27.22 per share, representing the difference between the assumed IPO price of $25.00 per share (the midpoint of the estimated IPO price range set forth on the cover of this prospectus) and our pro forma net tangible book value (deficit) per share after giving effect to this offering. See “Dilution.”</w:t>
      </w:r>
    </w:p>
    <w:p>
      <w:pPr>
        <w:spacing w:after="0" w:line="282" w:lineRule="exact"/>
        <w:rPr>
          <w:sz w:val="20"/>
          <w:szCs w:val="20"/>
          <w:color w:val="auto"/>
        </w:rPr>
      </w:pPr>
    </w:p>
    <w:p>
      <w:pPr>
        <w:ind w:left="440" w:right="60"/>
        <w:spacing w:after="0" w:line="273" w:lineRule="auto"/>
        <w:rPr>
          <w:sz w:val="20"/>
          <w:szCs w:val="20"/>
          <w:color w:val="auto"/>
        </w:rPr>
      </w:pPr>
      <w:r>
        <w:rPr>
          <w:rFonts w:ascii="Arial" w:cs="Arial" w:eastAsia="Arial" w:hAnsi="Arial"/>
          <w:sz w:val="17"/>
          <w:szCs w:val="17"/>
          <w:b w:val="1"/>
          <w:bCs w:val="1"/>
          <w:i w:val="1"/>
          <w:iCs w:val="1"/>
          <w:color w:val="auto"/>
        </w:rPr>
        <w:t>As a public company, we incur significant costs to comply with the laws and regulations affecting public companies, which could harm our business and results of operations.</w:t>
      </w:r>
    </w:p>
    <w:p>
      <w:pPr>
        <w:spacing w:after="0" w:line="64" w:lineRule="exact"/>
        <w:rPr>
          <w:sz w:val="20"/>
          <w:szCs w:val="20"/>
          <w:color w:val="auto"/>
        </w:rPr>
      </w:pPr>
    </w:p>
    <w:p>
      <w:pPr>
        <w:ind w:left="440" w:right="40" w:firstLine="415"/>
        <w:spacing w:after="0" w:line="289" w:lineRule="auto"/>
        <w:rPr>
          <w:sz w:val="20"/>
          <w:szCs w:val="20"/>
          <w:color w:val="auto"/>
        </w:rPr>
      </w:pPr>
      <w:r>
        <w:rPr>
          <w:rFonts w:ascii="Arial" w:cs="Arial" w:eastAsia="Arial" w:hAnsi="Arial"/>
          <w:sz w:val="15"/>
          <w:szCs w:val="15"/>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will devote a substantial amount of time to these compliance initiatives. As a result, management’s attention may be diverted from other business concerns, which could harm our business, financial condition and results of operations. We will need to hire more employees in the future to comply with these requirements, which will increase our costs and expenses.</w:t>
      </w:r>
    </w:p>
    <w:p>
      <w:pPr>
        <w:spacing w:after="0" w:line="162" w:lineRule="exact"/>
        <w:rPr>
          <w:sz w:val="20"/>
          <w:szCs w:val="20"/>
          <w:color w:val="auto"/>
        </w:rPr>
      </w:pPr>
    </w:p>
    <w:p>
      <w:pPr>
        <w:ind w:left="440" w:right="160" w:firstLine="415"/>
        <w:spacing w:after="0" w:line="302" w:lineRule="auto"/>
        <w:rPr>
          <w:sz w:val="20"/>
          <w:szCs w:val="20"/>
          <w:color w:val="auto"/>
        </w:rPr>
      </w:pPr>
      <w:r>
        <w:rPr>
          <w:rFonts w:ascii="Arial" w:cs="Arial" w:eastAsia="Arial" w:hAnsi="Arial"/>
          <w:sz w:val="15"/>
          <w:szCs w:val="15"/>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8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0820"/>
          </w:cols>
          <w:pgMar w:left="320" w:top="442" w:right="7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current resources may not be sufficient to fulfill our public company obligations.</w:t>
      </w:r>
    </w:p>
    <w:p>
      <w:pPr>
        <w:spacing w:after="0" w:line="110" w:lineRule="exact"/>
        <w:rPr>
          <w:sz w:val="20"/>
          <w:szCs w:val="20"/>
          <w:color w:val="auto"/>
        </w:rPr>
      </w:pPr>
    </w:p>
    <w:p>
      <w:pPr>
        <w:ind w:left="440" w:right="20" w:firstLine="415"/>
        <w:spacing w:after="0" w:line="272" w:lineRule="auto"/>
        <w:rPr>
          <w:sz w:val="20"/>
          <w:szCs w:val="20"/>
          <w:color w:val="auto"/>
        </w:rPr>
      </w:pPr>
      <w:r>
        <w:rPr>
          <w:rFonts w:ascii="Arial" w:cs="Arial" w:eastAsia="Arial" w:hAnsi="Arial"/>
          <w:sz w:val="16"/>
          <w:szCs w:val="16"/>
          <w:color w:val="auto"/>
        </w:rPr>
        <w:t>Following the closing of this offering, we will be subject to various regulatory requirements, including those of the SEC and Nasdaq. These requirements include record keeping, financial reporting and corporate governance rules and regulations. Historically, our management team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270" w:lineRule="exact"/>
        <w:rPr>
          <w:sz w:val="20"/>
          <w:szCs w:val="20"/>
          <w:color w:val="auto"/>
        </w:rPr>
      </w:pPr>
    </w:p>
    <w:p>
      <w:pPr>
        <w:ind w:left="440" w:right="60"/>
        <w:spacing w:after="0" w:line="306" w:lineRule="auto"/>
        <w:rPr>
          <w:sz w:val="20"/>
          <w:szCs w:val="20"/>
          <w:color w:val="auto"/>
        </w:rPr>
      </w:pPr>
      <w:r>
        <w:rPr>
          <w:rFonts w:ascii="Arial" w:cs="Arial" w:eastAsia="Arial" w:hAnsi="Arial"/>
          <w:sz w:val="16"/>
          <w:szCs w:val="16"/>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40" w:lineRule="exact"/>
        <w:rPr>
          <w:sz w:val="20"/>
          <w:szCs w:val="20"/>
          <w:color w:val="auto"/>
        </w:rPr>
      </w:pPr>
    </w:p>
    <w:p>
      <w:pPr>
        <w:ind w:left="440" w:right="40" w:firstLine="415"/>
        <w:spacing w:after="0" w:line="293" w:lineRule="auto"/>
        <w:rPr>
          <w:sz w:val="20"/>
          <w:szCs w:val="20"/>
          <w:color w:val="auto"/>
        </w:rPr>
      </w:pPr>
      <w:r>
        <w:rPr>
          <w:rFonts w:ascii="Arial" w:cs="Arial" w:eastAsia="Arial" w:hAnsi="Arial"/>
          <w:sz w:val="15"/>
          <w:szCs w:val="15"/>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Class A common stock less attractive as a result. The result may be a less-active trading market for our Class A common stock and our stock price may be more volatile.</w:t>
      </w:r>
    </w:p>
    <w:p>
      <w:pPr>
        <w:spacing w:after="0" w:line="154" w:lineRule="exact"/>
        <w:rPr>
          <w:sz w:val="20"/>
          <w:szCs w:val="20"/>
          <w:color w:val="auto"/>
        </w:rPr>
      </w:pPr>
    </w:p>
    <w:p>
      <w:pPr>
        <w:ind w:left="440" w:right="200" w:firstLine="415"/>
        <w:spacing w:after="0" w:line="255" w:lineRule="auto"/>
        <w:rPr>
          <w:sz w:val="20"/>
          <w:szCs w:val="20"/>
          <w:color w:val="auto"/>
        </w:rPr>
      </w:pPr>
      <w:r>
        <w:rPr>
          <w:rFonts w:ascii="Arial" w:cs="Arial" w:eastAsia="Arial" w:hAnsi="Arial"/>
          <w:sz w:val="17"/>
          <w:szCs w:val="17"/>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If we elect not to avail ourselves of this exemption, we will be subject to the same new or revised accounting standards as other public companies that are not emerging growth companies.</w:t>
      </w:r>
    </w:p>
    <w:p>
      <w:pPr>
        <w:spacing w:after="0" w:line="183"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84" w:lineRule="exact"/>
        <w:rPr>
          <w:sz w:val="20"/>
          <w:szCs w:val="20"/>
          <w:color w:val="auto"/>
        </w:rPr>
      </w:pPr>
    </w:p>
    <w:p>
      <w:pPr>
        <w:ind w:left="440" w:right="200"/>
        <w:spacing w:after="0" w:line="273" w:lineRule="auto"/>
        <w:rPr>
          <w:sz w:val="20"/>
          <w:szCs w:val="20"/>
          <w:color w:val="auto"/>
        </w:rPr>
      </w:pPr>
      <w:r>
        <w:rPr>
          <w:rFonts w:ascii="Arial" w:cs="Arial" w:eastAsia="Arial" w:hAnsi="Arial"/>
          <w:sz w:val="17"/>
          <w:szCs w:val="17"/>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64" w:lineRule="exact"/>
        <w:rPr>
          <w:sz w:val="20"/>
          <w:szCs w:val="20"/>
          <w:color w:val="auto"/>
        </w:rPr>
      </w:pPr>
    </w:p>
    <w:p>
      <w:pPr>
        <w:ind w:left="440" w:right="200" w:firstLine="415"/>
        <w:spacing w:after="0" w:line="302" w:lineRule="auto"/>
        <w:rPr>
          <w:sz w:val="20"/>
          <w:szCs w:val="20"/>
          <w:color w:val="auto"/>
        </w:rPr>
      </w:pPr>
      <w:r>
        <w:rPr>
          <w:rFonts w:ascii="Arial" w:cs="Arial" w:eastAsia="Arial" w:hAnsi="Arial"/>
          <w:sz w:val="15"/>
          <w:szCs w:val="15"/>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that will be effective upon closing of this offering may make it more difficult for, or prevent a third-party from, acquiring control of us without the approval of our Board. Among other things, these provisions generally:</w:t>
      </w:r>
    </w:p>
    <w:p>
      <w:pPr>
        <w:spacing w:after="0" w:line="60" w:lineRule="exact"/>
        <w:rPr>
          <w:sz w:val="20"/>
          <w:szCs w:val="20"/>
          <w:color w:val="auto"/>
        </w:rPr>
      </w:pPr>
    </w:p>
    <w:p>
      <w:pPr>
        <w:ind w:left="5540" w:right="5100" w:hanging="4699"/>
        <w:spacing w:after="0" w:line="388" w:lineRule="auto"/>
        <w:tabs>
          <w:tab w:leader="none" w:pos="1351" w:val="left"/>
        </w:tabs>
        <w:numPr>
          <w:ilvl w:val="0"/>
          <w:numId w:val="56"/>
        </w:numPr>
        <w:rPr>
          <w:rFonts w:ascii="Arial" w:cs="Arial" w:eastAsia="Arial" w:hAnsi="Arial"/>
          <w:sz w:val="15"/>
          <w:szCs w:val="15"/>
          <w:color w:val="auto"/>
        </w:rPr>
      </w:pPr>
      <w:r>
        <w:rPr>
          <w:rFonts w:ascii="Arial" w:cs="Arial" w:eastAsia="Arial" w:hAnsi="Arial"/>
          <w:sz w:val="15"/>
          <w:szCs w:val="15"/>
          <w:color w:val="auto"/>
        </w:rPr>
        <w:t>provide for a classified Board with staggered three-year terms; 64</w:t>
      </w:r>
    </w:p>
    <w:p>
      <w:pPr>
        <w:sectPr>
          <w:pgSz w:w="11900" w:h="16838" w:orient="portrait"/>
          <w:cols w:equalWidth="0" w:num="1">
            <w:col w:w="10800"/>
          </w:cols>
          <w:pgMar w:left="320" w:top="442" w:right="77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360" w:hanging="519"/>
        <w:spacing w:after="0" w:line="273" w:lineRule="auto"/>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do not permit cumulative voting in the election of directors, which would otherwise allow less than a majority of stockholders to elect director candidates;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delegate the sole power of a majority of the Board to fix the number of directors;</w:t>
      </w:r>
    </w:p>
    <w:p>
      <w:pPr>
        <w:spacing w:after="0" w:line="122" w:lineRule="exact"/>
        <w:rPr>
          <w:rFonts w:ascii="Arial" w:cs="Arial" w:eastAsia="Arial" w:hAnsi="Arial"/>
          <w:sz w:val="17"/>
          <w:szCs w:val="17"/>
          <w:color w:val="auto"/>
        </w:rPr>
      </w:pPr>
    </w:p>
    <w:p>
      <w:pPr>
        <w:ind w:left="1360" w:right="180" w:hanging="519"/>
        <w:spacing w:after="0" w:line="273" w:lineRule="auto"/>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provide that the Board has the sole power to fill any vacancy on our Board, whether such vacancy occurs as a result of an increase in the number of directors or otherwise;</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authorize the issuance of preferred stock without any need for action by stockholders;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do not permit stockholders to call special meetings of stockholders;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prohibit our stockholders from acting by written consent once Advent’s ownership falls below 30%; and</w:t>
      </w:r>
    </w:p>
    <w:p>
      <w:pPr>
        <w:spacing w:after="0" w:line="122" w:lineRule="exact"/>
        <w:rPr>
          <w:rFonts w:ascii="Arial" w:cs="Arial" w:eastAsia="Arial" w:hAnsi="Arial"/>
          <w:sz w:val="17"/>
          <w:szCs w:val="17"/>
          <w:color w:val="auto"/>
        </w:rPr>
      </w:pPr>
    </w:p>
    <w:p>
      <w:pPr>
        <w:ind w:left="1360" w:right="720" w:hanging="519"/>
        <w:spacing w:after="0" w:line="273" w:lineRule="auto"/>
        <w:tabs>
          <w:tab w:leader="none" w:pos="13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establish advance notice requirements for nominations for election to our Board or for proposing matters that can be acted on by stockholders at stockholder meetings.</w:t>
      </w:r>
    </w:p>
    <w:p>
      <w:pPr>
        <w:spacing w:after="0" w:line="166" w:lineRule="exact"/>
        <w:rPr>
          <w:sz w:val="20"/>
          <w:szCs w:val="20"/>
          <w:color w:val="auto"/>
        </w:rPr>
      </w:pPr>
    </w:p>
    <w:p>
      <w:pPr>
        <w:ind w:left="440" w:right="160" w:firstLine="415"/>
        <w:spacing w:after="0" w:line="285" w:lineRule="auto"/>
        <w:rPr>
          <w:sz w:val="20"/>
          <w:szCs w:val="20"/>
          <w:color w:val="auto"/>
        </w:rPr>
      </w:pPr>
      <w:r>
        <w:rPr>
          <w:rFonts w:ascii="Arial" w:cs="Arial" w:eastAsia="Arial" w:hAnsi="Arial"/>
          <w:sz w:val="16"/>
          <w:szCs w:val="16"/>
          <w:color w:val="auto"/>
        </w:rPr>
        <w:t>In addition, our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59" w:lineRule="exact"/>
        <w:rPr>
          <w:sz w:val="20"/>
          <w:szCs w:val="20"/>
          <w:color w:val="auto"/>
        </w:rPr>
      </w:pPr>
    </w:p>
    <w:p>
      <w:pPr>
        <w:ind w:left="440" w:right="120" w:firstLine="415"/>
        <w:spacing w:after="0" w:line="261" w:lineRule="auto"/>
        <w:rPr>
          <w:sz w:val="20"/>
          <w:szCs w:val="20"/>
          <w:color w:val="auto"/>
        </w:rPr>
      </w:pPr>
      <w:r>
        <w:rPr>
          <w:rFonts w:ascii="Arial" w:cs="Arial" w:eastAsia="Arial" w:hAnsi="Arial"/>
          <w:sz w:val="17"/>
          <w:szCs w:val="17"/>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 See “Description of Capital Stock.”</w:t>
      </w:r>
    </w:p>
    <w:p>
      <w:pPr>
        <w:spacing w:after="0" w:line="278" w:lineRule="exact"/>
        <w:rPr>
          <w:sz w:val="20"/>
          <w:szCs w:val="20"/>
          <w:color w:val="auto"/>
        </w:rPr>
      </w:pPr>
    </w:p>
    <w:p>
      <w:pPr>
        <w:ind w:left="440" w:right="80"/>
        <w:spacing w:after="0" w:line="273" w:lineRule="auto"/>
        <w:rPr>
          <w:sz w:val="20"/>
          <w:szCs w:val="20"/>
          <w:color w:val="auto"/>
        </w:rPr>
      </w:pPr>
      <w:r>
        <w:rPr>
          <w:rFonts w:ascii="Arial" w:cs="Arial" w:eastAsia="Arial" w:hAnsi="Arial"/>
          <w:sz w:val="17"/>
          <w:szCs w:val="17"/>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4"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Our amended and restated certificate of incorporation and amended and restated bylaws that will be in effect prior to the completion of this offering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78" w:lineRule="exact"/>
        <w:rPr>
          <w:sz w:val="20"/>
          <w:szCs w:val="20"/>
          <w:color w:val="auto"/>
        </w:rPr>
      </w:pPr>
    </w:p>
    <w:p>
      <w:pPr>
        <w:ind w:left="440"/>
        <w:spacing w:after="0" w:line="302"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and will designate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48" w:lineRule="exact"/>
        <w:rPr>
          <w:sz w:val="20"/>
          <w:szCs w:val="20"/>
          <w:color w:val="auto"/>
        </w:rPr>
      </w:pPr>
    </w:p>
    <w:p>
      <w:pPr>
        <w:ind w:left="440" w:right="620" w:firstLine="415"/>
        <w:spacing w:after="0" w:line="273"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an alternative forum, the Court of Chancery of the State of Delaware shall, to the fullest extent permitted by law, be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780"/>
          </w:cols>
          <w:pgMar w:left="320" w:top="442" w:right="79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40"/>
        <w:spacing w:after="0" w:line="293" w:lineRule="auto"/>
        <w:rPr>
          <w:sz w:val="20"/>
          <w:szCs w:val="20"/>
          <w:color w:val="auto"/>
        </w:rPr>
      </w:pPr>
      <w:r>
        <w:rPr>
          <w:rFonts w:ascii="Arial" w:cs="Arial" w:eastAsia="Arial" w:hAnsi="Arial"/>
          <w:sz w:val="15"/>
          <w:szCs w:val="15"/>
          <w:color w:val="auto"/>
        </w:rPr>
        <w:t>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will also provide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15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Our amended and restated certificate of incorporation will also provide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80"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By agreeing to this provision, however,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ability to issue preferred stock may deter takeover attempts.</w:t>
      </w:r>
    </w:p>
    <w:p>
      <w:pPr>
        <w:spacing w:after="0" w:line="110" w:lineRule="exact"/>
        <w:rPr>
          <w:sz w:val="20"/>
          <w:szCs w:val="20"/>
          <w:color w:val="auto"/>
        </w:rPr>
      </w:pPr>
    </w:p>
    <w:p>
      <w:pPr>
        <w:ind w:left="440" w:right="20" w:firstLine="415"/>
        <w:spacing w:after="0" w:line="295" w:lineRule="auto"/>
        <w:rPr>
          <w:sz w:val="20"/>
          <w:szCs w:val="20"/>
          <w:color w:val="auto"/>
        </w:rPr>
      </w:pPr>
      <w:r>
        <w:rPr>
          <w:rFonts w:ascii="Arial" w:cs="Arial" w:eastAsia="Arial" w:hAnsi="Arial"/>
          <w:sz w:val="15"/>
          <w:szCs w:val="15"/>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 to 10 million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800"/>
          </w:cols>
          <w:pgMar w:left="320" w:top="442" w:right="77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16"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This prospectus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49" w:lineRule="exact"/>
        <w:rPr>
          <w:sz w:val="20"/>
          <w:szCs w:val="20"/>
          <w:color w:val="auto"/>
        </w:rPr>
      </w:pPr>
    </w:p>
    <w:p>
      <w:pPr>
        <w:ind w:left="440" w:right="60" w:firstLine="415"/>
        <w:spacing w:after="0" w:line="275" w:lineRule="auto"/>
        <w:rPr>
          <w:sz w:val="20"/>
          <w:szCs w:val="20"/>
          <w:color w:val="auto"/>
        </w:rPr>
      </w:pPr>
      <w:r>
        <w:rPr>
          <w:rFonts w:ascii="Arial" w:cs="Arial" w:eastAsia="Arial" w:hAnsi="Arial"/>
          <w:sz w:val="16"/>
          <w:szCs w:val="16"/>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78" w:lineRule="exact"/>
        <w:rPr>
          <w:sz w:val="20"/>
          <w:szCs w:val="20"/>
          <w:color w:val="auto"/>
        </w:rPr>
      </w:pPr>
    </w:p>
    <w:p>
      <w:pPr>
        <w:jc w:val="both"/>
        <w:ind w:left="1360" w:right="360" w:hanging="519"/>
        <w:spacing w:after="0" w:line="261"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87" w:lineRule="exact"/>
        <w:rPr>
          <w:rFonts w:ascii="Arial" w:cs="Arial" w:eastAsia="Arial" w:hAnsi="Arial"/>
          <w:sz w:val="17"/>
          <w:szCs w:val="17"/>
          <w:color w:val="auto"/>
        </w:rPr>
      </w:pPr>
    </w:p>
    <w:p>
      <w:pPr>
        <w:ind w:left="1360" w:right="100" w:hanging="519"/>
        <w:spacing w:after="0" w:line="273"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competitiveness of the market in which we operate, such that if we do not compete effectively, it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1360" w:right="280" w:hanging="519"/>
        <w:spacing w:after="0" w:line="273"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failure to maintain and improve our platform, or develop new modules or insights for healthcare commercial intelligence, whereby competitors could surpass the depth, breadth or accuracy of our platform;</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inability to obtain and maintain accurate, comprehensive or reliable data, could result in reduced demand for our platform;</w:t>
      </w:r>
    </w:p>
    <w:p>
      <w:pPr>
        <w:spacing w:after="0" w:line="134" w:lineRule="exact"/>
        <w:rPr>
          <w:rFonts w:ascii="Arial" w:cs="Arial" w:eastAsia="Arial" w:hAnsi="Arial"/>
          <w:sz w:val="16"/>
          <w:szCs w:val="16"/>
          <w:color w:val="auto"/>
        </w:rPr>
      </w:pPr>
    </w:p>
    <w:p>
      <w:pPr>
        <w:ind w:left="1360" w:hanging="519"/>
        <w:spacing w:after="0"/>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risk that our recent growth rates may not be indicative of our future growth;</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inability to achieve or sustain profitability in the future compared to historical levels as we increase investments in our business;</w:t>
      </w:r>
    </w:p>
    <w:p>
      <w:pPr>
        <w:spacing w:after="0" w:line="134" w:lineRule="exact"/>
        <w:rPr>
          <w:rFonts w:ascii="Arial" w:cs="Arial" w:eastAsia="Arial" w:hAnsi="Arial"/>
          <w:sz w:val="16"/>
          <w:szCs w:val="16"/>
          <w:color w:val="auto"/>
        </w:rPr>
      </w:pPr>
    </w:p>
    <w:p>
      <w:pPr>
        <w:ind w:left="1360" w:right="180" w:hanging="519"/>
        <w:spacing w:after="0" w:line="273"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loss of our access to our data providers, which could negatively impact our platform and could have a material adverse effect on our business, financial condition and results of operations;</w:t>
      </w:r>
    </w:p>
    <w:p>
      <w:pPr>
        <w:spacing w:after="0" w:line="76" w:lineRule="exact"/>
        <w:rPr>
          <w:rFonts w:ascii="Arial" w:cs="Arial" w:eastAsia="Arial" w:hAnsi="Arial"/>
          <w:sz w:val="17"/>
          <w:szCs w:val="17"/>
          <w:color w:val="auto"/>
        </w:rPr>
      </w:pPr>
    </w:p>
    <w:p>
      <w:pPr>
        <w:ind w:left="1360" w:right="460" w:hanging="519"/>
        <w:spacing w:after="0" w:line="273"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failure to respond to advances in healthcare commercial intelligence could result in competitors surpassing the depth, breadth or accuracy of our platform;</w:t>
      </w:r>
    </w:p>
    <w:p>
      <w:pPr>
        <w:spacing w:after="0" w:line="76" w:lineRule="exact"/>
        <w:rPr>
          <w:rFonts w:ascii="Arial" w:cs="Arial" w:eastAsia="Arial" w:hAnsi="Arial"/>
          <w:sz w:val="17"/>
          <w:szCs w:val="17"/>
          <w:color w:val="auto"/>
        </w:rPr>
      </w:pPr>
    </w:p>
    <w:p>
      <w:pPr>
        <w:ind w:left="1360" w:right="780" w:hanging="519"/>
        <w:spacing w:after="0" w:line="273"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 inability to attract new customers and expand subscriptions of current customers, whereby our revenue growth and financial performance will be negatively impacted;</w:t>
      </w:r>
    </w:p>
    <w:p>
      <w:pPr>
        <w:spacing w:after="0" w:line="76" w:lineRule="exact"/>
        <w:rPr>
          <w:rFonts w:ascii="Arial" w:cs="Arial" w:eastAsia="Arial" w:hAnsi="Arial"/>
          <w:sz w:val="17"/>
          <w:szCs w:val="17"/>
          <w:color w:val="auto"/>
        </w:rPr>
      </w:pPr>
    </w:p>
    <w:p>
      <w:pPr>
        <w:ind w:left="1360" w:right="160" w:hanging="519"/>
        <w:spacing w:after="0" w:line="273" w:lineRule="auto"/>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risk of cyber-attacks and security vulnerabilities could have a material adverse effect on our reputation, business, financial condition and results of operations;</w:t>
      </w:r>
    </w:p>
    <w:p>
      <w:pPr>
        <w:spacing w:after="0" w:line="76" w:lineRule="exact"/>
        <w:rPr>
          <w:rFonts w:ascii="Arial" w:cs="Arial" w:eastAsia="Arial" w:hAnsi="Arial"/>
          <w:sz w:val="17"/>
          <w:szCs w:val="17"/>
          <w:color w:val="auto"/>
        </w:rPr>
      </w:pPr>
    </w:p>
    <w:p>
      <w:pPr>
        <w:ind w:left="1360" w:right="260" w:hanging="519"/>
        <w:spacing w:after="0" w:line="306" w:lineRule="auto"/>
        <w:tabs>
          <w:tab w:leader="none" w:pos="13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52" w:lineRule="exact"/>
        <w:rPr>
          <w:rFonts w:ascii="Arial" w:cs="Arial" w:eastAsia="Arial" w:hAnsi="Arial"/>
          <w:sz w:val="16"/>
          <w:szCs w:val="16"/>
          <w:color w:val="auto"/>
        </w:rPr>
      </w:pPr>
    </w:p>
    <w:p>
      <w:pPr>
        <w:ind w:left="1360" w:hanging="519"/>
        <w:spacing w:after="0"/>
        <w:tabs>
          <w:tab w:leader="none" w:pos="1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other factors set forth under “Risk Factors.”</w:t>
      </w:r>
    </w:p>
    <w:p>
      <w:pPr>
        <w:spacing w:after="0" w:line="212" w:lineRule="exact"/>
        <w:rPr>
          <w:sz w:val="20"/>
          <w:szCs w:val="20"/>
          <w:color w:val="auto"/>
        </w:rPr>
      </w:pPr>
    </w:p>
    <w:p>
      <w:pPr>
        <w:ind w:left="440" w:right="260" w:firstLine="415"/>
        <w:spacing w:after="0" w:line="261" w:lineRule="auto"/>
        <w:rPr>
          <w:sz w:val="20"/>
          <w:szCs w:val="20"/>
          <w:color w:val="auto"/>
        </w:rPr>
      </w:pPr>
      <w:r>
        <w:rPr>
          <w:rFonts w:ascii="Arial" w:cs="Arial" w:eastAsia="Arial" w:hAnsi="Arial"/>
          <w:sz w:val="17"/>
          <w:szCs w:val="17"/>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w:t>
      </w:r>
    </w:p>
    <w:p>
      <w:pPr>
        <w:spacing w:after="0" w:line="113"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740"/>
          </w:cols>
          <w:pgMar w:left="320" w:top="442" w:right="8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61" w:lineRule="auto"/>
        <w:rPr>
          <w:sz w:val="20"/>
          <w:szCs w:val="20"/>
          <w:color w:val="auto"/>
        </w:rPr>
      </w:pPr>
      <w:r>
        <w:rPr>
          <w:rFonts w:ascii="Arial" w:cs="Arial" w:eastAsia="Arial" w:hAnsi="Arial"/>
          <w:sz w:val="17"/>
          <w:szCs w:val="17"/>
          <w:color w:val="auto"/>
        </w:rPr>
        <w:t>by us in this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800"/>
          </w:cols>
          <w:pgMar w:left="320" w:top="442" w:right="7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ORGANIZATIONAL STRUCTURE</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Structure Prior to the Reorganization Transactions</w:t>
      </w:r>
    </w:p>
    <w:p>
      <w:pPr>
        <w:spacing w:after="0" w:line="114"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We currently conduct our business through Definitive OpCo and its subsidiaries. Following this offering, we will be a holding company and our sole material asset will be an ownership interest in Definitive OpCo. Definitive Healthcare Corp. was incorporated as a Delaware corporation on May 5, 2021 to serve as the issuer of the Class A common stock offered hereby.</w:t>
      </w:r>
    </w:p>
    <w:p>
      <w:pPr>
        <w:spacing w:after="0" w:line="176"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Prior to the consummation of the Reorganization Transactions, the amended and restated limited liability company agreement of Definitive OpCo will be amended and restated to, among other things, convert all outstanding equity interests into LLC Units. After these transactions and prior to the consummation of the Reorganization Transactions and the completion of this offering, all of Definitive OpCo’s outstanding equity interests will be owned by the Pre-IPO LLC Members:</w:t>
      </w:r>
    </w:p>
    <w:p>
      <w:pPr>
        <w:spacing w:after="0" w:line="91" w:lineRule="exact"/>
        <w:rPr>
          <w:sz w:val="20"/>
          <w:szCs w:val="20"/>
          <w:color w:val="auto"/>
        </w:rPr>
      </w:pPr>
    </w:p>
    <w:p>
      <w:pPr>
        <w:ind w:left="1360" w:right="520" w:hanging="519"/>
        <w:spacing w:after="0" w:line="273" w:lineRule="auto"/>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Affiliates of Advent and certain other minority equity holders, indirectly through certain entities treated as corporations for U.S. tax purposes;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Affiliates of Spectrum Equity;</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Jason Krantz;</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DH Holdings;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AIDH Management Holdings, LLC;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Affiliates of 22C Capital.</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The Reorganization Transactions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In connection with this offering, we intend to enter into the Reorganization Transactions.</w:t>
      </w:r>
    </w:p>
    <w:p>
      <w:pPr>
        <w:spacing w:after="0" w:line="212"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In connection with the Reorganization Transactions, Definitive Healthcare Corp. will become the sole managing member of Definitive OpCo. 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Pre-IPO LLC Members who continue to hold interests in Definitive OpCo after the Reorganization Transactions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 Pre-IPO LLC Members in the assets and liabilities of Definitive OpCo at their carrying amounts as of the date of the completion of the consummation of the Reorganization Transactions.</w:t>
      </w:r>
    </w:p>
    <w:p>
      <w:pPr>
        <w:spacing w:after="0" w:line="172"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authorize the issuance of two classes of common stock: Class A common stock and Class B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180"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Prior to the completion of this offering, we will acquire, directly and indirectly, LLC Units through the Mergers. The Reorganization Parties will collectively hold 71,967,241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800"/>
          </w:cols>
          <w:pgMar w:left="320" w:top="442" w:right="77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the Management LLC Class A Units that correspond to the Topco Class A Units on a one-for-one basis, AIDH Management Holdings, LLC granted Management LLC Class B Units intended to be treated as “profits interests” for U.S. federal income tax purposes which have economic characteristics similar to stock appreciation rights and which are subject to vesting as described in “Executive and Director Compensation—Equity Compensation.”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Reclassified Management Holdings Class B Units and the Class B Units issued to AIDH Management Holdings, LLC by AIDH Topco, LLC will be converted and reclassified into Reclassified Class B LLC Units and will be subject to the vesting terms described in “Executive and Director Compensation—Equity Compensation.” In connection with the reorganization, Class B common stock will be issued to each holder of Management LLC Class A Units and Reclassified Management Holdings Class B Units, on a one-for-one basis to such holder’s Management, LLC Class A Units and Reclassified Management Holdings Class B Units; provided that Class B common stock issued to a holder of Reclassified Management Holdings Class B Units will not be entitled to any voting rights until such time as such Reclassified Management Holdings Class B Units vest.</w:t>
      </w:r>
    </w:p>
    <w:p>
      <w:pPr>
        <w:spacing w:after="0" w:line="160"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Prior to an initial public offering, the vesting of a portion of the Class B units is tied to the achievement by Advent of certain specified investment multiples and a portion is subject to time-based vesting. Under the terms of the existing award agreements with our executive officers and certain other award holders, upon the IPO, the portion of such awards as to which such investment multiples would not be achieved if Advent were to sell its entire investment at the IPO price would be forfeited. In connection with the IPO, such forfeiture condition will be waived, through a modification of the awards and, after the IPO, all such unvested awards will be subject to time-based vesting, subject to the service provider’s continued service. See “Executive and Director Compensation—Equity Compensation.”</w:t>
      </w:r>
    </w:p>
    <w:p>
      <w:pPr>
        <w:spacing w:after="0" w:line="169"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As a result of the modification of the terms of such performance-vesting awards, we will record compensation expense based on the fair value of the Reclassified Class B LLC Units that otherwise would have been forfeited, which will be based on the IPO price. The compensation expense will be recognized ratably over the next three years as the awards vest on the next three anniversaries of the date of pricing of the IPO. Assuming all such Reclassified Class B LLC Units vest and an IPO price of $25.00 per share (the midpoint of the estimated public offering price range on the cover of this prospectus), the total compensation expense related to modification of these awards is approximately $15.5 million and the total compensation expense related to all of the awards is approximately $25.2 million.</w:t>
      </w:r>
    </w:p>
    <w:p>
      <w:pPr>
        <w:spacing w:after="0" w:line="169" w:lineRule="exact"/>
        <w:rPr>
          <w:sz w:val="20"/>
          <w:szCs w:val="20"/>
          <w:color w:val="auto"/>
        </w:rPr>
      </w:pPr>
    </w:p>
    <w:p>
      <w:pPr>
        <w:ind w:left="440" w:right="20" w:firstLine="415"/>
        <w:spacing w:after="0" w:line="253" w:lineRule="auto"/>
        <w:rPr>
          <w:sz w:val="20"/>
          <w:szCs w:val="20"/>
          <w:color w:val="auto"/>
        </w:rPr>
      </w:pPr>
      <w:r>
        <w:rPr>
          <w:rFonts w:ascii="Arial" w:cs="Arial" w:eastAsia="Arial" w:hAnsi="Arial"/>
          <w:sz w:val="17"/>
          <w:szCs w:val="17"/>
          <w:color w:val="auto"/>
        </w:rPr>
        <w:t>Definitive OpCo will enter into the Amended LLC Agreement. Under the Amended LLC Agreement, holders of LLC Units (other than us and our wholly owned subsidiaries), including the Continuing Pre-IPO LLC Members,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cancelled on a one-for-one basis if we, following an exchange request from a holder of LLC Units, exchange LLC Units of such holder pursuant to the terms of the Amended LLC Agreement. See “Certain Relationships and Related Party Transactions—Amended Definitive OpCo Agreement.” Except for transfers to us or to certain permitted</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800"/>
          </w:cols>
          <w:pgMar w:left="320" w:top="442" w:right="77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00"/>
        <w:spacing w:after="0" w:line="273" w:lineRule="auto"/>
        <w:rPr>
          <w:sz w:val="20"/>
          <w:szCs w:val="20"/>
          <w:color w:val="auto"/>
        </w:rPr>
      </w:pPr>
      <w:r>
        <w:rPr>
          <w:rFonts w:ascii="Arial" w:cs="Arial" w:eastAsia="Arial" w:hAnsi="Arial"/>
          <w:sz w:val="17"/>
          <w:szCs w:val="17"/>
          <w:color w:val="auto"/>
        </w:rPr>
        <w:t>transferees pursuant to the Amended LLC Agreement, the LLC Units and shares of Class B common stock may not be sold, transferred or otherwise disposed of.</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will issue 15,555,555 shares of Class A common stock to the public pursuant to this offering.</w:t>
      </w:r>
    </w:p>
    <w:p>
      <w:pPr>
        <w:spacing w:after="0" w:line="212"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We will use all of the net proceeds from this offering (including net proceeds received if the underwriters exercise their option to purchase additional shares of Class A common stock in full) to (i) acquire 14,222,222 newly issued LLC Units from Definitive OpCo at a purchase price per LLC Unit, equal to the IPO price of Class A common stock, (ii) acquire 425,229 LLC Units from certain Pre-IPO LLC Members, and (iii) repurchase 908,104 shares of the Class A common stock received by the Blocker Company equityholders in connection with the Mergers described in the Reorganization Transactions at a price per LLC Unit and share of Class A common stock, in each case equal to the IPO price of our Class A common stock after deducting the underwriting discounts and commissions. The LLC Units and the shares of Class A common stock being acquired by us in this offering represent an aggregate of 0.9% of economic interests in us after this offering (or 2.5% if the underwriters exercise their option to purchase additional shares of Class A common stock in full).</w:t>
      </w:r>
    </w:p>
    <w:p>
      <w:pPr>
        <w:spacing w:after="0" w:line="183" w:lineRule="exact"/>
        <w:rPr>
          <w:sz w:val="20"/>
          <w:szCs w:val="20"/>
          <w:color w:val="auto"/>
        </w:rPr>
      </w:pPr>
    </w:p>
    <w:p>
      <w:pPr>
        <w:ind w:left="440" w:right="20" w:firstLine="415"/>
        <w:spacing w:after="0" w:line="293" w:lineRule="auto"/>
        <w:rPr>
          <w:sz w:val="20"/>
          <w:szCs w:val="20"/>
          <w:color w:val="auto"/>
        </w:rPr>
      </w:pPr>
      <w:r>
        <w:rPr>
          <w:rFonts w:ascii="Arial" w:cs="Arial" w:eastAsia="Arial" w:hAnsi="Arial"/>
          <w:sz w:val="15"/>
          <w:szCs w:val="15"/>
          <w:color w:val="auto"/>
        </w:rPr>
        <w:t>We will enter into a Tax Receivable Agreement that will obligate us to make payments to the TRA Parties in the aggregate generally equal to 85% of the applicable cash savings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We will retain the benefit of the remaining 15% of these tax savings.</w:t>
      </w:r>
    </w:p>
    <w:p>
      <w:pPr>
        <w:spacing w:after="0" w:line="154"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We will cause Definitive OpCo to use the proceeds from the issuance of LLC Units to (i) pay fees and expenses of approximately $10.1 million in connection with this offering and the Reorganization Transactions and (ii) as otherwise set forth in “Use of Proceeds.”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Effect of the Reorganization Transactions and This Offering</w:t>
      </w:r>
    </w:p>
    <w:p>
      <w:pPr>
        <w:spacing w:after="0" w:line="11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The Reorganization Transactions are intended to create a holding company that will facilitate public ownership of, and investment in, the Company and are structured in a tax-efficient manner for the Blocker Companies and Reorganization Parties. The Continuing Pre-IPO LLC Members will continue to hold their ownership interests in Definitive OpCo until such time in the future as they may elect to cause us to exchange their LLC Units for a corresponding number of shares of our Class A common stock.</w:t>
      </w:r>
    </w:p>
    <w:p>
      <w:pPr>
        <w:spacing w:after="0" w:line="18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We estimate that the offering expenses (other than the underwriting discounts and commissions) will be approximately $10.1 million. All of such offering expenses will be paid for by Definitive OpCo. See “Use of Proceeds.”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800"/>
          </w:cols>
          <w:pgMar w:left="320" w:top="442" w:right="77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75" w:lineRule="auto"/>
        <w:rPr>
          <w:sz w:val="20"/>
          <w:szCs w:val="20"/>
          <w:color w:val="auto"/>
        </w:rPr>
      </w:pPr>
      <w:r>
        <w:rPr>
          <w:rFonts w:ascii="Arial" w:cs="Arial" w:eastAsia="Arial" w:hAnsi="Arial"/>
          <w:sz w:val="16"/>
          <w:szCs w:val="16"/>
          <w:color w:val="auto"/>
        </w:rPr>
        <w:t>The following diagram depicts our organizational structure immediately following the consummation of the Reorganization Transactions, the completion of this offering and the application of the net proceeds from this offering, based on an assumed IPO price of $25.00 per share of Class A common stock (the midpoint of the estimated price range set forth on the cover page of this prospectus) and assuming the underwriters do not exercise their option to purchase additional shares of Class A common stock. This chart assumes full vesting of LLC Units.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130175</wp:posOffset>
            </wp:positionV>
            <wp:extent cx="5250180" cy="46037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50180" cy="4603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40" w:hanging="406"/>
        <w:spacing w:after="0"/>
        <w:tabs>
          <w:tab w:leader="none" w:pos="8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LLC Units and Class B common stock held by Jason Krantz, our CEO.</w:t>
      </w:r>
    </w:p>
    <w:p>
      <w:pPr>
        <w:ind w:left="840" w:hanging="406"/>
        <w:spacing w:after="0"/>
        <w:tabs>
          <w:tab w:leader="none" w:pos="8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Does not include Jason Krantz.</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Upon completion of the transactions described above, this offering and the application of the Company’s net proceeds from this offering:</w:t>
      </w:r>
    </w:p>
    <w:p>
      <w:pPr>
        <w:spacing w:after="0" w:line="134" w:lineRule="exact"/>
        <w:rPr>
          <w:sz w:val="20"/>
          <w:szCs w:val="20"/>
          <w:color w:val="auto"/>
        </w:rPr>
      </w:pPr>
    </w:p>
    <w:p>
      <w:pPr>
        <w:ind w:left="1360" w:hanging="519"/>
        <w:spacing w:after="0" w:line="257" w:lineRule="auto"/>
        <w:tabs>
          <w:tab w:leader="none" w:pos="13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Definitive Healthcare Corp. will become the sole managing member of Definitive OpCo and will hold 87,522,796 LLC Units, constituting 59.1% of the outstanding economic interests in Definitive OpCo (or 88,266,945 LLC Units, constituting 59.6% of the outstanding economic interests in Definitive OpCo if the underwriters exercise their option to purchase additional shares of Class A common stock in full).</w:t>
      </w:r>
    </w:p>
    <w:p>
      <w:pPr>
        <w:spacing w:after="0" w:line="117"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740"/>
          </w:cols>
          <w:pgMar w:left="320" w:top="442" w:right="8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60" w:hanging="519"/>
        <w:spacing w:after="0" w:line="254" w:lineRule="auto"/>
        <w:tabs>
          <w:tab w:leader="none" w:pos="13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Pre-IPO LLC Members will collectively hold (i) (x) 71,967,241 shares of Class A common stock and (y) 60,607,740 LLC Units, which together directly and indirectly represent approximately 89.5% of the economic interest in Definitive OpCo (or 87.9% if the underwriters exercise their option to purchase additional shares of Class A common stock in full) and (ii) through their collective ownership of 71,967,241 shares of Class A and 60,607,740 shares of Class B common stock, approximately 89.3% of the combined voting power of our common stock (or 87.7% if the underwriters exercise their option to purchase additional shares of Class A common stock in full).</w:t>
      </w:r>
    </w:p>
    <w:p>
      <w:pPr>
        <w:spacing w:after="0" w:line="94" w:lineRule="exact"/>
        <w:rPr>
          <w:rFonts w:ascii="Arial" w:cs="Arial" w:eastAsia="Arial" w:hAnsi="Arial"/>
          <w:sz w:val="17"/>
          <w:szCs w:val="17"/>
          <w:color w:val="auto"/>
        </w:rPr>
      </w:pPr>
    </w:p>
    <w:p>
      <w:pPr>
        <w:ind w:left="1360" w:right="20" w:hanging="519"/>
        <w:spacing w:after="0" w:line="255" w:lineRule="auto"/>
        <w:tabs>
          <w:tab w:leader="none" w:pos="13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Investors in this offering will collectively beneficially own (i) 15,555,555 shares of our Class A common stock, representing approximately 10.7% of the combined voting power of our common stock (or 17,888,888 shares and 12.3%, respectively, if the underwriters exercise their option to purchase additional shares of Class A common stock in full) and (ii) through our direct and indirect ownership of LLC Units, indirectly will hold approximately 10.5% of the economic interest in Definitive OpCo (or 12.1% if the underwriters exercise their option to purchase additional shares of Class A common stock in full).</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Ownership of Economic Interests</w:t>
      </w:r>
    </w:p>
    <w:p>
      <w:pPr>
        <w:spacing w:after="0" w:line="110"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Upon completion of the Reorganization Transactions and the IPO Transactions, the economic interests in Definitive Healthcare Corp. owned by investors in this offering and our pre-IPO equityholders at the high point, the midpoint and the low point of the estimated public offering price range set forth on the cover page of the prospectus will be as follows (may not foot due to rounding):</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Assuming an IPO price of $24.00 per share:</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00" w:type="dxa"/>
            <w:vAlign w:val="bottom"/>
            <w:gridSpan w:val="4"/>
          </w:tcPr>
          <w:p>
            <w:pPr>
              <w:ind w:left="140"/>
              <w:spacing w:after="0"/>
              <w:rPr>
                <w:sz w:val="20"/>
                <w:szCs w:val="20"/>
                <w:color w:val="auto"/>
              </w:rPr>
            </w:pPr>
            <w:r>
              <w:rPr>
                <w:rFonts w:ascii="Arial" w:cs="Arial" w:eastAsia="Arial" w:hAnsi="Arial"/>
                <w:sz w:val="14"/>
                <w:szCs w:val="14"/>
                <w:b w:val="1"/>
                <w:bCs w:val="1"/>
                <w:color w:val="auto"/>
              </w:rPr>
              <w:t>Definitive Healthcare</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Corp.</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60" w:type="dxa"/>
            <w:vAlign w:val="bottom"/>
            <w:tcBorders>
              <w:bottom w:val="single" w:sz="8" w:color="CCEEFF"/>
            </w:tcBorders>
          </w:tcPr>
          <w:p>
            <w:pPr>
              <w:spacing w:after="0"/>
              <w:rPr>
                <w:sz w:val="11"/>
                <w:szCs w:val="11"/>
                <w:color w:val="auto"/>
              </w:rPr>
            </w:pPr>
          </w:p>
        </w:tc>
        <w:tc>
          <w:tcPr>
            <w:tcW w:w="246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ind w:left="140"/>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26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Investors in this offering</w:t>
            </w:r>
          </w:p>
        </w:tc>
        <w:tc>
          <w:tcPr>
            <w:tcW w:w="2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Advent</w:t>
            </w:r>
          </w:p>
        </w:tc>
        <w:tc>
          <w:tcPr>
            <w:tcW w:w="3540" w:type="dxa"/>
            <w:vAlign w:val="bottom"/>
            <w:gridSpan w:val="3"/>
          </w:tcPr>
          <w:p>
            <w:pPr>
              <w:jc w:val="right"/>
              <w:ind w:right="260"/>
              <w:spacing w:after="0"/>
              <w:rPr>
                <w:sz w:val="20"/>
                <w:szCs w:val="20"/>
                <w:color w:val="auto"/>
              </w:rPr>
            </w:pPr>
            <w:r>
              <w:rPr>
                <w:rFonts w:ascii="Arial" w:cs="Arial" w:eastAsia="Arial" w:hAnsi="Arial"/>
                <w:sz w:val="17"/>
                <w:szCs w:val="17"/>
                <w:color w:val="auto"/>
              </w:rPr>
              <w:t>66,098,830</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75.5%</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66,098,830</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Spectrum Equity</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2,952,341</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31,301,544</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22C Capital</w:t>
            </w:r>
          </w:p>
        </w:tc>
        <w:tc>
          <w:tcPr>
            <w:tcW w:w="3540" w:type="dxa"/>
            <w:vAlign w:val="bottom"/>
            <w:gridSpan w:val="3"/>
          </w:tcPr>
          <w:p>
            <w:pPr>
              <w:jc w:val="right"/>
              <w:ind w:right="260"/>
              <w:spacing w:after="0"/>
              <w:rPr>
                <w:sz w:val="20"/>
                <w:szCs w:val="20"/>
                <w:color w:val="auto"/>
              </w:rPr>
            </w:pPr>
            <w:r>
              <w:rPr>
                <w:rFonts w:ascii="Arial" w:cs="Arial" w:eastAsia="Arial" w:hAnsi="Arial"/>
                <w:sz w:val="17"/>
                <w:szCs w:val="17"/>
                <w:color w:val="auto"/>
              </w:rPr>
              <w:t>551,013</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0.6%</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4,942,292</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Jason Krantz</w:t>
            </w:r>
          </w:p>
        </w:tc>
        <w:tc>
          <w:tcPr>
            <w:tcW w:w="35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21,929,711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2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2,367,096</w:t>
            </w:r>
          </w:p>
        </w:tc>
        <w:tc>
          <w:tcPr>
            <w:tcW w:w="2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2.7%</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6,932,138</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87,524,835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100.0%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146,760,070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260" w:type="dxa"/>
            <w:vAlign w:val="bottom"/>
          </w:tcPr>
          <w:p>
            <w:pPr>
              <w:ind w:left="380"/>
              <w:spacing w:after="0"/>
              <w:rPr>
                <w:sz w:val="20"/>
                <w:szCs w:val="20"/>
                <w:color w:val="auto"/>
              </w:rPr>
            </w:pPr>
            <w:r>
              <w:rPr>
                <w:rFonts w:ascii="Arial" w:cs="Arial" w:eastAsia="Arial" w:hAnsi="Arial"/>
                <w:sz w:val="17"/>
                <w:szCs w:val="17"/>
                <w:color w:val="auto"/>
              </w:rPr>
              <w:t>Assuming an IPO price of $25.00 per share:</w:t>
            </w:r>
          </w:p>
        </w:tc>
        <w:tc>
          <w:tcPr>
            <w:tcW w:w="24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00" w:type="dxa"/>
            <w:vAlign w:val="bottom"/>
            <w:gridSpan w:val="4"/>
          </w:tcPr>
          <w:p>
            <w:pPr>
              <w:ind w:left="140"/>
              <w:spacing w:after="0"/>
              <w:rPr>
                <w:sz w:val="20"/>
                <w:szCs w:val="20"/>
                <w:color w:val="auto"/>
              </w:rPr>
            </w:pPr>
            <w:r>
              <w:rPr>
                <w:rFonts w:ascii="Arial" w:cs="Arial" w:eastAsia="Arial" w:hAnsi="Arial"/>
                <w:sz w:val="14"/>
                <w:szCs w:val="14"/>
                <w:b w:val="1"/>
                <w:bCs w:val="1"/>
                <w:color w:val="auto"/>
              </w:rPr>
              <w:t>Definitive Healthcare</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Corp.</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60" w:type="dxa"/>
            <w:vAlign w:val="bottom"/>
            <w:tcBorders>
              <w:bottom w:val="single" w:sz="8" w:color="CCEEFF"/>
            </w:tcBorders>
          </w:tcPr>
          <w:p>
            <w:pPr>
              <w:spacing w:after="0"/>
              <w:rPr>
                <w:sz w:val="11"/>
                <w:szCs w:val="11"/>
                <w:color w:val="auto"/>
              </w:rPr>
            </w:pPr>
          </w:p>
        </w:tc>
        <w:tc>
          <w:tcPr>
            <w:tcW w:w="246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ind w:left="140"/>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26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Investors in this offering</w:t>
            </w:r>
          </w:p>
        </w:tc>
        <w:tc>
          <w:tcPr>
            <w:tcW w:w="24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Advent</w:t>
            </w:r>
          </w:p>
        </w:tc>
        <w:tc>
          <w:tcPr>
            <w:tcW w:w="3540" w:type="dxa"/>
            <w:vAlign w:val="bottom"/>
            <w:gridSpan w:val="3"/>
          </w:tcPr>
          <w:p>
            <w:pPr>
              <w:jc w:val="right"/>
              <w:ind w:right="260"/>
              <w:spacing w:after="0"/>
              <w:rPr>
                <w:sz w:val="20"/>
                <w:szCs w:val="20"/>
                <w:color w:val="auto"/>
              </w:rPr>
            </w:pPr>
            <w:r>
              <w:rPr>
                <w:rFonts w:ascii="Arial" w:cs="Arial" w:eastAsia="Arial" w:hAnsi="Arial"/>
                <w:sz w:val="17"/>
                <w:szCs w:val="17"/>
                <w:color w:val="auto"/>
              </w:rPr>
              <w:t>66,096,936</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75.5%</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66,096,936</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Spectrum Equity</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2,952,482</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31,303,042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22C Capital</w:t>
            </w:r>
          </w:p>
        </w:tc>
        <w:tc>
          <w:tcPr>
            <w:tcW w:w="3540" w:type="dxa"/>
            <w:vAlign w:val="bottom"/>
            <w:gridSpan w:val="3"/>
          </w:tcPr>
          <w:p>
            <w:pPr>
              <w:jc w:val="right"/>
              <w:ind w:right="260"/>
              <w:spacing w:after="0"/>
              <w:rPr>
                <w:sz w:val="20"/>
                <w:szCs w:val="20"/>
                <w:color w:val="auto"/>
              </w:rPr>
            </w:pPr>
            <w:r>
              <w:rPr>
                <w:rFonts w:ascii="Arial" w:cs="Arial" w:eastAsia="Arial" w:hAnsi="Arial"/>
                <w:sz w:val="17"/>
                <w:szCs w:val="17"/>
                <w:color w:val="auto"/>
              </w:rPr>
              <w:t>550,985</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0.6%</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4,942,041</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Jason Krantz</w:t>
            </w:r>
          </w:p>
        </w:tc>
        <w:tc>
          <w:tcPr>
            <w:tcW w:w="35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21,952,956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260" w:type="dxa"/>
            <w:vAlign w:val="bottom"/>
          </w:tcPr>
          <w:p>
            <w:pPr>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24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2,366,838</w:t>
            </w:r>
          </w:p>
        </w:tc>
        <w:tc>
          <w:tcPr>
            <w:tcW w:w="2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2.7%</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6,965,578</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4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87,522,796</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100.0%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146,816,108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60" w:type="dxa"/>
            <w:vAlign w:val="bottom"/>
          </w:tcPr>
          <w:p>
            <w:pPr>
              <w:jc w:val="right"/>
              <w:ind w:right="1395"/>
              <w:spacing w:after="0"/>
              <w:rPr>
                <w:sz w:val="20"/>
                <w:szCs w:val="20"/>
                <w:color w:val="auto"/>
              </w:rPr>
            </w:pPr>
            <w:r>
              <w:rPr>
                <w:rFonts w:ascii="Arial" w:cs="Arial" w:eastAsia="Arial" w:hAnsi="Arial"/>
                <w:sz w:val="17"/>
                <w:szCs w:val="17"/>
                <w:color w:val="auto"/>
              </w:rPr>
              <w:t>73</w:t>
            </w:r>
          </w:p>
        </w:tc>
        <w:tc>
          <w:tcPr>
            <w:tcW w:w="8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Assuming an IPO price of $26.00 per share:</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9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8"/>
              </w:rPr>
              <w:t>Definitive Healthcare</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Corp.</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Fully Converted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720" w:type="dxa"/>
            <w:vAlign w:val="bottom"/>
            <w:tcBorders>
              <w:bottom w:val="single" w:sz="8" w:color="CCEEFF"/>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60"/>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(1)</w:t>
            </w:r>
          </w:p>
        </w:tc>
        <w:tc>
          <w:tcPr>
            <w:tcW w:w="26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57"/>
              <w:spacing w:after="0" w:line="133"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rPr>
              <w:t>Shares</w:t>
            </w:r>
            <w:r>
              <w:rPr>
                <w:rFonts w:ascii="Arial" w:cs="Arial" w:eastAsia="Arial" w:hAnsi="Arial"/>
                <w:sz w:val="11"/>
                <w:szCs w:val="11"/>
                <w:b w:val="1"/>
                <w:bCs w:val="1"/>
                <w:color w:val="auto"/>
              </w:rPr>
              <w:t>(2)</w:t>
            </w:r>
          </w:p>
        </w:tc>
        <w:tc>
          <w:tcPr>
            <w:tcW w:w="14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7"/>
              <w:spacing w:after="0" w:line="133"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Investors in this offering</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15,555,555</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17.8%</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15,555,555</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Advent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w w:val="93"/>
              </w:rPr>
              <w:t>66,095,196</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75.5%</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66,095,196</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Spectrum Equity</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2,952,613</w:t>
            </w:r>
          </w:p>
        </w:tc>
        <w:tc>
          <w:tcPr>
            <w:tcW w:w="2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31,304,425</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22C Capital</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550,959</w:t>
            </w: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0.6%</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4,941,810</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Jason Krantz</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21,974,413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720" w:type="dxa"/>
            <w:vAlign w:val="bottom"/>
          </w:tcPr>
          <w:p>
            <w:pPr>
              <w:spacing w:after="0"/>
              <w:rPr>
                <w:sz w:val="20"/>
                <w:szCs w:val="20"/>
                <w:color w:val="auto"/>
              </w:rPr>
            </w:pPr>
            <w:r>
              <w:rPr>
                <w:rFonts w:ascii="Arial" w:cs="Arial" w:eastAsia="Arial" w:hAnsi="Arial"/>
                <w:sz w:val="17"/>
                <w:szCs w:val="17"/>
                <w:color w:val="auto"/>
              </w:rPr>
              <w:t>Members of AIDH Management Holdings, LLC</w:t>
            </w:r>
            <w:r>
              <w:rPr>
                <w:rFonts w:ascii="Arial" w:cs="Arial" w:eastAsia="Arial" w:hAnsi="Arial"/>
                <w:sz w:val="14"/>
                <w:szCs w:val="14"/>
                <w:color w:val="auto"/>
              </w:rPr>
              <w:t>(3)</w:t>
            </w:r>
          </w:p>
        </w:tc>
        <w:tc>
          <w:tcPr>
            <w:tcW w:w="820" w:type="dxa"/>
            <w:vAlign w:val="bottom"/>
          </w:tcPr>
          <w:p>
            <w:pPr>
              <w:jc w:val="right"/>
              <w:spacing w:after="0"/>
              <w:rPr>
                <w:sz w:val="20"/>
                <w:szCs w:val="20"/>
                <w:color w:val="auto"/>
              </w:rPr>
            </w:pPr>
            <w:r>
              <w:rPr>
                <w:rFonts w:ascii="Arial" w:cs="Arial" w:eastAsia="Arial" w:hAnsi="Arial"/>
                <w:sz w:val="17"/>
                <w:szCs w:val="17"/>
                <w:color w:val="auto"/>
              </w:rPr>
              <w:t>2,366,599</w:t>
            </w:r>
          </w:p>
        </w:tc>
        <w:tc>
          <w:tcPr>
            <w:tcW w:w="2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2.7%</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6,996,452</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3"/>
              </w:rPr>
              <w:t>87,520,922</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7"/>
              </w:rPr>
              <w:t>100.0%</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7"/>
              </w:rPr>
              <w:t>146,867,851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88900</wp:posOffset>
            </wp:positionV>
            <wp:extent cx="7270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58" w:lineRule="exact"/>
        <w:rPr>
          <w:sz w:val="20"/>
          <w:szCs w:val="20"/>
          <w:color w:val="auto"/>
        </w:rPr>
      </w:pPr>
    </w:p>
    <w:p>
      <w:pPr>
        <w:ind w:left="840" w:right="580" w:hanging="406"/>
        <w:spacing w:after="0" w:line="254" w:lineRule="auto"/>
        <w:tabs>
          <w:tab w:leader="none" w:pos="8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Reflects the number of shares of our Class A common stock then outstanding. If the underwriters exercise in full their option to purchase additional shares of our Class A common stock, the number of shares owned by investors in this offering, and in the table above, would be 17,888,888.</w:t>
      </w:r>
    </w:p>
    <w:p>
      <w:pPr>
        <w:spacing w:after="0" w:line="1" w:lineRule="exact"/>
        <w:rPr>
          <w:rFonts w:ascii="Arial" w:cs="Arial" w:eastAsia="Arial" w:hAnsi="Arial"/>
          <w:sz w:val="17"/>
          <w:szCs w:val="17"/>
          <w:color w:val="auto"/>
        </w:rPr>
      </w:pPr>
    </w:p>
    <w:p>
      <w:pPr>
        <w:ind w:left="840" w:right="220" w:hanging="406"/>
        <w:spacing w:after="0" w:line="249" w:lineRule="auto"/>
        <w:tabs>
          <w:tab w:leader="none" w:pos="8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Reflects the number of shares of our Class A common stock that would be outstanding if all LLC Units, including units subject to time-based vesting were exchanged for shares of our Class A common stock held by AIDH Management Holdings, LLC and does not include the restricted stock units, 75% of which will vest based on continued employment or other service and 25% of which will vest based on achievement of performance metrics. See “Executive Compensation—2021 Plan Grants.”</w:t>
      </w:r>
    </w:p>
    <w:p>
      <w:pPr>
        <w:spacing w:after="0" w:line="2" w:lineRule="exact"/>
        <w:rPr>
          <w:rFonts w:ascii="Arial" w:cs="Arial" w:eastAsia="Arial" w:hAnsi="Arial"/>
          <w:sz w:val="17"/>
          <w:szCs w:val="17"/>
          <w:color w:val="auto"/>
        </w:rPr>
      </w:pPr>
    </w:p>
    <w:p>
      <w:pPr>
        <w:ind w:left="840" w:right="100" w:hanging="406"/>
        <w:spacing w:after="0" w:line="253" w:lineRule="auto"/>
        <w:tabs>
          <w:tab w:leader="none" w:pos="8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Assuming the 2,747,353 LLC Units held by AIDH Management Holdings, LLC that are subject to time-based vesting after the IPO fully vest, the economic interests set forth in the table above also represent voting interests. 2.7% of the Company owned by members of AIDH Management Holdings, LLC is held by former members of AIDH Management Holdings, LLC that are receiving stock pursuant to the Blocker Company mergers. See “Organizational Structure—The Reorganization Transactions.”</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Holding Company Structure and the Tax Receivable Agreement</w:t>
      </w:r>
    </w:p>
    <w:p>
      <w:pPr>
        <w:spacing w:after="0" w:line="114" w:lineRule="exact"/>
        <w:rPr>
          <w:sz w:val="20"/>
          <w:szCs w:val="20"/>
          <w:color w:val="auto"/>
        </w:rPr>
      </w:pPr>
    </w:p>
    <w:p>
      <w:pPr>
        <w:ind w:left="440" w:right="140" w:firstLine="415"/>
        <w:spacing w:after="0" w:line="298" w:lineRule="auto"/>
        <w:rPr>
          <w:sz w:val="20"/>
          <w:szCs w:val="20"/>
          <w:color w:val="auto"/>
        </w:rPr>
      </w:pPr>
      <w:r>
        <w:rPr>
          <w:rFonts w:ascii="Arial" w:cs="Arial" w:eastAsia="Arial" w:hAnsi="Arial"/>
          <w:sz w:val="15"/>
          <w:szCs w:val="15"/>
          <w:color w:val="auto"/>
        </w:rPr>
        <w:t>We are a holding company, and immediately after the consummation of the Reorganization Transactions and this offering, our sole material asset will be our ownership interests in Definitive OpCo. The number of LLC Units that we will own directly and indirectly in the aggregate at any time will equal the aggregate number of outstanding shares of our Class A common stock. The economic interest represented by each LLC Unit that we own directly and indirectly will correspond to one share of our Class A common stock, and the total number of LLC Units owned directly and indirectly by us and the holders of our Class B common stock at any given time will equal the sum of the outstanding shares of all classes of our common stock.</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do not intend to list our Class B common stock on any stock exchange.</w:t>
      </w:r>
    </w:p>
    <w:p>
      <w:pPr>
        <w:spacing w:after="0" w:line="212" w:lineRule="exact"/>
        <w:rPr>
          <w:sz w:val="20"/>
          <w:szCs w:val="20"/>
          <w:color w:val="auto"/>
        </w:rPr>
      </w:pPr>
    </w:p>
    <w:p>
      <w:pPr>
        <w:ind w:left="440" w:right="300" w:firstLine="415"/>
        <w:spacing w:after="0" w:line="255" w:lineRule="auto"/>
        <w:rPr>
          <w:sz w:val="20"/>
          <w:szCs w:val="20"/>
          <w:color w:val="auto"/>
        </w:rPr>
      </w:pPr>
      <w:r>
        <w:rPr>
          <w:rFonts w:ascii="Arial" w:cs="Arial" w:eastAsia="Arial" w:hAnsi="Arial"/>
          <w:sz w:val="17"/>
          <w:szCs w:val="17"/>
          <w:color w:val="auto"/>
        </w:rPr>
        <w:t>We will acquire certain favorable tax attributes from the Blocker Companies in the Mergers. In addition, acquisitions by us of LLC Units from Continuing Pre-IPO LLC Members in connection with future exchanges by the Continuing Pre-IPO LLC Members of LLC Units for shares of our Class A common stock and other transactions described herein are expected to result in favorable tax attributes that will be allocated to us. These tax attributes would not be available to us in the absence of those transactions and are expected to reduce the amount of tax that we would otherwise be required to pay in the future.</w:t>
      </w:r>
    </w:p>
    <w:p>
      <w:pPr>
        <w:spacing w:after="0" w:line="183"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We intend to enter into a Tax Receivable Agreement with the TRA Parties. Under the Tax Receivable Agreement, we generally will be required to pay to the TRA Parties, in the aggregate, 85% of the amount of cash savings, if any, in U.S. federal, state and local income tax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 interests in Definitive OpCo and its subsidiaries by the Blocker Companies, (ii) tax basis adjustments resulting from (a) acquisitions by</w:t>
      </w:r>
    </w:p>
    <w:p>
      <w:pPr>
        <w:spacing w:after="0" w:line="12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0820"/>
          </w:cols>
          <w:pgMar w:left="320" w:top="442" w:right="75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60"/>
        <w:spacing w:after="0" w:line="273" w:lineRule="auto"/>
        <w:rPr>
          <w:sz w:val="20"/>
          <w:szCs w:val="20"/>
          <w:color w:val="auto"/>
        </w:rPr>
      </w:pPr>
      <w:r>
        <w:rPr>
          <w:rFonts w:ascii="Arial" w:cs="Arial" w:eastAsia="Arial" w:hAnsi="Arial"/>
          <w:sz w:val="17"/>
          <w:szCs w:val="17"/>
          <w:color w:val="auto"/>
        </w:rPr>
        <w:t>us of LLC Units from certain Pre-IPO LLC Members in connection with this offering and (b) future exchanges of LLC Units by Continuing Pre-IPO LLC Members for Class A common stock and (iii) certain payments made under the Tax Receivable Agreement.</w:t>
      </w:r>
    </w:p>
    <w:p>
      <w:pPr>
        <w:spacing w:after="0" w:line="166" w:lineRule="exact"/>
        <w:rPr>
          <w:sz w:val="20"/>
          <w:szCs w:val="20"/>
          <w:color w:val="auto"/>
        </w:rPr>
      </w:pPr>
    </w:p>
    <w:p>
      <w:pPr>
        <w:ind w:left="440" w:firstLine="415"/>
        <w:spacing w:after="0" w:line="268" w:lineRule="auto"/>
        <w:rPr>
          <w:sz w:val="20"/>
          <w:szCs w:val="20"/>
          <w:color w:val="auto"/>
        </w:rPr>
      </w:pPr>
      <w:r>
        <w:rPr>
          <w:rFonts w:ascii="Arial" w:cs="Arial" w:eastAsia="Arial" w:hAnsi="Arial"/>
          <w:sz w:val="16"/>
          <w:szCs w:val="16"/>
          <w:color w:val="auto"/>
        </w:rPr>
        <w:t>Assuming no material changes in relevant tax law and that we earn sufficient taxable income to realize such benefits, the tax attributes available to us as a result of the Reorganization Transactions would be expected to result in tax savings of approximately $240.8 million. We would be required to pay the TRA Parties approximately 85% of such amount, or $204.6 million, over the 15-year period from the date of the completion of this offering. Further, assuming no material changes in relevant tax law and that we earn sufficient taxable income to realize all tax benefits that are subject to the Tax Receivable Agreement, the tax savings associated with all tax attributes described above would aggregate to approximately $820.7 million over 15 years from the date of the completion of this offering, based on an assumed IPO price of $25.00 per share of Class A common stock, the midpoint of the estimated price range set forth on the cover page of this prospectus and assuming all future exchanges would occur on the date of this offering. Under this scenario, we would be required to pay the TRA Parties approximately 85% of such amount, or $697.6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176"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taxing authority may challenge all or part of the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challenged by a taxing authority and are ultimately disallowed, except that any excess payments made to a TRA Party will be netted against future payments otherwise to be made to such TRA Party under the Tax Receivable Agreement, if any, after our determination of such excess. As a result, in such circumstances we could make future payments under the Tax Receivable Agreement that are greater than our actual cash tax savings and may not be able to recoup those payments, which could negatively impact our liquidity. See “Risk Factors— Risks Related to Our Organizational Structure—We will not be reimbursed for any payments made to the TRA Parties under the Tax Receivable Agreement in the event that any tax benefits are disallowed.”</w:t>
      </w:r>
    </w:p>
    <w:p>
      <w:pPr>
        <w:spacing w:after="0" w:line="174"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Our obligations under the Tax Receivable Agreement will also apply with respect to any person who is issued LLC Units in the future and who becomes a party to the Tax Receivable Agreement.</w:t>
      </w:r>
    </w:p>
    <w:p>
      <w:pPr>
        <w:spacing w:after="0" w:line="166" w:lineRule="exact"/>
        <w:rPr>
          <w:sz w:val="20"/>
          <w:szCs w:val="20"/>
          <w:color w:val="auto"/>
        </w:rPr>
      </w:pPr>
    </w:p>
    <w:p>
      <w:pPr>
        <w:ind w:left="440" w:right="20" w:firstLine="415"/>
        <w:spacing w:after="0" w:line="253" w:lineRule="auto"/>
        <w:rPr>
          <w:sz w:val="20"/>
          <w:szCs w:val="20"/>
          <w:color w:val="auto"/>
        </w:rPr>
      </w:pPr>
      <w:r>
        <w:rPr>
          <w:rFonts w:ascii="Arial" w:cs="Arial" w:eastAsia="Arial" w:hAnsi="Arial"/>
          <w:sz w:val="17"/>
          <w:szCs w:val="17"/>
          <w:color w:val="auto"/>
        </w:rPr>
        <w:t>We are a holding company with no operations of our own and our ability to make payments under the Tax Receivable Agreement will depend on the ability of Definitive OpCo to make distributions to us. Deterioration in the financial condition, earnings, or cash flow of Definitive OpCo and its subsidiaries for any reason could limit or impair their ability to pay such distributions. To the extent that we are unable to make payments under the Tax Receivable Agreement for any reason, such payments generally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12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800"/>
          </w:cols>
          <w:pgMar w:left="320" w:top="442" w:right="77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USE OF PROCEEDS</w:t>
      </w:r>
    </w:p>
    <w:p>
      <w:pPr>
        <w:spacing w:after="0" w:line="216"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We estimate that the net proceeds to us from our sale of 15,555,555 shares of Class A common stock in this offering will be approximately $355.5 million, after deducting underwriting discounts and commissions and estimated expenses payable by us in connection with this offering. The underwriters also have an option to purchase up to an additional 2,333,333 shares of Class A common stock from us. We estimate that the net proceeds to us, if the underwriters exercise their right to purchase the maximum of 2,333,333 additional shares of Class A common stock from us, will be approximately $410.3 million, after deducting underwriting discounts and commissions and estimated expenses payable by us in connection with this offering. This assumes a public offering price of $25.00 per share, which is the midpoint of the price range set forth on the cover of this prospectus.</w:t>
      </w:r>
    </w:p>
    <w:p>
      <w:pPr>
        <w:spacing w:after="0" w:line="153"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We estimate that the offering expenses (other than the underwriting discount and commissions) will be approximately $10.1 million. All of such offering expenses will be paid for or otherwise borne by Definitive OpCo.</w:t>
      </w:r>
    </w:p>
    <w:p>
      <w:pPr>
        <w:spacing w:after="0" w:line="166"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We intend to use a portion of the net proceeds from this offering to (i) purchase 14,222,222 newly issued LLC Units (or 14,222,222 LLC Units, if the underwriters exercise their over-allotment option to purchase additional shares of Class A common stock in full) from Definitive OpCo, (ii) acquire 425,229 LLC Units from Pre-IPO LLC Members, and (iii) repurchase 908,104 shares of Class A common stock received by the Blocker Company equityholders in connection with the Mergers. The foregoing purchases of LLC Units and Class A common stock, respectively, will be at a price per unit equal to the public offering price per share of Class A common stock in this offering, less the underwriting discount. We have agreed to reimburse approximately $1.05 million in aggregate expenses incurred by our Sponsors in connection with the Reorganization Transactions. See “Organizational Structure—The Reorganization Transactions.”</w:t>
      </w:r>
    </w:p>
    <w:p>
      <w:pPr>
        <w:spacing w:after="0" w:line="186" w:lineRule="exact"/>
        <w:rPr>
          <w:sz w:val="20"/>
          <w:szCs w:val="20"/>
          <w:color w:val="auto"/>
        </w:rPr>
      </w:pPr>
    </w:p>
    <w:p>
      <w:pPr>
        <w:ind w:left="440" w:right="180" w:firstLine="415"/>
        <w:spacing w:after="0" w:line="255" w:lineRule="auto"/>
        <w:rPr>
          <w:sz w:val="20"/>
          <w:szCs w:val="20"/>
          <w:color w:val="auto"/>
        </w:rPr>
      </w:pPr>
      <w:r>
        <w:rPr>
          <w:rFonts w:ascii="Arial" w:cs="Arial" w:eastAsia="Arial" w:hAnsi="Arial"/>
          <w:sz w:val="17"/>
          <w:szCs w:val="17"/>
          <w:color w:val="auto"/>
        </w:rPr>
        <w:t>We will cause Definitive OpCo to use the proceeds from the issuance of the LLC Units to Definitive Healthcare Corp. as follows: (i) to pay fees and expenses not already paid from our total estimate of approximately $10.1 million in connection with this offering and the Reorganization Transactions; (ii) to repay $195.4 million of the outstanding borrowings under our Senior Credit Facilities and (iii) for general corporate purposes. Definitive OpCo will not receive any proceeds from the purchase of LLC Units from certain Pre-IPO LLC Members by us or from the repurchase of shares of Class A common stock by us.</w:t>
      </w:r>
    </w:p>
    <w:p>
      <w:pPr>
        <w:spacing w:after="0" w:line="183" w:lineRule="exact"/>
        <w:rPr>
          <w:sz w:val="20"/>
          <w:szCs w:val="20"/>
          <w:color w:val="auto"/>
        </w:rPr>
      </w:pPr>
    </w:p>
    <w:p>
      <w:pPr>
        <w:jc w:val="both"/>
        <w:ind w:left="440" w:right="140" w:firstLine="415"/>
        <w:spacing w:after="0" w:line="279" w:lineRule="auto"/>
        <w:rPr>
          <w:sz w:val="20"/>
          <w:szCs w:val="20"/>
          <w:color w:val="auto"/>
        </w:rPr>
      </w:pPr>
      <w:r>
        <w:rPr>
          <w:rFonts w:ascii="Arial" w:cs="Arial" w:eastAsia="Arial" w:hAnsi="Arial"/>
          <w:sz w:val="16"/>
          <w:szCs w:val="16"/>
          <w:color w:val="auto"/>
        </w:rPr>
        <w:t>Definitive OpCo, LLC currently intends to use a portion of the net proceeds from this offering to repay outstanding borrowings under our Senior Credit Facilities. Our Senior Credit Facilities are comprised of our Term Loan Facility and our Revolving Credit Facility (each as defined herein). The Term Loans (as defined herein) mature on July 16, 2026 and the Initial Revolving Loans (as defined herein) mature on July 16, 2024. As of August 5, 2021 the Term Loans bear interest at a rate of 6.25% and there is no balance on our Initial Revolving Loans.</w:t>
      </w:r>
    </w:p>
    <w:p>
      <w:pPr>
        <w:spacing w:after="0" w:line="162"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If the underwriters exercise their option to purchase additional shares of Class A common stock in full, we estimate that our additional net proceeds will be approximately $54.8 million based on an assumed IPO price of $25.00. We will use the additional net proceeds we receive pursuant to any exercise of the underwriters’ option to purchase additional shares of Class A common stock to purchase LLC Units from certain Pre-IPO LLC Members and/or to repurchase shares of the Class A common stock received by the Blocker Company equityholders in connection with the Mergers at a price per LLC Unit and share of Class A common stock, in each case equal to the IPO price of our Class A common stock minus underwriting discounts.</w:t>
      </w:r>
    </w:p>
    <w:p>
      <w:pPr>
        <w:spacing w:after="0" w:line="183" w:lineRule="exact"/>
        <w:rPr>
          <w:sz w:val="20"/>
          <w:szCs w:val="20"/>
          <w:color w:val="auto"/>
        </w:rPr>
      </w:pPr>
    </w:p>
    <w:p>
      <w:pPr>
        <w:ind w:left="440" w:right="420" w:firstLine="415"/>
        <w:spacing w:after="0" w:line="312" w:lineRule="auto"/>
        <w:rPr>
          <w:sz w:val="20"/>
          <w:szCs w:val="20"/>
          <w:color w:val="auto"/>
        </w:rPr>
      </w:pPr>
      <w:r>
        <w:rPr>
          <w:rFonts w:ascii="Arial" w:cs="Arial" w:eastAsia="Arial" w:hAnsi="Arial"/>
          <w:sz w:val="15"/>
          <w:szCs w:val="15"/>
          <w:color w:val="auto"/>
        </w:rPr>
        <w:t>A $1.00 increase (decrease) in the assumed IPO price of $25.00 per share would increase (decrease) the amount of proceeds to us from this offering available by approximately $14.6 million, assuming the number of shares offered by us, as set forth on the cover page of this prospectus, remains the same, and after deducting the estimated underwriting discounts and commissions. An increase (decrease) of 1,000,000 shares from the</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0800"/>
          </w:cols>
          <w:pgMar w:left="320" w:top="442" w:right="77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61" w:lineRule="auto"/>
        <w:rPr>
          <w:sz w:val="20"/>
          <w:szCs w:val="20"/>
          <w:color w:val="auto"/>
        </w:rPr>
      </w:pPr>
      <w:r>
        <w:rPr>
          <w:rFonts w:ascii="Arial" w:cs="Arial" w:eastAsia="Arial" w:hAnsi="Arial"/>
          <w:sz w:val="17"/>
          <w:szCs w:val="17"/>
          <w:color w:val="auto"/>
        </w:rPr>
        <w:t>expected number of shares to be sold by us in this offering, assuming no change in the assumed IPO price per share, the midpoint of the estimated offering price range shown on the cover page of this prospectus, would increase (decrease) the amount of proceeds to us from this offering available by approximately $23.5 million.</w:t>
      </w:r>
    </w:p>
    <w:p>
      <w:pPr>
        <w:spacing w:after="0" w:line="113"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0700"/>
          </w:cols>
          <w:pgMar w:left="320" w:top="442" w:right="87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DIVIDEND POLICY</w:t>
      </w:r>
    </w:p>
    <w:p>
      <w:pPr>
        <w:spacing w:after="0" w:line="216" w:lineRule="exact"/>
        <w:rPr>
          <w:sz w:val="20"/>
          <w:szCs w:val="20"/>
          <w:color w:val="auto"/>
        </w:rPr>
      </w:pPr>
    </w:p>
    <w:p>
      <w:pPr>
        <w:ind w:left="440" w:right="20" w:firstLine="415"/>
        <w:spacing w:after="0" w:line="302" w:lineRule="auto"/>
        <w:rPr>
          <w:sz w:val="20"/>
          <w:szCs w:val="20"/>
          <w:color w:val="auto"/>
        </w:rPr>
      </w:pPr>
      <w:r>
        <w:rPr>
          <w:rFonts w:ascii="Arial" w:cs="Arial" w:eastAsia="Arial" w:hAnsi="Arial"/>
          <w:sz w:val="15"/>
          <w:szCs w:val="15"/>
          <w:color w:val="auto"/>
        </w:rPr>
        <w:t>We do not currently intend to pay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w:t>
      </w:r>
    </w:p>
    <w:p>
      <w:pPr>
        <w:spacing w:after="0" w:line="149"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We are a holding company that does not conduct any business operations of our own and has no material assets other than its ownership of LLC Units. As a result, our ability to pay dividends on our common stock, if our Board of Directors determines to do so, will be dependent upon the ability of Definitive OpCo to pay cash dividends and distributions to us. Definitive OpCo’s ability to pay cash dividends and distributions to us is currently restricted by the terms of our Senior Credit Facilities and may be further restricted by any future indebtedness we may incur. See “Description of Material Indebtedness.”</w:t>
      </w:r>
    </w:p>
    <w:p>
      <w:pPr>
        <w:spacing w:after="0" w:line="183" w:lineRule="exact"/>
        <w:rPr>
          <w:sz w:val="20"/>
          <w:szCs w:val="20"/>
          <w:color w:val="auto"/>
        </w:rPr>
      </w:pPr>
    </w:p>
    <w:p>
      <w:pPr>
        <w:ind w:left="440" w:right="120" w:firstLine="415"/>
        <w:spacing w:after="0" w:line="302" w:lineRule="auto"/>
        <w:rPr>
          <w:sz w:val="20"/>
          <w:szCs w:val="20"/>
          <w:color w:val="auto"/>
        </w:rPr>
      </w:pPr>
      <w:r>
        <w:rPr>
          <w:rFonts w:ascii="Arial" w:cs="Arial" w:eastAsia="Arial" w:hAnsi="Arial"/>
          <w:sz w:val="15"/>
          <w:szCs w:val="15"/>
          <w:color w:val="auto"/>
        </w:rPr>
        <w:t>If Definitive OpCo makes such distributions, the holders of LLC Units will be entitled to receive equivalent distributions from Definitive OpCo. However, because we must pay taxes, make payments under the Tax Receivable Agreement and pay our expenses, amounts ultimately distributed as dividends to holders of our Class A common stock are expected to be less than the amounts distributed by Definitive OpCo to the other holders of LLC Units on a per share basis. See “Certain Relationships and Related Party Transactions—Amended Definitive OpCo Agreement.”</w:t>
      </w:r>
    </w:p>
    <w:p>
      <w:pPr>
        <w:spacing w:after="0" w:line="149"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Under the Amended LLC Agreement, Definitive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We also expect, if necessary, to undertake ameliorative actions, which may include pro rata or non-pro rata reclassifications, combinations, subdivisions or adjustments of outstanding LLC Units, to maintain 1:1 parity between LLC Units and shares of Class A common stock. See “Risk Factors—Risks Related to Our Organizational Structure—We are a holding company and our principal asset after completion of this offering will be our 59.1% economic ownership interest in Definitive OpCo, and we are accordingly dependent upon distributions from Definitive OpCo to pay dividends, if any, and taxes, make payments under the Tax Receivable Agreement and pay other expenses.”</w:t>
      </w:r>
    </w:p>
    <w:p>
      <w:pPr>
        <w:spacing w:after="0" w:line="159" w:lineRule="exact"/>
        <w:rPr>
          <w:sz w:val="20"/>
          <w:szCs w:val="20"/>
          <w:color w:val="auto"/>
        </w:rPr>
      </w:pPr>
    </w:p>
    <w:p>
      <w:pPr>
        <w:ind w:left="440" w:right="760" w:firstLine="415"/>
        <w:spacing w:after="0" w:line="273" w:lineRule="auto"/>
        <w:rPr>
          <w:sz w:val="20"/>
          <w:szCs w:val="20"/>
          <w:color w:val="auto"/>
        </w:rPr>
      </w:pPr>
      <w:r>
        <w:rPr>
          <w:rFonts w:ascii="Arial" w:cs="Arial" w:eastAsia="Arial" w:hAnsi="Arial"/>
          <w:sz w:val="17"/>
          <w:szCs w:val="17"/>
          <w:color w:val="auto"/>
        </w:rPr>
        <w:t>In 2020 and 2019, Definitive OpCo made cash distributions to its equity holders in aggregate amounts of $2.9 million and $7.0 million, respectively, in connection with equity holder tax obligations.</w:t>
      </w:r>
    </w:p>
    <w:p>
      <w:pPr>
        <w:spacing w:after="0" w:line="166" w:lineRule="exact"/>
        <w:rPr>
          <w:sz w:val="20"/>
          <w:szCs w:val="20"/>
          <w:color w:val="auto"/>
        </w:rPr>
      </w:pPr>
    </w:p>
    <w:p>
      <w:pPr>
        <w:ind w:left="440" w:right="40" w:firstLine="415"/>
        <w:spacing w:after="0" w:line="312" w:lineRule="auto"/>
        <w:rPr>
          <w:sz w:val="20"/>
          <w:szCs w:val="20"/>
          <w:color w:val="auto"/>
        </w:rPr>
      </w:pPr>
      <w:r>
        <w:rPr>
          <w:rFonts w:ascii="Arial" w:cs="Arial" w:eastAsia="Arial" w:hAnsi="Arial"/>
          <w:sz w:val="15"/>
          <w:szCs w:val="15"/>
          <w:color w:val="auto"/>
        </w:rPr>
        <w:t>See “Risk Factors—Risks Related to this Offering and Ownership of Our Class A Common Stock—We do not anticipate paying any dividends on our Class A common stock in the foreseeable future,” “Organizational Structure,” “Management’s Discussion and Analysis of Financial Condition and Results of Operations—Liquidity and Capital Resources,” “Description of Material Indebtedness” and “Description of Capital Stock.”</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0800"/>
          </w:cols>
          <w:pgMar w:left="320" w:top="442" w:right="77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CAPITALIZATION</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sets forth our cash and cash equivalents and our capitalization as of June 30, 2021:</w:t>
      </w:r>
    </w:p>
    <w:p>
      <w:pPr>
        <w:spacing w:after="0" w:line="123" w:lineRule="exact"/>
        <w:rPr>
          <w:sz w:val="20"/>
          <w:szCs w:val="20"/>
          <w:color w:val="auto"/>
        </w:rPr>
      </w:pPr>
    </w:p>
    <w:p>
      <w:pPr>
        <w:ind w:left="1360" w:hanging="519"/>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on an actual basis for Definitive OpCo;</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on an as adjusted basis to reflect the Reorganization Transactions; and</w:t>
      </w:r>
    </w:p>
    <w:p>
      <w:pPr>
        <w:spacing w:after="0" w:line="122" w:lineRule="exact"/>
        <w:rPr>
          <w:rFonts w:ascii="Arial" w:cs="Arial" w:eastAsia="Arial" w:hAnsi="Arial"/>
          <w:sz w:val="17"/>
          <w:szCs w:val="17"/>
          <w:color w:val="auto"/>
        </w:rPr>
      </w:pPr>
    </w:p>
    <w:p>
      <w:pPr>
        <w:ind w:left="1360" w:right="120" w:hanging="519"/>
        <w:spacing w:after="0" w:line="257" w:lineRule="auto"/>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on a pro forma basis after giving effect to the Offering Adjustments described under “Unaudited pro forma consolidated financial information,” including the sale of 15,555,555 shares of our Class A common stock in this offering at an assumed public offering price of $25.00 per share, which is the midpoint of the price range set forth on the cover of this prospectus, and the application of the net proceeds received by us from this offering as described under “Use of Proceeds.”</w:t>
      </w:r>
    </w:p>
    <w:p>
      <w:pPr>
        <w:spacing w:after="0" w:line="180" w:lineRule="exact"/>
        <w:rPr>
          <w:sz w:val="20"/>
          <w:szCs w:val="20"/>
          <w:color w:val="auto"/>
        </w:rPr>
      </w:pPr>
    </w:p>
    <w:p>
      <w:pPr>
        <w:jc w:val="both"/>
        <w:ind w:left="440" w:right="260" w:firstLine="415"/>
        <w:spacing w:after="0" w:line="261" w:lineRule="auto"/>
        <w:rPr>
          <w:sz w:val="20"/>
          <w:szCs w:val="20"/>
          <w:color w:val="auto"/>
        </w:rPr>
      </w:pPr>
      <w:r>
        <w:rPr>
          <w:rFonts w:ascii="Arial" w:cs="Arial" w:eastAsia="Arial" w:hAnsi="Arial"/>
          <w:sz w:val="17"/>
          <w:szCs w:val="17"/>
          <w:color w:val="auto"/>
        </w:rPr>
        <w:t>This table should be read in conjunction with “Use of Proceeds,” “Unaudited Pro Forma Consolidated Financial Information,” “Management’s Discussion and Analysis of Financial Condition and Results of Operations,” “Description of Capital Stock” and the consolidated financial statements and notes thereto appearing elsewhere in this prospectus.</w:t>
      </w:r>
    </w:p>
    <w:p>
      <w:pPr>
        <w:spacing w:after="0" w:line="187"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Definitive Healthcare</w:t>
      </w:r>
    </w:p>
    <w:p>
      <w:pPr>
        <w:jc w:val="center"/>
        <w:ind w:left="7080"/>
        <w:spacing w:after="0" w:line="227" w:lineRule="auto"/>
        <w:rPr>
          <w:sz w:val="20"/>
          <w:szCs w:val="20"/>
          <w:color w:val="auto"/>
        </w:rPr>
      </w:pPr>
      <w:r>
        <w:rPr>
          <w:rFonts w:ascii="Arial" w:cs="Arial" w:eastAsia="Arial" w:hAnsi="Arial"/>
          <w:sz w:val="14"/>
          <w:szCs w:val="14"/>
          <w:b w:val="1"/>
          <w:bCs w:val="1"/>
          <w:color w:val="auto"/>
        </w:rPr>
        <w:t>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4815205</wp:posOffset>
            </wp:positionH>
            <wp:positionV relativeFrom="paragraph">
              <wp:posOffset>-3175</wp:posOffset>
            </wp:positionV>
            <wp:extent cx="20110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011045" cy="8255"/>
                    </a:xfrm>
                    <a:prstGeom prst="rect">
                      <a:avLst/>
                    </a:prstGeom>
                    <a:noFill/>
                  </pic:spPr>
                </pic:pic>
              </a:graphicData>
            </a:graphic>
          </wp:anchor>
        </w:drawing>
      </w:r>
    </w:p>
    <w:p>
      <w:pPr>
        <w:ind w:left="8600"/>
        <w:spacing w:after="0" w:line="218" w:lineRule="auto"/>
        <w:rPr>
          <w:sz w:val="20"/>
          <w:szCs w:val="20"/>
          <w:color w:val="auto"/>
        </w:rPr>
      </w:pPr>
      <w:r>
        <w:rPr>
          <w:rFonts w:ascii="Arial" w:cs="Arial" w:eastAsia="Arial" w:hAnsi="Arial"/>
          <w:sz w:val="14"/>
          <w:szCs w:val="14"/>
          <w:b w:val="1"/>
          <w:bCs w:val="1"/>
          <w:color w:val="auto"/>
        </w:rPr>
        <w:t>As of June 30, 2021</w:t>
      </w:r>
    </w:p>
    <w:tbl>
      <w:tblPr>
        <w:tblLayout w:type="fixed"/>
        <w:tblInd w:w="44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59"/>
              <w:spacing w:after="0" w:line="113" w:lineRule="exact"/>
              <w:rPr>
                <w:sz w:val="20"/>
                <w:szCs w:val="20"/>
                <w:color w:val="auto"/>
              </w:rPr>
            </w:pPr>
            <w:r>
              <w:rPr>
                <w:rFonts w:ascii="Arial" w:cs="Arial" w:eastAsia="Arial" w:hAnsi="Arial"/>
                <w:sz w:val="12"/>
                <w:szCs w:val="12"/>
                <w:b w:val="1"/>
                <w:bCs w:val="1"/>
                <w:color w:val="auto"/>
                <w:w w:val="99"/>
              </w:rPr>
              <w:t>Pro</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702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20"/>
              <w:spacing w:after="0" w:line="140" w:lineRule="exact"/>
              <w:rPr>
                <w:sz w:val="20"/>
                <w:szCs w:val="20"/>
                <w:color w:val="auto"/>
              </w:rPr>
            </w:pPr>
            <w:r>
              <w:rPr>
                <w:rFonts w:ascii="Arial" w:cs="Arial" w:eastAsia="Arial" w:hAnsi="Arial"/>
                <w:sz w:val="14"/>
                <w:szCs w:val="14"/>
                <w:b w:val="1"/>
                <w:bCs w:val="1"/>
                <w:color w:val="auto"/>
                <w:w w:val="85"/>
              </w:rPr>
              <w:t>As Adjusted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93"/>
              </w:rPr>
              <w:t>Forma(1)</w:t>
            </w:r>
          </w:p>
        </w:tc>
        <w:tc>
          <w:tcPr>
            <w:tcW w:w="0" w:type="dxa"/>
            <w:vAlign w:val="bottom"/>
          </w:tcPr>
          <w:p>
            <w:pPr>
              <w:spacing w:after="0"/>
              <w:rPr>
                <w:sz w:val="1"/>
                <w:szCs w:val="1"/>
                <w:color w:val="auto"/>
              </w:rPr>
            </w:pPr>
          </w:p>
        </w:tc>
      </w:tr>
      <w:tr>
        <w:trPr>
          <w:trHeight w:val="148"/>
        </w:trPr>
        <w:tc>
          <w:tcPr>
            <w:tcW w:w="7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7" w:lineRule="exact"/>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0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38,438</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38,438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177,259</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spacing w:after="0"/>
              <w:rPr>
                <w:sz w:val="20"/>
                <w:szCs w:val="20"/>
                <w:color w:val="auto"/>
              </w:rPr>
            </w:pPr>
            <w:r>
              <w:rPr>
                <w:rFonts w:ascii="Arial" w:cs="Arial" w:eastAsia="Arial" w:hAnsi="Arial"/>
                <w:sz w:val="17"/>
                <w:szCs w:val="17"/>
                <w:color w:val="auto"/>
              </w:rPr>
              <w:t>Debt, including current and long-term (2):</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Initial Term Loan Facility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432,241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432,241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265,116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Arial" w:cs="Arial" w:eastAsia="Arial" w:hAnsi="Arial"/>
                <w:sz w:val="17"/>
                <w:szCs w:val="17"/>
                <w:color w:val="auto"/>
              </w:rPr>
              <w:t>Paid in kind interest on Initial Term Loan Facility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10,412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10,412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Delayed Draw Term Facility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17,865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17,865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gridSpan w:val="2"/>
            <w:vMerge w:val="restart"/>
          </w:tcPr>
          <w:p>
            <w:pPr>
              <w:ind w:left="320"/>
              <w:spacing w:after="0"/>
              <w:rPr>
                <w:sz w:val="20"/>
                <w:szCs w:val="20"/>
                <w:color w:val="auto"/>
              </w:rPr>
            </w:pPr>
            <w:r>
              <w:rPr>
                <w:rFonts w:ascii="Arial" w:cs="Arial" w:eastAsia="Arial" w:hAnsi="Arial"/>
                <w:sz w:val="17"/>
                <w:szCs w:val="17"/>
                <w:color w:val="auto"/>
              </w:rPr>
              <w:t>Total Debt (2)</w:t>
            </w: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460,518</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460,518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265,116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0" w:type="dxa"/>
            <w:vAlign w:val="bottom"/>
            <w:gridSpan w:val="2"/>
          </w:tcPr>
          <w:p>
            <w:pPr>
              <w:spacing w:after="0" w:line="191" w:lineRule="exact"/>
              <w:rPr>
                <w:sz w:val="20"/>
                <w:szCs w:val="20"/>
                <w:color w:val="auto"/>
              </w:rPr>
            </w:pPr>
            <w:r>
              <w:rPr>
                <w:rFonts w:ascii="Arial" w:cs="Arial" w:eastAsia="Arial" w:hAnsi="Arial"/>
                <w:sz w:val="17"/>
                <w:szCs w:val="17"/>
                <w:color w:val="auto"/>
                <w:w w:val="99"/>
              </w:rPr>
              <w:t>Class A common stock, $0.001 par value per share, 0 shares authorized, actual, 600,000,000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tcPr>
          <w:p>
            <w:pPr>
              <w:ind w:left="140"/>
              <w:spacing w:after="0"/>
              <w:rPr>
                <w:sz w:val="20"/>
                <w:szCs w:val="20"/>
                <w:color w:val="auto"/>
              </w:rPr>
            </w:pPr>
            <w:r>
              <w:rPr>
                <w:rFonts w:ascii="Arial" w:cs="Arial" w:eastAsia="Arial" w:hAnsi="Arial"/>
                <w:sz w:val="17"/>
                <w:szCs w:val="17"/>
                <w:color w:val="auto"/>
                <w:w w:val="92"/>
              </w:rPr>
              <w:t>authorized, pro forma, 0 shares issued and outstanding, actual and 87,522,796 shares issued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gridSpan w:val="2"/>
          </w:tcPr>
          <w:p>
            <w:pPr>
              <w:ind w:left="140"/>
              <w:spacing w:after="0"/>
              <w:rPr>
                <w:sz w:val="20"/>
                <w:szCs w:val="20"/>
                <w:color w:val="auto"/>
              </w:rPr>
            </w:pPr>
            <w:r>
              <w:rPr>
                <w:rFonts w:ascii="Arial" w:cs="Arial" w:eastAsia="Arial" w:hAnsi="Arial"/>
                <w:sz w:val="17"/>
                <w:szCs w:val="17"/>
                <w:color w:val="auto"/>
              </w:rPr>
              <w:t>outstanding, pro forma.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color w:val="auto"/>
                <w:w w:val="90"/>
              </w:rPr>
              <w:t>Class B common stock no par value per share, 0 shares authorized, actual, 65,000,000 authorized, pro</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w w:val="91"/>
              </w:rPr>
              <w:t>forma, 0 shares issued and outstanding, actual and 60,607,740 shares issued and outstanding, pro</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forma.</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0" w:type="dxa"/>
            <w:vAlign w:val="bottom"/>
            <w:gridSpan w:val="2"/>
          </w:tcPr>
          <w:p>
            <w:pPr>
              <w:spacing w:after="0" w:line="191" w:lineRule="exact"/>
              <w:rPr>
                <w:sz w:val="20"/>
                <w:szCs w:val="20"/>
                <w:color w:val="auto"/>
              </w:rPr>
            </w:pPr>
            <w:r>
              <w:rPr>
                <w:rFonts w:ascii="Arial" w:cs="Arial" w:eastAsia="Arial" w:hAnsi="Arial"/>
                <w:sz w:val="17"/>
                <w:szCs w:val="17"/>
                <w:color w:val="auto"/>
                <w:w w:val="95"/>
              </w:rPr>
              <w:t>Preferred common stock, $0.001 par value per share, 10,000,000 shares authorized, as adjusted,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gridSpan w:val="2"/>
          </w:tcPr>
          <w:p>
            <w:pPr>
              <w:ind w:left="140"/>
              <w:spacing w:after="0"/>
              <w:rPr>
                <w:sz w:val="20"/>
                <w:szCs w:val="20"/>
                <w:color w:val="auto"/>
              </w:rPr>
            </w:pPr>
            <w:r>
              <w:rPr>
                <w:rFonts w:ascii="Arial" w:cs="Arial" w:eastAsia="Arial" w:hAnsi="Arial"/>
                <w:sz w:val="17"/>
                <w:szCs w:val="17"/>
                <w:color w:val="auto"/>
              </w:rPr>
              <w:t>no shares issued and outstanding, actual and pro forma.</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468,620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851,023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tcPr>
          <w:p>
            <w:pPr>
              <w:spacing w:after="0"/>
              <w:rPr>
                <w:sz w:val="20"/>
                <w:szCs w:val="20"/>
                <w:color w:val="auto"/>
              </w:rPr>
            </w:pPr>
            <w:r>
              <w:rPr>
                <w:rFonts w:ascii="Arial" w:cs="Arial" w:eastAsia="Arial" w:hAnsi="Arial"/>
                <w:sz w:val="17"/>
                <w:szCs w:val="17"/>
                <w:color w:val="auto"/>
              </w:rPr>
              <w:t>Accumulated other comprehensive 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Noncontrolling interest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521,871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463,575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gridSpan w:val="2"/>
          </w:tcPr>
          <w:p>
            <w:pPr>
              <w:spacing w:after="0"/>
              <w:rPr>
                <w:sz w:val="20"/>
                <w:szCs w:val="20"/>
                <w:color w:val="auto"/>
              </w:rPr>
            </w:pPr>
            <w:r>
              <w:rPr>
                <w:rFonts w:ascii="Arial" w:cs="Arial" w:eastAsia="Arial" w:hAnsi="Arial"/>
                <w:sz w:val="17"/>
                <w:szCs w:val="17"/>
                <w:color w:val="auto"/>
              </w:rPr>
              <w:t>Members’ 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1,174,360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members capital/stockholders’ equity</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1,174,373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990,576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1,314,699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020" w:type="dxa"/>
            <w:vAlign w:val="bottom"/>
            <w:gridSpan w:val="3"/>
          </w:tcPr>
          <w:p>
            <w:pPr>
              <w:spacing w:after="0"/>
              <w:rPr>
                <w:sz w:val="20"/>
                <w:szCs w:val="20"/>
                <w:color w:val="auto"/>
              </w:rPr>
            </w:pPr>
            <w:r>
              <w:rPr>
                <w:rFonts w:ascii="Arial" w:cs="Arial" w:eastAsia="Arial" w:hAnsi="Arial"/>
                <w:sz w:val="17"/>
                <w:szCs w:val="17"/>
                <w:color w:val="auto"/>
              </w:rPr>
              <w:t>Total Capitalization</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1,634,891</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1,451,094</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1,579,815</w:t>
            </w:r>
          </w:p>
        </w:tc>
        <w:tc>
          <w:tcPr>
            <w:tcW w:w="0" w:type="dxa"/>
            <w:vAlign w:val="bottom"/>
          </w:tcPr>
          <w:p>
            <w:pPr>
              <w:spacing w:after="0"/>
              <w:rPr>
                <w:sz w:val="1"/>
                <w:szCs w:val="1"/>
                <w:color w:val="auto"/>
              </w:rPr>
            </w:pPr>
          </w:p>
        </w:tc>
      </w:tr>
      <w:tr>
        <w:trPr>
          <w:trHeight w:val="20"/>
        </w:trPr>
        <w:tc>
          <w:tcPr>
            <w:tcW w:w="7020" w:type="dxa"/>
            <w:vAlign w:val="bottom"/>
            <w:gridSpan w:val="3"/>
            <w:vMerge w:val="restart"/>
          </w:tcPr>
          <w:p>
            <w:pPr>
              <w:jc w:val="right"/>
              <w:ind w:right="1760"/>
              <w:spacing w:after="0"/>
              <w:rPr>
                <w:sz w:val="20"/>
                <w:szCs w:val="20"/>
                <w:color w:val="auto"/>
              </w:rPr>
            </w:pPr>
            <w:r>
              <w:rPr>
                <w:rFonts w:ascii="Arial" w:cs="Arial" w:eastAsia="Arial" w:hAnsi="Arial"/>
                <w:sz w:val="17"/>
                <w:szCs w:val="17"/>
                <w:color w:val="auto"/>
              </w:rPr>
              <w:t>79</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0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273685</wp:posOffset>
            </wp:positionV>
            <wp:extent cx="72707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40" w:hanging="406"/>
        <w:spacing w:after="0" w:line="254" w:lineRule="auto"/>
        <w:tabs>
          <w:tab w:leader="none" w:pos="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Each $1.00 increase or decrease in the public offering price per share would increase or decrease, as applicable, our net proceeds, after deducting the underwriting discount and estimated offering expenses payable by us, by $14.6 million (assuming no exercise of the underwriters’ option to purchase additional shares). Similarly, an increase or decrease of one million shares of Class A common stock sold in this offering by us would increase or decrease, as applicable, our net proceeds, after deducting the underwriting discount and estimated offering expenses payable by us, by $23.5 million, based on an assumed IPO price of $25.00 per share, which is the midpoint of the price range set forth on the cover of this prospectus.</w:t>
      </w:r>
    </w:p>
    <w:p>
      <w:pPr>
        <w:spacing w:after="0" w:line="94" w:lineRule="exact"/>
        <w:rPr>
          <w:rFonts w:ascii="Arial" w:cs="Arial" w:eastAsia="Arial" w:hAnsi="Arial"/>
          <w:sz w:val="17"/>
          <w:szCs w:val="17"/>
          <w:color w:val="auto"/>
        </w:rPr>
      </w:pPr>
    </w:p>
    <w:p>
      <w:pPr>
        <w:ind w:left="840" w:right="80" w:hanging="406"/>
        <w:spacing w:after="0" w:line="273" w:lineRule="auto"/>
        <w:tabs>
          <w:tab w:leader="none" w:pos="8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For a description of our debt, see “Description of Material Indebtedness.” For a description of our debt refinancing, see “Prospectus Summary— Debt Refinancing.”</w:t>
      </w:r>
    </w:p>
    <w:p>
      <w:pPr>
        <w:spacing w:after="0" w:line="102"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0720"/>
          </w:cols>
          <w:pgMar w:left="320" w:top="442" w:right="85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DILUTION</w:t>
      </w:r>
    </w:p>
    <w:p>
      <w:pPr>
        <w:spacing w:after="0" w:line="216" w:lineRule="exact"/>
        <w:rPr>
          <w:sz w:val="20"/>
          <w:szCs w:val="20"/>
          <w:color w:val="auto"/>
        </w:rPr>
      </w:pPr>
    </w:p>
    <w:p>
      <w:pPr>
        <w:ind w:left="440" w:right="320" w:firstLine="415"/>
        <w:spacing w:after="0" w:line="257" w:lineRule="auto"/>
        <w:rPr>
          <w:sz w:val="20"/>
          <w:szCs w:val="20"/>
          <w:color w:val="auto"/>
        </w:rPr>
      </w:pPr>
      <w:r>
        <w:rPr>
          <w:rFonts w:ascii="Arial" w:cs="Arial" w:eastAsia="Arial" w:hAnsi="Arial"/>
          <w:sz w:val="17"/>
          <w:szCs w:val="17"/>
          <w:color w:val="auto"/>
        </w:rPr>
        <w:t>If you invest in our Class A common stock, you will experience dilution to the extent of the difference between the IPO price per share of our Class A common stock and the pro forma net tangible book value per share of our Class A common stock. Dilution results from the fact that the per share offering price of the Class A common stock is substantially in excess of the pro forma net tangible book value per share attributable to the Continuing Pre-IPO LLC Members.</w:t>
      </w:r>
    </w:p>
    <w:p>
      <w:pPr>
        <w:spacing w:after="0" w:line="180"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The Continuing Pre-IPO LLC Members will maintain their LLC Units in Definitive OpCo after the Reorganization Transactions, but will be able to cause the exchange of their LLC Units for shares of Class A common stock. We have presented dilution in pro forma net tangible book value per share assuming that all of the holders of LLC Units (other than the Company) had their LLC Units exchanged for newly issued shares of Class A common stock on a one-for-one basis and the cancellation for no consideration of all of their shares of Class B common stock (which are not entitled to receive distributions or dividends from the Company) in order to more meaningfully present the dilutive impact on the investors in this offering.</w:t>
      </w:r>
    </w:p>
    <w:p>
      <w:pPr>
        <w:spacing w:after="0" w:line="150" w:lineRule="exact"/>
        <w:rPr>
          <w:sz w:val="20"/>
          <w:szCs w:val="20"/>
          <w:color w:val="auto"/>
        </w:rPr>
      </w:pPr>
    </w:p>
    <w:p>
      <w:pPr>
        <w:ind w:left="440" w:right="60" w:firstLine="415"/>
        <w:spacing w:after="0" w:line="253" w:lineRule="auto"/>
        <w:rPr>
          <w:sz w:val="20"/>
          <w:szCs w:val="20"/>
          <w:color w:val="auto"/>
        </w:rPr>
      </w:pPr>
      <w:r>
        <w:rPr>
          <w:rFonts w:ascii="Arial" w:cs="Arial" w:eastAsia="Arial" w:hAnsi="Arial"/>
          <w:sz w:val="17"/>
          <w:szCs w:val="17"/>
          <w:color w:val="auto"/>
        </w:rPr>
        <w:t>Our pro forma net tangible deficit as of June 30, 2021, would have been approximately $(652.3) million, or $(4.92) per share of our Class A common stock on a fully diluted basis. Pro forma net tangible book value represents the amount of total tangible assets less total liabilities, and pro forma net tangible book value per share represents pro forma net tangible book value divided by the number of shares of common stock outstanding, in each case after giving effect to the Reorganization Transactions (based on an assumed IPO price of $25.00 per share (the midpoint of the estimated IPO price range set forth on the cover page of this prospectus)), assuming that the Continuing Pre-IPO LLC Members exchange all of their LLC Units and shares of Class B common stock for newly issued shares of our Class A common stock on a one-for-one basis (assuming 15,555,555 shares of Class A common stock are sold in this offering).</w:t>
      </w:r>
    </w:p>
    <w:p>
      <w:pPr>
        <w:spacing w:after="0" w:line="18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After giving effect to the Reorganization Transactions, assuming that the Continuing Pre-IPO LLC Members exchange all of their LLC Units for</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newly issued shares of our Class A common stock on a one-for-one basis, and after giving further effect to the sale of 15,555,555 shares of Class A</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common stock in this offering at the assumed IPO price of $25.00 per share (the midpoint of the estimated price range on the cover page of this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prospectus) and the use of the net proceeds from this offering, our pro forma as adjusted net tangible book value would have been approximately</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$(328.1) million, or $(2.22) per share, representing an immediate increase in net tangible deficit of $2.70 per share to existing equity holders and an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immediate dilution in net tangible deficit of $27.22 per share to new investors.</w:t>
      </w:r>
    </w:p>
    <w:p>
      <w:pPr>
        <w:spacing w:after="0" w:line="200"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560" w:type="dxa"/>
            <w:vAlign w:val="bottom"/>
            <w:gridSpan w:val="2"/>
          </w:tcPr>
          <w:p>
            <w:pPr>
              <w:spacing w:after="0"/>
              <w:rPr>
                <w:sz w:val="20"/>
                <w:szCs w:val="20"/>
                <w:color w:val="auto"/>
              </w:rPr>
            </w:pPr>
            <w:r>
              <w:rPr>
                <w:rFonts w:ascii="Arial" w:cs="Arial" w:eastAsia="Arial" w:hAnsi="Arial"/>
                <w:sz w:val="17"/>
                <w:szCs w:val="17"/>
                <w:color w:val="auto"/>
              </w:rPr>
              <w:t>The following table illustrates the per share dilution:</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Assumed IPO price per share</w:t>
            </w:r>
          </w:p>
        </w:tc>
        <w:tc>
          <w:tcPr>
            <w:tcW w:w="260" w:type="dxa"/>
            <w:vAlign w:val="bottom"/>
            <w:shd w:val="clear" w:color="auto" w:fill="CCEEFF"/>
          </w:tcPr>
          <w:p>
            <w:pPr>
              <w:spacing w:after="0"/>
              <w:rPr>
                <w:sz w:val="17"/>
                <w:szCs w:val="17"/>
                <w:color w:val="auto"/>
              </w:rPr>
            </w:pPr>
          </w:p>
        </w:tc>
        <w:tc>
          <w:tcPr>
            <w:tcW w:w="1740" w:type="dxa"/>
            <w:vAlign w:val="bottom"/>
            <w:gridSpan w:val="4"/>
            <w:shd w:val="clear" w:color="auto" w:fill="CCEEFF"/>
          </w:tcPr>
          <w:p>
            <w:pPr>
              <w:ind w:left="1160"/>
              <w:spacing w:after="0"/>
              <w:rPr>
                <w:sz w:val="20"/>
                <w:szCs w:val="20"/>
                <w:color w:val="auto"/>
              </w:rPr>
            </w:pPr>
            <w:r>
              <w:rPr>
                <w:rFonts w:ascii="Arial" w:cs="Arial" w:eastAsia="Arial" w:hAnsi="Arial"/>
                <w:sz w:val="17"/>
                <w:szCs w:val="17"/>
                <w:color w:val="auto"/>
              </w:rPr>
              <w:t>$25.00</w:t>
            </w: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Pro forma net tangible deficit per share as of June 30, 2021</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0"/>
              <w:spacing w:after="0"/>
              <w:rPr>
                <w:sz w:val="20"/>
                <w:szCs w:val="20"/>
                <w:color w:val="auto"/>
              </w:rPr>
            </w:pPr>
            <w:r>
              <w:rPr>
                <w:rFonts w:ascii="Arial" w:cs="Arial" w:eastAsia="Arial" w:hAnsi="Arial"/>
                <w:sz w:val="17"/>
                <w:szCs w:val="17"/>
                <w:color w:val="auto"/>
              </w:rPr>
              <w:t>(4.92)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Increase in pro forma net tangible deficit per share attributable to new investors</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Pro forma as adjusted net tangible deficit per share after this offering</w:t>
            </w:r>
          </w:p>
        </w:tc>
        <w:tc>
          <w:tcPr>
            <w:tcW w:w="2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7"/>
                <w:szCs w:val="17"/>
                <w:color w:val="auto"/>
                <w:w w:val="95"/>
              </w:rPr>
              <w:t>$ (2.22)</w:t>
            </w: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Dilution in net tangible deficit per share to new investors in this offering</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27.22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60" w:hanging="519"/>
        <w:spacing w:after="0" w:line="273" w:lineRule="auto"/>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Reflects 132,574,981 outstanding shares of Class A common stock (assuming all LLC Units and corresponding shares of Class B common stock held by the Continuing Pre-IPO LLC Members are exchanged for shares of Class A common stock).</w:t>
      </w:r>
    </w:p>
    <w:p>
      <w:pPr>
        <w:spacing w:after="0" w:line="76" w:lineRule="exact"/>
        <w:rPr>
          <w:rFonts w:ascii="Arial" w:cs="Arial" w:eastAsia="Arial" w:hAnsi="Arial"/>
          <w:sz w:val="17"/>
          <w:szCs w:val="17"/>
          <w:color w:val="auto"/>
        </w:rPr>
      </w:pPr>
    </w:p>
    <w:p>
      <w:pPr>
        <w:ind w:left="1360" w:right="280" w:hanging="519"/>
        <w:spacing w:after="0" w:line="273" w:lineRule="auto"/>
        <w:tabs>
          <w:tab w:leader="none" w:pos="13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Reflects 148,130,536 outstanding shares, consisting of (i) 15,555,555 shares of Class A common stock to be issued in this offering and (ii) the 132,574,981 outstanding shares described in note (1) above.</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0760"/>
          </w:cols>
          <w:pgMar w:left="320" w:top="442" w:right="81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Dilution is determined by subtracting pro forma net tangible book value per share after this offering from the IPO price per share of Class A common stock.</w:t>
      </w:r>
    </w:p>
    <w:p>
      <w:pPr>
        <w:spacing w:after="0" w:line="166" w:lineRule="exact"/>
        <w:rPr>
          <w:sz w:val="20"/>
          <w:szCs w:val="20"/>
          <w:color w:val="auto"/>
        </w:rPr>
      </w:pPr>
    </w:p>
    <w:p>
      <w:pPr>
        <w:ind w:left="440" w:right="140" w:firstLine="415"/>
        <w:spacing w:after="0" w:line="254" w:lineRule="auto"/>
        <w:rPr>
          <w:sz w:val="20"/>
          <w:szCs w:val="20"/>
          <w:color w:val="auto"/>
        </w:rPr>
      </w:pPr>
      <w:r>
        <w:rPr>
          <w:rFonts w:ascii="Arial" w:cs="Arial" w:eastAsia="Arial" w:hAnsi="Arial"/>
          <w:sz w:val="17"/>
          <w:szCs w:val="17"/>
          <w:color w:val="auto"/>
        </w:rPr>
        <w:t>A $1.00 increase (decrease) in the assumed IPO price of $25.00 per share would increase (decrease) our pro forma net tangible book value after this offering by $14.6 million and the dilution per share to new investors by $0.17, in each case assuming the number of shares offered, as set forth on the cover page of this prospectus, remains the same. Each increase (decrease) of 1,000,000 shares in the number of shares sold by us in this offering, as set forth on the cover page of this prospectus, would increase (decrease) the net proceeds to us from this offering by approximately $23.5 million, assuming the assumed IPO price of $25.00 per share (the midpoint of the estimated price range set forth on the cover page of this prospectus) remains the same.</w:t>
      </w:r>
    </w:p>
    <w:p>
      <w:pPr>
        <w:spacing w:after="0" w:line="183"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To the extent the underwriters’ option to purchase additional shares of Class A common stock is exercised, there will be further dilution to new investors.</w:t>
      </w:r>
    </w:p>
    <w:p>
      <w:pPr>
        <w:spacing w:after="0" w:line="166" w:lineRule="exact"/>
        <w:rPr>
          <w:sz w:val="20"/>
          <w:szCs w:val="20"/>
          <w:color w:val="auto"/>
        </w:rPr>
      </w:pPr>
    </w:p>
    <w:p>
      <w:pPr>
        <w:ind w:left="440" w:right="20" w:firstLine="415"/>
        <w:spacing w:after="0" w:line="253" w:lineRule="auto"/>
        <w:rPr>
          <w:sz w:val="20"/>
          <w:szCs w:val="20"/>
          <w:color w:val="auto"/>
        </w:rPr>
      </w:pPr>
      <w:r>
        <w:rPr>
          <w:rFonts w:ascii="Arial" w:cs="Arial" w:eastAsia="Arial" w:hAnsi="Arial"/>
          <w:sz w:val="17"/>
          <w:szCs w:val="17"/>
          <w:color w:val="auto"/>
        </w:rPr>
        <w:t>The following table illustrates, as of June 30, 2021, after giving effect to the Reorganization Transactions, assuming that the Continuing Pre-IPO LLC Members exchange all of their LLC Units for newly issued shares of our Class A common stock on a one-for-one basis, and after giving further effect to the sale by us of shares of our Class A common stock in this offering at the IPO price of $25.00 per share (the midpoint of the estimated IPO price range set forth on the cover page of this prospectus), the difference between the Pre-IPO LLC Members, and the investors purchasing shares of our Class A common stock in this offering with respect to the number of shares of our common stock purchased from us, the total consideration paid or to be paid to us, and the average price per share paid or to be paid to us, before deducting underwriting discounts and commissions and the estimated offering expenses payable by us:</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00" w:type="dxa"/>
            <w:vAlign w:val="bottom"/>
            <w:gridSpan w:val="4"/>
            <w:vMerge w:val="restart"/>
          </w:tcPr>
          <w:p>
            <w:pPr>
              <w:jc w:val="right"/>
              <w:ind w:right="560"/>
              <w:spacing w:after="0"/>
              <w:rPr>
                <w:sz w:val="20"/>
                <w:szCs w:val="20"/>
                <w:color w:val="auto"/>
              </w:rPr>
            </w:pPr>
            <w:r>
              <w:rPr>
                <w:rFonts w:ascii="Arial" w:cs="Arial" w:eastAsia="Arial" w:hAnsi="Arial"/>
                <w:sz w:val="14"/>
                <w:szCs w:val="14"/>
                <w:b w:val="1"/>
                <w:bCs w:val="1"/>
                <w:color w:val="auto"/>
              </w:rPr>
              <w:t>Shares Purchased</w:t>
            </w:r>
          </w:p>
        </w:tc>
        <w:tc>
          <w:tcPr>
            <w:tcW w:w="216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5460" w:type="dxa"/>
            <w:vAlign w:val="bottom"/>
          </w:tcPr>
          <w:p>
            <w:pPr>
              <w:spacing w:after="0"/>
              <w:rPr>
                <w:sz w:val="6"/>
                <w:szCs w:val="6"/>
                <w:color w:val="auto"/>
              </w:rPr>
            </w:pPr>
          </w:p>
        </w:tc>
        <w:tc>
          <w:tcPr>
            <w:tcW w:w="2000" w:type="dxa"/>
            <w:vAlign w:val="bottom"/>
            <w:gridSpan w:val="4"/>
            <w:vMerge w:val="continue"/>
          </w:tcPr>
          <w:p>
            <w:pPr>
              <w:spacing w:after="0"/>
              <w:rPr>
                <w:sz w:val="6"/>
                <w:szCs w:val="6"/>
                <w:color w:val="auto"/>
              </w:rPr>
            </w:pPr>
          </w:p>
        </w:tc>
        <w:tc>
          <w:tcPr>
            <w:tcW w:w="2160" w:type="dxa"/>
            <w:vAlign w:val="bottom"/>
            <w:gridSpan w:val="4"/>
            <w:vMerge w:val="continue"/>
          </w:tcPr>
          <w:p>
            <w:pPr>
              <w:spacing w:after="0"/>
              <w:rPr>
                <w:sz w:val="6"/>
                <w:szCs w:val="6"/>
                <w:color w:val="auto"/>
              </w:rPr>
            </w:pPr>
          </w:p>
        </w:tc>
        <w:tc>
          <w:tcPr>
            <w:tcW w:w="740" w:type="dxa"/>
            <w:vAlign w:val="bottom"/>
            <w:gridSpan w:val="3"/>
            <w:vMerge w:val="restart"/>
          </w:tcPr>
          <w:p>
            <w:pPr>
              <w:jc w:val="center"/>
              <w:ind w:right="60"/>
              <w:spacing w:after="0" w:line="140" w:lineRule="exact"/>
              <w:rPr>
                <w:sz w:val="20"/>
                <w:szCs w:val="20"/>
                <w:color w:val="auto"/>
              </w:rPr>
            </w:pPr>
            <w:r>
              <w:rPr>
                <w:rFonts w:ascii="Arial" w:cs="Arial" w:eastAsia="Arial" w:hAnsi="Arial"/>
                <w:sz w:val="14"/>
                <w:szCs w:val="14"/>
                <w:b w:val="1"/>
                <w:bCs w:val="1"/>
                <w:color w:val="auto"/>
                <w:w w:val="85"/>
              </w:rPr>
              <w:t>Price Per</w:t>
            </w: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546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Percent</w:t>
            </w:r>
          </w:p>
        </w:tc>
        <w:tc>
          <w:tcPr>
            <w:tcW w:w="1320" w:type="dxa"/>
            <w:vAlign w:val="bottom"/>
            <w:gridSpan w:val="2"/>
          </w:tcPr>
          <w:p>
            <w:pPr>
              <w:ind w:left="3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w:t>
            </w:r>
          </w:p>
        </w:tc>
        <w:tc>
          <w:tcPr>
            <w:tcW w:w="100" w:type="dxa"/>
            <w:vAlign w:val="bottom"/>
          </w:tcPr>
          <w:p>
            <w:pPr>
              <w:spacing w:after="0"/>
              <w:rPr>
                <w:sz w:val="13"/>
                <w:szCs w:val="13"/>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Share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Pre-IPO LLC Members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132,574,981</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1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1,298,076,652</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7"/>
                <w:szCs w:val="17"/>
                <w:color w:val="auto"/>
              </w:rPr>
              <w:t>Investors in this offering</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15,555,555</w:t>
            </w: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10.5%</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388,888,889</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23.1%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25.00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148,130,536</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100.0%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1,686,965,541</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440" w:right="120" w:firstLine="415"/>
        <w:spacing w:after="0" w:line="261" w:lineRule="auto"/>
        <w:rPr>
          <w:sz w:val="20"/>
          <w:szCs w:val="20"/>
          <w:color w:val="auto"/>
        </w:rPr>
      </w:pPr>
      <w:r>
        <w:rPr>
          <w:rFonts w:ascii="Arial" w:cs="Arial" w:eastAsia="Arial" w:hAnsi="Arial"/>
          <w:sz w:val="17"/>
          <w:szCs w:val="17"/>
          <w:color w:val="auto"/>
        </w:rPr>
        <w:t>We may choose to raise additional capital due to market conditions or strategic considerations even if we believe we have sufficient funds for our current or future operating plans. To the extent additional capital is raised through the sale of equity or convertible debt securities, the issuance of these securities could result in further dilution to holders of our Class A common stock.</w:t>
      </w:r>
    </w:p>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0820"/>
          </w:cols>
          <w:pgMar w:left="320" w:top="442" w:right="75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UNAUDITED PRO FORMA CONSOLIDATED FINANCIAL INFORMATION</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following unaudited pro forma consolidated statements of operations for the year ended December 31, 2020 and six months ended June 30,</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2021 give effect to the pro forma adjustments related to (i) the Reorganization Transactions, which we refer to as the “Transactions Adjustments” and</w:t>
      </w:r>
    </w:p>
    <w:p>
      <w:pPr>
        <w:spacing w:after="0" w:line="31" w:lineRule="exact"/>
        <w:rPr>
          <w:sz w:val="20"/>
          <w:szCs w:val="20"/>
          <w:color w:val="auto"/>
        </w:rPr>
      </w:pPr>
    </w:p>
    <w:p>
      <w:pPr>
        <w:ind w:left="440" w:right="80" w:hanging="6"/>
        <w:spacing w:after="0" w:line="289" w:lineRule="auto"/>
        <w:tabs>
          <w:tab w:leader="none" w:pos="690"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IPO Transactions, including the sale of 15,555,555 shares of Class A common stock and the application of the net proceeds from this offering, which we refer to as the “Offering Adjustments.” We refer to the Reorganization Transactions and the IPO Transactions collectively as the “Transactions.” The unaudited pro forma consolidated statements of operations for the year ended December 31, 2020 and six months ended June 30, 2021 give pro forma effect to the Transactions as if they had occurred on January 1, 2020. The unaudited pro forma balance sheet information as of June 30, 2021 gives effect to the pro forma adjustments as if they had occurred on June 30, 2021. See “Capitalization.” The unaudited pro forma financial information has been prepared by our management and is based on Definitive OpCo’s historical financial statements and the assumptions and adjustments described in the notes to the unaudited pro forma financial information below. The presentation of the unaudited pro forma financial information is prepared in conformity with Article 11 of Regulation S-X rules effective January 1, 2021.</w:t>
      </w:r>
    </w:p>
    <w:p>
      <w:pPr>
        <w:spacing w:after="0" w:line="159" w:lineRule="exact"/>
        <w:rPr>
          <w:sz w:val="20"/>
          <w:szCs w:val="20"/>
          <w:color w:val="auto"/>
        </w:rPr>
      </w:pPr>
    </w:p>
    <w:p>
      <w:pPr>
        <w:ind w:left="440" w:right="60" w:firstLine="415"/>
        <w:spacing w:after="0" w:line="306" w:lineRule="auto"/>
        <w:rPr>
          <w:sz w:val="20"/>
          <w:szCs w:val="20"/>
          <w:color w:val="auto"/>
        </w:rPr>
      </w:pPr>
      <w:r>
        <w:rPr>
          <w:rFonts w:ascii="Arial" w:cs="Arial" w:eastAsia="Arial" w:hAnsi="Arial"/>
          <w:sz w:val="16"/>
          <w:szCs w:val="16"/>
          <w:color w:val="auto"/>
        </w:rPr>
        <w:t>Our historical financial information as of June 30, 2021 and for the year ended December 31, 2020 and six months ended June 30, 2021 has been derived from Definitive OpCo’s consolidated financial statements and accompanying notes included elsewhere in this prospectus.</w:t>
      </w:r>
    </w:p>
    <w:p>
      <w:pPr>
        <w:spacing w:after="0" w:line="141"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Definitive OpCo.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67"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pro forma adjustments related to the Reorganization Transactions, which we refer to as the “Transactions Adjustments” are described in the notes to the unaudited pro forma consolidated financial information and primarily include:</w:t>
      </w:r>
    </w:p>
    <w:p>
      <w:pPr>
        <w:spacing w:after="0" w:line="77" w:lineRule="exact"/>
        <w:rPr>
          <w:sz w:val="20"/>
          <w:szCs w:val="20"/>
          <w:color w:val="auto"/>
        </w:rPr>
      </w:pPr>
    </w:p>
    <w:p>
      <w:pPr>
        <w:ind w:left="840" w:hanging="304"/>
        <w:spacing w:after="0"/>
        <w:tabs>
          <w:tab w:leader="none" w:pos="8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adjustments for the Reorganization Transactions, the entry into the Amended LLC Agreement and the entry into a Tax Receivable Agreement;</w:t>
      </w:r>
    </w:p>
    <w:p>
      <w:pPr>
        <w:spacing w:after="0" w:line="145" w:lineRule="exact"/>
        <w:rPr>
          <w:rFonts w:ascii="Arial" w:cs="Arial" w:eastAsia="Arial" w:hAnsi="Arial"/>
          <w:sz w:val="15"/>
          <w:szCs w:val="15"/>
          <w:color w:val="auto"/>
        </w:rPr>
      </w:pPr>
    </w:p>
    <w:p>
      <w:pPr>
        <w:ind w:left="840" w:right="120" w:hanging="304"/>
        <w:spacing w:after="0" w:line="306" w:lineRule="auto"/>
        <w:tabs>
          <w:tab w:leader="none" w:pos="8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recognition of a non-controlling interest in Definitive OpCo held by the Continuing Pre-IPO LLC Members, which will be exchangeable for shares of Class A common stock on a one-for-one basis in accordance with the terms of the Amended LLC Agreement; and</w:t>
      </w:r>
    </w:p>
    <w:p>
      <w:pPr>
        <w:spacing w:after="0" w:line="52" w:lineRule="exact"/>
        <w:rPr>
          <w:rFonts w:ascii="Arial" w:cs="Arial" w:eastAsia="Arial" w:hAnsi="Arial"/>
          <w:sz w:val="16"/>
          <w:szCs w:val="16"/>
          <w:color w:val="auto"/>
        </w:rPr>
      </w:pPr>
    </w:p>
    <w:p>
      <w:pPr>
        <w:ind w:left="840" w:hanging="304"/>
        <w:spacing w:after="0"/>
        <w:tabs>
          <w:tab w:leader="none" w:pos="8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provision for federal and state income taxes of Definitive Healthcare Corp. as a taxable corporation;</w:t>
      </w:r>
    </w:p>
    <w:p>
      <w:pPr>
        <w:spacing w:after="0" w:line="212"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7"/>
          <w:szCs w:val="17"/>
          <w:color w:val="auto"/>
        </w:rPr>
        <w:t>The pro forma adjustments related to the IPO Transactions, which we refer to as the “Offering Adjustments,” are described in the notes to the unaudited pro forma consolidated financial information and primarily include:</w:t>
      </w:r>
    </w:p>
    <w:p>
      <w:pPr>
        <w:spacing w:after="0" w:line="77" w:lineRule="exact"/>
        <w:rPr>
          <w:sz w:val="20"/>
          <w:szCs w:val="20"/>
          <w:color w:val="auto"/>
        </w:rPr>
      </w:pPr>
    </w:p>
    <w:p>
      <w:pPr>
        <w:ind w:left="840" w:right="20" w:hanging="304"/>
        <w:spacing w:after="0" w:line="261" w:lineRule="auto"/>
        <w:tabs>
          <w:tab w:leader="none" w:pos="8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issuance of shares of our Class A common stock to the purchasers in this offering in exchange for net proceeds of approximately $365.6 million, assuming that the shares are offered at $25.00 per share (the midpoint of the price range listed on the cover page of this prospectus), after deducting underwriting discounts and commissions but before offering expenses;</w:t>
      </w:r>
    </w:p>
    <w:p>
      <w:pPr>
        <w:spacing w:after="0" w:line="87" w:lineRule="exact"/>
        <w:rPr>
          <w:rFonts w:ascii="Arial" w:cs="Arial" w:eastAsia="Arial" w:hAnsi="Arial"/>
          <w:sz w:val="17"/>
          <w:szCs w:val="17"/>
          <w:color w:val="auto"/>
        </w:rPr>
      </w:pPr>
    </w:p>
    <w:p>
      <w:pPr>
        <w:ind w:left="840" w:right="140" w:hanging="304"/>
        <w:spacing w:after="0" w:line="302" w:lineRule="auto"/>
        <w:tabs>
          <w:tab w:leader="none" w:pos="84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application by Definitive Healthcare Corp. of the net proceeds from this offering to (i) repay a portion of outstanding debt (ii) acquire newly issued LLC Units from Definitive OpCo, (iii) acquire LLC Units from certain Pre-IPO LLC Members and (iv) repurchase shares of our Class A common stock received by the Blocker Company equityholders in connection with the Mergers at a purchase price per LLC Unit and share of Class A common stock, in each case equal to the IPO price of Class A common stock net of underwriting discounts and commissions; and</w:t>
      </w:r>
    </w:p>
    <w:p>
      <w:pPr>
        <w:spacing w:after="0" w:line="8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0740"/>
          </w:cols>
          <w:pgMar w:left="320" w:top="442" w:right="83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320" w:hanging="304"/>
        <w:spacing w:after="0" w:line="261" w:lineRule="auto"/>
        <w:tabs>
          <w:tab w:leader="none" w:pos="8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application by Definitive OpCo of a portion of the proceeds of the sale of LLC Units to Definitive Healthcare Corp. to (i) pay fees and expenses of approximately $10.1 million in connection with this offering and the Reorganization Transactions and (ii) as otherwise set forth in “Use of Proceeds.”</w:t>
      </w:r>
    </w:p>
    <w:p>
      <w:pPr>
        <w:spacing w:after="0" w:line="176"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6"/>
          <w:szCs w:val="16"/>
          <w:color w:val="auto"/>
        </w:rPr>
        <w:t>We are in the process of implementing additional procedures and processes for the purpose of addressing the standards and requirements applicable to public companies. We expect to incur additional annual expenses 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w:t>
      </w:r>
    </w:p>
    <w:p>
      <w:pPr>
        <w:spacing w:after="0" w:line="169" w:lineRule="exact"/>
        <w:rPr>
          <w:sz w:val="20"/>
          <w:szCs w:val="20"/>
          <w:color w:val="auto"/>
        </w:rPr>
      </w:pPr>
    </w:p>
    <w:p>
      <w:pPr>
        <w:ind w:left="440" w:right="120" w:firstLine="415"/>
        <w:spacing w:after="0" w:line="261" w:lineRule="auto"/>
        <w:rPr>
          <w:sz w:val="20"/>
          <w:szCs w:val="20"/>
          <w:color w:val="auto"/>
        </w:rPr>
      </w:pPr>
      <w:r>
        <w:rPr>
          <w:rFonts w:ascii="Arial" w:cs="Arial" w:eastAsia="Arial" w:hAnsi="Arial"/>
          <w:sz w:val="17"/>
          <w:szCs w:val="17"/>
          <w:color w:val="auto"/>
        </w:rPr>
        <w:t>Because Definitive Healthcare Corp. was formed on May 5, 2021 and will have no material assets or results of operations until the completion of the IPO, its historical financial information is not included in the unaudited pro forma consolidated financial information for the year ended December 31, 2020 and six months ended June 30, 2021.</w:t>
      </w:r>
    </w:p>
    <w:p>
      <w:pPr>
        <w:spacing w:after="0" w:line="176"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w:t>
      </w:r>
    </w:p>
    <w:p>
      <w:pPr>
        <w:spacing w:after="0" w:line="149" w:lineRule="exact"/>
        <w:rPr>
          <w:sz w:val="20"/>
          <w:szCs w:val="20"/>
          <w:color w:val="auto"/>
        </w:rPr>
      </w:pPr>
    </w:p>
    <w:p>
      <w:pPr>
        <w:ind w:left="440" w:right="340" w:firstLine="415"/>
        <w:spacing w:after="0" w:line="261" w:lineRule="auto"/>
        <w:rPr>
          <w:sz w:val="20"/>
          <w:szCs w:val="20"/>
          <w:color w:val="auto"/>
        </w:rPr>
      </w:pPr>
      <w:r>
        <w:rPr>
          <w:rFonts w:ascii="Arial" w:cs="Arial" w:eastAsia="Arial" w:hAnsi="Arial"/>
          <w:sz w:val="17"/>
          <w:szCs w:val="17"/>
          <w:color w:val="auto"/>
        </w:rPr>
        <w:t>The unaudited pro forma consolidated financial information should be read together with “Organizational Structure,” “Capitalization,” “Management’s Discussion and Analysis of Financial Condition and Results of Operations” and our historical financial statements and related notes thereto included elsewhere in this prospectus.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0820"/>
          </w:cols>
          <w:pgMar w:left="320" w:top="442" w:right="75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 PRO FORMA CONSOLIDATED</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STATEMENT OF OPERATIONS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SIX MONTHS ENDED JUNE 30, 2021</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78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90"/>
              </w:rPr>
              <w:t>Historical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480"/>
              <w:spacing w:after="0" w:line="140" w:lineRule="exact"/>
              <w:rPr>
                <w:sz w:val="20"/>
                <w:szCs w:val="20"/>
                <w:color w:val="auto"/>
              </w:rPr>
            </w:pPr>
            <w:r>
              <w:rPr>
                <w:rFonts w:ascii="Arial" w:cs="Arial" w:eastAsia="Arial" w:hAnsi="Arial"/>
                <w:sz w:val="14"/>
                <w:szCs w:val="14"/>
                <w:b w:val="1"/>
                <w:bCs w:val="1"/>
                <w:color w:val="auto"/>
                <w:w w:val="96"/>
              </w:rPr>
              <w:t>Pro forma</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Definitive</w:t>
            </w: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78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8"/>
              </w:rPr>
              <w:t>Definitive</w:t>
            </w:r>
          </w:p>
        </w:tc>
        <w:tc>
          <w:tcPr>
            <w:tcW w:w="100" w:type="dxa"/>
            <w:vAlign w:val="bottom"/>
          </w:tcPr>
          <w:p>
            <w:pPr>
              <w:spacing w:after="0"/>
              <w:rPr>
                <w:sz w:val="12"/>
                <w:szCs w:val="12"/>
                <w:color w:val="auto"/>
              </w:rPr>
            </w:pPr>
          </w:p>
        </w:tc>
        <w:tc>
          <w:tcPr>
            <w:tcW w:w="920" w:type="dxa"/>
            <w:vAlign w:val="bottom"/>
            <w:gridSpan w:val="3"/>
          </w:tcPr>
          <w:p>
            <w:pPr>
              <w:ind w:left="40"/>
              <w:spacing w:after="0" w:line="140" w:lineRule="exact"/>
              <w:rPr>
                <w:sz w:val="20"/>
                <w:szCs w:val="20"/>
                <w:color w:val="auto"/>
              </w:rPr>
            </w:pPr>
            <w:r>
              <w:rPr>
                <w:rFonts w:ascii="Arial" w:cs="Arial" w:eastAsia="Arial" w:hAnsi="Arial"/>
                <w:sz w:val="14"/>
                <w:szCs w:val="14"/>
                <w:b w:val="1"/>
                <w:bCs w:val="1"/>
                <w:color w:val="auto"/>
              </w:rPr>
              <w:t>Transaction</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500"/>
              <w:spacing w:after="0" w:line="140" w:lineRule="exact"/>
              <w:rPr>
                <w:sz w:val="20"/>
                <w:szCs w:val="20"/>
                <w:color w:val="auto"/>
              </w:rPr>
            </w:pPr>
            <w:r>
              <w:rPr>
                <w:rFonts w:ascii="Arial" w:cs="Arial" w:eastAsia="Arial" w:hAnsi="Arial"/>
                <w:sz w:val="14"/>
                <w:szCs w:val="14"/>
                <w:b w:val="1"/>
                <w:bCs w:val="1"/>
                <w:color w:val="auto"/>
                <w:w w:val="98"/>
              </w:rPr>
              <w:t>Definitive</w:t>
            </w:r>
          </w:p>
        </w:tc>
        <w:tc>
          <w:tcPr>
            <w:tcW w:w="100" w:type="dxa"/>
            <w:vAlign w:val="bottom"/>
          </w:tcPr>
          <w:p>
            <w:pPr>
              <w:spacing w:after="0"/>
              <w:rPr>
                <w:sz w:val="12"/>
                <w:szCs w:val="12"/>
                <w:color w:val="auto"/>
              </w:rPr>
            </w:pPr>
          </w:p>
        </w:tc>
        <w:tc>
          <w:tcPr>
            <w:tcW w:w="760" w:type="dxa"/>
            <w:vAlign w:val="bottom"/>
            <w:gridSpan w:val="2"/>
          </w:tcPr>
          <w:p>
            <w:pPr>
              <w:jc w:val="right"/>
              <w:ind w:right="260"/>
              <w:spacing w:after="0" w:line="140" w:lineRule="exact"/>
              <w:rPr>
                <w:sz w:val="20"/>
                <w:szCs w:val="20"/>
                <w:color w:val="auto"/>
              </w:rPr>
            </w:pPr>
            <w:r>
              <w:rPr>
                <w:rFonts w:ascii="Arial" w:cs="Arial" w:eastAsia="Arial" w:hAnsi="Arial"/>
                <w:sz w:val="14"/>
                <w:szCs w:val="14"/>
                <w:b w:val="1"/>
                <w:bCs w:val="1"/>
                <w:color w:val="auto"/>
                <w:w w:val="88"/>
              </w:rPr>
              <w:t>Offering</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9"/>
              </w:rPr>
              <w:t>Healthcare</w:t>
            </w:r>
          </w:p>
        </w:tc>
        <w:tc>
          <w:tcPr>
            <w:tcW w:w="0" w:type="dxa"/>
            <w:vAlign w:val="bottom"/>
          </w:tcPr>
          <w:p>
            <w:pPr>
              <w:spacing w:after="0"/>
              <w:rPr>
                <w:sz w:val="1"/>
                <w:szCs w:val="1"/>
                <w:color w:val="auto"/>
              </w:rPr>
            </w:pPr>
          </w:p>
        </w:tc>
      </w:tr>
      <w:tr>
        <w:trPr>
          <w:trHeight w:val="160"/>
        </w:trPr>
        <w:tc>
          <w:tcPr>
            <w:tcW w:w="4540" w:type="dxa"/>
            <w:vAlign w:val="bottom"/>
          </w:tcPr>
          <w:p>
            <w:pPr>
              <w:spacing w:after="0"/>
              <w:rPr>
                <w:sz w:val="13"/>
                <w:szCs w:val="13"/>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OpCo</w:t>
            </w:r>
          </w:p>
        </w:tc>
        <w:tc>
          <w:tcPr>
            <w:tcW w:w="10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Healthcare Corp.</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71"/>
        </w:trPr>
        <w:tc>
          <w:tcPr>
            <w:tcW w:w="454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 in thousands, except per share data)</w:t>
            </w: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6"/>
                <w:szCs w:val="16"/>
                <w:b w:val="1"/>
                <w:bCs w:val="1"/>
                <w:color w:val="auto"/>
              </w:rPr>
              <w:t>Revenue</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w w:val="93"/>
              </w:rPr>
              <w:t>$ 76,757</w:t>
            </w:r>
          </w:p>
        </w:tc>
        <w:tc>
          <w:tcPr>
            <w:tcW w:w="28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76,757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76,757</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320"/>
              <w:spacing w:after="0"/>
              <w:rPr>
                <w:sz w:val="20"/>
                <w:szCs w:val="20"/>
                <w:color w:val="auto"/>
              </w:rPr>
            </w:pPr>
            <w:r>
              <w:rPr>
                <w:rFonts w:ascii="Arial" w:cs="Arial" w:eastAsia="Arial" w:hAnsi="Arial"/>
                <w:sz w:val="16"/>
                <w:szCs w:val="16"/>
                <w:color w:val="auto"/>
              </w:rPr>
              <w:t>Cost of revenue exclusive of amortization shown below</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8,766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8,766</w:t>
            </w:r>
          </w:p>
        </w:tc>
        <w:tc>
          <w:tcPr>
            <w:tcW w:w="10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8,766</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Amortization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10,540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10,540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10,540</w:t>
            </w:r>
          </w:p>
        </w:tc>
        <w:tc>
          <w:tcPr>
            <w:tcW w:w="0" w:type="dxa"/>
            <w:vAlign w:val="bottom"/>
          </w:tcPr>
          <w:p>
            <w:pPr>
              <w:spacing w:after="0"/>
              <w:rPr>
                <w:sz w:val="1"/>
                <w:szCs w:val="1"/>
                <w:color w:val="auto"/>
              </w:rPr>
            </w:pPr>
          </w:p>
        </w:tc>
      </w:tr>
      <w:tr>
        <w:trPr>
          <w:trHeight w:val="196"/>
        </w:trPr>
        <w:tc>
          <w:tcPr>
            <w:tcW w:w="4540" w:type="dxa"/>
            <w:vAlign w:val="bottom"/>
          </w:tcPr>
          <w:p>
            <w:pPr>
              <w:ind w:left="640"/>
              <w:spacing w:after="0"/>
              <w:rPr>
                <w:sz w:val="20"/>
                <w:szCs w:val="20"/>
                <w:color w:val="auto"/>
              </w:rPr>
            </w:pPr>
            <w:r>
              <w:rPr>
                <w:rFonts w:ascii="Arial" w:cs="Arial" w:eastAsia="Arial" w:hAnsi="Arial"/>
                <w:sz w:val="16"/>
                <w:szCs w:val="16"/>
                <w:color w:val="auto"/>
              </w:rPr>
              <w:t>Gross Profit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57,451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57,451</w:t>
            </w: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57,451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320"/>
              <w:spacing w:after="0"/>
              <w:rPr>
                <w:sz w:val="20"/>
                <w:szCs w:val="20"/>
                <w:color w:val="auto"/>
              </w:rPr>
            </w:pPr>
            <w:r>
              <w:rPr>
                <w:rFonts w:ascii="Arial" w:cs="Arial" w:eastAsia="Arial" w:hAnsi="Arial"/>
                <w:sz w:val="16"/>
                <w:szCs w:val="16"/>
                <w:color w:val="auto"/>
              </w:rPr>
              <w:t>Sales and marketing</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24,627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24,627</w:t>
            </w:r>
          </w:p>
        </w:tc>
        <w:tc>
          <w:tcPr>
            <w:tcW w:w="10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24,627</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Product development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8,071</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8,071</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8,071</w:t>
            </w:r>
          </w:p>
        </w:tc>
        <w:tc>
          <w:tcPr>
            <w:tcW w:w="0" w:type="dxa"/>
            <w:vAlign w:val="bottom"/>
          </w:tcPr>
          <w:p>
            <w:pPr>
              <w:spacing w:after="0"/>
              <w:rPr>
                <w:sz w:val="1"/>
                <w:szCs w:val="1"/>
                <w:color w:val="auto"/>
              </w:rPr>
            </w:pPr>
          </w:p>
        </w:tc>
      </w:tr>
      <w:tr>
        <w:trPr>
          <w:trHeight w:val="191"/>
        </w:trPr>
        <w:tc>
          <w:tcPr>
            <w:tcW w:w="4540" w:type="dxa"/>
            <w:vAlign w:val="bottom"/>
          </w:tcPr>
          <w:p>
            <w:pPr>
              <w:ind w:left="320"/>
              <w:spacing w:after="0"/>
              <w:rPr>
                <w:sz w:val="20"/>
                <w:szCs w:val="20"/>
                <w:color w:val="auto"/>
              </w:rPr>
            </w:pPr>
            <w:r>
              <w:rPr>
                <w:rFonts w:ascii="Arial" w:cs="Arial" w:eastAsia="Arial" w:hAnsi="Arial"/>
                <w:sz w:val="16"/>
                <w:szCs w:val="16"/>
                <w:color w:val="auto"/>
              </w:rPr>
              <w:t>General and administrative</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11,011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11,011</w:t>
            </w:r>
          </w:p>
        </w:tc>
        <w:tc>
          <w:tcPr>
            <w:tcW w:w="100" w:type="dxa"/>
            <w:vAlign w:val="bottom"/>
          </w:tcPr>
          <w:p>
            <w:pPr>
              <w:spacing w:after="0"/>
              <w:rPr>
                <w:sz w:val="16"/>
                <w:szCs w:val="16"/>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 and amortization</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19,054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19,054</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19,054</w:t>
            </w:r>
          </w:p>
        </w:tc>
        <w:tc>
          <w:tcPr>
            <w:tcW w:w="0" w:type="dxa"/>
            <w:vAlign w:val="bottom"/>
          </w:tcPr>
          <w:p>
            <w:pPr>
              <w:spacing w:after="0"/>
              <w:rPr>
                <w:sz w:val="1"/>
                <w:szCs w:val="1"/>
                <w:color w:val="auto"/>
              </w:rPr>
            </w:pPr>
          </w:p>
        </w:tc>
      </w:tr>
      <w:tr>
        <w:trPr>
          <w:trHeight w:val="191"/>
        </w:trPr>
        <w:tc>
          <w:tcPr>
            <w:tcW w:w="4540" w:type="dxa"/>
            <w:vAlign w:val="bottom"/>
          </w:tcPr>
          <w:p>
            <w:pPr>
              <w:ind w:left="320"/>
              <w:spacing w:after="0"/>
              <w:rPr>
                <w:sz w:val="20"/>
                <w:szCs w:val="20"/>
                <w:color w:val="auto"/>
              </w:rPr>
            </w:pPr>
            <w:r>
              <w:rPr>
                <w:rFonts w:ascii="Arial" w:cs="Arial" w:eastAsia="Arial" w:hAnsi="Arial"/>
                <w:sz w:val="16"/>
                <w:szCs w:val="16"/>
                <w:color w:val="auto"/>
              </w:rPr>
              <w:t>Transaction expenses</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3,469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3,469</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8,311</w:t>
            </w: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11,780</w:t>
            </w: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54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Total operating expenses</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66,232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66,232</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8,311</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74,543</w:t>
            </w:r>
          </w:p>
        </w:tc>
        <w:tc>
          <w:tcPr>
            <w:tcW w:w="0" w:type="dxa"/>
            <w:vAlign w:val="bottom"/>
          </w:tcPr>
          <w:p>
            <w:pPr>
              <w:spacing w:after="0"/>
              <w:rPr>
                <w:sz w:val="1"/>
                <w:szCs w:val="1"/>
                <w:color w:val="auto"/>
              </w:rPr>
            </w:pPr>
          </w:p>
        </w:tc>
      </w:tr>
      <w:tr>
        <w:trPr>
          <w:trHeight w:val="191"/>
        </w:trPr>
        <w:tc>
          <w:tcPr>
            <w:tcW w:w="4540" w:type="dxa"/>
            <w:vAlign w:val="bottom"/>
          </w:tcPr>
          <w:p>
            <w:pPr>
              <w:ind w:left="960"/>
              <w:spacing w:after="0"/>
              <w:rPr>
                <w:sz w:val="20"/>
                <w:szCs w:val="20"/>
                <w:color w:val="auto"/>
              </w:rPr>
            </w:pPr>
            <w:r>
              <w:rPr>
                <w:rFonts w:ascii="Arial" w:cs="Arial" w:eastAsia="Arial" w:hAnsi="Arial"/>
                <w:sz w:val="16"/>
                <w:szCs w:val="16"/>
                <w:color w:val="auto"/>
              </w:rPr>
              <w:t>(Loss) income from operations</w:t>
            </w:r>
          </w:p>
        </w:tc>
        <w:tc>
          <w:tcPr>
            <w:tcW w:w="780" w:type="dxa"/>
            <w:vAlign w:val="bottom"/>
            <w:gridSpan w:val="2"/>
          </w:tcPr>
          <w:p>
            <w:pPr>
              <w:jc w:val="right"/>
              <w:ind w:right="120"/>
              <w:spacing w:after="0"/>
              <w:rPr>
                <w:sz w:val="20"/>
                <w:szCs w:val="20"/>
                <w:color w:val="auto"/>
              </w:rPr>
            </w:pPr>
            <w:r>
              <w:rPr>
                <w:rFonts w:ascii="Arial" w:cs="Arial" w:eastAsia="Arial" w:hAnsi="Arial"/>
                <w:sz w:val="16"/>
                <w:szCs w:val="16"/>
                <w:color w:val="auto"/>
              </w:rPr>
              <w:t>(8,781)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(8,781)</w:t>
            </w: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(8,311)</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(17,092)</w:t>
            </w: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Other expense, net:</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320"/>
              <w:spacing w:after="0"/>
              <w:rPr>
                <w:sz w:val="20"/>
                <w:szCs w:val="20"/>
                <w:color w:val="auto"/>
              </w:rPr>
            </w:pPr>
            <w:r>
              <w:rPr>
                <w:rFonts w:ascii="Arial" w:cs="Arial" w:eastAsia="Arial" w:hAnsi="Arial"/>
                <w:sz w:val="16"/>
                <w:szCs w:val="16"/>
                <w:color w:val="auto"/>
              </w:rPr>
              <w:t>Foreign currency transactions loss</w:t>
            </w: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 net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(16,770)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(16,770)</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6,351</w:t>
            </w:r>
          </w:p>
        </w:tc>
        <w:tc>
          <w:tcPr>
            <w:tcW w:w="4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(10,419)</w:t>
            </w:r>
          </w:p>
        </w:tc>
        <w:tc>
          <w:tcPr>
            <w:tcW w:w="0" w:type="dxa"/>
            <w:vAlign w:val="bottom"/>
          </w:tcPr>
          <w:p>
            <w:pPr>
              <w:spacing w:after="0"/>
              <w:rPr>
                <w:sz w:val="1"/>
                <w:szCs w:val="1"/>
                <w:color w:val="auto"/>
              </w:rPr>
            </w:pPr>
          </w:p>
        </w:tc>
      </w:tr>
      <w:tr>
        <w:trPr>
          <w:trHeight w:val="202"/>
        </w:trPr>
        <w:tc>
          <w:tcPr>
            <w:tcW w:w="4540" w:type="dxa"/>
            <w:vAlign w:val="bottom"/>
          </w:tcPr>
          <w:p>
            <w:pPr>
              <w:ind w:left="640"/>
              <w:spacing w:after="0"/>
              <w:rPr>
                <w:sz w:val="20"/>
                <w:szCs w:val="20"/>
                <w:color w:val="auto"/>
              </w:rPr>
            </w:pPr>
            <w:r>
              <w:rPr>
                <w:rFonts w:ascii="Arial" w:cs="Arial" w:eastAsia="Arial" w:hAnsi="Arial"/>
                <w:sz w:val="16"/>
                <w:szCs w:val="16"/>
                <w:color w:val="auto"/>
              </w:rPr>
              <w:t>Total other expense, net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7"/>
              </w:rPr>
              <w:t>(16,746)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(16,746)</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6,351</w:t>
            </w:r>
          </w:p>
        </w:tc>
        <w:tc>
          <w:tcPr>
            <w:tcW w:w="180" w:type="dxa"/>
            <w:vAlign w:val="bottom"/>
          </w:tcPr>
          <w:p>
            <w:pPr>
              <w:spacing w:after="0"/>
              <w:rPr>
                <w:sz w:val="17"/>
                <w:szCs w:val="17"/>
                <w:color w:val="auto"/>
              </w:rPr>
            </w:pPr>
          </w:p>
        </w:tc>
        <w:tc>
          <w:tcPr>
            <w:tcW w:w="48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640"/>
              <w:spacing w:after="0"/>
              <w:rPr>
                <w:sz w:val="20"/>
                <w:szCs w:val="20"/>
                <w:color w:val="auto"/>
              </w:rPr>
            </w:pPr>
            <w:r>
              <w:rPr>
                <w:rFonts w:ascii="Arial" w:cs="Arial" w:eastAsia="Arial" w:hAnsi="Arial"/>
                <w:sz w:val="16"/>
                <w:szCs w:val="16"/>
                <w:b w:val="1"/>
                <w:bCs w:val="1"/>
                <w:color w:val="auto"/>
              </w:rPr>
              <w:t>Loss before income taxes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(25,527)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(25,527)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(1,960)</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(27,487)</w:t>
            </w:r>
          </w:p>
        </w:tc>
        <w:tc>
          <w:tcPr>
            <w:tcW w:w="0" w:type="dxa"/>
            <w:vAlign w:val="bottom"/>
          </w:tcPr>
          <w:p>
            <w:pPr>
              <w:spacing w:after="0"/>
              <w:rPr>
                <w:sz w:val="1"/>
                <w:szCs w:val="1"/>
                <w:color w:val="auto"/>
              </w:rPr>
            </w:pPr>
          </w:p>
        </w:tc>
      </w:tr>
      <w:tr>
        <w:trPr>
          <w:trHeight w:val="196"/>
        </w:trPr>
        <w:tc>
          <w:tcPr>
            <w:tcW w:w="4540" w:type="dxa"/>
            <w:vAlign w:val="bottom"/>
          </w:tcPr>
          <w:p>
            <w:pPr>
              <w:spacing w:after="0"/>
              <w:rPr>
                <w:sz w:val="20"/>
                <w:szCs w:val="20"/>
                <w:color w:val="auto"/>
              </w:rPr>
            </w:pPr>
            <w:r>
              <w:rPr>
                <w:rFonts w:ascii="Arial" w:cs="Arial" w:eastAsia="Arial" w:hAnsi="Arial"/>
                <w:sz w:val="16"/>
                <w:szCs w:val="16"/>
                <w:color w:val="auto"/>
              </w:rPr>
              <w:t>Income tax expense</w:t>
            </w: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(25,527)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(25,527)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(1,960)</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(27,487)</w:t>
            </w:r>
          </w:p>
        </w:tc>
        <w:tc>
          <w:tcPr>
            <w:tcW w:w="0" w:type="dxa"/>
            <w:vAlign w:val="bottom"/>
          </w:tcPr>
          <w:p>
            <w:pPr>
              <w:spacing w:after="0"/>
              <w:rPr>
                <w:sz w:val="1"/>
                <w:szCs w:val="1"/>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6"/>
                <w:szCs w:val="16"/>
                <w:color w:val="auto"/>
              </w:rPr>
              <w:t>Net loss attributable to noncontrolling interests</w:t>
            </w: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11,344</w:t>
            </w:r>
          </w:p>
        </w:tc>
        <w:tc>
          <w:tcPr>
            <w:tcW w:w="16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(11,344)</w:t>
            </w:r>
          </w:p>
        </w:tc>
        <w:tc>
          <w:tcPr>
            <w:tcW w:w="10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(780)</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(12,124)</w:t>
            </w:r>
          </w:p>
        </w:tc>
        <w:tc>
          <w:tcPr>
            <w:tcW w:w="0" w:type="dxa"/>
            <w:vAlign w:val="bottom"/>
          </w:tcPr>
          <w:p>
            <w:pPr>
              <w:spacing w:after="0"/>
              <w:rPr>
                <w:sz w:val="1"/>
                <w:szCs w:val="1"/>
                <w:color w:val="auto"/>
              </w:rPr>
            </w:pPr>
          </w:p>
        </w:tc>
      </w:tr>
      <w:tr>
        <w:trPr>
          <w:trHeight w:val="25"/>
        </w:trPr>
        <w:tc>
          <w:tcPr>
            <w:tcW w:w="4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attributable to Definitive Healthcare Corp.</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7"/>
              </w:rPr>
              <w:t>$ (25,527)</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(11,344)</w:t>
            </w:r>
          </w:p>
        </w:tc>
        <w:tc>
          <w:tcPr>
            <w:tcW w:w="4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(14,183)</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(15,363)</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6"/>
                <w:szCs w:val="16"/>
                <w:b w:val="1"/>
                <w:bCs w:val="1"/>
                <w:color w:val="auto"/>
              </w:rPr>
              <w:t>Pro forma net loss per share data</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40" w:type="dxa"/>
            <w:vAlign w:val="bottom"/>
            <w:vMerge w:val="continue"/>
          </w:tcPr>
          <w:p>
            <w:pPr>
              <w:spacing w:after="0"/>
              <w:rPr>
                <w:sz w:val="15"/>
                <w:szCs w:val="15"/>
                <w:color w:val="auto"/>
              </w:rPr>
            </w:pPr>
          </w:p>
        </w:tc>
        <w:tc>
          <w:tcPr>
            <w:tcW w:w="7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40" w:type="dxa"/>
            <w:vAlign w:val="bottom"/>
            <w:shd w:val="clear" w:color="auto" w:fill="CCEEFF"/>
          </w:tcPr>
          <w:p>
            <w:pPr>
              <w:spacing w:after="0" w:line="173" w:lineRule="exact"/>
              <w:rPr>
                <w:sz w:val="20"/>
                <w:szCs w:val="20"/>
                <w:color w:val="auto"/>
              </w:rPr>
            </w:pPr>
            <w:r>
              <w:rPr>
                <w:rFonts w:ascii="Arial" w:cs="Arial" w:eastAsia="Arial" w:hAnsi="Arial"/>
                <w:sz w:val="16"/>
                <w:szCs w:val="16"/>
                <w:color w:val="auto"/>
              </w:rPr>
              <w:t>Pro forma weighted-average shares of Class A common stock</w:t>
            </w: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outstanding (3)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40" w:type="dxa"/>
            <w:vAlign w:val="bottom"/>
          </w:tcPr>
          <w:p>
            <w:pPr>
              <w:ind w:left="320"/>
              <w:spacing w:after="0"/>
              <w:rPr>
                <w:sz w:val="20"/>
                <w:szCs w:val="20"/>
                <w:color w:val="auto"/>
              </w:rPr>
            </w:pPr>
            <w:r>
              <w:rPr>
                <w:rFonts w:ascii="Arial" w:cs="Arial" w:eastAsia="Arial" w:hAnsi="Arial"/>
                <w:sz w:val="16"/>
                <w:szCs w:val="16"/>
                <w:color w:val="auto"/>
              </w:rPr>
              <w:t>Basic</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87,522,796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87,522,796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tcPr>
          <w:p>
            <w:pPr>
              <w:spacing w:after="0"/>
              <w:rPr>
                <w:sz w:val="20"/>
                <w:szCs w:val="20"/>
                <w:color w:val="auto"/>
              </w:rPr>
            </w:pPr>
            <w:r>
              <w:rPr>
                <w:rFonts w:ascii="Arial" w:cs="Arial" w:eastAsia="Arial" w:hAnsi="Arial"/>
                <w:sz w:val="16"/>
                <w:szCs w:val="16"/>
                <w:color w:val="auto"/>
              </w:rPr>
              <w:t>Net loss per share of Class A common stock</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205"/>
        </w:trPr>
        <w:tc>
          <w:tcPr>
            <w:tcW w:w="4540" w:type="dxa"/>
            <w:vAlign w:val="bottom"/>
          </w:tcPr>
          <w:p>
            <w:pPr>
              <w:ind w:left="320"/>
              <w:spacing w:after="0"/>
              <w:rPr>
                <w:sz w:val="20"/>
                <w:szCs w:val="20"/>
                <w:color w:val="auto"/>
              </w:rPr>
            </w:pPr>
            <w:r>
              <w:rPr>
                <w:rFonts w:ascii="Arial" w:cs="Arial" w:eastAsia="Arial" w:hAnsi="Arial"/>
                <w:sz w:val="16"/>
                <w:szCs w:val="16"/>
                <w:color w:val="auto"/>
              </w:rPr>
              <w:t>Diluted</w:t>
            </w: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bl>
    <w:p>
      <w:pPr>
        <w:spacing w:after="0" w:line="11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0820"/>
          </w:cols>
          <w:pgMar w:left="320" w:top="442" w:right="75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UNAUDITED PRO FORMA CONSOLIDATED</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STATEMENT OF OPERATIONS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For the Year Ended December 31, 2020</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Pro forma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Pro forma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80" w:type="dxa"/>
            <w:vAlign w:val="bottom"/>
            <w:gridSpan w:val="2"/>
          </w:tcPr>
          <w:p>
            <w:pPr>
              <w:jc w:val="center"/>
              <w:ind w:right="440"/>
              <w:spacing w:after="0" w:line="140" w:lineRule="exact"/>
              <w:rPr>
                <w:sz w:val="20"/>
                <w:szCs w:val="20"/>
                <w:color w:val="auto"/>
              </w:rPr>
            </w:pPr>
            <w:r>
              <w:rPr>
                <w:rFonts w:ascii="Arial" w:cs="Arial" w:eastAsia="Arial" w:hAnsi="Arial"/>
                <w:sz w:val="14"/>
                <w:szCs w:val="14"/>
                <w:b w:val="1"/>
                <w:bCs w:val="1"/>
                <w:color w:val="auto"/>
                <w:w w:val="87"/>
              </w:rPr>
              <w:t>Historical</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88"/>
              </w:rPr>
              <w:t>Definitive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Definitive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80" w:type="dxa"/>
            <w:vAlign w:val="bottom"/>
            <w:gridSpan w:val="2"/>
          </w:tcPr>
          <w:p>
            <w:pPr>
              <w:jc w:val="center"/>
              <w:ind w:right="440"/>
              <w:spacing w:after="0" w:line="140" w:lineRule="exact"/>
              <w:rPr>
                <w:sz w:val="20"/>
                <w:szCs w:val="20"/>
                <w:color w:val="auto"/>
              </w:rPr>
            </w:pPr>
            <w:r>
              <w:rPr>
                <w:rFonts w:ascii="Arial" w:cs="Arial" w:eastAsia="Arial" w:hAnsi="Arial"/>
                <w:sz w:val="14"/>
                <w:szCs w:val="14"/>
                <w:b w:val="1"/>
                <w:bCs w:val="1"/>
                <w:color w:val="auto"/>
                <w:w w:val="88"/>
              </w:rPr>
              <w:t>Definitive</w:t>
            </w:r>
          </w:p>
        </w:tc>
        <w:tc>
          <w:tcPr>
            <w:tcW w:w="114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rPr>
              <w:t>Transaction</w:t>
            </w:r>
          </w:p>
        </w:tc>
        <w:tc>
          <w:tcPr>
            <w:tcW w:w="180" w:type="dxa"/>
            <w:vAlign w:val="bottom"/>
          </w:tcPr>
          <w:p>
            <w:pPr>
              <w:spacing w:after="0"/>
              <w:rPr>
                <w:sz w:val="12"/>
                <w:szCs w:val="12"/>
                <w:color w:val="auto"/>
              </w:rPr>
            </w:pPr>
          </w:p>
        </w:tc>
        <w:tc>
          <w:tcPr>
            <w:tcW w:w="90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89"/>
              </w:rPr>
              <w:t>Healthcare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660"/>
              <w:spacing w:after="0" w:line="140" w:lineRule="exact"/>
              <w:rPr>
                <w:sz w:val="20"/>
                <w:szCs w:val="20"/>
                <w:color w:val="auto"/>
              </w:rPr>
            </w:pPr>
            <w:r>
              <w:rPr>
                <w:rFonts w:ascii="Arial" w:cs="Arial" w:eastAsia="Arial" w:hAnsi="Arial"/>
                <w:sz w:val="14"/>
                <w:szCs w:val="14"/>
                <w:b w:val="1"/>
                <w:bCs w:val="1"/>
                <w:color w:val="auto"/>
                <w:w w:val="88"/>
              </w:rPr>
              <w:t>Offering</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89"/>
              </w:rPr>
              <w:t>Healthcare</w:t>
            </w:r>
          </w:p>
        </w:tc>
        <w:tc>
          <w:tcPr>
            <w:tcW w:w="0" w:type="dxa"/>
            <w:vAlign w:val="bottom"/>
          </w:tcPr>
          <w:p>
            <w:pPr>
              <w:spacing w:after="0"/>
              <w:rPr>
                <w:sz w:val="1"/>
                <w:szCs w:val="1"/>
                <w:color w:val="auto"/>
              </w:rPr>
            </w:pPr>
          </w:p>
        </w:tc>
      </w:tr>
      <w:tr>
        <w:trPr>
          <w:trHeight w:val="160"/>
        </w:trPr>
        <w:tc>
          <w:tcPr>
            <w:tcW w:w="4680" w:type="dxa"/>
            <w:vAlign w:val="bottom"/>
            <w:gridSpan w:val="2"/>
            <w:vMerge w:val="restart"/>
          </w:tcPr>
          <w:p>
            <w:pPr>
              <w:spacing w:after="0"/>
              <w:rPr>
                <w:sz w:val="20"/>
                <w:szCs w:val="20"/>
                <w:color w:val="auto"/>
              </w:rPr>
            </w:pPr>
            <w:r>
              <w:rPr>
                <w:rFonts w:ascii="Arial" w:cs="Arial" w:eastAsia="Arial" w:hAnsi="Arial"/>
                <w:sz w:val="14"/>
                <w:szCs w:val="14"/>
                <w:color w:val="auto"/>
              </w:rPr>
              <w:t>($ in thousands, except per share data)</w:t>
            </w: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OpCo</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8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Corp.</w:t>
            </w:r>
          </w:p>
        </w:tc>
        <w:tc>
          <w:tcPr>
            <w:tcW w:w="18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33"/>
        </w:trPr>
        <w:tc>
          <w:tcPr>
            <w:tcW w:w="4680" w:type="dxa"/>
            <w:vAlign w:val="bottom"/>
            <w:gridSpan w:val="2"/>
            <w:vMerge w:val="continue"/>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w w:val="81"/>
              </w:rPr>
              <w:t>$ 118,317</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$ 118,317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118,317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Cost of revenue:</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 exclusive of amortization shown below</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11,085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11,085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Amortization</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19,383</w:t>
            </w:r>
          </w:p>
        </w:tc>
        <w:tc>
          <w:tcPr>
            <w:tcW w:w="160" w:type="dxa"/>
            <w:vAlign w:val="bottom"/>
          </w:tcPr>
          <w:p>
            <w:pPr>
              <w:spacing w:after="0"/>
              <w:rPr>
                <w:sz w:val="17"/>
                <w:szCs w:val="17"/>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19,383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19,383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87,849</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87,849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87,849</w:t>
            </w:r>
          </w:p>
        </w:tc>
        <w:tc>
          <w:tcPr>
            <w:tcW w:w="0" w:type="dxa"/>
            <w:vAlign w:val="bottom"/>
          </w:tcPr>
          <w:p>
            <w:pPr>
              <w:spacing w:after="0"/>
              <w:rPr>
                <w:sz w:val="1"/>
                <w:szCs w:val="1"/>
                <w:color w:val="auto"/>
              </w:rPr>
            </w:pPr>
          </w:p>
        </w:tc>
      </w:tr>
      <w:tr>
        <w:trPr>
          <w:trHeight w:val="208"/>
        </w:trPr>
        <w:tc>
          <w:tcPr>
            <w:tcW w:w="46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6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34,332</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34,332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34,332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Product development</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11,062</w:t>
            </w:r>
          </w:p>
        </w:tc>
        <w:tc>
          <w:tcPr>
            <w:tcW w:w="160" w:type="dxa"/>
            <w:vAlign w:val="bottom"/>
          </w:tcPr>
          <w:p>
            <w:pPr>
              <w:spacing w:after="0"/>
              <w:rPr>
                <w:sz w:val="17"/>
                <w:szCs w:val="17"/>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11,062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11,062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12,927</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12,927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40,197</w:t>
            </w:r>
          </w:p>
        </w:tc>
        <w:tc>
          <w:tcPr>
            <w:tcW w:w="160" w:type="dxa"/>
            <w:vAlign w:val="bottom"/>
          </w:tcPr>
          <w:p>
            <w:pPr>
              <w:spacing w:after="0"/>
              <w:rPr>
                <w:sz w:val="17"/>
                <w:szCs w:val="17"/>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40,197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40,197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Transaction expenses</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3,776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3,776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16,621(4)</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20,397</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 operating expenses</w:t>
            </w: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gridSpan w:val="2"/>
            <w:vMerge w:val="continue"/>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7"/>
                <w:szCs w:val="17"/>
                <w:color w:val="auto"/>
              </w:rPr>
              <w:t>102,294</w:t>
            </w:r>
          </w:p>
        </w:tc>
        <w:tc>
          <w:tcPr>
            <w:tcW w:w="160" w:type="dxa"/>
            <w:vAlign w:val="bottom"/>
          </w:tcPr>
          <w:p>
            <w:pPr>
              <w:spacing w:after="0"/>
              <w:rPr>
                <w:sz w:val="18"/>
                <w:szCs w:val="18"/>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260"/>
              <w:spacing w:after="0"/>
              <w:rPr>
                <w:sz w:val="20"/>
                <w:szCs w:val="20"/>
                <w:color w:val="auto"/>
              </w:rPr>
            </w:pPr>
            <w:r>
              <w:rPr>
                <w:rFonts w:ascii="Arial" w:cs="Arial" w:eastAsia="Arial" w:hAnsi="Arial"/>
                <w:sz w:val="17"/>
                <w:szCs w:val="17"/>
                <w:color w:val="auto"/>
              </w:rPr>
              <w:t>102,294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7"/>
                <w:szCs w:val="17"/>
                <w:color w:val="auto"/>
              </w:rPr>
              <w:t>16,621</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118,915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(Loss) income from operations</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(14,445)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(14,445)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97"/>
              </w:rPr>
              <w:t>(16,621)</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(31,066)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Other expense, net:</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transaction gain (loss)</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(222)</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7"/>
                <w:szCs w:val="17"/>
                <w:color w:val="auto"/>
              </w:rPr>
              <w:t>Interest expense, net</w:t>
            </w: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(36,490)</w:t>
            </w:r>
          </w:p>
        </w:tc>
        <w:tc>
          <w:tcPr>
            <w:tcW w:w="160" w:type="dxa"/>
            <w:vAlign w:val="bottom"/>
          </w:tcPr>
          <w:p>
            <w:pPr>
              <w:spacing w:after="0"/>
              <w:rPr>
                <w:sz w:val="17"/>
                <w:szCs w:val="17"/>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(36,490)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7"/>
                <w:szCs w:val="17"/>
                <w:color w:val="auto"/>
              </w:rPr>
              <w:t>13,808(5)</w:t>
            </w: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(22,682)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 other expense, net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(36,712)</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(36,712)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13,808</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(22,904)</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Loss before income taxes</w:t>
            </w: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80" w:type="dxa"/>
            <w:vAlign w:val="bottom"/>
            <w:gridSpan w:val="2"/>
            <w:vMerge w:val="continue"/>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(51,157)</w:t>
            </w:r>
          </w:p>
        </w:tc>
        <w:tc>
          <w:tcPr>
            <w:tcW w:w="160" w:type="dxa"/>
            <w:vAlign w:val="bottom"/>
          </w:tcPr>
          <w:p>
            <w:pPr>
              <w:spacing w:after="0"/>
              <w:rPr>
                <w:sz w:val="18"/>
                <w:szCs w:val="18"/>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(51,157)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(2,813)</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(53,970)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 (1)</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320"/>
              <w:spacing w:after="0"/>
              <w:rPr>
                <w:sz w:val="20"/>
                <w:szCs w:val="20"/>
                <w:color w:val="auto"/>
              </w:rPr>
            </w:pPr>
            <w:r>
              <w:rPr>
                <w:rFonts w:ascii="Arial" w:cs="Arial" w:eastAsia="Arial" w:hAnsi="Arial"/>
                <w:sz w:val="17"/>
                <w:szCs w:val="17"/>
                <w:color w:val="auto"/>
              </w:rPr>
              <w:t>Net loss</w:t>
            </w: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rPr>
              <w:t>(51,157)</w:t>
            </w:r>
          </w:p>
        </w:tc>
        <w:tc>
          <w:tcPr>
            <w:tcW w:w="160" w:type="dxa"/>
            <w:vAlign w:val="bottom"/>
          </w:tcPr>
          <w:p>
            <w:pPr>
              <w:spacing w:after="0"/>
              <w:rPr>
                <w:sz w:val="18"/>
                <w:szCs w:val="18"/>
                <w:color w:val="auto"/>
              </w:rPr>
            </w:pPr>
          </w:p>
        </w:tc>
        <w:tc>
          <w:tcPr>
            <w:tcW w:w="98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(51,157)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(2,813)</w:t>
            </w: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(53,970)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loss attributable to noncontrolling interests</w:t>
            </w:r>
          </w:p>
        </w:tc>
        <w:tc>
          <w:tcPr>
            <w:tcW w:w="64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22,733(2)</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(22,733)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(1,119)</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320"/>
              <w:spacing w:after="0"/>
              <w:rPr>
                <w:sz w:val="20"/>
                <w:szCs w:val="20"/>
                <w:color w:val="auto"/>
              </w:rPr>
            </w:pPr>
            <w:r>
              <w:rPr>
                <w:rFonts w:ascii="Arial" w:cs="Arial" w:eastAsia="Arial" w:hAnsi="Arial"/>
                <w:sz w:val="17"/>
                <w:szCs w:val="17"/>
                <w:color w:val="auto"/>
              </w:rPr>
              <w:t>Net loss attributable to Definitive Healthcare Corp.</w:t>
            </w: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vMerge w:val="continue"/>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7"/>
                <w:szCs w:val="17"/>
                <w:color w:val="auto"/>
                <w:w w:val="87"/>
              </w:rPr>
              <w:t>$ (51,157)</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7"/>
                <w:szCs w:val="17"/>
                <w:color w:val="auto"/>
                <w:w w:val="97"/>
              </w:rPr>
              <w:t>(22,733)</w:t>
            </w:r>
          </w:p>
        </w:tc>
        <w:tc>
          <w:tcPr>
            <w:tcW w:w="1080" w:type="dxa"/>
            <w:vAlign w:val="bottom"/>
            <w:gridSpan w:val="3"/>
          </w:tcPr>
          <w:p>
            <w:pPr>
              <w:jc w:val="right"/>
              <w:ind w:right="200"/>
              <w:spacing w:after="0"/>
              <w:rPr>
                <w:sz w:val="20"/>
                <w:szCs w:val="20"/>
                <w:color w:val="auto"/>
              </w:rPr>
            </w:pPr>
            <w:r>
              <w:rPr>
                <w:rFonts w:ascii="Arial" w:cs="Arial" w:eastAsia="Arial" w:hAnsi="Arial"/>
                <w:sz w:val="17"/>
                <w:szCs w:val="17"/>
                <w:color w:val="auto"/>
              </w:rPr>
              <w:t>$ (28,424)</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520"/>
              <w:spacing w:after="0"/>
              <w:rPr>
                <w:sz w:val="20"/>
                <w:szCs w:val="20"/>
                <w:color w:val="auto"/>
              </w:rPr>
            </w:pPr>
            <w:r>
              <w:rPr>
                <w:rFonts w:ascii="Arial" w:cs="Arial" w:eastAsia="Arial" w:hAnsi="Arial"/>
                <w:sz w:val="17"/>
                <w:szCs w:val="17"/>
                <w:color w:val="auto"/>
              </w:rPr>
              <w:t>(1,694)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(30,118)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net loss per share data</w:t>
            </w: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60" w:type="dxa"/>
            <w:vAlign w:val="bottom"/>
          </w:tcPr>
          <w:p>
            <w:pPr>
              <w:spacing w:after="0" w:line="191" w:lineRule="exact"/>
              <w:rPr>
                <w:sz w:val="20"/>
                <w:szCs w:val="20"/>
                <w:color w:val="auto"/>
              </w:rPr>
            </w:pPr>
            <w:r>
              <w:rPr>
                <w:rFonts w:ascii="Arial" w:cs="Arial" w:eastAsia="Arial" w:hAnsi="Arial"/>
                <w:sz w:val="17"/>
                <w:szCs w:val="17"/>
                <w:color w:val="auto"/>
                <w:w w:val="99"/>
              </w:rPr>
              <w:t>Pro forma weighted-average shares of Class A common stock</w:t>
            </w: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40"/>
              <w:spacing w:after="0"/>
              <w:rPr>
                <w:sz w:val="20"/>
                <w:szCs w:val="20"/>
                <w:color w:val="auto"/>
              </w:rPr>
            </w:pPr>
            <w:r>
              <w:rPr>
                <w:rFonts w:ascii="Arial" w:cs="Arial" w:eastAsia="Arial" w:hAnsi="Arial"/>
                <w:sz w:val="17"/>
                <w:szCs w:val="17"/>
                <w:color w:val="auto"/>
              </w:rPr>
              <w:t>outstanding (3)</w:t>
            </w: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87,522,796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320"/>
              <w:spacing w:after="0"/>
              <w:rPr>
                <w:sz w:val="20"/>
                <w:szCs w:val="20"/>
                <w:color w:val="auto"/>
              </w:rPr>
            </w:pPr>
            <w:r>
              <w:rPr>
                <w:rFonts w:ascii="Arial" w:cs="Arial" w:eastAsia="Arial" w:hAnsi="Arial"/>
                <w:sz w:val="17"/>
                <w:szCs w:val="17"/>
                <w:color w:val="auto"/>
              </w:rPr>
              <w:t>Diluted</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87,522,796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of Class A common stock</w:t>
            </w: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tcPr>
          <w:p>
            <w:pPr>
              <w:ind w:left="320"/>
              <w:spacing w:after="0"/>
              <w:rPr>
                <w:sz w:val="20"/>
                <w:szCs w:val="20"/>
                <w:color w:val="auto"/>
              </w:rPr>
            </w:pPr>
            <w:r>
              <w:rPr>
                <w:rFonts w:ascii="Arial" w:cs="Arial" w:eastAsia="Arial" w:hAnsi="Arial"/>
                <w:sz w:val="17"/>
                <w:szCs w:val="17"/>
                <w:color w:val="auto"/>
              </w:rPr>
              <w:t>Basic</w:t>
            </w: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(0.34)</w:t>
            </w:r>
          </w:p>
        </w:tc>
        <w:tc>
          <w:tcPr>
            <w:tcW w:w="0" w:type="dxa"/>
            <w:vAlign w:val="bottom"/>
          </w:tcPr>
          <w:p>
            <w:pPr>
              <w:spacing w:after="0"/>
              <w:rPr>
                <w:sz w:val="1"/>
                <w:szCs w:val="1"/>
                <w:color w:val="auto"/>
              </w:rPr>
            </w:pPr>
          </w:p>
        </w:tc>
      </w:tr>
    </w:tbl>
    <w:p>
      <w:pPr>
        <w:spacing w:after="0" w:line="191"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See accompanying notes to unaudited pro forma financial information.</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0820"/>
          </w:cols>
          <w:pgMar w:left="320" w:top="442" w:right="75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Pro Forma Consolidated Financial Information (Year Ended December 31, 2020 and six months ended June 30, 2021)</w:t>
      </w:r>
    </w:p>
    <w:p>
      <w:pPr>
        <w:spacing w:after="0" w:line="138" w:lineRule="exact"/>
        <w:rPr>
          <w:sz w:val="20"/>
          <w:szCs w:val="20"/>
          <w:color w:val="auto"/>
        </w:rPr>
      </w:pPr>
    </w:p>
    <w:p>
      <w:pPr>
        <w:ind w:left="840" w:right="120" w:hanging="406"/>
        <w:spacing w:after="0" w:line="253" w:lineRule="auto"/>
        <w:tabs>
          <w:tab w:leader="none" w:pos="8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Following the Reorganization Transactions, Definitive Healthcare Corp. will be subject to U.S. federal, state, local and foreign income taxes. Definitive OpCo is, and will continue to be, taxed as a partnership for federal income tax purposes and applicable state and local income tax purposes, and, as a result, its members, including Definitive Healthcare Corp., will pay income taxes with respect to their allocable shares of its taxable income. The pro forma adjustment for income tax expense represents tax expense on income that will be taxable in jurisdictions after our corporate reorganization that previously had not been taxable. As a result, the pro forma statement of operations reflects an adjustment to income tax expense for corporate income taxes of $0.2 million for the year ended December 31, 2020 and $0.1 million for the six months ended June 30, 2021.</w:t>
      </w:r>
    </w:p>
    <w:p>
      <w:pPr>
        <w:spacing w:after="0" w:line="29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Twelve Months</w:t>
            </w:r>
          </w:p>
        </w:tc>
        <w:tc>
          <w:tcPr>
            <w:tcW w:w="5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w:t>
            </w:r>
          </w:p>
        </w:tc>
      </w:tr>
      <w:tr>
        <w:trPr>
          <w:trHeight w:val="140"/>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right"/>
              <w:ind w:right="1000"/>
              <w:spacing w:after="0" w:line="140" w:lineRule="exact"/>
              <w:rPr>
                <w:sz w:val="20"/>
                <w:szCs w:val="20"/>
                <w:color w:val="auto"/>
              </w:rPr>
            </w:pPr>
            <w:r>
              <w:rPr>
                <w:rFonts w:ascii="Arial" w:cs="Arial" w:eastAsia="Arial" w:hAnsi="Arial"/>
                <w:sz w:val="14"/>
                <w:szCs w:val="14"/>
                <w:b w:val="1"/>
                <w:bCs w:val="1"/>
                <w:color w:val="auto"/>
              </w:rPr>
              <w:t>Ended</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0" w:lineRule="exact"/>
              <w:rPr>
                <w:sz w:val="20"/>
                <w:szCs w:val="20"/>
                <w:color w:val="auto"/>
              </w:rPr>
            </w:pPr>
            <w:r>
              <w:rPr>
                <w:rFonts w:ascii="Arial" w:cs="Arial" w:eastAsia="Arial" w:hAnsi="Arial"/>
                <w:sz w:val="14"/>
                <w:szCs w:val="14"/>
                <w:b w:val="1"/>
                <w:bCs w:val="1"/>
                <w:color w:val="auto"/>
                <w:w w:val="98"/>
              </w:rPr>
              <w:t>Ended</w:t>
            </w:r>
          </w:p>
        </w:tc>
      </w:tr>
      <w:tr>
        <w:trPr>
          <w:trHeight w:val="16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580" w:type="dxa"/>
            <w:vAlign w:val="bottom"/>
            <w:gridSpan w:val="4"/>
          </w:tcPr>
          <w:p>
            <w:pPr>
              <w:ind w:left="840"/>
              <w:spacing w:after="0"/>
              <w:rPr>
                <w:sz w:val="20"/>
                <w:szCs w:val="20"/>
                <w:color w:val="auto"/>
              </w:rPr>
            </w:pPr>
            <w:r>
              <w:rPr>
                <w:rFonts w:ascii="Arial" w:cs="Arial" w:eastAsia="Arial" w:hAnsi="Arial"/>
                <w:sz w:val="14"/>
                <w:szCs w:val="14"/>
                <w:b w:val="1"/>
                <w:bCs w:val="1"/>
                <w:color w:val="auto"/>
              </w:rPr>
              <w:t>December 31, 2020</w:t>
            </w:r>
          </w:p>
        </w:tc>
        <w:tc>
          <w:tcPr>
            <w:tcW w:w="1500" w:type="dxa"/>
            <w:vAlign w:val="bottom"/>
            <w:gridSpan w:val="4"/>
          </w:tcPr>
          <w:p>
            <w:pPr>
              <w:ind w:left="520"/>
              <w:spacing w:after="0"/>
              <w:rPr>
                <w:sz w:val="20"/>
                <w:szCs w:val="20"/>
                <w:color w:val="auto"/>
              </w:rPr>
            </w:pPr>
            <w:r>
              <w:rPr>
                <w:rFonts w:ascii="Arial" w:cs="Arial" w:eastAsia="Arial" w:hAnsi="Arial"/>
                <w:sz w:val="14"/>
                <w:szCs w:val="14"/>
                <w:b w:val="1"/>
                <w:bCs w:val="1"/>
                <w:color w:val="auto"/>
              </w:rPr>
              <w:t>June 30, 2021</w:t>
            </w:r>
          </w:p>
        </w:tc>
      </w:tr>
      <w:tr>
        <w:trPr>
          <w:trHeight w:val="196"/>
        </w:trPr>
        <w:tc>
          <w:tcPr>
            <w:tcW w:w="20" w:type="dxa"/>
            <w:vAlign w:val="bottom"/>
          </w:tcPr>
          <w:p>
            <w:pPr>
              <w:spacing w:after="0"/>
              <w:rPr>
                <w:sz w:val="17"/>
                <w:szCs w:val="17"/>
                <w:color w:val="auto"/>
              </w:rPr>
            </w:pPr>
          </w:p>
        </w:tc>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6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80" w:type="dxa"/>
            <w:vAlign w:val="bottom"/>
            <w:tcBorders>
              <w:top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620" w:type="dxa"/>
            <w:vAlign w:val="bottom"/>
          </w:tcPr>
          <w:p>
            <w:pPr>
              <w:spacing w:after="0"/>
              <w:rPr>
                <w:sz w:val="20"/>
                <w:szCs w:val="20"/>
                <w:color w:val="auto"/>
              </w:rPr>
            </w:pPr>
            <w:r>
              <w:rPr>
                <w:rFonts w:ascii="Arial" w:cs="Arial" w:eastAsia="Arial" w:hAnsi="Arial"/>
                <w:sz w:val="17"/>
                <w:szCs w:val="17"/>
                <w:color w:val="auto"/>
              </w:rPr>
              <w:t>Ownership % of the controlling interest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500"/>
              <w:spacing w:after="0"/>
              <w:rPr>
                <w:sz w:val="20"/>
                <w:szCs w:val="20"/>
                <w:color w:val="auto"/>
              </w:rPr>
            </w:pPr>
            <w:r>
              <w:rPr>
                <w:rFonts w:ascii="Arial" w:cs="Arial" w:eastAsia="Arial" w:hAnsi="Arial"/>
                <w:sz w:val="17"/>
                <w:szCs w:val="17"/>
                <w:color w:val="auto"/>
              </w:rPr>
              <w:t>55.6%</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55.6%</w:t>
            </w:r>
          </w:p>
        </w:tc>
      </w:tr>
      <w:tr>
        <w:trPr>
          <w:trHeight w:val="204"/>
        </w:trPr>
        <w:tc>
          <w:tcPr>
            <w:tcW w:w="20" w:type="dxa"/>
            <w:vAlign w:val="bottom"/>
          </w:tcPr>
          <w:p>
            <w:pPr>
              <w:spacing w:after="0"/>
              <w:rPr>
                <w:sz w:val="17"/>
                <w:szCs w:val="17"/>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Pro forma income attributable to the controlling interest</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15" w:lineRule="exact"/>
        <w:rPr>
          <w:sz w:val="20"/>
          <w:szCs w:val="20"/>
          <w:color w:val="auto"/>
        </w:rPr>
      </w:pPr>
    </w:p>
    <w:p>
      <w:pPr>
        <w:ind w:left="840" w:hanging="406"/>
        <w:spacing w:after="0" w:line="289" w:lineRule="auto"/>
        <w:tabs>
          <w:tab w:leader="none" w:pos="8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 connection with the Reorganization Transactions, we will become the sole managing member of Definitive OpCo pursuant to the Amended LLC Agreement. As a result, while we will own less than 100% of the economic interest in Definitive OpCo, we will have 100% of the voting power and control the management of Definitive OpCo. Because we will manage and operate the business and control the strategic decisions and day-to-day operations of Definitive OpCo and will also have a substantial financial interest in Definitive OpCo, we will consolidate the financial results of Definitive OpCo, and a portion of our net income (loss) will be allocated to the noncontrolling interest to reflect the entitlement of the Continuing Pre-IPO LLC members to a portion of Definitive OpCo’s net income (loss). We will initially hold approximately 60.2% of Definitive OpCo’s outstanding LLC Units, exclusive of unvested incentive units as of the IPO date (or approximately 60.7% if the underwriters exercise their option to purchase additional shares of Class A common stock in full), and the remaining LLC Units of Definitive OpCo will be held by the Continuing Pre-IPO LLC Members. Immediately following the Reorganization Transactions, the ownership percentage held by the noncontrolling interest will be approximately 44.4%. Net loss attributable to the noncontrolling interest will represent approximately 44.2% of net loss.</w:t>
      </w:r>
    </w:p>
    <w:p>
      <w:pPr>
        <w:spacing w:after="0" w:line="72" w:lineRule="exact"/>
        <w:rPr>
          <w:rFonts w:ascii="Arial" w:cs="Arial" w:eastAsia="Arial" w:hAnsi="Arial"/>
          <w:sz w:val="15"/>
          <w:szCs w:val="15"/>
          <w:color w:val="auto"/>
        </w:rPr>
      </w:pPr>
    </w:p>
    <w:p>
      <w:pPr>
        <w:ind w:left="840" w:right="280" w:hanging="406"/>
        <w:spacing w:after="0" w:line="302" w:lineRule="auto"/>
        <w:tabs>
          <w:tab w:leader="none" w:pos="840" w:val="left"/>
        </w:tabs>
        <w:numPr>
          <w:ilvl w:val="0"/>
          <w:numId w:val="72"/>
        </w:numPr>
        <w:rPr>
          <w:rFonts w:ascii="Arial" w:cs="Arial" w:eastAsia="Arial" w:hAnsi="Arial"/>
          <w:sz w:val="15"/>
          <w:szCs w:val="15"/>
          <w:color w:val="auto"/>
        </w:rPr>
      </w:pPr>
      <w:r>
        <w:rPr>
          <w:rFonts w:ascii="Arial" w:cs="Arial" w:eastAsia="Arial" w:hAnsi="Arial"/>
          <w:sz w:val="15"/>
          <w:szCs w:val="15"/>
          <w:color w:val="auto"/>
        </w:rPr>
        <w:t>Pro forma basic net loss per share of Class A common stock is computed by dividing the pro forma net loss available to Class A common stockholders by the pro forma weighted-average shares of Class A common stock outstanding during the period. Pro forma diluted net loss per share of Class A common stock is computed by adjusting the pro forma net loss available to Class A common stockholders and the pro forma weighted-average shares of Class A common stock outstanding to give effect to potentially dilutive securities.</w:t>
      </w:r>
    </w:p>
    <w:p>
      <w:pPr>
        <w:spacing w:after="0" w:line="14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jc w:val="right"/>
              <w:ind w:right="981"/>
              <w:spacing w:after="0"/>
              <w:rPr>
                <w:sz w:val="20"/>
                <w:szCs w:val="20"/>
                <w:color w:val="auto"/>
              </w:rPr>
            </w:pPr>
            <w:r>
              <w:rPr>
                <w:rFonts w:ascii="Arial" w:cs="Arial" w:eastAsia="Arial" w:hAnsi="Arial"/>
                <w:sz w:val="14"/>
                <w:szCs w:val="14"/>
                <w:b w:val="1"/>
                <w:bCs w:val="1"/>
                <w:color w:val="auto"/>
                <w:w w:val="86"/>
              </w:rPr>
              <w:t>For the Twelve Months</w:t>
            </w:r>
          </w:p>
        </w:tc>
        <w:tc>
          <w:tcPr>
            <w:tcW w:w="1460" w:type="dxa"/>
            <w:vAlign w:val="bottom"/>
            <w:gridSpan w:val="3"/>
          </w:tcPr>
          <w:p>
            <w:pPr>
              <w:ind w:left="200"/>
              <w:spacing w:after="0"/>
              <w:rPr>
                <w:sz w:val="20"/>
                <w:szCs w:val="20"/>
                <w:color w:val="auto"/>
              </w:rPr>
            </w:pPr>
            <w:r>
              <w:rPr>
                <w:rFonts w:ascii="Arial" w:cs="Arial" w:eastAsia="Arial" w:hAnsi="Arial"/>
                <w:sz w:val="14"/>
                <w:szCs w:val="14"/>
                <w:b w:val="1"/>
                <w:bCs w:val="1"/>
                <w:color w:val="auto"/>
                <w:w w:val="98"/>
              </w:rPr>
              <w:t>For the Six Months</w:t>
            </w:r>
          </w:p>
        </w:tc>
        <w:tc>
          <w:tcPr>
            <w:tcW w:w="0" w:type="dxa"/>
            <w:vAlign w:val="bottom"/>
          </w:tcPr>
          <w:p>
            <w:pPr>
              <w:spacing w:after="0"/>
              <w:rPr>
                <w:sz w:val="1"/>
                <w:szCs w:val="1"/>
                <w:color w:val="auto"/>
              </w:rPr>
            </w:pPr>
          </w:p>
        </w:tc>
      </w:tr>
      <w:tr>
        <w:trPr>
          <w:trHeight w:val="160"/>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Pro forma loss per share of Class A common stock</w:t>
            </w:r>
          </w:p>
        </w:tc>
        <w:tc>
          <w:tcPr>
            <w:tcW w:w="10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Ended December 31, 2020</w:t>
            </w:r>
          </w:p>
        </w:tc>
        <w:tc>
          <w:tcPr>
            <w:tcW w:w="1460" w:type="dxa"/>
            <w:vAlign w:val="bottom"/>
            <w:gridSpan w:val="3"/>
          </w:tcPr>
          <w:p>
            <w:pPr>
              <w:ind w:left="140"/>
              <w:spacing w:after="0"/>
              <w:rPr>
                <w:sz w:val="20"/>
                <w:szCs w:val="20"/>
                <w:color w:val="auto"/>
              </w:rPr>
            </w:pPr>
            <w:r>
              <w:rPr>
                <w:rFonts w:ascii="Arial" w:cs="Arial" w:eastAsia="Arial" w:hAnsi="Arial"/>
                <w:sz w:val="14"/>
                <w:szCs w:val="14"/>
                <w:b w:val="1"/>
                <w:bCs w:val="1"/>
                <w:color w:val="auto"/>
                <w:w w:val="94"/>
              </w:rPr>
              <w:t>Ended June 30, 2021</w:t>
            </w:r>
          </w:p>
        </w:tc>
        <w:tc>
          <w:tcPr>
            <w:tcW w:w="0" w:type="dxa"/>
            <w:vAlign w:val="bottom"/>
          </w:tcPr>
          <w:p>
            <w:pPr>
              <w:spacing w:after="0"/>
              <w:rPr>
                <w:sz w:val="1"/>
                <w:szCs w:val="1"/>
                <w:color w:val="auto"/>
              </w:rPr>
            </w:pPr>
          </w:p>
        </w:tc>
      </w:tr>
      <w:tr>
        <w:trPr>
          <w:trHeight w:val="133"/>
        </w:trPr>
        <w:tc>
          <w:tcPr>
            <w:tcW w:w="4580" w:type="dxa"/>
            <w:vAlign w:val="bottom"/>
            <w:tcBorders>
              <w:bottom w:val="single" w:sz="8" w:color="auto"/>
            </w:tcBorders>
            <w:vMerge w:val="continue"/>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400" w:type="dxa"/>
            <w:vAlign w:val="bottom"/>
            <w:tcBorders>
              <w:top w:val="single" w:sz="8" w:color="auto"/>
              <w:bottom w:val="single" w:sz="8" w:color="auto"/>
            </w:tcBorders>
          </w:tcPr>
          <w:p>
            <w:pPr>
              <w:jc w:val="right"/>
              <w:ind w:right="81"/>
              <w:spacing w:after="0" w:line="133" w:lineRule="exact"/>
              <w:rPr>
                <w:sz w:val="20"/>
                <w:szCs w:val="20"/>
                <w:color w:val="auto"/>
              </w:rPr>
            </w:pPr>
            <w:r>
              <w:rPr>
                <w:rFonts w:ascii="Arial" w:cs="Arial" w:eastAsia="Arial" w:hAnsi="Arial"/>
                <w:sz w:val="14"/>
                <w:szCs w:val="14"/>
                <w:b w:val="1"/>
                <w:bCs w:val="1"/>
                <w:color w:val="auto"/>
              </w:rPr>
              <w:t>(in thousands)</w:t>
            </w:r>
          </w:p>
        </w:tc>
        <w:tc>
          <w:tcPr>
            <w:tcW w:w="40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Numerator:</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line="191" w:lineRule="exact"/>
              <w:rPr>
                <w:sz w:val="20"/>
                <w:szCs w:val="20"/>
                <w:color w:val="auto"/>
              </w:rPr>
            </w:pPr>
            <w:r>
              <w:rPr>
                <w:rFonts w:ascii="Arial" w:cs="Arial" w:eastAsia="Arial" w:hAnsi="Arial"/>
                <w:sz w:val="17"/>
                <w:szCs w:val="17"/>
                <w:color w:val="auto"/>
                <w:w w:val="96"/>
              </w:rPr>
              <w:t>Pro forma net loss attributable to the Issuer’s Class A common</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7"/>
                <w:szCs w:val="17"/>
                <w:color w:val="auto"/>
              </w:rPr>
              <w:t>stockholders (basic and diluted)</w:t>
            </w:r>
          </w:p>
        </w:tc>
        <w:tc>
          <w:tcPr>
            <w:tcW w:w="1100" w:type="dxa"/>
            <w:vAlign w:val="bottom"/>
            <w:gridSpan w:val="2"/>
          </w:tcPr>
          <w:p>
            <w:pPr>
              <w:ind w:left="1020"/>
              <w:spacing w:after="0"/>
              <w:rPr>
                <w:sz w:val="20"/>
                <w:szCs w:val="20"/>
                <w:color w:val="auto"/>
              </w:rPr>
            </w:pPr>
            <w:r>
              <w:rPr>
                <w:rFonts w:ascii="Arial" w:cs="Arial" w:eastAsia="Arial" w:hAnsi="Arial"/>
                <w:sz w:val="15"/>
                <w:szCs w:val="15"/>
                <w:color w:val="auto"/>
                <w:w w:val="71"/>
              </w:rPr>
              <w:t>$</w:t>
            </w:r>
          </w:p>
        </w:tc>
        <w:tc>
          <w:tcPr>
            <w:tcW w:w="2400" w:type="dxa"/>
            <w:vAlign w:val="bottom"/>
          </w:tcPr>
          <w:p>
            <w:pPr>
              <w:jc w:val="right"/>
              <w:ind w:right="841"/>
              <w:spacing w:after="0"/>
              <w:rPr>
                <w:sz w:val="20"/>
                <w:szCs w:val="20"/>
                <w:color w:val="auto"/>
              </w:rPr>
            </w:pPr>
            <w:r>
              <w:rPr>
                <w:rFonts w:ascii="Arial" w:cs="Arial" w:eastAsia="Arial" w:hAnsi="Arial"/>
                <w:sz w:val="17"/>
                <w:szCs w:val="17"/>
                <w:color w:val="auto"/>
              </w:rPr>
              <w:t>(30,118)</w:t>
            </w:r>
          </w:p>
        </w:tc>
        <w:tc>
          <w:tcPr>
            <w:tcW w:w="400" w:type="dxa"/>
            <w:vAlign w:val="bottom"/>
          </w:tcPr>
          <w:p>
            <w:pPr>
              <w:ind w:left="14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(15,363)</w:t>
            </w:r>
          </w:p>
        </w:tc>
        <w:tc>
          <w:tcPr>
            <w:tcW w:w="0" w:type="dxa"/>
            <w:vAlign w:val="bottom"/>
          </w:tcPr>
          <w:p>
            <w:pPr>
              <w:spacing w:after="0"/>
              <w:rPr>
                <w:sz w:val="1"/>
                <w:szCs w:val="1"/>
                <w:color w:val="auto"/>
              </w:rPr>
            </w:pPr>
          </w:p>
        </w:tc>
      </w:tr>
      <w:tr>
        <w:trPr>
          <w:trHeight w:val="204"/>
        </w:trPr>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Denominator:</w:t>
            </w: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580" w:type="dxa"/>
            <w:vAlign w:val="bottom"/>
          </w:tcPr>
          <w:p>
            <w:pPr>
              <w:spacing w:after="0" w:line="191" w:lineRule="exact"/>
              <w:rPr>
                <w:sz w:val="20"/>
                <w:szCs w:val="20"/>
                <w:color w:val="auto"/>
              </w:rPr>
            </w:pPr>
            <w:r>
              <w:rPr>
                <w:rFonts w:ascii="Arial" w:cs="Arial" w:eastAsia="Arial" w:hAnsi="Arial"/>
                <w:sz w:val="17"/>
                <w:szCs w:val="17"/>
                <w:color w:val="auto"/>
                <w:w w:val="94"/>
              </w:rPr>
              <w:t>Pro forma weighted average of shares of Class A common stock</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60"/>
              <w:spacing w:after="0"/>
              <w:rPr>
                <w:sz w:val="20"/>
                <w:szCs w:val="20"/>
                <w:color w:val="auto"/>
              </w:rPr>
            </w:pPr>
            <w:r>
              <w:rPr>
                <w:rFonts w:ascii="Arial" w:cs="Arial" w:eastAsia="Arial" w:hAnsi="Arial"/>
                <w:sz w:val="17"/>
                <w:szCs w:val="17"/>
                <w:color w:val="auto"/>
              </w:rPr>
              <w:t>outstanding (basic)</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jc w:val="right"/>
              <w:ind w:right="901"/>
              <w:spacing w:after="0"/>
              <w:rPr>
                <w:sz w:val="20"/>
                <w:szCs w:val="20"/>
                <w:color w:val="auto"/>
              </w:rPr>
            </w:pPr>
            <w:r>
              <w:rPr>
                <w:rFonts w:ascii="Arial" w:cs="Arial" w:eastAsia="Arial" w:hAnsi="Arial"/>
                <w:sz w:val="17"/>
                <w:szCs w:val="17"/>
                <w:color w:val="auto"/>
              </w:rPr>
              <w:t>87,522,796</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87,522,796</w:t>
            </w:r>
          </w:p>
        </w:tc>
        <w:tc>
          <w:tcPr>
            <w:tcW w:w="0" w:type="dxa"/>
            <w:vAlign w:val="bottom"/>
          </w:tcPr>
          <w:p>
            <w:pPr>
              <w:spacing w:after="0"/>
              <w:rPr>
                <w:sz w:val="1"/>
                <w:szCs w:val="1"/>
                <w:color w:val="auto"/>
              </w:rPr>
            </w:pPr>
          </w:p>
        </w:tc>
      </w:tr>
      <w:tr>
        <w:trPr>
          <w:trHeight w:val="204"/>
        </w:trPr>
        <w:tc>
          <w:tcPr>
            <w:tcW w:w="4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basic loss per share</w:t>
            </w:r>
          </w:p>
        </w:tc>
        <w:tc>
          <w:tcPr>
            <w:tcW w:w="1100" w:type="dxa"/>
            <w:vAlign w:val="bottom"/>
            <w:gridSpan w:val="2"/>
            <w:shd w:val="clear" w:color="auto" w:fill="CCEEFF"/>
          </w:tcPr>
          <w:p>
            <w:pPr>
              <w:ind w:left="1020"/>
              <w:spacing w:after="0"/>
              <w:rPr>
                <w:sz w:val="20"/>
                <w:szCs w:val="20"/>
                <w:color w:val="auto"/>
              </w:rPr>
            </w:pPr>
            <w:r>
              <w:rPr>
                <w:rFonts w:ascii="Arial" w:cs="Arial" w:eastAsia="Arial" w:hAnsi="Arial"/>
                <w:sz w:val="15"/>
                <w:szCs w:val="15"/>
                <w:color w:val="auto"/>
                <w:w w:val="71"/>
              </w:rPr>
              <w:t>$</w:t>
            </w:r>
          </w:p>
        </w:tc>
        <w:tc>
          <w:tcPr>
            <w:tcW w:w="2400" w:type="dxa"/>
            <w:vAlign w:val="bottom"/>
            <w:shd w:val="clear" w:color="auto" w:fill="CCEEFF"/>
          </w:tcPr>
          <w:p>
            <w:pPr>
              <w:jc w:val="right"/>
              <w:ind w:right="841"/>
              <w:spacing w:after="0"/>
              <w:rPr>
                <w:sz w:val="20"/>
                <w:szCs w:val="20"/>
                <w:color w:val="auto"/>
              </w:rPr>
            </w:pPr>
            <w:r>
              <w:rPr>
                <w:rFonts w:ascii="Arial" w:cs="Arial" w:eastAsia="Arial" w:hAnsi="Arial"/>
                <w:sz w:val="17"/>
                <w:szCs w:val="17"/>
                <w:color w:val="auto"/>
              </w:rPr>
              <w:t>(0.34)</w:t>
            </w:r>
          </w:p>
        </w:tc>
        <w:tc>
          <w:tcPr>
            <w:tcW w:w="4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(0.18)</w:t>
            </w:r>
          </w:p>
        </w:tc>
        <w:tc>
          <w:tcPr>
            <w:tcW w:w="0" w:type="dxa"/>
            <w:vAlign w:val="bottom"/>
          </w:tcPr>
          <w:p>
            <w:pPr>
              <w:spacing w:after="0"/>
              <w:rPr>
                <w:sz w:val="1"/>
                <w:szCs w:val="1"/>
                <w:color w:val="auto"/>
              </w:rPr>
            </w:pPr>
          </w:p>
        </w:tc>
      </w:tr>
      <w:tr>
        <w:trPr>
          <w:trHeight w:val="219"/>
        </w:trPr>
        <w:tc>
          <w:tcPr>
            <w:tcW w:w="4580" w:type="dxa"/>
            <w:vAlign w:val="bottom"/>
          </w:tcPr>
          <w:p>
            <w:pPr>
              <w:spacing w:after="0"/>
              <w:rPr>
                <w:sz w:val="20"/>
                <w:szCs w:val="20"/>
                <w:color w:val="auto"/>
              </w:rPr>
            </w:pPr>
            <w:r>
              <w:rPr>
                <w:rFonts w:ascii="Arial" w:cs="Arial" w:eastAsia="Arial" w:hAnsi="Arial"/>
                <w:sz w:val="17"/>
                <w:szCs w:val="17"/>
                <w:b w:val="1"/>
                <w:bCs w:val="1"/>
                <w:color w:val="auto"/>
              </w:rPr>
              <w:t>Antidilutive shares excluded</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jc w:val="right"/>
              <w:ind w:right="901"/>
              <w:spacing w:after="0"/>
              <w:rPr>
                <w:sz w:val="20"/>
                <w:szCs w:val="20"/>
                <w:color w:val="auto"/>
              </w:rPr>
            </w:pPr>
            <w:r>
              <w:rPr>
                <w:rFonts w:ascii="Arial" w:cs="Arial" w:eastAsia="Arial" w:hAnsi="Arial"/>
                <w:sz w:val="17"/>
                <w:szCs w:val="17"/>
                <w:color w:val="auto"/>
              </w:rPr>
              <w:t>57,860,387</w:t>
            </w:r>
          </w:p>
        </w:tc>
        <w:tc>
          <w:tcPr>
            <w:tcW w:w="4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57,860,387</w:t>
            </w:r>
          </w:p>
        </w:tc>
        <w:tc>
          <w:tcPr>
            <w:tcW w:w="0" w:type="dxa"/>
            <w:vAlign w:val="bottom"/>
          </w:tcPr>
          <w:p>
            <w:pPr>
              <w:spacing w:after="0"/>
              <w:rPr>
                <w:sz w:val="1"/>
                <w:szCs w:val="1"/>
                <w:color w:val="auto"/>
              </w:rPr>
            </w:pPr>
          </w:p>
        </w:tc>
      </w:tr>
      <w:tr>
        <w:trPr>
          <w:trHeight w:val="327"/>
        </w:trPr>
        <w:tc>
          <w:tcPr>
            <w:tcW w:w="4580" w:type="dxa"/>
            <w:vAlign w:val="bottom"/>
          </w:tcPr>
          <w:p>
            <w:pPr>
              <w:spacing w:after="0"/>
              <w:rPr>
                <w:sz w:val="24"/>
                <w:szCs w:val="24"/>
                <w:color w:val="auto"/>
              </w:rPr>
            </w:pPr>
          </w:p>
        </w:tc>
        <w:tc>
          <w:tcPr>
            <w:tcW w:w="1020" w:type="dxa"/>
            <w:vAlign w:val="bottom"/>
          </w:tcPr>
          <w:p>
            <w:pPr>
              <w:jc w:val="right"/>
              <w:ind w:right="682"/>
              <w:spacing w:after="0"/>
              <w:rPr>
                <w:sz w:val="20"/>
                <w:szCs w:val="20"/>
                <w:color w:val="auto"/>
              </w:rPr>
            </w:pPr>
            <w:r>
              <w:rPr>
                <w:rFonts w:ascii="Arial" w:cs="Arial" w:eastAsia="Arial" w:hAnsi="Arial"/>
                <w:sz w:val="17"/>
                <w:szCs w:val="17"/>
                <w:color w:val="auto"/>
              </w:rPr>
              <w:t>87</w:t>
            </w:r>
          </w:p>
        </w:tc>
        <w:tc>
          <w:tcPr>
            <w:tcW w:w="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2" w:right="77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Reflects the effects of the following equity-based compensation expenses:</w:t>
      </w:r>
    </w:p>
    <w:p>
      <w:pPr>
        <w:spacing w:after="0" w:line="109" w:lineRule="exact"/>
        <w:rPr>
          <w:rFonts w:ascii="Arial" w:cs="Arial" w:eastAsia="Arial" w:hAnsi="Arial"/>
          <w:sz w:val="17"/>
          <w:szCs w:val="17"/>
          <w:color w:val="auto"/>
        </w:rPr>
      </w:pPr>
    </w:p>
    <w:p>
      <w:pPr>
        <w:ind w:left="840" w:right="80"/>
        <w:spacing w:after="0" w:line="255" w:lineRule="auto"/>
        <w:rPr>
          <w:rFonts w:ascii="Arial" w:cs="Arial" w:eastAsia="Arial" w:hAnsi="Arial"/>
          <w:sz w:val="17"/>
          <w:szCs w:val="17"/>
          <w:color w:val="auto"/>
        </w:rPr>
      </w:pPr>
      <w:r>
        <w:rPr>
          <w:rFonts w:ascii="Arial" w:cs="Arial" w:eastAsia="Arial" w:hAnsi="Arial"/>
          <w:sz w:val="17"/>
          <w:szCs w:val="17"/>
          <w:color w:val="auto"/>
        </w:rPr>
        <w:t>$9.9 million and $4.9 million of equity-based compensation expense for the year ended December 31, 2020 and the six months ended June 30, 2021, respectively, in relation to new awards under the Definitive Healthcare Corp. 2021 Equity Incentive Plan issued to certain key personnel in connection with the IPO and vesting over periods greater than one year commencing on the awards’ grant date, which for pro forma purposes would be January 1, 2020. Such awards were granted by Definitive Healthcare Corp, accordingly none of the related expense is attributable to non-controlling interests.</w:t>
      </w:r>
    </w:p>
    <w:p>
      <w:pPr>
        <w:spacing w:after="0" w:line="80" w:lineRule="exact"/>
        <w:rPr>
          <w:rFonts w:ascii="Arial" w:cs="Arial" w:eastAsia="Arial" w:hAnsi="Arial"/>
          <w:sz w:val="17"/>
          <w:szCs w:val="17"/>
          <w:color w:val="auto"/>
        </w:rPr>
      </w:pPr>
    </w:p>
    <w:p>
      <w:pPr>
        <w:jc w:val="both"/>
        <w:ind w:left="840" w:right="240"/>
        <w:spacing w:after="0" w:line="285" w:lineRule="auto"/>
        <w:rPr>
          <w:rFonts w:ascii="Arial" w:cs="Arial" w:eastAsia="Arial" w:hAnsi="Arial"/>
          <w:sz w:val="17"/>
          <w:szCs w:val="17"/>
          <w:color w:val="auto"/>
        </w:rPr>
      </w:pPr>
      <w:r>
        <w:rPr>
          <w:rFonts w:ascii="Arial" w:cs="Arial" w:eastAsia="Arial" w:hAnsi="Arial"/>
          <w:sz w:val="16"/>
          <w:szCs w:val="16"/>
          <w:color w:val="auto"/>
        </w:rPr>
        <w:t>$1.6 million and $0.8 million of equity-based compensation expense for the year ended December 31, 2020 and the six months ended June 30, 2021, for awards under the 2019 Equity Incentive Plan will be recorded in periods following this offering in accordance with the performance-based vesting criteria which can be exchanged for our Class A common stock after an initial public offering.</w:t>
      </w:r>
    </w:p>
    <w:p>
      <w:pPr>
        <w:spacing w:after="0" w:line="56" w:lineRule="exact"/>
        <w:rPr>
          <w:rFonts w:ascii="Arial" w:cs="Arial" w:eastAsia="Arial" w:hAnsi="Arial"/>
          <w:sz w:val="17"/>
          <w:szCs w:val="17"/>
          <w:color w:val="auto"/>
        </w:rPr>
      </w:pPr>
    </w:p>
    <w:p>
      <w:pPr>
        <w:ind w:left="840" w:right="60"/>
        <w:spacing w:after="0" w:line="261" w:lineRule="auto"/>
        <w:rPr>
          <w:rFonts w:ascii="Arial" w:cs="Arial" w:eastAsia="Arial" w:hAnsi="Arial"/>
          <w:sz w:val="17"/>
          <w:szCs w:val="17"/>
          <w:color w:val="auto"/>
        </w:rPr>
      </w:pPr>
      <w:r>
        <w:rPr>
          <w:rFonts w:ascii="Arial" w:cs="Arial" w:eastAsia="Arial" w:hAnsi="Arial"/>
          <w:sz w:val="17"/>
          <w:szCs w:val="17"/>
          <w:color w:val="auto"/>
        </w:rPr>
        <w:t>$5.2 million and $2.6 million of equity-based compensation expense for the year ended December 31, 2020 and the six months ended June 30, 2021, respectively, in relation to the modification of certain pre-IPO equity-based awards under the 2019 Equity Incentive Plan to remove certain forfeiture terms.</w:t>
      </w:r>
    </w:p>
    <w:p>
      <w:pPr>
        <w:spacing w:after="0" w:line="74" w:lineRule="exact"/>
        <w:rPr>
          <w:rFonts w:ascii="Arial" w:cs="Arial" w:eastAsia="Arial" w:hAnsi="Arial"/>
          <w:sz w:val="17"/>
          <w:szCs w:val="17"/>
          <w:color w:val="auto"/>
        </w:rPr>
      </w:pPr>
    </w:p>
    <w:p>
      <w:pPr>
        <w:ind w:left="840"/>
        <w:spacing w:after="0" w:line="273" w:lineRule="auto"/>
        <w:rPr>
          <w:rFonts w:ascii="Arial" w:cs="Arial" w:eastAsia="Arial" w:hAnsi="Arial"/>
          <w:sz w:val="17"/>
          <w:szCs w:val="17"/>
          <w:color w:val="auto"/>
        </w:rPr>
      </w:pPr>
      <w:r>
        <w:rPr>
          <w:rFonts w:ascii="Arial" w:cs="Arial" w:eastAsia="Arial" w:hAnsi="Arial"/>
          <w:sz w:val="17"/>
          <w:szCs w:val="17"/>
          <w:color w:val="auto"/>
        </w:rPr>
        <w:t>The awards under the 2019 Equity Incentive Plan are estimated to have total unrecognized equity-based compensation expense of $25.2 million at the time of the initial public offering, to be recognized over the remaining vesting terms.</w:t>
      </w:r>
    </w:p>
    <w:p>
      <w:pPr>
        <w:spacing w:after="0" w:line="76" w:lineRule="exact"/>
        <w:rPr>
          <w:rFonts w:ascii="Arial" w:cs="Arial" w:eastAsia="Arial" w:hAnsi="Arial"/>
          <w:sz w:val="17"/>
          <w:szCs w:val="17"/>
          <w:color w:val="auto"/>
        </w:rPr>
      </w:pPr>
    </w:p>
    <w:p>
      <w:pPr>
        <w:ind w:left="840" w:right="80" w:hanging="406"/>
        <w:spacing w:after="0" w:line="279" w:lineRule="auto"/>
        <w:tabs>
          <w:tab w:leader="none" w:pos="8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Definitive OpCo will use a portion of the proceeds from the issuance of LLC Units to Definitive Healthcare Corp. to repay a portion of our indebtedness. Our unpaid principal balance of our indebtedness of $470.4 million bearing interest at a rate of 6.25% as of June 30, 2021 will be reduced by an estimated $195.4 million to $275.0 million. As such, interest expense will be reduced by $13.8 million and $6.4 million as a result of the lower borrowings outstanding for the year ended December 31, 2020 and six months ended June 30, 2021, respectively.</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760"/>
          </w:cols>
          <w:pgMar w:left="320" w:top="442" w:right="81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300"/>
        <w:spacing w:after="0"/>
        <w:rPr>
          <w:sz w:val="20"/>
          <w:szCs w:val="20"/>
          <w:color w:val="auto"/>
        </w:rPr>
      </w:pPr>
      <w:r>
        <w:rPr>
          <w:rFonts w:ascii="Arial" w:cs="Arial" w:eastAsia="Arial" w:hAnsi="Arial"/>
          <w:sz w:val="17"/>
          <w:szCs w:val="17"/>
          <w:b w:val="1"/>
          <w:bCs w:val="1"/>
          <w:color w:val="auto"/>
        </w:rPr>
        <w:t>UNAUDITED PRO FORMA CONSOLIDATED BALANCE SHEET AS OF JUNE 30, 2021</w:t>
      </w:r>
    </w:p>
    <w:p>
      <w:pPr>
        <w:spacing w:after="0" w:line="21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Pro forma</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7"/>
              </w:rPr>
              <w:t>Pro forma</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20"/>
              <w:spacing w:after="0" w:line="140" w:lineRule="exact"/>
              <w:rPr>
                <w:sz w:val="20"/>
                <w:szCs w:val="20"/>
                <w:color w:val="auto"/>
              </w:rPr>
            </w:pPr>
            <w:r>
              <w:rPr>
                <w:rFonts w:ascii="Arial" w:cs="Arial" w:eastAsia="Arial" w:hAnsi="Arial"/>
                <w:sz w:val="14"/>
                <w:szCs w:val="14"/>
                <w:b w:val="1"/>
                <w:bCs w:val="1"/>
                <w:color w:val="auto"/>
                <w:w w:val="87"/>
              </w:rPr>
              <w:t>Historical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Definitive</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center"/>
              <w:ind w:right="40"/>
              <w:spacing w:after="0" w:line="140" w:lineRule="exact"/>
              <w:rPr>
                <w:sz w:val="20"/>
                <w:szCs w:val="20"/>
                <w:color w:val="auto"/>
              </w:rPr>
            </w:pPr>
            <w:r>
              <w:rPr>
                <w:rFonts w:ascii="Arial" w:cs="Arial" w:eastAsia="Arial" w:hAnsi="Arial"/>
                <w:sz w:val="14"/>
                <w:szCs w:val="14"/>
                <w:b w:val="1"/>
                <w:bCs w:val="1"/>
                <w:color w:val="auto"/>
                <w:w w:val="91"/>
              </w:rPr>
              <w:t>Definitive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center"/>
              <w:ind w:right="20"/>
              <w:spacing w:after="0" w:line="140" w:lineRule="exact"/>
              <w:rPr>
                <w:sz w:val="20"/>
                <w:szCs w:val="20"/>
                <w:color w:val="auto"/>
              </w:rPr>
            </w:pPr>
            <w:r>
              <w:rPr>
                <w:rFonts w:ascii="Arial" w:cs="Arial" w:eastAsia="Arial" w:hAnsi="Arial"/>
                <w:sz w:val="14"/>
                <w:szCs w:val="14"/>
                <w:b w:val="1"/>
                <w:bCs w:val="1"/>
                <w:color w:val="auto"/>
                <w:w w:val="88"/>
              </w:rPr>
              <w:t>Definitive</w:t>
            </w:r>
          </w:p>
        </w:tc>
        <w:tc>
          <w:tcPr>
            <w:tcW w:w="220" w:type="dxa"/>
            <w:vAlign w:val="bottom"/>
          </w:tcPr>
          <w:p>
            <w:pPr>
              <w:spacing w:after="0"/>
              <w:rPr>
                <w:sz w:val="12"/>
                <w:szCs w:val="12"/>
                <w:color w:val="auto"/>
              </w:rPr>
            </w:pPr>
          </w:p>
        </w:tc>
        <w:tc>
          <w:tcPr>
            <w:tcW w:w="1680" w:type="dxa"/>
            <w:vAlign w:val="bottom"/>
            <w:gridSpan w:val="3"/>
          </w:tcPr>
          <w:p>
            <w:pPr>
              <w:jc w:val="right"/>
              <w:ind w:right="960"/>
              <w:spacing w:after="0" w:line="140" w:lineRule="exact"/>
              <w:rPr>
                <w:sz w:val="20"/>
                <w:szCs w:val="20"/>
                <w:color w:val="auto"/>
              </w:rPr>
            </w:pPr>
            <w:r>
              <w:rPr>
                <w:rFonts w:ascii="Arial" w:cs="Arial" w:eastAsia="Arial" w:hAnsi="Arial"/>
                <w:sz w:val="14"/>
                <w:szCs w:val="14"/>
                <w:b w:val="1"/>
                <w:bCs w:val="1"/>
                <w:color w:val="auto"/>
                <w:w w:val="88"/>
              </w:rPr>
              <w:t>Transaction</w:t>
            </w:r>
          </w:p>
        </w:tc>
        <w:tc>
          <w:tcPr>
            <w:tcW w:w="680" w:type="dxa"/>
            <w:vAlign w:val="bottom"/>
          </w:tcPr>
          <w:p>
            <w:pPr>
              <w:spacing w:after="0"/>
              <w:rPr>
                <w:sz w:val="12"/>
                <w:szCs w:val="12"/>
                <w:color w:val="auto"/>
              </w:rPr>
            </w:pPr>
          </w:p>
        </w:tc>
        <w:tc>
          <w:tcPr>
            <w:tcW w:w="8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9"/>
              </w:rPr>
              <w:t>Healthcare</w:t>
            </w:r>
          </w:p>
        </w:tc>
        <w:tc>
          <w:tcPr>
            <w:tcW w:w="100" w:type="dxa"/>
            <w:vAlign w:val="bottom"/>
          </w:tcPr>
          <w:p>
            <w:pPr>
              <w:spacing w:after="0"/>
              <w:rPr>
                <w:sz w:val="12"/>
                <w:szCs w:val="12"/>
                <w:color w:val="auto"/>
              </w:rPr>
            </w:pPr>
          </w:p>
        </w:tc>
        <w:tc>
          <w:tcPr>
            <w:tcW w:w="1520" w:type="dxa"/>
            <w:vAlign w:val="bottom"/>
            <w:gridSpan w:val="2"/>
          </w:tcPr>
          <w:p>
            <w:pPr>
              <w:jc w:val="right"/>
              <w:ind w:right="1020"/>
              <w:spacing w:after="0" w:line="140" w:lineRule="exact"/>
              <w:rPr>
                <w:sz w:val="20"/>
                <w:szCs w:val="20"/>
                <w:color w:val="auto"/>
              </w:rPr>
            </w:pPr>
            <w:r>
              <w:rPr>
                <w:rFonts w:ascii="Arial" w:cs="Arial" w:eastAsia="Arial" w:hAnsi="Arial"/>
                <w:sz w:val="14"/>
                <w:szCs w:val="14"/>
                <w:b w:val="1"/>
                <w:bCs w:val="1"/>
                <w:color w:val="auto"/>
                <w:w w:val="88"/>
              </w:rPr>
              <w:t>Offering</w:t>
            </w:r>
          </w:p>
        </w:tc>
        <w:tc>
          <w:tcPr>
            <w:tcW w:w="240" w:type="dxa"/>
            <w:vAlign w:val="bottom"/>
          </w:tcPr>
          <w:p>
            <w:pPr>
              <w:spacing w:after="0"/>
              <w:rPr>
                <w:sz w:val="12"/>
                <w:szCs w:val="12"/>
                <w:color w:val="auto"/>
              </w:rPr>
            </w:pPr>
          </w:p>
        </w:tc>
        <w:tc>
          <w:tcPr>
            <w:tcW w:w="700" w:type="dxa"/>
            <w:vAlign w:val="bottom"/>
            <w:gridSpan w:val="3"/>
          </w:tcPr>
          <w:p>
            <w:pPr>
              <w:ind w:left="20"/>
              <w:spacing w:after="0" w:line="140" w:lineRule="exact"/>
              <w:rPr>
                <w:sz w:val="20"/>
                <w:szCs w:val="20"/>
                <w:color w:val="auto"/>
              </w:rPr>
            </w:pPr>
            <w:r>
              <w:rPr>
                <w:rFonts w:ascii="Arial" w:cs="Arial" w:eastAsia="Arial" w:hAnsi="Arial"/>
                <w:sz w:val="14"/>
                <w:szCs w:val="14"/>
                <w:b w:val="1"/>
                <w:bCs w:val="1"/>
                <w:color w:val="auto"/>
                <w:w w:val="92"/>
              </w:rPr>
              <w:t>Healthcare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OpCo</w:t>
            </w:r>
          </w:p>
        </w:tc>
        <w:tc>
          <w:tcPr>
            <w:tcW w:w="220" w:type="dxa"/>
            <w:vAlign w:val="bottom"/>
          </w:tcPr>
          <w:p>
            <w:pPr>
              <w:spacing w:after="0"/>
              <w:rPr>
                <w:sz w:val="13"/>
                <w:szCs w:val="13"/>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Corp.</w:t>
            </w: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720" w:type="dxa"/>
            <w:vAlign w:val="bottom"/>
            <w:tcBorders>
              <w:top w:val="single" w:sz="8" w:color="CCEEFF"/>
            </w:tcBorders>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Assets</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line="140" w:lineRule="exact"/>
              <w:rPr>
                <w:sz w:val="20"/>
                <w:szCs w:val="20"/>
                <w:color w:val="auto"/>
              </w:rPr>
            </w:pPr>
            <w:r>
              <w:rPr>
                <w:rFonts w:ascii="Arial" w:cs="Arial" w:eastAsia="Arial" w:hAnsi="Arial"/>
                <w:sz w:val="14"/>
                <w:szCs w:val="14"/>
                <w:b w:val="1"/>
                <w:bCs w:val="1"/>
                <w:color w:val="auto"/>
              </w:rPr>
              <w:t>Current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Cash and cash equivalents</w:t>
            </w:r>
          </w:p>
        </w:tc>
        <w:tc>
          <w:tcPr>
            <w:tcW w:w="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38,438</w:t>
            </w:r>
          </w:p>
        </w:tc>
        <w:tc>
          <w:tcPr>
            <w:tcW w:w="340" w:type="dxa"/>
            <w:vAlign w:val="bottom"/>
            <w:gridSpan w:val="2"/>
            <w:shd w:val="clear" w:color="auto" w:fill="CCEEFF"/>
          </w:tcPr>
          <w:p>
            <w:pPr>
              <w:ind w:left="220"/>
              <w:spacing w:after="0" w:line="14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38,438</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760"/>
              <w:spacing w:after="0" w:line="140" w:lineRule="exact"/>
              <w:rPr>
                <w:sz w:val="20"/>
                <w:szCs w:val="20"/>
                <w:color w:val="auto"/>
              </w:rPr>
            </w:pPr>
            <w:r>
              <w:rPr>
                <w:rFonts w:ascii="Arial" w:cs="Arial" w:eastAsia="Arial" w:hAnsi="Arial"/>
                <w:sz w:val="14"/>
                <w:szCs w:val="14"/>
                <w:color w:val="auto"/>
              </w:rPr>
              <w:t>138,821(1)</w:t>
            </w:r>
          </w:p>
        </w:tc>
        <w:tc>
          <w:tcPr>
            <w:tcW w:w="340" w:type="dxa"/>
            <w:vAlign w:val="bottom"/>
            <w:gridSpan w:val="2"/>
            <w:shd w:val="clear" w:color="auto" w:fill="CCEEFF"/>
          </w:tcPr>
          <w:p>
            <w:pPr>
              <w:ind w:left="24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177,259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Accounts receivable, net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22,818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22,818</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22,818</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Prepaid expenses and other 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3,660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3,660</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3,660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Current portion of deferred contract costs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4,549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4,549</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4,549</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520"/>
              <w:spacing w:after="0" w:line="140" w:lineRule="exact"/>
              <w:rPr>
                <w:sz w:val="20"/>
                <w:szCs w:val="20"/>
                <w:color w:val="auto"/>
              </w:rPr>
            </w:pPr>
            <w:r>
              <w:rPr>
                <w:rFonts w:ascii="Arial" w:cs="Arial" w:eastAsia="Arial" w:hAnsi="Arial"/>
                <w:sz w:val="14"/>
                <w:szCs w:val="14"/>
                <w:b w:val="1"/>
                <w:bCs w:val="1"/>
                <w:color w:val="auto"/>
              </w:rPr>
              <w:t>Total 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69,465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69,465</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920"/>
              <w:spacing w:after="0" w:line="140" w:lineRule="exact"/>
              <w:rPr>
                <w:sz w:val="20"/>
                <w:szCs w:val="20"/>
                <w:color w:val="auto"/>
              </w:rPr>
            </w:pPr>
            <w:r>
              <w:rPr>
                <w:rFonts w:ascii="Arial" w:cs="Arial" w:eastAsia="Arial" w:hAnsi="Arial"/>
                <w:sz w:val="14"/>
                <w:szCs w:val="14"/>
                <w:color w:val="auto"/>
              </w:rPr>
              <w:t>138,821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208,286</w:t>
            </w:r>
          </w:p>
        </w:tc>
        <w:tc>
          <w:tcPr>
            <w:tcW w:w="0" w:type="dxa"/>
            <w:vAlign w:val="bottom"/>
          </w:tcPr>
          <w:p>
            <w:pPr>
              <w:spacing w:after="0"/>
              <w:rPr>
                <w:sz w:val="1"/>
                <w:szCs w:val="1"/>
                <w:color w:val="auto"/>
              </w:rPr>
            </w:pPr>
          </w:p>
        </w:tc>
      </w:tr>
      <w:tr>
        <w:trPr>
          <w:trHeight w:val="140"/>
        </w:trPr>
        <w:tc>
          <w:tcPr>
            <w:tcW w:w="20" w:type="dxa"/>
            <w:vAlign w:val="bottom"/>
            <w:vMerge w:val="restart"/>
          </w:tcPr>
          <w:p>
            <w:pPr>
              <w:spacing w:after="0"/>
              <w:rPr>
                <w:sz w:val="12"/>
                <w:szCs w:val="12"/>
                <w:color w:val="auto"/>
              </w:rPr>
            </w:pPr>
          </w:p>
        </w:tc>
        <w:tc>
          <w:tcPr>
            <w:tcW w:w="3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4,340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4,340</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4,340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line="140" w:lineRule="exact"/>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4,226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4,226</w:t>
            </w:r>
          </w:p>
        </w:tc>
        <w:tc>
          <w:tcPr>
            <w:tcW w:w="100" w:type="dxa"/>
            <w:vAlign w:val="bottom"/>
          </w:tcPr>
          <w:p>
            <w:pPr>
              <w:spacing w:after="0"/>
              <w:rPr>
                <w:sz w:val="12"/>
                <w:szCs w:val="12"/>
                <w:color w:val="auto"/>
              </w:rPr>
            </w:pPr>
          </w:p>
        </w:tc>
        <w:tc>
          <w:tcPr>
            <w:tcW w:w="1520" w:type="dxa"/>
            <w:vAlign w:val="bottom"/>
            <w:gridSpan w:val="2"/>
          </w:tcPr>
          <w:p>
            <w:pPr>
              <w:jc w:val="right"/>
              <w:ind w:right="720"/>
              <w:spacing w:after="0" w:line="140" w:lineRule="exact"/>
              <w:rPr>
                <w:sz w:val="20"/>
                <w:szCs w:val="20"/>
                <w:color w:val="auto"/>
              </w:rPr>
            </w:pPr>
            <w:r>
              <w:rPr>
                <w:rFonts w:ascii="Arial" w:cs="Arial" w:eastAsia="Arial" w:hAnsi="Arial"/>
                <w:sz w:val="14"/>
                <w:szCs w:val="14"/>
                <w:color w:val="auto"/>
              </w:rPr>
              <w:t>(3,820)(3)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Deferred contract costs, net of current portion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8,490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8,490</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8,490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line="140" w:lineRule="exact"/>
              <w:rPr>
                <w:sz w:val="20"/>
                <w:szCs w:val="20"/>
                <w:color w:val="auto"/>
              </w:rPr>
            </w:pPr>
            <w:r>
              <w:rPr>
                <w:rFonts w:ascii="Arial" w:cs="Arial" w:eastAsia="Arial" w:hAnsi="Arial"/>
                <w:sz w:val="14"/>
                <w:szCs w:val="14"/>
                <w:color w:val="auto"/>
              </w:rPr>
              <w:t>Deferred tax asset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161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161</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381,387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381,387</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381,387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line="140" w:lineRule="exact"/>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w w:val="86"/>
              </w:rPr>
              <w:t>1,261,444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w w:val="86"/>
              </w:rPr>
              <w:t>1,261,444</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w w:val="86"/>
              </w:rPr>
              <w:t>1,261,444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520"/>
              <w:spacing w:after="0" w:line="140" w:lineRule="exact"/>
              <w:rPr>
                <w:sz w:val="20"/>
                <w:szCs w:val="20"/>
                <w:color w:val="auto"/>
              </w:rPr>
            </w:pPr>
            <w:r>
              <w:rPr>
                <w:rFonts w:ascii="Arial" w:cs="Arial" w:eastAsia="Arial" w:hAnsi="Arial"/>
                <w:sz w:val="14"/>
                <w:szCs w:val="14"/>
                <w:b w:val="1"/>
                <w:bCs w:val="1"/>
                <w:color w:val="auto"/>
              </w:rPr>
              <w:t>Total assets</w:t>
            </w:r>
          </w:p>
        </w:tc>
        <w:tc>
          <w:tcPr>
            <w:tcW w:w="8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u w:val="single" w:color="auto"/>
                <w:color w:val="auto"/>
                <w:w w:val="76"/>
              </w:rPr>
              <w:t>$</w:t>
            </w: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w w:val="86"/>
              </w:rPr>
              <w:t>1,729,513</w:t>
            </w:r>
          </w:p>
        </w:tc>
        <w:tc>
          <w:tcPr>
            <w:tcW w:w="340" w:type="dxa"/>
            <w:vAlign w:val="bottom"/>
            <w:gridSpan w:val="2"/>
            <w:shd w:val="clear" w:color="auto" w:fill="CCEEFF"/>
          </w:tcPr>
          <w:p>
            <w:pPr>
              <w:ind w:left="220"/>
              <w:spacing w:after="0" w:line="140" w:lineRule="exact"/>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w w:val="86"/>
              </w:rPr>
              <w:t>1,729,513</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920"/>
              <w:spacing w:after="0" w:line="140" w:lineRule="exact"/>
              <w:rPr>
                <w:sz w:val="20"/>
                <w:szCs w:val="20"/>
                <w:color w:val="auto"/>
              </w:rPr>
            </w:pPr>
            <w:r>
              <w:rPr>
                <w:rFonts w:ascii="Arial" w:cs="Arial" w:eastAsia="Arial" w:hAnsi="Arial"/>
                <w:sz w:val="14"/>
                <w:szCs w:val="14"/>
                <w:color w:val="auto"/>
              </w:rPr>
              <w:t>135,001</w:t>
            </w:r>
          </w:p>
        </w:tc>
        <w:tc>
          <w:tcPr>
            <w:tcW w:w="340" w:type="dxa"/>
            <w:vAlign w:val="bottom"/>
            <w:gridSpan w:val="2"/>
            <w:shd w:val="clear" w:color="auto" w:fill="CCEEFF"/>
          </w:tcPr>
          <w:p>
            <w:pPr>
              <w:ind w:left="240"/>
              <w:spacing w:after="0" w:line="140"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w w:val="86"/>
              </w:rPr>
              <w:t>1,864,514</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74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b w:val="1"/>
                <w:bCs w:val="1"/>
                <w:color w:val="auto"/>
              </w:rPr>
              <w:t>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Accounts payable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4,556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4,556</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4,556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Accrued expenses and other 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20,485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20,485</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60"/>
              <w:spacing w:after="0" w:line="140" w:lineRule="exact"/>
              <w:rPr>
                <w:sz w:val="20"/>
                <w:szCs w:val="20"/>
                <w:color w:val="auto"/>
              </w:rPr>
            </w:pPr>
            <w:r>
              <w:rPr>
                <w:rFonts w:ascii="Arial" w:cs="Arial" w:eastAsia="Arial" w:hAnsi="Arial"/>
                <w:sz w:val="14"/>
                <w:szCs w:val="14"/>
                <w:color w:val="auto"/>
              </w:rPr>
              <w:t>6,280(3)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26,765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Current portion of deferred revenue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68,885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68,885</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68,885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Current portion of term loan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4,680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4,680</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4,680</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20" w:type="dxa"/>
            <w:vAlign w:val="bottom"/>
          </w:tcPr>
          <w:p>
            <w:pPr>
              <w:ind w:left="520"/>
              <w:spacing w:after="0" w:line="145" w:lineRule="exact"/>
              <w:rPr>
                <w:sz w:val="20"/>
                <w:szCs w:val="20"/>
                <w:color w:val="auto"/>
              </w:rPr>
            </w:pPr>
            <w:r>
              <w:rPr>
                <w:rFonts w:ascii="Arial" w:cs="Arial" w:eastAsia="Arial" w:hAnsi="Arial"/>
                <w:sz w:val="14"/>
                <w:szCs w:val="14"/>
                <w:b w:val="1"/>
                <w:bCs w:val="1"/>
                <w:color w:val="auto"/>
              </w:rPr>
              <w:t>Total current liabilities</w:t>
            </w: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98,606</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98,606</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6,280</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4"/>
                <w:szCs w:val="14"/>
                <w:color w:val="auto"/>
              </w:rPr>
              <w:t>104,886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Long-Term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Deferred revenue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236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236</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Term loan, net current portion</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455,838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455,838</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720"/>
              <w:spacing w:after="0" w:line="140" w:lineRule="exact"/>
              <w:rPr>
                <w:sz w:val="20"/>
                <w:szCs w:val="20"/>
                <w:color w:val="auto"/>
              </w:rPr>
            </w:pPr>
            <w:r>
              <w:rPr>
                <w:rFonts w:ascii="Arial" w:cs="Arial" w:eastAsia="Arial" w:hAnsi="Arial"/>
                <w:sz w:val="14"/>
                <w:szCs w:val="14"/>
                <w:color w:val="auto"/>
              </w:rPr>
              <w:t>(195,402)(9)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260,436</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Deferred tax liability</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780"/>
              <w:spacing w:after="0" w:line="140" w:lineRule="exact"/>
              <w:rPr>
                <w:sz w:val="20"/>
                <w:szCs w:val="20"/>
                <w:color w:val="auto"/>
              </w:rPr>
            </w:pPr>
            <w:r>
              <w:rPr>
                <w:rFonts w:ascii="Arial" w:cs="Arial" w:eastAsia="Arial" w:hAnsi="Arial"/>
                <w:sz w:val="14"/>
                <w:szCs w:val="14"/>
                <w:color w:val="auto"/>
              </w:rPr>
              <w:t>1,984(2)</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1,984</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1,984</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Tax receivable liability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780"/>
              <w:spacing w:after="0" w:line="140" w:lineRule="exact"/>
              <w:rPr>
                <w:sz w:val="20"/>
                <w:szCs w:val="20"/>
                <w:color w:val="auto"/>
              </w:rPr>
            </w:pPr>
            <w:r>
              <w:rPr>
                <w:rFonts w:ascii="Arial" w:cs="Arial" w:eastAsia="Arial" w:hAnsi="Arial"/>
                <w:sz w:val="14"/>
                <w:szCs w:val="14"/>
                <w:color w:val="auto"/>
              </w:rPr>
              <w:t>181,813(4)</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181,813</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181,813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240"/>
              <w:spacing w:after="0" w:line="140" w:lineRule="exact"/>
              <w:rPr>
                <w:sz w:val="20"/>
                <w:szCs w:val="20"/>
                <w:color w:val="auto"/>
              </w:rPr>
            </w:pPr>
            <w:r>
              <w:rPr>
                <w:rFonts w:ascii="Arial" w:cs="Arial" w:eastAsia="Arial" w:hAnsi="Arial"/>
                <w:sz w:val="14"/>
                <w:szCs w:val="14"/>
                <w:color w:val="auto"/>
              </w:rPr>
              <w:t>Other long-term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spacing w:after="0" w:line="140" w:lineRule="exact"/>
              <w:rPr>
                <w:sz w:val="20"/>
                <w:szCs w:val="20"/>
                <w:color w:val="auto"/>
              </w:rPr>
            </w:pPr>
            <w:r>
              <w:rPr>
                <w:rFonts w:ascii="Arial" w:cs="Arial" w:eastAsia="Arial" w:hAnsi="Arial"/>
                <w:sz w:val="14"/>
                <w:szCs w:val="14"/>
                <w:color w:val="auto"/>
              </w:rPr>
              <w:t>460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460</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520"/>
              <w:spacing w:after="0" w:line="140"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555,140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940"/>
              <w:spacing w:after="0" w:line="140" w:lineRule="exact"/>
              <w:rPr>
                <w:sz w:val="20"/>
                <w:szCs w:val="20"/>
                <w:color w:val="auto"/>
              </w:rPr>
            </w:pPr>
            <w:r>
              <w:rPr>
                <w:rFonts w:ascii="Arial" w:cs="Arial" w:eastAsia="Arial" w:hAnsi="Arial"/>
                <w:sz w:val="14"/>
                <w:szCs w:val="14"/>
                <w:color w:val="auto"/>
              </w:rPr>
              <w:t>183,797</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738,937</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880"/>
              <w:spacing w:after="0" w:line="140" w:lineRule="exact"/>
              <w:rPr>
                <w:sz w:val="20"/>
                <w:szCs w:val="20"/>
                <w:color w:val="auto"/>
              </w:rPr>
            </w:pPr>
            <w:r>
              <w:rPr>
                <w:rFonts w:ascii="Arial" w:cs="Arial" w:eastAsia="Arial" w:hAnsi="Arial"/>
                <w:sz w:val="14"/>
                <w:szCs w:val="14"/>
                <w:color w:val="auto"/>
              </w:rPr>
              <w:t>(189,122)</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549,815</w:t>
            </w:r>
          </w:p>
        </w:tc>
        <w:tc>
          <w:tcPr>
            <w:tcW w:w="0" w:type="dxa"/>
            <w:vAlign w:val="bottom"/>
          </w:tcPr>
          <w:p>
            <w:pPr>
              <w:spacing w:after="0"/>
              <w:rPr>
                <w:sz w:val="1"/>
                <w:szCs w:val="1"/>
                <w:color w:val="auto"/>
              </w:rPr>
            </w:pPr>
          </w:p>
        </w:tc>
      </w:tr>
      <w:tr>
        <w:trPr>
          <w:trHeight w:val="242"/>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Stockholders’ Equity</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Members capital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w w:val="86"/>
              </w:rPr>
              <w:t>1,174,360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560"/>
              <w:spacing w:after="0" w:line="140" w:lineRule="exact"/>
              <w:rPr>
                <w:sz w:val="20"/>
                <w:szCs w:val="20"/>
                <w:color w:val="auto"/>
              </w:rPr>
            </w:pPr>
            <w:r>
              <w:rPr>
                <w:rFonts w:ascii="Arial" w:cs="Arial" w:eastAsia="Arial" w:hAnsi="Arial"/>
                <w:sz w:val="14"/>
                <w:szCs w:val="14"/>
                <w:color w:val="auto"/>
                <w:w w:val="92"/>
              </w:rPr>
              <w:t>(1,174,360)(5)(6)</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36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20" w:type="dxa"/>
            <w:vAlign w:val="bottom"/>
          </w:tcPr>
          <w:p>
            <w:pPr>
              <w:spacing w:after="0" w:line="122" w:lineRule="exact"/>
              <w:rPr>
                <w:sz w:val="20"/>
                <w:szCs w:val="20"/>
                <w:color w:val="auto"/>
              </w:rPr>
            </w:pPr>
            <w:r>
              <w:rPr>
                <w:rFonts w:ascii="Arial" w:cs="Arial" w:eastAsia="Arial" w:hAnsi="Arial"/>
                <w:sz w:val="14"/>
                <w:szCs w:val="14"/>
                <w:color w:val="auto"/>
                <w:w w:val="97"/>
              </w:rPr>
              <w:t>Class A common stock, $0.001 par value per share, 0 shares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100"/>
              <w:spacing w:after="0" w:line="140" w:lineRule="exact"/>
              <w:rPr>
                <w:sz w:val="20"/>
                <w:szCs w:val="20"/>
                <w:color w:val="auto"/>
              </w:rPr>
            </w:pPr>
            <w:r>
              <w:rPr>
                <w:rFonts w:ascii="Arial" w:cs="Arial" w:eastAsia="Arial" w:hAnsi="Arial"/>
                <w:sz w:val="14"/>
                <w:szCs w:val="14"/>
                <w:color w:val="auto"/>
              </w:rPr>
              <w:t>authorized, actual, 600,000,000 authorized, pro forma, 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100"/>
              <w:spacing w:after="0" w:line="140" w:lineRule="exact"/>
              <w:rPr>
                <w:sz w:val="20"/>
                <w:szCs w:val="20"/>
                <w:color w:val="auto"/>
              </w:rPr>
            </w:pPr>
            <w:r>
              <w:rPr>
                <w:rFonts w:ascii="Arial" w:cs="Arial" w:eastAsia="Arial" w:hAnsi="Arial"/>
                <w:sz w:val="14"/>
                <w:szCs w:val="14"/>
                <w:color w:val="auto"/>
                <w:w w:val="94"/>
              </w:rPr>
              <w:t>shares issued and outstanding, actual and 87,522,796 shares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20" w:type="dxa"/>
            <w:vAlign w:val="bottom"/>
          </w:tcPr>
          <w:p>
            <w:pPr>
              <w:ind w:left="100"/>
              <w:spacing w:after="0" w:line="158" w:lineRule="exact"/>
              <w:rPr>
                <w:sz w:val="20"/>
                <w:szCs w:val="20"/>
                <w:color w:val="auto"/>
              </w:rPr>
            </w:pPr>
            <w:r>
              <w:rPr>
                <w:rFonts w:ascii="Arial" w:cs="Arial" w:eastAsia="Arial" w:hAnsi="Arial"/>
                <w:sz w:val="14"/>
                <w:szCs w:val="14"/>
                <w:color w:val="auto"/>
              </w:rPr>
              <w:t>issued and outstanding, pro forma.</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620"/>
              <w:spacing w:after="0" w:line="158" w:lineRule="exact"/>
              <w:rPr>
                <w:sz w:val="20"/>
                <w:szCs w:val="20"/>
                <w:color w:val="auto"/>
              </w:rPr>
            </w:pPr>
            <w:r>
              <w:rPr>
                <w:rFonts w:ascii="Arial" w:cs="Arial" w:eastAsia="Arial" w:hAnsi="Arial"/>
                <w:sz w:val="14"/>
                <w:szCs w:val="14"/>
                <w:color w:val="auto"/>
              </w:rPr>
              <w:t>72(5)(6)</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20"/>
              <w:spacing w:after="0" w:line="158" w:lineRule="exact"/>
              <w:rPr>
                <w:sz w:val="20"/>
                <w:szCs w:val="20"/>
                <w:color w:val="auto"/>
              </w:rPr>
            </w:pPr>
            <w:r>
              <w:rPr>
                <w:rFonts w:ascii="Arial" w:cs="Arial" w:eastAsia="Arial" w:hAnsi="Arial"/>
                <w:sz w:val="14"/>
                <w:szCs w:val="14"/>
                <w:color w:val="auto"/>
              </w:rPr>
              <w:t>72</w:t>
            </w:r>
          </w:p>
        </w:tc>
        <w:tc>
          <w:tcPr>
            <w:tcW w:w="100" w:type="dxa"/>
            <w:vAlign w:val="bottom"/>
          </w:tcPr>
          <w:p>
            <w:pPr>
              <w:spacing w:after="0"/>
              <w:rPr>
                <w:sz w:val="13"/>
                <w:szCs w:val="13"/>
                <w:color w:val="auto"/>
              </w:rPr>
            </w:pPr>
          </w:p>
        </w:tc>
        <w:tc>
          <w:tcPr>
            <w:tcW w:w="1520" w:type="dxa"/>
            <w:vAlign w:val="bottom"/>
            <w:gridSpan w:val="2"/>
          </w:tcPr>
          <w:p>
            <w:pPr>
              <w:jc w:val="right"/>
              <w:ind w:right="440"/>
              <w:spacing w:after="0" w:line="158" w:lineRule="exact"/>
              <w:rPr>
                <w:sz w:val="20"/>
                <w:szCs w:val="20"/>
                <w:color w:val="auto"/>
              </w:rPr>
            </w:pPr>
            <w:r>
              <w:rPr>
                <w:rFonts w:ascii="Arial" w:cs="Arial" w:eastAsia="Arial" w:hAnsi="Arial"/>
                <w:sz w:val="14"/>
                <w:szCs w:val="14"/>
                <w:color w:val="auto"/>
              </w:rPr>
              <w:t>16(1)(5)(6)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40"/>
              <w:spacing w:after="0" w:line="158"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20" w:type="dxa"/>
            <w:vAlign w:val="bottom"/>
            <w:shd w:val="clear" w:color="auto" w:fill="CCEEFF"/>
          </w:tcPr>
          <w:p>
            <w:pPr>
              <w:spacing w:after="0" w:line="122" w:lineRule="exact"/>
              <w:rPr>
                <w:sz w:val="20"/>
                <w:szCs w:val="20"/>
                <w:color w:val="auto"/>
              </w:rPr>
            </w:pPr>
            <w:r>
              <w:rPr>
                <w:rFonts w:ascii="Arial" w:cs="Arial" w:eastAsia="Arial" w:hAnsi="Arial"/>
                <w:sz w:val="14"/>
                <w:szCs w:val="14"/>
                <w:color w:val="auto"/>
              </w:rPr>
              <w:t>Class B common stock no par value per share, 0 shares</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w w:val="93"/>
              </w:rPr>
              <w:t>authorized, actual, 65,000,000 authorized, pro forma, 0 shares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100"/>
              <w:spacing w:after="0" w:line="140" w:lineRule="exact"/>
              <w:rPr>
                <w:sz w:val="20"/>
                <w:szCs w:val="20"/>
                <w:color w:val="auto"/>
              </w:rPr>
            </w:pPr>
            <w:r>
              <w:rPr>
                <w:rFonts w:ascii="Arial" w:cs="Arial" w:eastAsia="Arial" w:hAnsi="Arial"/>
                <w:sz w:val="14"/>
                <w:szCs w:val="14"/>
                <w:color w:val="auto"/>
                <w:w w:val="94"/>
              </w:rPr>
              <w:t>issued and outstanding, actual and 60,607,740 shares issued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20" w:type="dxa"/>
            <w:vAlign w:val="bottom"/>
            <w:shd w:val="clear" w:color="auto" w:fill="CCEEFF"/>
          </w:tcPr>
          <w:p>
            <w:pPr>
              <w:ind w:left="100"/>
              <w:spacing w:after="0" w:line="158" w:lineRule="exact"/>
              <w:rPr>
                <w:sz w:val="20"/>
                <w:szCs w:val="20"/>
                <w:color w:val="auto"/>
              </w:rPr>
            </w:pPr>
            <w:r>
              <w:rPr>
                <w:rFonts w:ascii="Arial" w:cs="Arial" w:eastAsia="Arial" w:hAnsi="Arial"/>
                <w:sz w:val="14"/>
                <w:szCs w:val="14"/>
                <w:color w:val="auto"/>
              </w:rPr>
              <w:t>and outstanding, pro forma.</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000"/>
              <w:spacing w:after="0" w:line="158"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1000"/>
              <w:spacing w:after="0" w:line="15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ind w:left="3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20" w:type="dxa"/>
            <w:vAlign w:val="bottom"/>
          </w:tcPr>
          <w:p>
            <w:pPr>
              <w:spacing w:after="0" w:line="122" w:lineRule="exact"/>
              <w:rPr>
                <w:sz w:val="20"/>
                <w:szCs w:val="20"/>
                <w:color w:val="auto"/>
              </w:rPr>
            </w:pPr>
            <w:r>
              <w:rPr>
                <w:rFonts w:ascii="Arial" w:cs="Arial" w:eastAsia="Arial" w:hAnsi="Arial"/>
                <w:sz w:val="14"/>
                <w:szCs w:val="14"/>
                <w:color w:val="auto"/>
                <w:w w:val="91"/>
              </w:rPr>
              <w:t>Preferred common stock, $0.001 par value per share, 10,000,000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ind w:left="100"/>
              <w:spacing w:after="0" w:line="140" w:lineRule="exact"/>
              <w:rPr>
                <w:sz w:val="20"/>
                <w:szCs w:val="20"/>
                <w:color w:val="auto"/>
              </w:rPr>
            </w:pPr>
            <w:r>
              <w:rPr>
                <w:rFonts w:ascii="Arial" w:cs="Arial" w:eastAsia="Arial" w:hAnsi="Arial"/>
                <w:sz w:val="14"/>
                <w:szCs w:val="14"/>
                <w:color w:val="auto"/>
              </w:rPr>
              <w:t>shares authorized, as adjusted, no shares issued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20" w:type="dxa"/>
            <w:vAlign w:val="bottom"/>
          </w:tcPr>
          <w:p>
            <w:pPr>
              <w:ind w:left="100"/>
              <w:spacing w:after="0" w:line="158" w:lineRule="exact"/>
              <w:rPr>
                <w:sz w:val="20"/>
                <w:szCs w:val="20"/>
                <w:color w:val="auto"/>
              </w:rPr>
            </w:pPr>
            <w:r>
              <w:rPr>
                <w:rFonts w:ascii="Arial" w:cs="Arial" w:eastAsia="Arial" w:hAnsi="Arial"/>
                <w:sz w:val="14"/>
                <w:szCs w:val="14"/>
                <w:color w:val="auto"/>
              </w:rPr>
              <w:t>outstanding, actual and pro forma.</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line="15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jc w:val="right"/>
              <w:ind w:right="1000"/>
              <w:spacing w:after="0" w:line="158"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80"/>
              <w:spacing w:after="0" w:line="15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520" w:type="dxa"/>
            <w:vAlign w:val="bottom"/>
            <w:gridSpan w:val="2"/>
          </w:tcPr>
          <w:p>
            <w:pPr>
              <w:jc w:val="right"/>
              <w:ind w:right="1000"/>
              <w:spacing w:after="0" w:line="15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ind w:left="360"/>
              <w:spacing w:after="0" w:line="15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Additional paid-in capital</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4"/>
                <w:szCs w:val="14"/>
                <w:color w:val="auto"/>
              </w:rPr>
              <w:t>468,620(1)(2)(4)(5)(7)</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468,620</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40"/>
              <w:spacing w:after="0" w:line="140" w:lineRule="exact"/>
              <w:rPr>
                <w:sz w:val="20"/>
                <w:szCs w:val="20"/>
                <w:color w:val="auto"/>
              </w:rPr>
            </w:pPr>
            <w:r>
              <w:rPr>
                <w:rFonts w:ascii="Arial" w:cs="Arial" w:eastAsia="Arial" w:hAnsi="Arial"/>
                <w:sz w:val="14"/>
                <w:szCs w:val="14"/>
                <w:color w:val="auto"/>
              </w:rPr>
              <w:t>382,403(3)(5)(7)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851,023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line="140" w:lineRule="exact"/>
              <w:rPr>
                <w:sz w:val="20"/>
                <w:szCs w:val="20"/>
                <w:color w:val="auto"/>
              </w:rPr>
            </w:pPr>
            <w:r>
              <w:rPr>
                <w:rFonts w:ascii="Arial" w:cs="Arial" w:eastAsia="Arial" w:hAnsi="Arial"/>
                <w:sz w:val="14"/>
                <w:szCs w:val="14"/>
                <w:color w:val="auto"/>
              </w:rPr>
              <w:t>Retained earnings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80"/>
              <w:spacing w:after="0" w:line="14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80"/>
              <w:spacing w:after="0" w:line="14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520" w:type="dxa"/>
            <w:vAlign w:val="bottom"/>
            <w:gridSpan w:val="2"/>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ind w:left="360"/>
              <w:spacing w:after="0" w:line="14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spacing w:after="0" w:line="140" w:lineRule="exact"/>
              <w:rPr>
                <w:sz w:val="20"/>
                <w:szCs w:val="20"/>
                <w:color w:val="auto"/>
              </w:rPr>
            </w:pPr>
            <w:r>
              <w:rPr>
                <w:rFonts w:ascii="Arial" w:cs="Arial" w:eastAsia="Arial" w:hAnsi="Arial"/>
                <w:sz w:val="14"/>
                <w:szCs w:val="14"/>
                <w:color w:val="auto"/>
              </w:rPr>
              <w:t>Accumulated other comprehensive loss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0"/>
              <w:spacing w:after="0" w:line="14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tcPr>
          <w:p>
            <w:pPr>
              <w:spacing w:after="0" w:line="140" w:lineRule="exact"/>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0"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940"/>
              <w:spacing w:after="0" w:line="140" w:lineRule="exact"/>
              <w:rPr>
                <w:sz w:val="20"/>
                <w:szCs w:val="20"/>
                <w:color w:val="auto"/>
              </w:rPr>
            </w:pPr>
            <w:r>
              <w:rPr>
                <w:rFonts w:ascii="Arial" w:cs="Arial" w:eastAsia="Arial" w:hAnsi="Arial"/>
                <w:sz w:val="14"/>
                <w:szCs w:val="14"/>
                <w:color w:val="auto"/>
              </w:rPr>
              <w:t>521,871</w:t>
            </w:r>
          </w:p>
        </w:tc>
        <w:tc>
          <w:tcPr>
            <w:tcW w:w="680" w:type="dxa"/>
            <w:vAlign w:val="bottom"/>
          </w:tcPr>
          <w:p>
            <w:pPr>
              <w:jc w:val="right"/>
              <w:ind w:right="172"/>
              <w:spacing w:after="0" w:line="140" w:lineRule="exact"/>
              <w:rPr>
                <w:sz w:val="20"/>
                <w:szCs w:val="20"/>
                <w:color w:val="auto"/>
              </w:rPr>
            </w:pPr>
            <w:r>
              <w:rPr>
                <w:rFonts w:ascii="Arial" w:cs="Arial" w:eastAsia="Arial" w:hAnsi="Arial"/>
                <w:sz w:val="14"/>
                <w:szCs w:val="14"/>
                <w:color w:val="auto"/>
              </w:rPr>
              <w:t>(5)(7)</w:t>
            </w:r>
          </w:p>
        </w:tc>
        <w:tc>
          <w:tcPr>
            <w:tcW w:w="80" w:type="dxa"/>
            <w:vAlign w:val="bottom"/>
          </w:tcPr>
          <w:p>
            <w:pPr>
              <w:spacing w:after="0"/>
              <w:rPr>
                <w:sz w:val="12"/>
                <w:szCs w:val="12"/>
                <w:color w:val="auto"/>
              </w:rPr>
            </w:pPr>
          </w:p>
        </w:tc>
        <w:tc>
          <w:tcPr>
            <w:tcW w:w="780" w:type="dxa"/>
            <w:vAlign w:val="bottom"/>
            <w:gridSpan w:val="2"/>
          </w:tcPr>
          <w:p>
            <w:pPr>
              <w:jc w:val="right"/>
              <w:ind w:right="220"/>
              <w:spacing w:after="0" w:line="140" w:lineRule="exact"/>
              <w:rPr>
                <w:sz w:val="20"/>
                <w:szCs w:val="20"/>
                <w:color w:val="auto"/>
              </w:rPr>
            </w:pPr>
            <w:r>
              <w:rPr>
                <w:rFonts w:ascii="Arial" w:cs="Arial" w:eastAsia="Arial" w:hAnsi="Arial"/>
                <w:sz w:val="14"/>
                <w:szCs w:val="14"/>
                <w:color w:val="auto"/>
              </w:rPr>
              <w:t>521,871</w:t>
            </w:r>
          </w:p>
        </w:tc>
        <w:tc>
          <w:tcPr>
            <w:tcW w:w="100" w:type="dxa"/>
            <w:vAlign w:val="bottom"/>
          </w:tcPr>
          <w:p>
            <w:pPr>
              <w:spacing w:after="0"/>
              <w:rPr>
                <w:sz w:val="12"/>
                <w:szCs w:val="12"/>
                <w:color w:val="auto"/>
              </w:rPr>
            </w:pPr>
          </w:p>
        </w:tc>
        <w:tc>
          <w:tcPr>
            <w:tcW w:w="1520" w:type="dxa"/>
            <w:vAlign w:val="bottom"/>
            <w:gridSpan w:val="2"/>
          </w:tcPr>
          <w:p>
            <w:pPr>
              <w:jc w:val="right"/>
              <w:ind w:right="240"/>
              <w:spacing w:after="0" w:line="140" w:lineRule="exact"/>
              <w:rPr>
                <w:sz w:val="20"/>
                <w:szCs w:val="20"/>
                <w:color w:val="auto"/>
              </w:rPr>
            </w:pPr>
            <w:r>
              <w:rPr>
                <w:rFonts w:ascii="Arial" w:cs="Arial" w:eastAsia="Arial" w:hAnsi="Arial"/>
                <w:sz w:val="14"/>
                <w:szCs w:val="14"/>
                <w:color w:val="auto"/>
              </w:rPr>
              <w:t>(58,296)(5)(6)(7)(8)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40"/>
              <w:spacing w:after="0" w:line="140" w:lineRule="exact"/>
              <w:rPr>
                <w:sz w:val="20"/>
                <w:szCs w:val="20"/>
                <w:color w:val="auto"/>
              </w:rPr>
            </w:pPr>
            <w:r>
              <w:rPr>
                <w:rFonts w:ascii="Arial" w:cs="Arial" w:eastAsia="Arial" w:hAnsi="Arial"/>
                <w:sz w:val="14"/>
                <w:szCs w:val="14"/>
                <w:color w:val="auto"/>
              </w:rPr>
              <w:t>463,575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3720" w:type="dxa"/>
            <w:vAlign w:val="bottom"/>
            <w:shd w:val="clear" w:color="auto" w:fill="CCEEFF"/>
          </w:tcPr>
          <w:p>
            <w:pPr>
              <w:ind w:left="780"/>
              <w:spacing w:after="0" w:line="140" w:lineRule="exact"/>
              <w:rPr>
                <w:sz w:val="20"/>
                <w:szCs w:val="20"/>
                <w:color w:val="auto"/>
              </w:rPr>
            </w:pPr>
            <w:r>
              <w:rPr>
                <w:rFonts w:ascii="Arial" w:cs="Arial" w:eastAsia="Arial" w:hAnsi="Arial"/>
                <w:sz w:val="14"/>
                <w:szCs w:val="14"/>
                <w:color w:val="auto"/>
              </w:rPr>
              <w:t>Total Stockholders’ Equity</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4"/>
                <w:szCs w:val="14"/>
                <w:color w:val="auto"/>
                <w:w w:val="86"/>
              </w:rPr>
              <w:t>1,174,373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right"/>
              <w:ind w:right="880"/>
              <w:spacing w:after="0" w:line="140" w:lineRule="exact"/>
              <w:rPr>
                <w:sz w:val="20"/>
                <w:szCs w:val="20"/>
                <w:color w:val="auto"/>
              </w:rPr>
            </w:pPr>
            <w:r>
              <w:rPr>
                <w:rFonts w:ascii="Arial" w:cs="Arial" w:eastAsia="Arial" w:hAnsi="Arial"/>
                <w:sz w:val="14"/>
                <w:szCs w:val="14"/>
                <w:color w:val="auto"/>
              </w:rPr>
              <w:t>(183,797)</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20"/>
              <w:spacing w:after="0" w:line="140" w:lineRule="exact"/>
              <w:rPr>
                <w:sz w:val="20"/>
                <w:szCs w:val="20"/>
                <w:color w:val="auto"/>
              </w:rPr>
            </w:pPr>
            <w:r>
              <w:rPr>
                <w:rFonts w:ascii="Arial" w:cs="Arial" w:eastAsia="Arial" w:hAnsi="Arial"/>
                <w:sz w:val="14"/>
                <w:szCs w:val="14"/>
                <w:color w:val="auto"/>
              </w:rPr>
              <w:t>990,576</w:t>
            </w:r>
          </w:p>
        </w:tc>
        <w:tc>
          <w:tcPr>
            <w:tcW w:w="10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920"/>
              <w:spacing w:after="0" w:line="140" w:lineRule="exact"/>
              <w:rPr>
                <w:sz w:val="20"/>
                <w:szCs w:val="20"/>
                <w:color w:val="auto"/>
              </w:rPr>
            </w:pPr>
            <w:r>
              <w:rPr>
                <w:rFonts w:ascii="Arial" w:cs="Arial" w:eastAsia="Arial" w:hAnsi="Arial"/>
                <w:sz w:val="14"/>
                <w:szCs w:val="14"/>
                <w:color w:val="auto"/>
              </w:rPr>
              <w:t>324,123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4"/>
                <w:szCs w:val="14"/>
                <w:color w:val="auto"/>
                <w:w w:val="86"/>
              </w:rPr>
              <w:t>1,314,699</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720" w:type="dxa"/>
            <w:vAlign w:val="bottom"/>
          </w:tcPr>
          <w:p>
            <w:pPr>
              <w:ind w:left="1060"/>
              <w:spacing w:after="0" w:line="145" w:lineRule="exact"/>
              <w:rPr>
                <w:sz w:val="20"/>
                <w:szCs w:val="20"/>
                <w:color w:val="auto"/>
              </w:rPr>
            </w:pPr>
            <w:r>
              <w:rPr>
                <w:rFonts w:ascii="Arial" w:cs="Arial" w:eastAsia="Arial" w:hAnsi="Arial"/>
                <w:sz w:val="14"/>
                <w:szCs w:val="14"/>
                <w:b w:val="1"/>
                <w:bCs w:val="1"/>
                <w:color w:val="auto"/>
                <w:w w:val="97"/>
              </w:rPr>
              <w:t>Total Liabilities and stockholders’ equity</w:t>
            </w: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3"/>
              </w:rPr>
              <w:t>1,729,513</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w:t>
            </w: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6"/>
              </w:rPr>
              <w:t>1,729,513</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rPr>
              <w:t>135,001</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5"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45" w:lineRule="exact"/>
              <w:rPr>
                <w:sz w:val="20"/>
                <w:szCs w:val="20"/>
                <w:color w:val="auto"/>
              </w:rPr>
            </w:pPr>
            <w:r>
              <w:rPr>
                <w:rFonts w:ascii="Arial" w:cs="Arial" w:eastAsia="Arial" w:hAnsi="Arial"/>
                <w:sz w:val="14"/>
                <w:szCs w:val="14"/>
                <w:color w:val="auto"/>
                <w:w w:val="86"/>
              </w:rPr>
              <w:t>1,864,514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220"/>
        <w:spacing w:after="0"/>
        <w:rPr>
          <w:sz w:val="20"/>
          <w:szCs w:val="20"/>
          <w:color w:val="auto"/>
        </w:rPr>
      </w:pPr>
      <w:r>
        <w:rPr>
          <w:rFonts w:ascii="Arial" w:cs="Arial" w:eastAsia="Arial" w:hAnsi="Arial"/>
          <w:sz w:val="17"/>
          <w:szCs w:val="17"/>
          <w:i w:val="1"/>
          <w:iCs w:val="1"/>
          <w:color w:val="auto"/>
        </w:rPr>
        <w:t>See accompanying notes to unaudited pro forma financial information.</w:t>
      </w:r>
    </w:p>
    <w:p>
      <w:pPr>
        <w:spacing w:after="0" w:line="200" w:lineRule="exact"/>
        <w:rPr>
          <w:sz w:val="20"/>
          <w:szCs w:val="20"/>
          <w:color w:val="auto"/>
        </w:rPr>
      </w:pPr>
    </w:p>
    <w:p>
      <w:pPr>
        <w:spacing w:after="0" w:line="29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0820"/>
          </w:cols>
          <w:pgMar w:left="320" w:top="442" w:right="75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Notes to Unaudited Pro Forma Consolidated Balance Sheet (as of June 30, 2021)</w:t>
      </w:r>
    </w:p>
    <w:p>
      <w:pPr>
        <w:spacing w:after="0" w:line="127" w:lineRule="exact"/>
        <w:rPr>
          <w:sz w:val="20"/>
          <w:szCs w:val="20"/>
          <w:color w:val="auto"/>
        </w:rPr>
      </w:pPr>
    </w:p>
    <w:p>
      <w:pPr>
        <w:ind w:left="840" w:hanging="406"/>
        <w:spacing w:after="0" w:line="254" w:lineRule="auto"/>
        <w:tabs>
          <w:tab w:leader="none" w:pos="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estimate that our net proceeds from this offering will be approximately $365.6 million, after deducting underwriting discounts and commissions of approximately $23.3 million, based on an assumed IPO price of $25.00 per share (the midpoint of the estimated IPO price range set forth on the cover page of this prospectus) and assuming the underwriters’ option to purchase additional shares of Class A common stock is not exercised. If the underwriters exercise their option to purchase additional shares of Class A common stock in full, we expect to receive approximately $420.4 million of net proceeds based on an assumed IPO price of $25.00 per share (the midpoint of the estimated IPO price range set forth on the cover page of this prospectus).</w:t>
      </w:r>
    </w:p>
    <w:p>
      <w:pPr>
        <w:spacing w:after="0" w:line="81" w:lineRule="exact"/>
        <w:rPr>
          <w:rFonts w:ascii="Arial" w:cs="Arial" w:eastAsia="Arial" w:hAnsi="Arial"/>
          <w:sz w:val="17"/>
          <w:szCs w:val="17"/>
          <w:color w:val="auto"/>
        </w:rPr>
      </w:pPr>
    </w:p>
    <w:p>
      <w:pPr>
        <w:ind w:left="840" w:right="180"/>
        <w:spacing w:after="0" w:line="273" w:lineRule="auto"/>
        <w:rPr>
          <w:rFonts w:ascii="Arial" w:cs="Arial" w:eastAsia="Arial" w:hAnsi="Arial"/>
          <w:sz w:val="17"/>
          <w:szCs w:val="17"/>
          <w:color w:val="auto"/>
        </w:rPr>
      </w:pPr>
      <w:r>
        <w:rPr>
          <w:rFonts w:ascii="Arial" w:cs="Arial" w:eastAsia="Arial" w:hAnsi="Arial"/>
          <w:sz w:val="17"/>
          <w:szCs w:val="17"/>
          <w:color w:val="auto"/>
        </w:rPr>
        <w:t>We estimate that the offering expenses (other than the underwriting discount and commissions) will be approximately $10.1 million. All of such offering expenses will be paid for or otherwise borne by Definitive OpCo.</w:t>
      </w:r>
    </w:p>
    <w:p>
      <w:pPr>
        <w:spacing w:after="0" w:line="64" w:lineRule="exact"/>
        <w:rPr>
          <w:rFonts w:ascii="Arial" w:cs="Arial" w:eastAsia="Arial" w:hAnsi="Arial"/>
          <w:sz w:val="17"/>
          <w:szCs w:val="17"/>
          <w:color w:val="auto"/>
        </w:rPr>
      </w:pPr>
    </w:p>
    <w:p>
      <w:pPr>
        <w:ind w:left="840" w:right="60"/>
        <w:spacing w:after="0" w:line="253" w:lineRule="auto"/>
        <w:rPr>
          <w:rFonts w:ascii="Arial" w:cs="Arial" w:eastAsia="Arial" w:hAnsi="Arial"/>
          <w:sz w:val="17"/>
          <w:szCs w:val="17"/>
          <w:color w:val="auto"/>
        </w:rPr>
      </w:pPr>
      <w:r>
        <w:rPr>
          <w:rFonts w:ascii="Arial" w:cs="Arial" w:eastAsia="Arial" w:hAnsi="Arial"/>
          <w:sz w:val="17"/>
          <w:szCs w:val="17"/>
          <w:color w:val="auto"/>
        </w:rPr>
        <w:t>We will use all of the net proceeds from this offering (including net proceeds received if the underwriters exercise their option to purchase additional shares of Class A common stock in full) to (i) repay a portion of our outstanding debt, (ii) acquire newly issued LLC Units from Definitive OpCo, (iii) acquire LLC Units from certain Pre-IPO LLC Members and (iv) repurchase shares of our Class A common stock received by the Blocker Company equityholders in connection with the Mergers at a purchase price per LLC Unit and share of Class A common stock, in each case equal to the IPO price of Class A common stock, after deducting the underwriting discounts and commissions, collectively representing 10.7% of Definitive OpCo’s outstanding LLC Units (or 12.3%, if the underwriters exercise their option to purchase additional shares of Class A common stock in full).</w:t>
      </w:r>
    </w:p>
    <w:p>
      <w:pPr>
        <w:spacing w:after="0" w:line="83" w:lineRule="exact"/>
        <w:rPr>
          <w:rFonts w:ascii="Arial" w:cs="Arial" w:eastAsia="Arial" w:hAnsi="Arial"/>
          <w:sz w:val="17"/>
          <w:szCs w:val="17"/>
          <w:color w:val="auto"/>
        </w:rPr>
      </w:pPr>
    </w:p>
    <w:p>
      <w:pPr>
        <w:ind w:left="840" w:right="80"/>
        <w:spacing w:after="0" w:line="342" w:lineRule="auto"/>
        <w:rPr>
          <w:rFonts w:ascii="Arial" w:cs="Arial" w:eastAsia="Arial" w:hAnsi="Arial"/>
          <w:sz w:val="17"/>
          <w:szCs w:val="17"/>
          <w:color w:val="auto"/>
        </w:rPr>
      </w:pPr>
      <w:r>
        <w:rPr>
          <w:rFonts w:ascii="Arial" w:cs="Arial" w:eastAsia="Arial" w:hAnsi="Arial"/>
          <w:sz w:val="15"/>
          <w:szCs w:val="15"/>
          <w:color w:val="auto"/>
        </w:rPr>
        <w:t>Definitive OpCo currently intends to use the proceeds from the issuance of LLC Units to Definitive Healthcare Corp. to (i) pay fees and expenses of approximately $10.1 million in connection with this offering and (ii) as otherwise set forth in “Use of Proceeds.” See “Use of Proceeds.”</w:t>
      </w:r>
    </w:p>
    <w:p>
      <w:pPr>
        <w:spacing w:after="0" w:line="29" w:lineRule="exact"/>
        <w:rPr>
          <w:rFonts w:ascii="Arial" w:cs="Arial" w:eastAsia="Arial" w:hAnsi="Arial"/>
          <w:sz w:val="17"/>
          <w:szCs w:val="17"/>
          <w:color w:val="auto"/>
        </w:rPr>
      </w:pPr>
    </w:p>
    <w:p>
      <w:pPr>
        <w:ind w:left="840" w:right="260" w:hanging="406"/>
        <w:spacing w:after="0" w:line="261" w:lineRule="auto"/>
        <w:tabs>
          <w:tab w:leader="none" w:pos="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are subject to U.S. federal, state and local income taxes and will file income tax returns for U.S. federal and certain state and local jurisdictions. This adjustment reflects the recognition of deferred taxes in connection with the Reorganization Transaction assuming the federal rates currently in effect and the highest statutory rates apportioned to each state and local jurisdiction.</w:t>
      </w:r>
    </w:p>
    <w:p>
      <w:pPr>
        <w:spacing w:after="0" w:line="74" w:lineRule="exact"/>
        <w:rPr>
          <w:rFonts w:ascii="Arial" w:cs="Arial" w:eastAsia="Arial" w:hAnsi="Arial"/>
          <w:sz w:val="17"/>
          <w:szCs w:val="17"/>
          <w:color w:val="auto"/>
        </w:rPr>
      </w:pPr>
    </w:p>
    <w:p>
      <w:pPr>
        <w:ind w:left="840" w:right="140"/>
        <w:spacing w:after="0" w:line="273" w:lineRule="auto"/>
        <w:rPr>
          <w:rFonts w:ascii="Arial" w:cs="Arial" w:eastAsia="Arial" w:hAnsi="Arial"/>
          <w:sz w:val="17"/>
          <w:szCs w:val="17"/>
          <w:color w:val="auto"/>
        </w:rPr>
      </w:pPr>
      <w:r>
        <w:rPr>
          <w:rFonts w:ascii="Arial" w:cs="Arial" w:eastAsia="Arial" w:hAnsi="Arial"/>
          <w:sz w:val="16"/>
          <w:szCs w:val="16"/>
          <w:color w:val="auto"/>
        </w:rPr>
        <w:t>We have recorded a pro forma deferred tax liability adjustment of $2.0 million (or $1.3 million if the underwriters exercise in full their option to purchase additional shares of Class A common stock). The deferred tax liability includes (i) $18.7 million related to temporary differences in the book basis as compared to the tax basis of our investment in Definitive OpCo, and (ii) $213.9 million related to tax benefits from future deductions attributable to payments under the Tax Receivable Agreement as described further in Note (4) below. We have determined it is more likely than not that we will not realize the full benefit represented for certain deferred tax assets and have recorded an appropriate valuation allowance based on an analysis of the objective or subjective negative evidence.</w:t>
      </w:r>
    </w:p>
    <w:p>
      <w:pPr>
        <w:spacing w:after="0" w:line="79" w:lineRule="exact"/>
        <w:rPr>
          <w:rFonts w:ascii="Arial" w:cs="Arial" w:eastAsia="Arial" w:hAnsi="Arial"/>
          <w:sz w:val="17"/>
          <w:szCs w:val="17"/>
          <w:color w:val="auto"/>
        </w:rPr>
      </w:pPr>
    </w:p>
    <w:p>
      <w:pPr>
        <w:jc w:val="both"/>
        <w:ind w:left="840" w:right="20" w:hanging="406"/>
        <w:spacing w:after="0" w:line="257" w:lineRule="auto"/>
        <w:tabs>
          <w:tab w:leader="none" w:pos="8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We are deferring $3.8 million of certain costs associated with this offering. These costs primarily represent legal, accounting and other direct costs and are recorded in other assets in our consolidated balance sheet. In addition, we estimate $6.3 million of additional offering costs will have been accrued at the IPO date. Upon completion of this offering, these costs will be charged against the proceeds from this offering with a corresponding reduction to additional paid-in capital.</w:t>
      </w:r>
    </w:p>
    <w:p>
      <w:pPr>
        <w:spacing w:after="0" w:line="91" w:lineRule="exact"/>
        <w:rPr>
          <w:rFonts w:ascii="Arial" w:cs="Arial" w:eastAsia="Arial" w:hAnsi="Arial"/>
          <w:sz w:val="17"/>
          <w:szCs w:val="17"/>
          <w:color w:val="auto"/>
        </w:rPr>
      </w:pPr>
    </w:p>
    <w:p>
      <w:pPr>
        <w:ind w:left="840" w:hanging="406"/>
        <w:spacing w:after="0" w:line="273" w:lineRule="auto"/>
        <w:tabs>
          <w:tab w:leader="none" w:pos="8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Upon the completion of this offering, we will be a party to a Tax Receivable Agreement with the TRA Parties. Under the Tax Receivable Agreement, we generally will be required to pay 85% of the applicable cash savings, if any, in U.S. federal, state and local income tax that we actually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 interests in Definitive OpCo by the Blocker Companies), (ii) tax basis adjustments resulting from (a) acquisitions by us of LLC Units from certain Pre-IPO LLC Members in connection with this offering and (b) future exchanges of LLC Units by</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0800"/>
          </w:cols>
          <w:pgMar w:left="320" w:top="442" w:right="779"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line="252" w:lineRule="auto"/>
        <w:rPr>
          <w:sz w:val="20"/>
          <w:szCs w:val="20"/>
          <w:color w:val="auto"/>
        </w:rPr>
      </w:pPr>
      <w:r>
        <w:rPr>
          <w:rFonts w:ascii="Arial" w:cs="Arial" w:eastAsia="Arial" w:hAnsi="Arial"/>
          <w:sz w:val="17"/>
          <w:szCs w:val="17"/>
          <w:color w:val="auto"/>
        </w:rPr>
        <w:t>Continuing Pre-IPO LLC Members for Class A common stock and (iii) certain payments made under the Tax Receivable Agreement. We will retain the benefit of the remaining 15% of these tax savings. Our obligations under the Tax Receivable Agreement will also apply with respect to any person who is issued LLC Units in the future and who becomes a party to the Tax Receivable Agreement. See “Organizational Structure— Holding Company Structure and the Tax Receivable Agreement.” The adjustment relates solely to: (i) the Blocker Companies’ net operating losses and excess business interest expense carryforwards and the unamortized portion of the increase in tax basis in the tangible and intangible assets of Definitive OpCo resulting from the prior acquisitions of interests in Definitive OpCo by the Blocker Companies and (ii) acquisitions by us of LLC Units from certain Pre-IPO LLC Members in connection with this offering. No adjustment has been made to reflect future exchanges of Definitive OpCo units for shares of our Class A common stock, as applicable, nor for certain future payments made under the Tax Receivable Agreement.</w:t>
      </w:r>
    </w:p>
    <w:p>
      <w:pPr>
        <w:spacing w:after="0" w:line="86" w:lineRule="exact"/>
        <w:rPr>
          <w:sz w:val="20"/>
          <w:szCs w:val="20"/>
          <w:color w:val="auto"/>
        </w:rPr>
      </w:pPr>
    </w:p>
    <w:p>
      <w:pPr>
        <w:ind w:left="840" w:right="20"/>
        <w:spacing w:after="0" w:line="268" w:lineRule="auto"/>
        <w:rPr>
          <w:sz w:val="20"/>
          <w:szCs w:val="20"/>
          <w:color w:val="auto"/>
        </w:rPr>
      </w:pPr>
      <w:r>
        <w:rPr>
          <w:rFonts w:ascii="Arial" w:cs="Arial" w:eastAsia="Arial" w:hAnsi="Arial"/>
          <w:sz w:val="16"/>
          <w:szCs w:val="16"/>
          <w:color w:val="auto"/>
        </w:rPr>
        <w:t>We estimate the Tax Receivable Agreement liability as a result of the Reorganization Transactions and acquisitions by us of LLC Units from certain Pre-IPO LLC Members as $181.8 million. Due to the uncertainty in the amount and timing of future exchanges of LLC Units by the Continuing Pre-IPO LLC Members of Definitive OpCo and the uncertainty of when those exchanges will ultimately result in tax savings, the unaudited pro forma consolidated financial information assumes that no exchanges of Definitive OpCo units have occurred and therefore no increases in tax basis in Definitive OpCo assets or other tax benefits that may be realized thereunder have been assumed in the unaudited pro forma consolidated financial information. However, if all of the Continuing Pre-IPO LLC Members were to exchange their Definitive OpCo units, we would recognize a liability of up to approximately $697.6 million, assuming (i) that the Continuing Pre-IPO LLC Members exchanged all of their Definitive OpCo units immediately after the completion of this offering at an IPO price of $25.00 per share of Class A common stock, (ii) no material changes in relevant tax law, (iii) a constant combined effective income tax rate of 27% and (iv) that we have sufficient taxable income in each year to realize on a current basis the increased depreciation, amortization and other tax benefits that are the subject of the Tax Receivable Agreement. These amounts are estimates and have been prepared for informational purposes only. The actual amount of deferred tax assets and related liabilities that we will recognize will differ based on, among other things, the timing of the exchanges, the price of shares of our Class A common stock at the time of the exchange and the tax rates then in effect.</w:t>
      </w:r>
    </w:p>
    <w:p>
      <w:pPr>
        <w:spacing w:after="0" w:line="89" w:lineRule="exact"/>
        <w:rPr>
          <w:sz w:val="20"/>
          <w:szCs w:val="20"/>
          <w:color w:val="auto"/>
        </w:rPr>
      </w:pPr>
    </w:p>
    <w:p>
      <w:pPr>
        <w:ind w:left="840" w:right="120" w:hanging="406"/>
        <w:spacing w:after="0" w:line="275" w:lineRule="auto"/>
        <w:tabs>
          <w:tab w:leader="none" w:pos="8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As described in “Organizational Structure—Effect of the Reorganization Transactions and this Offering,” upon completion of the Reorganization Transactions, this offering and the application of the net proceeds from this offering, we will become the sole managing member of Definitive OpCo and will hold 87,522,796 LLC Units, constituting 60.2% of the outstanding economic interests in Definitive OpCo, exclusive of unvested incentive units as of the IPO date (or 88,266,945 LLC Units, constituting 60.7% of the outstanding economic interests in Definitive OpCo if the underwriters exercise their option to purchase additional shares of Class A common stock in full).</w:t>
      </w:r>
    </w:p>
    <w:p>
      <w:pPr>
        <w:spacing w:after="0" w:line="65" w:lineRule="exact"/>
        <w:rPr>
          <w:rFonts w:ascii="Arial" w:cs="Arial" w:eastAsia="Arial" w:hAnsi="Arial"/>
          <w:sz w:val="16"/>
          <w:szCs w:val="16"/>
          <w:color w:val="auto"/>
        </w:rPr>
      </w:pPr>
    </w:p>
    <w:p>
      <w:pPr>
        <w:ind w:left="840" w:right="260"/>
        <w:spacing w:after="0" w:line="273" w:lineRule="auto"/>
        <w:rPr>
          <w:rFonts w:ascii="Arial" w:cs="Arial" w:eastAsia="Arial" w:hAnsi="Arial"/>
          <w:sz w:val="16"/>
          <w:szCs w:val="16"/>
          <w:color w:val="auto"/>
        </w:rPr>
      </w:pPr>
      <w:r>
        <w:rPr>
          <w:rFonts w:ascii="Arial" w:cs="Arial" w:eastAsia="Arial" w:hAnsi="Arial"/>
          <w:sz w:val="17"/>
          <w:szCs w:val="17"/>
          <w:color w:val="auto"/>
        </w:rPr>
        <w:t>Represents an adjustment to equity reflecting (i) par value for Class A common stock and (ii) a decrease in $521.9 million of additional paid-in capital to allocate a portion of Definitive OpCo’s equity to the noncontrolling interests.</w:t>
      </w:r>
    </w:p>
    <w:p>
      <w:pPr>
        <w:spacing w:after="0" w:line="76" w:lineRule="exact"/>
        <w:rPr>
          <w:rFonts w:ascii="Arial" w:cs="Arial" w:eastAsia="Arial" w:hAnsi="Arial"/>
          <w:sz w:val="16"/>
          <w:szCs w:val="16"/>
          <w:color w:val="auto"/>
        </w:rPr>
      </w:pPr>
    </w:p>
    <w:p>
      <w:pPr>
        <w:ind w:left="840" w:hanging="406"/>
        <w:spacing w:after="0" w:line="261" w:lineRule="auto"/>
        <w:tabs>
          <w:tab w:leader="none" w:pos="8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Represents an adjustment to stockholders’ equity reflecting (i) par value of $0.1 million for Class A common stock to be outstanding following the Reorganization Transactions and the Offering Adjustments and (ii) a decrease of $54.5 million in members’ equity to allocate a portion of Definitive Healthcare Corp.’s equity to the noncontrolling interest.</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0800"/>
          </w:cols>
          <w:pgMar w:left="320" w:top="442" w:right="77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20" w:hanging="406"/>
        <w:spacing w:after="0" w:line="273" w:lineRule="auto"/>
        <w:tabs>
          <w:tab w:leader="none" w:pos="8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following table is a reconciliation of the adjustments impacting additional paid-in-capital, amounts may not agree directly due to rounding (in millions):</w:t>
      </w: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 of Pre-IPO Membership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1,174</w:t>
            </w:r>
          </w:p>
        </w:tc>
        <w:tc>
          <w:tcPr>
            <w:tcW w:w="100" w:type="dxa"/>
            <w:vAlign w:val="bottom"/>
            <w:shd w:val="clear" w:color="auto" w:fill="CCEEFF"/>
          </w:tcPr>
          <w:p>
            <w:pPr>
              <w:spacing w:after="0"/>
              <w:rPr>
                <w:sz w:val="17"/>
                <w:szCs w:val="17"/>
                <w:color w:val="auto"/>
              </w:rPr>
            </w:pPr>
          </w:p>
        </w:tc>
      </w:tr>
      <w:tr>
        <w:trPr>
          <w:trHeight w:val="204"/>
        </w:trPr>
        <w:tc>
          <w:tcPr>
            <w:tcW w:w="8960" w:type="dxa"/>
            <w:vAlign w:val="bottom"/>
          </w:tcPr>
          <w:p>
            <w:pPr>
              <w:spacing w:after="0"/>
              <w:rPr>
                <w:sz w:val="20"/>
                <w:szCs w:val="20"/>
                <w:color w:val="auto"/>
              </w:rPr>
            </w:pPr>
            <w:r>
              <w:rPr>
                <w:rFonts w:ascii="Arial" w:cs="Arial" w:eastAsia="Arial" w:hAnsi="Arial"/>
                <w:sz w:val="17"/>
                <w:szCs w:val="17"/>
                <w:color w:val="auto"/>
              </w:rPr>
              <w:t>Net adjustment from recognition of deferred tax and tax receivable liabilities</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(184)</w:t>
            </w:r>
          </w:p>
        </w:tc>
      </w:t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Net proceeds from offering of Class A common stock</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100" w:type="dxa"/>
            <w:vAlign w:val="bottom"/>
            <w:shd w:val="clear" w:color="auto" w:fill="CCEEFF"/>
          </w:tcPr>
          <w:p>
            <w:pPr>
              <w:spacing w:after="0"/>
              <w:rPr>
                <w:sz w:val="17"/>
                <w:szCs w:val="17"/>
                <w:color w:val="auto"/>
              </w:rPr>
            </w:pPr>
          </w:p>
        </w:tc>
      </w:tr>
      <w:tr>
        <w:trPr>
          <w:trHeight w:val="204"/>
        </w:trPr>
        <w:tc>
          <w:tcPr>
            <w:tcW w:w="8960" w:type="dxa"/>
            <w:vAlign w:val="bottom"/>
          </w:tcPr>
          <w:p>
            <w:pPr>
              <w:spacing w:after="0"/>
              <w:rPr>
                <w:sz w:val="20"/>
                <w:szCs w:val="20"/>
                <w:color w:val="auto"/>
              </w:rPr>
            </w:pPr>
            <w:r>
              <w:rPr>
                <w:rFonts w:ascii="Arial" w:cs="Arial" w:eastAsia="Arial" w:hAnsi="Arial"/>
                <w:sz w:val="17"/>
                <w:szCs w:val="17"/>
                <w:color w:val="auto"/>
              </w:rPr>
              <w:t>Payment of underwriting discounts and commissions in connection with this offering</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(24)</w:t>
            </w:r>
          </w:p>
        </w:tc>
      </w:t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LLC Units from certain Pre-IPO LLC Members</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r>
      <w:tr>
        <w:trPr>
          <w:trHeight w:val="191"/>
        </w:trPr>
        <w:tc>
          <w:tcPr>
            <w:tcW w:w="8960" w:type="dxa"/>
            <w:vAlign w:val="bottom"/>
          </w:tcPr>
          <w:p>
            <w:pPr>
              <w:spacing w:after="0" w:line="191" w:lineRule="exact"/>
              <w:rPr>
                <w:sz w:val="20"/>
                <w:szCs w:val="20"/>
                <w:color w:val="auto"/>
              </w:rPr>
            </w:pPr>
            <w:r>
              <w:rPr>
                <w:rFonts w:ascii="Arial" w:cs="Arial" w:eastAsia="Arial" w:hAnsi="Arial"/>
                <w:sz w:val="17"/>
                <w:szCs w:val="17"/>
                <w:color w:val="auto"/>
                <w:w w:val="96"/>
              </w:rPr>
              <w:t>Repurchase of shares of our Class A common stock received by the Blocker Company equityholders in connection with the</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960" w:type="dxa"/>
            <w:vAlign w:val="bottom"/>
          </w:tcPr>
          <w:p>
            <w:pPr>
              <w:ind w:left="160"/>
              <w:spacing w:after="0"/>
              <w:rPr>
                <w:sz w:val="20"/>
                <w:szCs w:val="20"/>
                <w:color w:val="auto"/>
              </w:rPr>
            </w:pPr>
            <w:r>
              <w:rPr>
                <w:rFonts w:ascii="Arial" w:cs="Arial" w:eastAsia="Arial" w:hAnsi="Arial"/>
                <w:sz w:val="17"/>
                <w:szCs w:val="17"/>
                <w:color w:val="auto"/>
              </w:rPr>
              <w:t>Mergers</w:t>
            </w:r>
          </w:p>
        </w:tc>
        <w:tc>
          <w:tcPr>
            <w:tcW w:w="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Reclassification of offering costs incurred in this offering from other assets to additional paid-in capital</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w:t>
            </w:r>
          </w:p>
        </w:tc>
      </w:tr>
      <w:tr>
        <w:trPr>
          <w:trHeight w:val="204"/>
        </w:trPr>
        <w:tc>
          <w:tcPr>
            <w:tcW w:w="8960" w:type="dxa"/>
            <w:vAlign w:val="bottom"/>
          </w:tcPr>
          <w:p>
            <w:pPr>
              <w:spacing w:after="0"/>
              <w:rPr>
                <w:sz w:val="20"/>
                <w:szCs w:val="20"/>
                <w:color w:val="auto"/>
              </w:rPr>
            </w:pPr>
            <w:r>
              <w:rPr>
                <w:rFonts w:ascii="Arial" w:cs="Arial" w:eastAsia="Arial" w:hAnsi="Arial"/>
                <w:sz w:val="17"/>
                <w:szCs w:val="17"/>
                <w:color w:val="auto"/>
              </w:rPr>
              <w:t>Other offering expenses</w:t>
            </w:r>
          </w:p>
        </w:tc>
        <w:tc>
          <w:tcPr>
            <w:tcW w:w="80" w:type="dxa"/>
            <w:vAlign w:val="bottom"/>
          </w:tcPr>
          <w:p>
            <w:pPr>
              <w:spacing w:after="0"/>
              <w:rPr>
                <w:sz w:val="17"/>
                <w:szCs w:val="17"/>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r>
      <w:tr>
        <w:trPr>
          <w:trHeight w:val="204"/>
        </w:trPr>
        <w:tc>
          <w:tcPr>
            <w:tcW w:w="8960" w:type="dxa"/>
            <w:vAlign w:val="bottom"/>
            <w:shd w:val="clear" w:color="auto" w:fill="CCEEFF"/>
          </w:tcPr>
          <w:p>
            <w:pPr>
              <w:spacing w:after="0"/>
              <w:rPr>
                <w:sz w:val="20"/>
                <w:szCs w:val="20"/>
                <w:color w:val="auto"/>
              </w:rPr>
            </w:pPr>
            <w:r>
              <w:rPr>
                <w:rFonts w:ascii="Arial" w:cs="Arial" w:eastAsia="Arial" w:hAnsi="Arial"/>
                <w:sz w:val="17"/>
                <w:szCs w:val="17"/>
                <w:color w:val="auto"/>
              </w:rPr>
              <w:t>Adjustment for noncontrolling interest</w:t>
            </w:r>
          </w:p>
        </w:tc>
        <w:tc>
          <w:tcPr>
            <w:tcW w:w="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(467)</w:t>
            </w:r>
          </w:p>
        </w:tc>
      </w:tr>
      <w:tr>
        <w:trPr>
          <w:trHeight w:val="209"/>
        </w:trPr>
        <w:tc>
          <w:tcPr>
            <w:tcW w:w="8960" w:type="dxa"/>
            <w:vAlign w:val="bottom"/>
          </w:tcPr>
          <w:p>
            <w:pPr>
              <w:spacing w:after="0"/>
              <w:rPr>
                <w:sz w:val="20"/>
                <w:szCs w:val="20"/>
                <w:color w:val="auto"/>
              </w:rPr>
            </w:pPr>
            <w:r>
              <w:rPr>
                <w:rFonts w:ascii="Arial" w:cs="Arial" w:eastAsia="Arial" w:hAnsi="Arial"/>
                <w:sz w:val="17"/>
                <w:szCs w:val="17"/>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851</w:t>
            </w:r>
          </w:p>
        </w:tc>
        <w:tc>
          <w:tcPr>
            <w:tcW w:w="100" w:type="dxa"/>
            <w:vAlign w:val="bottom"/>
          </w:tcPr>
          <w:p>
            <w:pPr>
              <w:spacing w:after="0"/>
              <w:rPr>
                <w:sz w:val="18"/>
                <w:szCs w:val="18"/>
                <w:color w:val="auto"/>
              </w:rPr>
            </w:pPr>
          </w:p>
        </w:tc>
      </w:tr>
    </w:tbl>
    <w:p>
      <w:pPr>
        <w:spacing w:after="0" w:line="229" w:lineRule="exact"/>
        <w:rPr>
          <w:sz w:val="20"/>
          <w:szCs w:val="20"/>
          <w:color w:val="auto"/>
        </w:rPr>
      </w:pPr>
    </w:p>
    <w:p>
      <w:pPr>
        <w:ind w:left="840" w:hanging="406"/>
        <w:spacing w:after="0" w:line="285" w:lineRule="auto"/>
        <w:tabs>
          <w:tab w:leader="none" w:pos="840" w:val="left"/>
        </w:tabs>
        <w:numPr>
          <w:ilvl w:val="0"/>
          <w:numId w:val="77"/>
        </w:numPr>
        <w:rPr>
          <w:rFonts w:ascii="Arial" w:cs="Arial" w:eastAsia="Arial" w:hAnsi="Arial"/>
          <w:sz w:val="15"/>
          <w:szCs w:val="15"/>
          <w:color w:val="auto"/>
        </w:rPr>
      </w:pPr>
      <w:r>
        <w:rPr>
          <w:rFonts w:ascii="Arial" w:cs="Arial" w:eastAsia="Arial" w:hAnsi="Arial"/>
          <w:sz w:val="15"/>
          <w:szCs w:val="15"/>
          <w:color w:val="auto"/>
        </w:rPr>
        <w:t>As described in “Organizational Structure—Effect of the Reorganization Transactions and this Offering,” under the Amended LLC Agreement, holders of LLC Units, including the Continuing Pre-IPO LLC Members,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Additionally, in the event of an exchange request from a holder of LLC Units, we may, at our option, effect a direct exchange of Class A common stock for LLC Units in lieu of such exchange. Shares of Class B common stock will be cancelled on a one-for-one basis if we, following an exchange request from a holder of LLC Units, exchange LLC Units of such holder pursuant to the terms of the Amended LLC Agreement.</w:t>
      </w:r>
    </w:p>
    <w:p>
      <w:pPr>
        <w:spacing w:after="0" w:line="1" w:lineRule="exact"/>
        <w:rPr>
          <w:rFonts w:ascii="Arial" w:cs="Arial" w:eastAsia="Arial" w:hAnsi="Arial"/>
          <w:sz w:val="15"/>
          <w:szCs w:val="15"/>
          <w:color w:val="auto"/>
        </w:rPr>
      </w:pPr>
    </w:p>
    <w:p>
      <w:pPr>
        <w:ind w:left="840" w:right="220" w:hanging="406"/>
        <w:spacing w:after="0" w:line="254" w:lineRule="auto"/>
        <w:tabs>
          <w:tab w:leader="none" w:pos="8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Definitive OpCo will use a portion of the proceeds from the issuance of LLC Units to Definitive Healthcare Corp. to repay a portion of our indebtedness. Our unpaid principal balance of our indebtedness of $470.4 million bearing interest at a rate of 6.25% as of June 30, 2021 will be reduced by an estimated $195.4 million to $275.0 million.</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0780"/>
          </w:cols>
          <w:pgMar w:left="320" w:top="442" w:right="79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190"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i w:val="1"/>
          <w:iCs w:val="1"/>
          <w:color w:val="auto"/>
        </w:rPr>
        <w:t>The following is a discussion and analysis of our financial condition and results of operations as of, and for, the periods presented. You should read the following discussion and analysis of our financial condition and results of operations in conjunction with the sections titled “Unaudited Pro Forma Consolidated Financial Information” and our historical consolidated financial statements and related notes included elsewhere in this prospectus. We conduct our business through Definitive OpCo and its subsidiaries. The historical consolidated financial data discussed below reflects our historical results of operations and financial condition and relates to periods prior to the Reorganization Transactions described in “Organizational Structure” and do not give effect to pro forma adjustments. As a result, the following discussion does not reflect the significant impact that such events will have on us. See “Organizational Structure” and “Unaudited Pro Forma Consolidated Financial Information” for more information.</w:t>
      </w:r>
    </w:p>
    <w:p>
      <w:pPr>
        <w:spacing w:after="0" w:line="116"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i w:val="1"/>
          <w:iCs w:val="1"/>
          <w:color w:val="auto"/>
        </w:rPr>
        <w:t>This discussion contains forward-looking statements that involve risks and uncertainties. Our actual results may differ materially from those discussed below. Factors that could cause or contribute to such difference include, but are not limited to, those identified below and those discussed in the sections titled “Risk Factors” and “Cautionary Note Regarding Forward-Looking Statements” included elsewhere in this prospectus. Information presented for the period from January 1 to July 15, 2019 is derived from our Predecessor Company’s audited consolidated financial statements included elsewhere in this prospectus. Information presented for the period from July 16, 2019 to December 31, 2019 and for the year ended December 31, 2020 is derived from the Successor Company’s audited consolidated financial statements for those periods included elsewhere in this prospectus. Information presented for the six-month periods ended June 30, 2021 and 2020 is derived from our unaudited condensed consolidated financial statements included elsewhere in this prospectus. We assume no obligation to update any of these forward-looking statements.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ind w:left="440" w:right="40" w:firstLine="415"/>
        <w:spacing w:after="0" w:line="302" w:lineRule="auto"/>
        <w:rPr>
          <w:sz w:val="20"/>
          <w:szCs w:val="20"/>
          <w:color w:val="auto"/>
        </w:rPr>
      </w:pPr>
      <w:r>
        <w:rPr>
          <w:rFonts w:ascii="Arial" w:cs="Arial" w:eastAsia="Arial" w:hAnsi="Arial"/>
          <w:sz w:val="15"/>
          <w:szCs w:val="15"/>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2,600 customers as of June 30, 2021. We define a customer as a company that maintains one or more active paid subscriptions to our platform.</w:t>
      </w:r>
    </w:p>
    <w:p>
      <w:pPr>
        <w:spacing w:after="0" w:line="149"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1358265</wp:posOffset>
            </wp:positionH>
            <wp:positionV relativeFrom="paragraph">
              <wp:posOffset>108585</wp:posOffset>
            </wp:positionV>
            <wp:extent cx="4434205" cy="2180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434205" cy="2180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0800"/>
          </w:cols>
          <w:pgMar w:left="320" w:top="442" w:right="77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view these attributes as key to our financial model:</w:t>
      </w:r>
    </w:p>
    <w:p>
      <w:pPr>
        <w:spacing w:after="0" w:line="123" w:lineRule="exact"/>
        <w:rPr>
          <w:sz w:val="20"/>
          <w:szCs w:val="20"/>
          <w:color w:val="auto"/>
        </w:rPr>
      </w:pPr>
    </w:p>
    <w:p>
      <w:pPr>
        <w:ind w:left="840" w:right="320" w:hanging="304"/>
        <w:spacing w:after="0" w:line="261" w:lineRule="auto"/>
        <w:tabs>
          <w:tab w:leader="none" w:pos="840" w:val="left"/>
        </w:tabs>
        <w:numPr>
          <w:ilvl w:val="0"/>
          <w:numId w:val="7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Significant Revenue Growth at Scale. </w:t>
      </w:r>
      <w:r>
        <w:rPr>
          <w:rFonts w:ascii="Arial" w:cs="Arial" w:eastAsia="Arial" w:hAnsi="Arial"/>
          <w:sz w:val="17"/>
          <w:szCs w:val="17"/>
          <w:color w:val="auto"/>
        </w:rPr>
        <w:t>We generated revenue of $118.3 million and $85.5 million in the years ended December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and December 31, 2019, respectively, representing an increase of 38%. We generated revenue of $76.8 million and $54.6 million in the six months ended June 30, 2021 and 2020, respectively, representing an increase of 41%.</w:t>
      </w:r>
    </w:p>
    <w:p>
      <w:pPr>
        <w:spacing w:after="0" w:line="87" w:lineRule="exact"/>
        <w:rPr>
          <w:rFonts w:ascii="Arial" w:cs="Arial" w:eastAsia="Arial" w:hAnsi="Arial"/>
          <w:sz w:val="17"/>
          <w:szCs w:val="17"/>
          <w:color w:val="auto"/>
        </w:rPr>
      </w:pPr>
    </w:p>
    <w:p>
      <w:pPr>
        <w:ind w:left="840" w:right="200" w:hanging="304"/>
        <w:spacing w:after="0" w:line="295" w:lineRule="auto"/>
        <w:tabs>
          <w:tab w:leader="none" w:pos="840" w:val="left"/>
        </w:tabs>
        <w:numPr>
          <w:ilvl w:val="0"/>
          <w:numId w:val="7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Subscription-based Business Model with Significant Visibility. </w:t>
      </w:r>
      <w:r>
        <w:rPr>
          <w:rFonts w:ascii="Arial" w:cs="Arial" w:eastAsia="Arial" w:hAnsi="Arial"/>
          <w:sz w:val="15"/>
          <w:szCs w:val="15"/>
          <w:color w:val="auto"/>
        </w:rPr>
        <w:t>We offer access to our platform on a subscription basis and we generate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substantially all of our revenue from subscription fees, which accounted for 99% of revenue for 2020 and the six months ended June 30, 2021. Subscriptions generally range from 1 to 3 years and are non-cancellable during the subscription term. Over 61% of our year end 2020 ARR was under multi-year agreements. Our subscription agreements typically include annual contracted price escalations, reflecting the value of our continuing addition of data and functionality to our intelligence modules. Subscription revenue is recognized ratably over the contract terms beginning on the date the product is made available to customers, which typically begins on the commencement date of each contract.</w:t>
      </w:r>
    </w:p>
    <w:p>
      <w:pPr>
        <w:spacing w:after="0" w:line="59" w:lineRule="exact"/>
        <w:rPr>
          <w:rFonts w:ascii="Arial" w:cs="Arial" w:eastAsia="Arial" w:hAnsi="Arial"/>
          <w:sz w:val="15"/>
          <w:szCs w:val="15"/>
          <w:color w:val="auto"/>
        </w:rPr>
      </w:pPr>
    </w:p>
    <w:p>
      <w:pPr>
        <w:ind w:left="840" w:right="20" w:hanging="304"/>
        <w:spacing w:after="0" w:line="293" w:lineRule="auto"/>
        <w:tabs>
          <w:tab w:leader="none" w:pos="840" w:val="left"/>
        </w:tabs>
        <w:numPr>
          <w:ilvl w:val="0"/>
          <w:numId w:val="78"/>
        </w:numPr>
        <w:rPr>
          <w:rFonts w:ascii="Arial" w:cs="Arial" w:eastAsia="Arial" w:hAnsi="Arial"/>
          <w:sz w:val="15"/>
          <w:szCs w:val="15"/>
          <w:color w:val="auto"/>
        </w:rPr>
      </w:pPr>
      <w:r>
        <w:rPr>
          <w:rFonts w:ascii="Arial" w:cs="Arial" w:eastAsia="Arial" w:hAnsi="Arial"/>
          <w:sz w:val="15"/>
          <w:szCs w:val="15"/>
          <w:b w:val="1"/>
          <w:bCs w:val="1"/>
          <w:i w:val="1"/>
          <w:iCs w:val="1"/>
          <w:color w:val="auto"/>
        </w:rPr>
        <w:t>Diversified Customer Base</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Over 2,600 companies use our platform to help sell into or compete in the healthcare ecosystem as of June 30, 2021.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six months ended June 30, 2021, no single customer contributed more than 2% of our revenue. Our target customers include any company looking to sell into or compete in the healthcare ecosystem including: Life Sciences, HCIT, Healthcare Providers and Other companies seeking to sell into the healthcare ecosystem, such as financial institutions, staffing firms and consultants. At June 30, 2021, as measured by ARR, 48% of our customers operated in Life Sciences; 21% of our customers operated in HCIT; 7% of our customers were Healthcare Providers; and 24% of our customers operated in non-healthcare focused areas. At year-end 2020, as measured by ARR, 48% of our customers operated in Life Sciences; 21% of our customers operated in HCIT; 6% of our customers were Healthcare Providers; and 24% of our customers operated in diversified areas.</w:t>
      </w:r>
    </w:p>
    <w:p>
      <w:pPr>
        <w:spacing w:after="0" w:line="69" w:lineRule="exact"/>
        <w:rPr>
          <w:rFonts w:ascii="Arial" w:cs="Arial" w:eastAsia="Arial" w:hAnsi="Arial"/>
          <w:sz w:val="15"/>
          <w:szCs w:val="15"/>
          <w:color w:val="auto"/>
        </w:rPr>
      </w:pPr>
    </w:p>
    <w:p>
      <w:pPr>
        <w:ind w:left="840" w:hanging="304"/>
        <w:spacing w:after="0" w:line="273" w:lineRule="auto"/>
        <w:tabs>
          <w:tab w:leader="none" w:pos="840" w:val="left"/>
        </w:tabs>
        <w:numPr>
          <w:ilvl w:val="0"/>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Retention and Growth of Existing Customers. </w:t>
      </w:r>
      <w:r>
        <w:rPr>
          <w:rFonts w:ascii="Arial" w:cs="Arial" w:eastAsia="Arial" w:hAnsi="Arial"/>
          <w:sz w:val="16"/>
          <w:szCs w:val="16"/>
          <w:color w:val="auto"/>
        </w:rPr>
        <w:t>Our ability to grow customer relationships is reflected in our Net Dollar Retention Rate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Enterprise Customers. For 2020, our NDR for all customers over $17,500 in ARR was 108%. For the year ended December 31, 2020, our NDR for Enterprise Customers was 124%. For the trailing twelve months ended June 30, 2021, our NDR for Enterprise Customers was 125% and our NDR for all customers over $17,500 in ARR was 111%. In 2020, 292 customers generated more than $100,000 in ARR, representing 53% of our total ARR. In the six months ended June 30, 2021, 349 customers generated more than $100,000 in ARR, representing 54% of our total ARR. See “—Key Metrics-Net Dollar Retention Rate” below.</w:t>
      </w:r>
    </w:p>
    <w:p>
      <w:pPr>
        <w:spacing w:after="0" w:line="79" w:lineRule="exact"/>
        <w:rPr>
          <w:rFonts w:ascii="Arial" w:cs="Arial" w:eastAsia="Arial" w:hAnsi="Arial"/>
          <w:sz w:val="16"/>
          <w:szCs w:val="16"/>
          <w:color w:val="auto"/>
        </w:rPr>
      </w:pPr>
    </w:p>
    <w:p>
      <w:pPr>
        <w:ind w:left="840" w:right="300" w:hanging="304"/>
        <w:spacing w:after="0" w:line="302" w:lineRule="auto"/>
        <w:tabs>
          <w:tab w:leader="none" w:pos="840" w:val="left"/>
        </w:tabs>
        <w:numPr>
          <w:ilvl w:val="0"/>
          <w:numId w:val="7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Highly Efficient Go-to-Market Engine. </w:t>
      </w:r>
      <w:r>
        <w:rPr>
          <w:rFonts w:ascii="Arial" w:cs="Arial" w:eastAsia="Arial" w:hAnsi="Arial"/>
          <w:sz w:val="15"/>
          <w:szCs w:val="15"/>
          <w:color w:val="auto"/>
        </w:rPr>
        <w:t>We have developed a highly efficient and effective go-to-market engine that combines effective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marketing with an inside sales force made up of highly trained, vertically focused SEs. The efficiency of the team is demonstrated through our 2020 LTV to CAC ratio of over 10x. We believe this metric highlights the effectiveness of our commercial team as well as the strong value proposition of our platform and solutions for our customers. Only approximately one-third of a sales representative’s day is spent selling.</w:t>
      </w:r>
    </w:p>
    <w:p>
      <w:pPr>
        <w:spacing w:after="0" w:line="60" w:lineRule="exact"/>
        <w:rPr>
          <w:rFonts w:ascii="Arial" w:cs="Arial" w:eastAsia="Arial" w:hAnsi="Arial"/>
          <w:sz w:val="15"/>
          <w:szCs w:val="15"/>
          <w:color w:val="auto"/>
        </w:rPr>
      </w:pPr>
    </w:p>
    <w:p>
      <w:pPr>
        <w:ind w:left="840" w:hanging="304"/>
        <w:spacing w:after="0" w:line="290" w:lineRule="auto"/>
        <w:tabs>
          <w:tab w:leader="none" w:pos="840" w:val="left"/>
        </w:tabs>
        <w:numPr>
          <w:ilvl w:val="0"/>
          <w:numId w:val="7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History of Strong Financial Performance. </w:t>
      </w:r>
      <w:r>
        <w:rPr>
          <w:rFonts w:ascii="Arial" w:cs="Arial" w:eastAsia="Arial" w:hAnsi="Arial"/>
          <w:sz w:val="15"/>
          <w:szCs w:val="15"/>
          <w:color w:val="auto"/>
        </w:rPr>
        <w:t>Our net loss was $51.2 million for the year ended December 31, 2020 as compared to a net loss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$49.3 million for the period from July 16, 2019 to December 31, 2019 and net income of $12.9 million for the period from January 1, 2019 to July 15, 2019. Our net loss was $25.5 million and $25.3 million for the six months ended June 30, 2021 and 2020, respectively. Our Net (Loss) Income Margin was (43)% for the year ended December 31, 2020 as compared to (123)% for the period from July 16, 2019 to December 31, 2019 and 28% for the period from January 1, 2019 to July 15, 2019. Our Gross Margin was 74% for the year ended December 31, 2020 as compared to 88% for the period from July 16, 2019 to December 31, 2019 and 90% for the period from January 1, 2019 to July 15, 2019. In addition to our consolidated GAAP financial measures, we use various non-GAAP financial measures, including Adjusted Gross Profit and Adjusted EBITDA, to measure our operating performance. See “—Key Metrics.” Our Adjusted Gross Profit was $107.1 million for the year ended December 31, 2020, as compared to $76.3 million in 2019, and $67.5 million for the six months ended June 30, 2021, as compared to</w:t>
      </w:r>
    </w:p>
    <w:p>
      <w:pPr>
        <w:spacing w:after="0" w:line="9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0800"/>
          </w:cols>
          <w:pgMar w:left="320" w:top="442" w:right="77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line="272" w:lineRule="auto"/>
        <w:rPr>
          <w:sz w:val="20"/>
          <w:szCs w:val="20"/>
          <w:color w:val="auto"/>
        </w:rPr>
      </w:pPr>
      <w:r>
        <w:rPr>
          <w:rFonts w:ascii="Arial" w:cs="Arial" w:eastAsia="Arial" w:hAnsi="Arial"/>
          <w:sz w:val="16"/>
          <w:szCs w:val="16"/>
          <w:color w:val="auto"/>
        </w:rPr>
        <w:t>$49.3 million for the six months ended June 30, 2020, resulting in Adjusted Gross Margins of 91% and 89%, for fiscal 2020 and 2019 respectively, and 88% and 90%, for the six months ended June 30, 2021 and 2020, respectively. Our Adjusted EBITDA was $53.5 million for the year ended December 31, 2020, as compared to $42.3 million in 2019, and $28.5 million for the six months ended June 30, 2021 and $26.2 million for the six months ended June 30, 2020, reflecting Adjusted EBITDA Margins of 45% and 49%, for 2020 and 2019, respectively, and 37% and 48% for the six months ended June 30, 2021 and 2020, respectively. We delivered strong financial performance even as we invested for growth and scalability. See “Summary Historical and Pro Forma Consolidated Financial and Other Data” and “—Key Metrics” below for additional information regarding our non-GAAP numbers and a reconciliation to the corresponding GAAP metric.</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believe that the growth and future success of our business depends on many factors, including the following:</w:t>
      </w:r>
    </w:p>
    <w:p>
      <w:pPr>
        <w:spacing w:after="0" w:line="31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Acquiring New Customers</w:t>
      </w:r>
    </w:p>
    <w:p>
      <w:pPr>
        <w:spacing w:after="0" w:line="110"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June 30, 2021, we had over 2,600 customers. As of December 31, 2020, we had over 2,500 customers. As of December 31, 2019, we had over 2,000 customers.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Expanding Relationships with Existing Customers</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We believe there is a significant opportunity to generate additional revenue from our existing customer base. Our customers have historically increased their spend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183" w:lineRule="exact"/>
        <w:rPr>
          <w:sz w:val="20"/>
          <w:szCs w:val="20"/>
          <w:color w:val="auto"/>
        </w:rPr>
      </w:pPr>
    </w:p>
    <w:p>
      <w:pPr>
        <w:ind w:left="440" w:right="400" w:firstLine="415"/>
        <w:spacing w:after="0" w:line="275" w:lineRule="auto"/>
        <w:rPr>
          <w:sz w:val="20"/>
          <w:szCs w:val="20"/>
          <w:color w:val="auto"/>
        </w:rPr>
      </w:pPr>
      <w:r>
        <w:rPr>
          <w:rFonts w:ascii="Arial" w:cs="Arial" w:eastAsia="Arial" w:hAnsi="Arial"/>
          <w:sz w:val="16"/>
          <w:szCs w:val="16"/>
          <w:color w:val="auto"/>
        </w:rPr>
        <w:t>Our platform currently offers 13 intelligence modules. As of June 30, 2021, 78% of our customers subscribed to fewer than four intelligence modules, highlighting the opportunity to expand the usage of our platform across our clients’ organizations. Our success in expanding usage of our platform with our existing customers is demonstrated by our NDR. For the year ended December 31, 2020, our NDR for Enterprise Customers was 124% and our NDR for all customers over $17,500 ARR was 108%. For the trailing twelve months ended June 30, 2021, our NDR for Enterprise Customers was 125% and our NDR for all customers over $17,500 in ARR was 111%.</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Continuing to Innovate and Expand Our Platform</w:t>
      </w:r>
    </w:p>
    <w:p>
      <w:pPr>
        <w:spacing w:after="0" w:line="110" w:lineRule="exact"/>
        <w:rPr>
          <w:sz w:val="20"/>
          <w:szCs w:val="20"/>
          <w:color w:val="auto"/>
        </w:rPr>
      </w:pPr>
    </w:p>
    <w:p>
      <w:pPr>
        <w:ind w:left="440" w:right="60" w:firstLine="415"/>
        <w:spacing w:after="0" w:line="312" w:lineRule="auto"/>
        <w:rPr>
          <w:sz w:val="20"/>
          <w:szCs w:val="20"/>
          <w:color w:val="auto"/>
        </w:rPr>
      </w:pPr>
      <w:r>
        <w:rPr>
          <w:rFonts w:ascii="Arial" w:cs="Arial" w:eastAsia="Arial" w:hAnsi="Arial"/>
          <w:sz w:val="15"/>
          <w:szCs w:val="15"/>
          <w:color w:val="auto"/>
        </w:rPr>
        <w:t>The growth of our business is driven in part by our ability to apply our deep healthcare domain expertise to innovate and expand our platform. We have continually created new products since our founding in 2011 and have launched 13 highly integrated intelligence modules to date. We plan to continue to invest significantly into our engineering and research and development efforts to enhance our capabilities and functionality and facilitate</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0820"/>
          </w:cols>
          <w:pgMar w:left="320" w:top="442" w:right="75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40"/>
        <w:spacing w:after="0" w:line="261" w:lineRule="auto"/>
        <w:rPr>
          <w:sz w:val="20"/>
          <w:szCs w:val="20"/>
          <w:color w:val="auto"/>
        </w:rPr>
      </w:pPr>
      <w:r>
        <w:rPr>
          <w:rFonts w:ascii="Arial" w:cs="Arial" w:eastAsia="Arial" w:hAnsi="Arial"/>
          <w:sz w:val="17"/>
          <w:szCs w:val="17"/>
          <w:color w:val="auto"/>
        </w:rPr>
        <w:t>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Impact of the COVID-19 Pandemic</w:t>
      </w:r>
    </w:p>
    <w:p>
      <w:pPr>
        <w:spacing w:after="0" w:line="114" w:lineRule="exact"/>
        <w:rPr>
          <w:sz w:val="20"/>
          <w:szCs w:val="20"/>
          <w:color w:val="auto"/>
        </w:rPr>
      </w:pPr>
    </w:p>
    <w:p>
      <w:pPr>
        <w:ind w:left="440" w:right="80" w:firstLine="415"/>
        <w:spacing w:after="0" w:line="290" w:lineRule="auto"/>
        <w:rPr>
          <w:sz w:val="20"/>
          <w:szCs w:val="20"/>
          <w:color w:val="auto"/>
        </w:rPr>
      </w:pPr>
      <w:r>
        <w:rPr>
          <w:rFonts w:ascii="Arial" w:cs="Arial" w:eastAsia="Arial" w:hAnsi="Arial"/>
          <w:sz w:val="15"/>
          <w:szCs w:val="15"/>
          <w:color w:val="auto"/>
        </w:rPr>
        <w:t>The effects of the COVID-19 pandemic are continuing to evolve and its impact on the economy and healthcare ecosystem have been vast. However, other than a brief slowdown in new bookings during the second quarter of 2020 at the outset of the pandemic and reduced expenses, we continued to invest in our sales force and the business, and the pandemic has not adversely affected our business, results of operations or financial condition. We have not experienced any known business disruptions as a result of the pandemic, as most of our services are already delivered remotely or are capable of being delivered remotely. We have demonstrated our agility to deal with the COVID-19 pandemic by introducing information on telehealth adoption, COVID-19 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Key Metrics</w:t>
      </w:r>
    </w:p>
    <w:p>
      <w:pPr>
        <w:spacing w:after="0" w:line="114"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We monitor the following key metrics to help us evaluate our business performance, identify financial trends, formulate business plans and make strategic operational decisions.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Gross Profit</w:t>
      </w:r>
    </w:p>
    <w:p>
      <w:pPr>
        <w:spacing w:after="0" w:line="110"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We define Adjusted Gross Profit as revenue less cost of revenue (excluding acquisition-related depreciation and amortization) and a small quantity of stock based compensation. Adjusted Gross Profit differs from Gross Profit, in that Gross Profit includes the impact of acquisition-related depreciation and amortization expense. We exclude acquisition-related depreciation and amortization expense as they have no direct correlation to the cost of operating our business on an ongoing basis. Adjusted Gross Margin is defined as Adjusted Gross Profit as a percentage of revenue. See “Non-GAAP Financial Measures” for additional information.</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following table presents a reconciliation of Gross Profit to Adjusted Gross Profit and Adjusted Gross Margin for the periods presented:</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9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9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gridSpan w:val="5"/>
          </w:tcPr>
          <w:p>
            <w:pPr>
              <w:jc w:val="center"/>
              <w:ind w:right="980"/>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96"/>
              </w:rPr>
              <w:t>(AIDH TopCo, LLC)</w:t>
            </w: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60" w:type="dxa"/>
            <w:vAlign w:val="bottom"/>
            <w:gridSpan w:val="6"/>
          </w:tcPr>
          <w:p>
            <w:pPr>
              <w:jc w:val="center"/>
              <w:ind w:right="18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3"/>
              </w:rPr>
              <w:t>Successor Company</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29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580" w:type="dxa"/>
            <w:vAlign w:val="bottom"/>
            <w:tcBorders>
              <w:right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3"/>
              <w:spacing w:after="0" w:line="113"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2200" w:type="dxa"/>
            <w:vAlign w:val="bottom"/>
            <w:gridSpan w:val="4"/>
          </w:tcPr>
          <w:p>
            <w:pPr>
              <w:jc w:val="right"/>
              <w:ind w:right="572"/>
              <w:spacing w:after="0" w:line="140" w:lineRule="exact"/>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right"/>
              <w:ind w:right="700"/>
              <w:spacing w:after="0" w:line="140" w:lineRule="exact"/>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2"/>
                <w:szCs w:val="12"/>
                <w:color w:val="auto"/>
              </w:rPr>
            </w:pPr>
          </w:p>
        </w:tc>
        <w:tc>
          <w:tcPr>
            <w:tcW w:w="1580" w:type="dxa"/>
            <w:vAlign w:val="bottom"/>
            <w:tcBorders>
              <w:right w:val="single" w:sz="8" w:color="auto"/>
            </w:tcBorders>
            <w:gridSpan w:val="2"/>
          </w:tcPr>
          <w:p>
            <w:pPr>
              <w:jc w:val="center"/>
              <w:ind w:right="640"/>
              <w:spacing w:after="0" w:line="140" w:lineRule="exact"/>
              <w:rPr>
                <w:sz w:val="20"/>
                <w:szCs w:val="20"/>
                <w:color w:val="auto"/>
              </w:rPr>
            </w:pPr>
            <w:r>
              <w:rPr>
                <w:rFonts w:ascii="Arial" w:cs="Arial" w:eastAsia="Arial" w:hAnsi="Arial"/>
                <w:sz w:val="14"/>
                <w:szCs w:val="14"/>
                <w:b w:val="1"/>
                <w:bCs w:val="1"/>
                <w:color w:val="auto"/>
                <w:w w:val="86"/>
              </w:rPr>
              <w:t>July 16, 2019 to</w:t>
            </w:r>
          </w:p>
        </w:tc>
        <w:tc>
          <w:tcPr>
            <w:tcW w:w="280" w:type="dxa"/>
            <w:vAlign w:val="bottom"/>
          </w:tcPr>
          <w:p>
            <w:pPr>
              <w:spacing w:after="0"/>
              <w:rPr>
                <w:sz w:val="12"/>
                <w:szCs w:val="12"/>
                <w:color w:val="auto"/>
              </w:rPr>
            </w:pPr>
          </w:p>
        </w:tc>
        <w:tc>
          <w:tcPr>
            <w:tcW w:w="142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7"/>
              </w:rPr>
              <w:t>January 1, 2019 to</w:t>
            </w:r>
          </w:p>
        </w:tc>
        <w:tc>
          <w:tcPr>
            <w:tcW w:w="0" w:type="dxa"/>
            <w:vAlign w:val="bottom"/>
          </w:tcPr>
          <w:p>
            <w:pPr>
              <w:spacing w:after="0"/>
              <w:rPr>
                <w:sz w:val="1"/>
                <w:szCs w:val="1"/>
                <w:color w:val="auto"/>
              </w:rPr>
            </w:pPr>
          </w:p>
        </w:tc>
      </w:tr>
      <w:tr>
        <w:trPr>
          <w:trHeight w:val="160"/>
        </w:trPr>
        <w:tc>
          <w:tcPr>
            <w:tcW w:w="2900" w:type="dxa"/>
            <w:vAlign w:val="bottom"/>
          </w:tcPr>
          <w:p>
            <w:pPr>
              <w:spacing w:after="0"/>
              <w:rPr>
                <w:sz w:val="20"/>
                <w:szCs w:val="20"/>
                <w:color w:val="auto"/>
              </w:rPr>
            </w:pPr>
            <w:r>
              <w:rPr>
                <w:rFonts w:ascii="Arial" w:cs="Arial" w:eastAsia="Arial" w:hAnsi="Arial"/>
                <w:sz w:val="14"/>
                <w:szCs w:val="14"/>
                <w:color w:val="auto"/>
              </w:rPr>
              <w:t>(in thousands)</w:t>
            </w: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3"/>
              </w:rPr>
              <w:t>June 30, 2021</w:t>
            </w:r>
          </w:p>
        </w:tc>
        <w:tc>
          <w:tcPr>
            <w:tcW w:w="9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85"/>
              </w:rPr>
              <w:t>June 30, 2020</w:t>
            </w:r>
          </w:p>
        </w:tc>
        <w:tc>
          <w:tcPr>
            <w:tcW w:w="340" w:type="dxa"/>
            <w:vAlign w:val="bottom"/>
          </w:tcPr>
          <w:p>
            <w:pPr>
              <w:spacing w:after="0"/>
              <w:rPr>
                <w:sz w:val="13"/>
                <w:szCs w:val="13"/>
                <w:color w:val="auto"/>
              </w:rPr>
            </w:pPr>
          </w:p>
        </w:tc>
        <w:tc>
          <w:tcPr>
            <w:tcW w:w="15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5"/>
              </w:rPr>
              <w:t>December 31, 2020</w:t>
            </w:r>
          </w:p>
        </w:tc>
        <w:tc>
          <w:tcPr>
            <w:tcW w:w="1660" w:type="dxa"/>
            <w:vAlign w:val="bottom"/>
            <w:tcBorders>
              <w:right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85"/>
              </w:rPr>
              <w:t>December 31, 2019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Reported gross profit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57,451</w:t>
            </w: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   39,845</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87,849</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26,763</w:t>
            </w:r>
          </w:p>
        </w:tc>
        <w:tc>
          <w:tcPr>
            <w:tcW w:w="58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40,130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00" w:type="dxa"/>
            <w:vAlign w:val="bottom"/>
          </w:tcPr>
          <w:p>
            <w:pPr>
              <w:spacing w:after="0" w:line="191" w:lineRule="exact"/>
              <w:rPr>
                <w:sz w:val="20"/>
                <w:szCs w:val="20"/>
                <w:color w:val="auto"/>
              </w:rPr>
            </w:pPr>
            <w:r>
              <w:rPr>
                <w:rFonts w:ascii="Arial" w:cs="Arial" w:eastAsia="Arial" w:hAnsi="Arial"/>
                <w:sz w:val="17"/>
                <w:szCs w:val="17"/>
                <w:color w:val="auto"/>
              </w:rPr>
              <w:t>Amortization of intangible assets</w:t>
            </w: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tcPr>
          <w:p>
            <w:pPr>
              <w:ind w:left="160"/>
              <w:spacing w:after="0"/>
              <w:rPr>
                <w:sz w:val="20"/>
                <w:szCs w:val="20"/>
                <w:color w:val="auto"/>
              </w:rPr>
            </w:pPr>
            <w:r>
              <w:rPr>
                <w:rFonts w:ascii="Arial" w:cs="Arial" w:eastAsia="Arial" w:hAnsi="Arial"/>
                <w:sz w:val="17"/>
                <w:szCs w:val="17"/>
                <w:color w:val="auto"/>
              </w:rPr>
              <w:t>resulting from acquisition-related</w:t>
            </w: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160"/>
              <w:spacing w:after="0"/>
              <w:rPr>
                <w:sz w:val="20"/>
                <w:szCs w:val="20"/>
                <w:color w:val="auto"/>
              </w:rPr>
            </w:pPr>
            <w:r>
              <w:rPr>
                <w:rFonts w:ascii="Arial" w:cs="Arial" w:eastAsia="Arial" w:hAnsi="Arial"/>
                <w:sz w:val="17"/>
                <w:szCs w:val="17"/>
                <w:color w:val="auto"/>
              </w:rPr>
              <w:t>purchase accounting adjustments</w:t>
            </w:r>
            <w:r>
              <w:rPr>
                <w:rFonts w:ascii="Arial" w:cs="Arial" w:eastAsia="Arial" w:hAnsi="Arial"/>
                <w:sz w:val="14"/>
                <w:szCs w:val="14"/>
                <w:color w:val="auto"/>
              </w:rPr>
              <w:t>(1)</w:t>
            </w:r>
          </w:p>
        </w:tc>
        <w:tc>
          <w:tcPr>
            <w:tcW w:w="1260" w:type="dxa"/>
            <w:vAlign w:val="bottom"/>
            <w:gridSpan w:val="2"/>
          </w:tcPr>
          <w:p>
            <w:pPr>
              <w:jc w:val="right"/>
              <w:ind w:right="480"/>
              <w:spacing w:after="0"/>
              <w:rPr>
                <w:sz w:val="20"/>
                <w:szCs w:val="20"/>
                <w:color w:val="auto"/>
              </w:rPr>
            </w:pPr>
            <w:r>
              <w:rPr>
                <w:rFonts w:ascii="Arial" w:cs="Arial" w:eastAsia="Arial" w:hAnsi="Arial"/>
                <w:sz w:val="17"/>
                <w:szCs w:val="17"/>
                <w:color w:val="auto"/>
              </w:rPr>
              <w:t>10,029</w:t>
            </w:r>
          </w:p>
        </w:tc>
        <w:tc>
          <w:tcPr>
            <w:tcW w:w="940" w:type="dxa"/>
            <w:vAlign w:val="bottom"/>
            <w:gridSpan w:val="2"/>
          </w:tcPr>
          <w:p>
            <w:pPr>
              <w:jc w:val="right"/>
              <w:ind w:right="72"/>
              <w:spacing w:after="0"/>
              <w:rPr>
                <w:sz w:val="20"/>
                <w:szCs w:val="20"/>
                <w:color w:val="auto"/>
              </w:rPr>
            </w:pPr>
            <w:r>
              <w:rPr>
                <w:rFonts w:ascii="Arial" w:cs="Arial" w:eastAsia="Arial" w:hAnsi="Arial"/>
                <w:sz w:val="17"/>
                <w:szCs w:val="17"/>
                <w:color w:val="auto"/>
              </w:rPr>
              <w:t>9,416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7"/>
                <w:szCs w:val="17"/>
                <w:color w:val="auto"/>
              </w:rPr>
              <w:t>19,169</w:t>
            </w:r>
          </w:p>
        </w:tc>
        <w:tc>
          <w:tcPr>
            <w:tcW w:w="8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8,602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4"/>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costs</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28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7"/>
                <w:szCs w:val="17"/>
                <w:b w:val="1"/>
                <w:bCs w:val="1"/>
                <w:color w:val="auto"/>
              </w:rPr>
              <w:t>Adjusted Gross Profit</w:t>
            </w:r>
          </w:p>
        </w:tc>
        <w:tc>
          <w:tcPr>
            <w:tcW w:w="7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0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67,511</w:t>
            </w: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49,291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107,080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35,393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40,884</w:t>
            </w:r>
          </w:p>
        </w:tc>
        <w:tc>
          <w:tcPr>
            <w:tcW w:w="0" w:type="dxa"/>
            <w:vAlign w:val="bottom"/>
          </w:tcPr>
          <w:p>
            <w:pPr>
              <w:spacing w:after="0"/>
              <w:rPr>
                <w:sz w:val="1"/>
                <w:szCs w:val="1"/>
                <w:color w:val="auto"/>
              </w:rPr>
            </w:pPr>
          </w:p>
        </w:tc>
      </w:tr>
      <w:tr>
        <w:trPr>
          <w:trHeight w:val="204"/>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76,757</w:t>
            </w:r>
          </w:p>
        </w:tc>
        <w:tc>
          <w:tcPr>
            <w:tcW w:w="940" w:type="dxa"/>
            <w:vAlign w:val="bottom"/>
            <w:gridSpan w:val="2"/>
            <w:shd w:val="clear" w:color="auto" w:fill="CCEEFF"/>
          </w:tcPr>
          <w:p>
            <w:pPr>
              <w:jc w:val="right"/>
              <w:ind w:right="72"/>
              <w:spacing w:after="0"/>
              <w:rPr>
                <w:sz w:val="20"/>
                <w:szCs w:val="20"/>
                <w:color w:val="auto"/>
              </w:rPr>
            </w:pPr>
            <w:r>
              <w:rPr>
                <w:rFonts w:ascii="Arial" w:cs="Arial" w:eastAsia="Arial" w:hAnsi="Arial"/>
                <w:sz w:val="17"/>
                <w:szCs w:val="17"/>
                <w:color w:val="auto"/>
              </w:rPr>
              <w:t>54,586</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118,317</w:t>
            </w:r>
          </w:p>
        </w:tc>
        <w:tc>
          <w:tcPr>
            <w:tcW w:w="80" w:type="dxa"/>
            <w:vAlign w:val="bottom"/>
            <w:shd w:val="clear" w:color="auto" w:fill="CCEEFF"/>
          </w:tcPr>
          <w:p>
            <w:pPr>
              <w:spacing w:after="0"/>
              <w:rPr>
                <w:sz w:val="17"/>
                <w:szCs w:val="17"/>
                <w:color w:val="auto"/>
              </w:rPr>
            </w:pPr>
          </w:p>
        </w:tc>
        <w:tc>
          <w:tcPr>
            <w:tcW w:w="158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40,045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900" w:type="dxa"/>
            <w:vAlign w:val="bottom"/>
          </w:tcPr>
          <w:p>
            <w:pPr>
              <w:spacing w:after="0"/>
              <w:rPr>
                <w:sz w:val="20"/>
                <w:szCs w:val="20"/>
                <w:color w:val="auto"/>
              </w:rPr>
            </w:pPr>
            <w:r>
              <w:rPr>
                <w:rFonts w:ascii="Arial" w:cs="Arial" w:eastAsia="Arial" w:hAnsi="Arial"/>
                <w:sz w:val="17"/>
                <w:szCs w:val="17"/>
                <w:b w:val="1"/>
                <w:bCs w:val="1"/>
                <w:color w:val="auto"/>
              </w:rPr>
              <w:t>Adjusted Gross Margin</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88%</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90%</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color w:val="auto"/>
              </w:rPr>
              <w:t>91%</w:t>
            </w:r>
          </w:p>
        </w:tc>
        <w:tc>
          <w:tcPr>
            <w:tcW w:w="80" w:type="dxa"/>
            <w:vAlign w:val="bottom"/>
          </w:tcPr>
          <w:p>
            <w:pPr>
              <w:spacing w:after="0"/>
              <w:rPr>
                <w:sz w:val="17"/>
                <w:szCs w:val="17"/>
                <w:color w:val="auto"/>
              </w:rPr>
            </w:pPr>
          </w:p>
        </w:tc>
        <w:tc>
          <w:tcPr>
            <w:tcW w:w="15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7"/>
                <w:szCs w:val="17"/>
                <w:color w:val="auto"/>
              </w:rPr>
              <w:t>88%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vMerge w:val="restart"/>
          </w:tcPr>
          <w:p>
            <w:pPr>
              <w:jc w:val="right"/>
              <w:ind w:right="95"/>
              <w:spacing w:after="0"/>
              <w:rPr>
                <w:sz w:val="20"/>
                <w:szCs w:val="20"/>
                <w:color w:val="auto"/>
              </w:rPr>
            </w:pPr>
            <w:r>
              <w:rPr>
                <w:rFonts w:ascii="Arial" w:cs="Arial" w:eastAsia="Arial" w:hAnsi="Arial"/>
                <w:sz w:val="17"/>
                <w:szCs w:val="17"/>
                <w:color w:val="auto"/>
                <w:w w:val="73"/>
              </w:rPr>
              <w:t>96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273685</wp:posOffset>
            </wp:positionV>
            <wp:extent cx="72707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40" w:right="520" w:hanging="406"/>
        <w:spacing w:after="0" w:line="273" w:lineRule="auto"/>
        <w:tabs>
          <w:tab w:leader="none" w:pos="8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66" w:lineRule="exact"/>
        <w:rPr>
          <w:sz w:val="20"/>
          <w:szCs w:val="20"/>
          <w:color w:val="auto"/>
        </w:rPr>
      </w:pPr>
    </w:p>
    <w:p>
      <w:pPr>
        <w:ind w:left="440" w:right="840" w:firstLine="415"/>
        <w:spacing w:after="0" w:line="273" w:lineRule="auto"/>
        <w:rPr>
          <w:sz w:val="20"/>
          <w:szCs w:val="20"/>
          <w:color w:val="auto"/>
        </w:rPr>
      </w:pPr>
      <w:r>
        <w:rPr>
          <w:rFonts w:ascii="Arial" w:cs="Arial" w:eastAsia="Arial" w:hAnsi="Arial"/>
          <w:sz w:val="17"/>
          <w:szCs w:val="17"/>
          <w:color w:val="auto"/>
        </w:rPr>
        <w:t>Gross profit is revenue less cost of revenue, and gross margin is gross profit as a percentage of revenue. The following table presents a reconciliation of gross margin to Adjusted Gross Margin for the periods presented:</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gridSpan w:val="4"/>
          </w:tcPr>
          <w:p>
            <w:pPr>
              <w:jc w:val="center"/>
              <w:ind w:right="820"/>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60" w:type="dxa"/>
            <w:vAlign w:val="bottom"/>
            <w:gridSpan w:val="5"/>
          </w:tcPr>
          <w:p>
            <w:pPr>
              <w:jc w:val="center"/>
              <w:ind w:right="34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83"/>
              </w:rPr>
              <w:t>Successor Company</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18"/>
              <w:spacing w:after="0" w:line="113" w:lineRule="exact"/>
              <w:rPr>
                <w:sz w:val="20"/>
                <w:szCs w:val="20"/>
                <w:color w:val="auto"/>
              </w:rPr>
            </w:pPr>
            <w:r>
              <w:rPr>
                <w:rFonts w:ascii="Arial" w:cs="Arial" w:eastAsia="Arial" w:hAnsi="Arial"/>
                <w:sz w:val="12"/>
                <w:szCs w:val="12"/>
                <w:b w:val="1"/>
                <w:bCs w:val="1"/>
                <w:color w:val="auto"/>
              </w:rPr>
              <w:t>Period from</w:t>
            </w:r>
          </w:p>
        </w:tc>
        <w:tc>
          <w:tcPr>
            <w:tcW w:w="640" w:type="dxa"/>
            <w:vAlign w:val="bottom"/>
            <w:tcBorders>
              <w:right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1"/>
              <w:spacing w:after="0" w:line="113"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4"/>
          </w:tcPr>
          <w:p>
            <w:pPr>
              <w:ind w:left="320"/>
              <w:spacing w:after="0" w:line="140" w:lineRule="exact"/>
              <w:rPr>
                <w:sz w:val="20"/>
                <w:szCs w:val="20"/>
                <w:color w:val="auto"/>
              </w:rPr>
            </w:pPr>
            <w:r>
              <w:rPr>
                <w:rFonts w:ascii="Arial" w:cs="Arial" w:eastAsia="Arial" w:hAnsi="Arial"/>
                <w:sz w:val="14"/>
                <w:szCs w:val="14"/>
                <w:b w:val="1"/>
                <w:bCs w:val="1"/>
                <w:color w:val="auto"/>
                <w:w w:val="88"/>
              </w:rPr>
              <w:t>Six Months Ended</w:t>
            </w: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560"/>
              <w:spacing w:after="0" w:line="140" w:lineRule="exact"/>
              <w:rPr>
                <w:sz w:val="20"/>
                <w:szCs w:val="20"/>
                <w:color w:val="auto"/>
              </w:rPr>
            </w:pPr>
            <w:r>
              <w:rPr>
                <w:rFonts w:ascii="Arial" w:cs="Arial" w:eastAsia="Arial" w:hAnsi="Arial"/>
                <w:sz w:val="14"/>
                <w:szCs w:val="14"/>
                <w:b w:val="1"/>
                <w:bCs w:val="1"/>
                <w:color w:val="auto"/>
                <w:w w:val="92"/>
              </w:rPr>
              <w:t>Year 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Borders>
              <w:right w:val="single" w:sz="8" w:color="auto"/>
            </w:tcBorders>
            <w:gridSpan w:val="2"/>
          </w:tcPr>
          <w:p>
            <w:pPr>
              <w:jc w:val="right"/>
              <w:ind w:right="740"/>
              <w:spacing w:after="0" w:line="140" w:lineRule="exact"/>
              <w:rPr>
                <w:sz w:val="20"/>
                <w:szCs w:val="20"/>
                <w:color w:val="auto"/>
              </w:rPr>
            </w:pPr>
            <w:r>
              <w:rPr>
                <w:rFonts w:ascii="Arial" w:cs="Arial" w:eastAsia="Arial" w:hAnsi="Arial"/>
                <w:sz w:val="14"/>
                <w:szCs w:val="14"/>
                <w:b w:val="1"/>
                <w:bCs w:val="1"/>
                <w:color w:val="auto"/>
                <w:w w:val="84"/>
              </w:rPr>
              <w:t>July 16, 2019 to</w:t>
            </w:r>
          </w:p>
        </w:tc>
        <w:tc>
          <w:tcPr>
            <w:tcW w:w="340" w:type="dxa"/>
            <w:vAlign w:val="bottom"/>
          </w:tcPr>
          <w:p>
            <w:pPr>
              <w:spacing w:after="0"/>
              <w:rPr>
                <w:sz w:val="12"/>
                <w:szCs w:val="12"/>
                <w:color w:val="auto"/>
              </w:rPr>
            </w:pPr>
          </w:p>
        </w:tc>
        <w:tc>
          <w:tcPr>
            <w:tcW w:w="142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7"/>
              </w:rPr>
              <w:t>January 1, 2019 to</w:t>
            </w:r>
          </w:p>
        </w:tc>
        <w:tc>
          <w:tcPr>
            <w:tcW w:w="0" w:type="dxa"/>
            <w:vAlign w:val="bottom"/>
          </w:tcPr>
          <w:p>
            <w:pPr>
              <w:spacing w:after="0"/>
              <w:rPr>
                <w:sz w:val="1"/>
                <w:szCs w:val="1"/>
                <w:color w:val="auto"/>
              </w:rPr>
            </w:pPr>
          </w:p>
        </w:tc>
      </w:tr>
      <w:tr>
        <w:trPr>
          <w:trHeight w:val="160"/>
        </w:trPr>
        <w:tc>
          <w:tcPr>
            <w:tcW w:w="26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4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5"/>
              </w:rPr>
              <w:t>December 31, 2020</w:t>
            </w:r>
          </w:p>
        </w:tc>
        <w:tc>
          <w:tcPr>
            <w:tcW w:w="180" w:type="dxa"/>
            <w:vAlign w:val="bottom"/>
          </w:tcPr>
          <w:p>
            <w:pPr>
              <w:spacing w:after="0"/>
              <w:rPr>
                <w:sz w:val="13"/>
                <w:szCs w:val="13"/>
                <w:color w:val="auto"/>
              </w:rPr>
            </w:pPr>
          </w:p>
        </w:tc>
        <w:tc>
          <w:tcPr>
            <w:tcW w:w="17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54,586</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640" w:type="dxa"/>
            <w:vAlign w:val="bottom"/>
            <w:tcBorders>
              <w:top w:val="single" w:sz="8" w:color="CCEEFF"/>
              <w:right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Total cost of revenue</w:t>
            </w:r>
          </w:p>
        </w:tc>
        <w:tc>
          <w:tcPr>
            <w:tcW w:w="20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19,306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7"/>
                <w:szCs w:val="17"/>
                <w:color w:val="auto"/>
                <w:w w:val="88"/>
              </w:rPr>
              <w:t>14,741</w:t>
            </w:r>
          </w:p>
        </w:tc>
        <w:tc>
          <w:tcPr>
            <w:tcW w:w="16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30,468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13,282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Reported gross profit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57,451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88"/>
              </w:rPr>
              <w:t>39,845</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26,763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Gross margin</w:t>
            </w:r>
          </w:p>
        </w:tc>
        <w:tc>
          <w:tcPr>
            <w:tcW w:w="2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75%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7"/>
                <w:szCs w:val="17"/>
                <w:color w:val="auto"/>
              </w:rPr>
              <w:t>73%</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74%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7"/>
                <w:szCs w:val="17"/>
                <w:color w:val="auto"/>
              </w:rPr>
              <w:t>67%</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76,757</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88"/>
              </w:rPr>
              <w:t>54,586</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40,045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Total cost of revenue</w:t>
            </w:r>
          </w:p>
        </w:tc>
        <w:tc>
          <w:tcPr>
            <w:tcW w:w="200" w:type="dxa"/>
            <w:vAlign w:val="bottom"/>
          </w:tcPr>
          <w:p>
            <w:pPr>
              <w:spacing w:after="0"/>
              <w:rPr>
                <w:sz w:val="17"/>
                <w:szCs w:val="17"/>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19,306</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7"/>
                <w:szCs w:val="17"/>
                <w:color w:val="auto"/>
                <w:w w:val="88"/>
              </w:rPr>
              <w:t>14,741</w:t>
            </w:r>
          </w:p>
        </w:tc>
        <w:tc>
          <w:tcPr>
            <w:tcW w:w="16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30,468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13,282</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5,328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Reported gross profit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57,451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88"/>
              </w:rPr>
              <w:t>39,845</w:t>
            </w: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87,849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26,763</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00" w:type="dxa"/>
            <w:vAlign w:val="bottom"/>
          </w:tcPr>
          <w:p>
            <w:pPr>
              <w:spacing w:after="0" w:line="191" w:lineRule="exact"/>
              <w:rPr>
                <w:sz w:val="20"/>
                <w:szCs w:val="20"/>
                <w:color w:val="auto"/>
              </w:rPr>
            </w:pPr>
            <w:r>
              <w:rPr>
                <w:rFonts w:ascii="Arial" w:cs="Arial" w:eastAsia="Arial" w:hAnsi="Arial"/>
                <w:sz w:val="17"/>
                <w:szCs w:val="17"/>
                <w:color w:val="auto"/>
              </w:rPr>
              <w:t>Amortization of intangible assets</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Arial" w:cs="Arial" w:eastAsia="Arial" w:hAnsi="Arial"/>
                <w:sz w:val="17"/>
                <w:szCs w:val="17"/>
                <w:color w:val="auto"/>
              </w:rPr>
              <w:t>resulting from acquisition-</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ind w:left="140"/>
              <w:spacing w:after="0"/>
              <w:rPr>
                <w:sz w:val="20"/>
                <w:szCs w:val="20"/>
                <w:color w:val="auto"/>
              </w:rPr>
            </w:pPr>
            <w:r>
              <w:rPr>
                <w:rFonts w:ascii="Arial" w:cs="Arial" w:eastAsia="Arial" w:hAnsi="Arial"/>
                <w:sz w:val="17"/>
                <w:szCs w:val="17"/>
                <w:color w:val="auto"/>
              </w:rPr>
              <w:t>related purchase accounting</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140"/>
              <w:spacing w:after="0"/>
              <w:rPr>
                <w:sz w:val="20"/>
                <w:szCs w:val="20"/>
                <w:color w:val="auto"/>
              </w:rPr>
            </w:pPr>
            <w:r>
              <w:rPr>
                <w:rFonts w:ascii="Arial" w:cs="Arial" w:eastAsia="Arial" w:hAnsi="Arial"/>
                <w:sz w:val="17"/>
                <w:szCs w:val="17"/>
                <w:color w:val="auto"/>
              </w:rPr>
              <w:t>adjustments</w:t>
            </w:r>
          </w:p>
        </w:tc>
        <w:tc>
          <w:tcPr>
            <w:tcW w:w="2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10,029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472"/>
              <w:spacing w:after="0"/>
              <w:rPr>
                <w:sz w:val="20"/>
                <w:szCs w:val="20"/>
                <w:color w:val="auto"/>
              </w:rPr>
            </w:pPr>
            <w:r>
              <w:rPr>
                <w:rFonts w:ascii="Arial" w:cs="Arial" w:eastAsia="Arial" w:hAnsi="Arial"/>
                <w:sz w:val="17"/>
                <w:szCs w:val="17"/>
                <w:color w:val="auto"/>
              </w:rPr>
              <w:t>9,416</w:t>
            </w:r>
          </w:p>
        </w:tc>
        <w:tc>
          <w:tcPr>
            <w:tcW w:w="16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19,169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8,602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Equity compensation costs</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28</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Adjusted Gross Profit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67,511</w:t>
            </w:r>
          </w:p>
        </w:tc>
        <w:tc>
          <w:tcPr>
            <w:tcW w:w="50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472"/>
              <w:spacing w:after="0"/>
              <w:rPr>
                <w:sz w:val="20"/>
                <w:szCs w:val="20"/>
                <w:color w:val="auto"/>
              </w:rPr>
            </w:pPr>
            <w:r>
              <w:rPr>
                <w:rFonts w:ascii="Arial" w:cs="Arial" w:eastAsia="Arial" w:hAnsi="Arial"/>
                <w:sz w:val="17"/>
                <w:szCs w:val="17"/>
                <w:color w:val="auto"/>
                <w:w w:val="88"/>
              </w:rPr>
              <w:t>49,291</w:t>
            </w:r>
          </w:p>
        </w:tc>
        <w:tc>
          <w:tcPr>
            <w:tcW w:w="16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340"/>
              <w:spacing w:after="0"/>
              <w:rPr>
                <w:sz w:val="20"/>
                <w:szCs w:val="20"/>
                <w:color w:val="auto"/>
              </w:rPr>
            </w:pPr>
            <w:r>
              <w:rPr>
                <w:rFonts w:ascii="Arial" w:cs="Arial" w:eastAsia="Arial" w:hAnsi="Arial"/>
                <w:sz w:val="17"/>
                <w:szCs w:val="17"/>
                <w:color w:val="auto"/>
              </w:rPr>
              <w:t>107,080</w:t>
            </w:r>
          </w:p>
        </w:tc>
        <w:tc>
          <w:tcPr>
            <w:tcW w:w="280" w:type="dxa"/>
            <w:vAlign w:val="bottom"/>
            <w:gridSpan w:val="2"/>
          </w:tcPr>
          <w:p>
            <w:pPr>
              <w:ind w:left="180"/>
              <w:spacing w:after="0"/>
              <w:rPr>
                <w:sz w:val="20"/>
                <w:szCs w:val="20"/>
                <w:color w:val="auto"/>
              </w:rPr>
            </w:pPr>
            <w:r>
              <w:rPr>
                <w:rFonts w:ascii="Arial" w:cs="Arial" w:eastAsia="Arial" w:hAnsi="Arial"/>
                <w:sz w:val="17"/>
                <w:szCs w:val="17"/>
                <w:color w:val="auto"/>
                <w:w w:val="84"/>
              </w:rPr>
              <w:t>$</w:t>
            </w:r>
          </w:p>
        </w:tc>
        <w:tc>
          <w:tcPr>
            <w:tcW w:w="164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35,393</w:t>
            </w:r>
          </w:p>
        </w:tc>
        <w:tc>
          <w:tcPr>
            <w:tcW w:w="46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40,884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76,757</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88"/>
              </w:rPr>
              <w:t>54,586</w:t>
            </w:r>
          </w:p>
        </w:tc>
        <w:tc>
          <w:tcPr>
            <w:tcW w:w="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118,317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1640" w:type="dxa"/>
            <w:vAlign w:val="bottom"/>
            <w:tcBorders>
              <w:right w:val="single" w:sz="8" w:color="auto"/>
            </w:tcBorders>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40,045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600" w:type="dxa"/>
            <w:vAlign w:val="bottom"/>
          </w:tcPr>
          <w:p>
            <w:pPr>
              <w:spacing w:after="0"/>
              <w:rPr>
                <w:sz w:val="20"/>
                <w:szCs w:val="20"/>
                <w:color w:val="auto"/>
              </w:rPr>
            </w:pPr>
            <w:r>
              <w:rPr>
                <w:rFonts w:ascii="Arial" w:cs="Arial" w:eastAsia="Arial" w:hAnsi="Arial"/>
                <w:sz w:val="17"/>
                <w:szCs w:val="17"/>
                <w:b w:val="1"/>
                <w:bCs w:val="1"/>
                <w:color w:val="auto"/>
              </w:rPr>
              <w:t>Adjusted Gross Margin</w:t>
            </w:r>
          </w:p>
        </w:tc>
        <w:tc>
          <w:tcPr>
            <w:tcW w:w="20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88%</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gridSpan w:val="2"/>
          </w:tcPr>
          <w:p>
            <w:pPr>
              <w:jc w:val="right"/>
              <w:ind w:right="332"/>
              <w:spacing w:after="0"/>
              <w:rPr>
                <w:sz w:val="20"/>
                <w:szCs w:val="20"/>
                <w:color w:val="auto"/>
              </w:rPr>
            </w:pPr>
            <w:r>
              <w:rPr>
                <w:rFonts w:ascii="Arial" w:cs="Arial" w:eastAsia="Arial" w:hAnsi="Arial"/>
                <w:sz w:val="17"/>
                <w:szCs w:val="17"/>
                <w:color w:val="auto"/>
              </w:rPr>
              <w:t>90%</w:t>
            </w:r>
          </w:p>
        </w:tc>
        <w:tc>
          <w:tcPr>
            <w:tcW w:w="16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91%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7"/>
                <w:szCs w:val="17"/>
                <w:color w:val="auto"/>
              </w:rPr>
              <w:t>88%</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EBITDA</w:t>
      </w:r>
    </w:p>
    <w:p>
      <w:pPr>
        <w:spacing w:after="0" w:line="110" w:lineRule="exact"/>
        <w:rPr>
          <w:sz w:val="20"/>
          <w:szCs w:val="20"/>
          <w:color w:val="auto"/>
        </w:rPr>
      </w:pPr>
    </w:p>
    <w:p>
      <w:pPr>
        <w:ind w:left="440" w:right="120" w:firstLine="415"/>
        <w:spacing w:after="0" w:line="288" w:lineRule="auto"/>
        <w:rPr>
          <w:sz w:val="20"/>
          <w:szCs w:val="20"/>
          <w:color w:val="auto"/>
        </w:rPr>
      </w:pPr>
      <w:r>
        <w:rPr>
          <w:rFonts w:ascii="Arial" w:cs="Arial" w:eastAsia="Arial" w:hAnsi="Arial"/>
          <w:sz w:val="15"/>
          <w:szCs w:val="15"/>
          <w:color w:val="auto"/>
        </w:rPr>
        <w:t>We present “Adjusted EBITDA” as a measure of our operating performance. EBITDA is defined as earnings before (i) debt-related costs, including interest expense and (ii) interest income, (iii) provision for taxes, (iv) depreciation and amortization. Management further adjusts EBITDA in its presentation of Adjusted EBITDA to exclude (i) other (income) expense, (ii) stock-based compensation, (iii) acquisition-related expenses and</w:t>
      </w:r>
    </w:p>
    <w:p>
      <w:pPr>
        <w:spacing w:after="0" w:line="1" w:lineRule="exact"/>
        <w:rPr>
          <w:sz w:val="20"/>
          <w:szCs w:val="20"/>
          <w:color w:val="auto"/>
        </w:rPr>
      </w:pPr>
    </w:p>
    <w:p>
      <w:pPr>
        <w:ind w:left="440" w:right="440" w:hanging="6"/>
        <w:spacing w:after="0" w:line="326" w:lineRule="auto"/>
        <w:tabs>
          <w:tab w:leader="none" w:pos="727" w:val="left"/>
        </w:tabs>
        <w:numPr>
          <w:ilvl w:val="0"/>
          <w:numId w:val="80"/>
        </w:numPr>
        <w:rPr>
          <w:rFonts w:ascii="Arial" w:cs="Arial" w:eastAsia="Arial" w:hAnsi="Arial"/>
          <w:sz w:val="15"/>
          <w:szCs w:val="15"/>
          <w:color w:val="auto"/>
        </w:rPr>
      </w:pPr>
      <w:r>
        <w:rPr>
          <w:rFonts w:ascii="Arial" w:cs="Arial" w:eastAsia="Arial" w:hAnsi="Arial"/>
          <w:sz w:val="15"/>
          <w:szCs w:val="15"/>
          <w:color w:val="auto"/>
        </w:rPr>
        <w:t>other non-recurring and one-time expenses. We exclude these items because they are non-cash or non-recurring in nature, and therefore do not believe them to be representative of ongoing operational performance. See “Non-GAAP Financial Measures” for additional information.</w:t>
      </w:r>
    </w:p>
    <w:p>
      <w:pPr>
        <w:spacing w:after="0" w:line="6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0820"/>
          </w:cols>
          <w:pgMar w:left="320" w:top="442" w:right="75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presents a reconciliation of Net (Loss) Income to Adjusted EBITDA for the periods presented:</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20" w:type="dxa"/>
            <w:vAlign w:val="bottom"/>
            <w:gridSpan w:val="4"/>
          </w:tcPr>
          <w:p>
            <w:pPr>
              <w:jc w:val="center"/>
              <w:ind w:right="1040"/>
              <w:spacing w:after="0" w:line="140" w:lineRule="exact"/>
              <w:rPr>
                <w:sz w:val="20"/>
                <w:szCs w:val="20"/>
                <w:color w:val="auto"/>
              </w:rPr>
            </w:pPr>
            <w:r>
              <w:rPr>
                <w:rFonts w:ascii="Arial" w:cs="Arial" w:eastAsia="Arial" w:hAnsi="Arial"/>
                <w:sz w:val="14"/>
                <w:szCs w:val="14"/>
                <w:b w:val="1"/>
                <w:bCs w:val="1"/>
                <w:color w:val="auto"/>
                <w:w w:val="89"/>
              </w:rPr>
              <w:t>Definitive OpCo</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5"/>
          </w:tcPr>
          <w:p>
            <w:pPr>
              <w:jc w:val="center"/>
              <w:ind w:right="520"/>
              <w:spacing w:after="0" w:line="140" w:lineRule="exact"/>
              <w:rPr>
                <w:sz w:val="20"/>
                <w:szCs w:val="20"/>
                <w:color w:val="auto"/>
              </w:rPr>
            </w:pPr>
            <w:r>
              <w:rPr>
                <w:rFonts w:ascii="Arial" w:cs="Arial" w:eastAsia="Arial" w:hAnsi="Arial"/>
                <w:sz w:val="14"/>
                <w:szCs w:val="14"/>
                <w:b w:val="1"/>
                <w:bCs w:val="1"/>
                <w:color w:val="auto"/>
                <w:w w:val="96"/>
              </w:rPr>
              <w:t>(AIDH TopCo, LLC)</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0" w:lineRule="exact"/>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2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83"/>
              </w:rPr>
              <w:t>Successor Company</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118"/>
              <w:spacing w:after="0" w:line="113" w:lineRule="exact"/>
              <w:rPr>
                <w:sz w:val="20"/>
                <w:szCs w:val="20"/>
                <w:color w:val="auto"/>
              </w:rPr>
            </w:pPr>
            <w:r>
              <w:rPr>
                <w:rFonts w:ascii="Arial" w:cs="Arial" w:eastAsia="Arial" w:hAnsi="Arial"/>
                <w:sz w:val="12"/>
                <w:szCs w:val="12"/>
                <w:b w:val="1"/>
                <w:bCs w:val="1"/>
                <w:color w:val="auto"/>
              </w:rPr>
              <w:t>Period from</w:t>
            </w:r>
          </w:p>
        </w:tc>
        <w:tc>
          <w:tcPr>
            <w:tcW w:w="66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tcPr>
          <w:p>
            <w:pPr>
              <w:jc w:val="center"/>
              <w:ind w:right="41"/>
              <w:spacing w:after="0" w:line="113" w:lineRule="exact"/>
              <w:rPr>
                <w:sz w:val="20"/>
                <w:szCs w:val="20"/>
                <w:color w:val="auto"/>
              </w:rPr>
            </w:pPr>
            <w:r>
              <w:rPr>
                <w:rFonts w:ascii="Arial" w:cs="Arial" w:eastAsia="Arial" w:hAnsi="Arial"/>
                <w:sz w:val="12"/>
                <w:szCs w:val="12"/>
                <w:b w:val="1"/>
                <w:bCs w:val="1"/>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3"/>
          </w:tcPr>
          <w:p>
            <w:pPr>
              <w:ind w:left="360"/>
              <w:spacing w:after="0" w:line="140" w:lineRule="exact"/>
              <w:rPr>
                <w:sz w:val="20"/>
                <w:szCs w:val="20"/>
                <w:color w:val="auto"/>
              </w:rPr>
            </w:pPr>
            <w:r>
              <w:rPr>
                <w:rFonts w:ascii="Arial" w:cs="Arial" w:eastAsia="Arial" w:hAnsi="Arial"/>
                <w:sz w:val="14"/>
                <w:szCs w:val="14"/>
                <w:b w:val="1"/>
                <w:bCs w:val="1"/>
                <w:color w:val="auto"/>
                <w:w w:val="85"/>
              </w:rPr>
              <w:t>Six Months Ended</w:t>
            </w: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800"/>
              <w:spacing w:after="0" w:line="140" w:lineRule="exact"/>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2"/>
                <w:szCs w:val="12"/>
                <w:color w:val="auto"/>
              </w:rPr>
            </w:pPr>
          </w:p>
        </w:tc>
        <w:tc>
          <w:tcPr>
            <w:tcW w:w="1660" w:type="dxa"/>
            <w:vAlign w:val="bottom"/>
            <w:tcBorders>
              <w:right w:val="single" w:sz="8" w:color="auto"/>
            </w:tcBorders>
            <w:gridSpan w:val="2"/>
          </w:tcPr>
          <w:p>
            <w:pPr>
              <w:jc w:val="right"/>
              <w:ind w:right="760"/>
              <w:spacing w:after="0" w:line="140" w:lineRule="exact"/>
              <w:rPr>
                <w:sz w:val="20"/>
                <w:szCs w:val="20"/>
                <w:color w:val="auto"/>
              </w:rPr>
            </w:pPr>
            <w:r>
              <w:rPr>
                <w:rFonts w:ascii="Arial" w:cs="Arial" w:eastAsia="Arial" w:hAnsi="Arial"/>
                <w:sz w:val="14"/>
                <w:szCs w:val="14"/>
                <w:b w:val="1"/>
                <w:bCs w:val="1"/>
                <w:color w:val="auto"/>
                <w:w w:val="84"/>
              </w:rPr>
              <w:t>July 16, 2019 to</w:t>
            </w:r>
          </w:p>
        </w:tc>
        <w:tc>
          <w:tcPr>
            <w:tcW w:w="360" w:type="dxa"/>
            <w:vAlign w:val="bottom"/>
          </w:tcPr>
          <w:p>
            <w:pPr>
              <w:spacing w:after="0"/>
              <w:rPr>
                <w:sz w:val="12"/>
                <w:szCs w:val="12"/>
                <w:color w:val="auto"/>
              </w:rPr>
            </w:pPr>
          </w:p>
        </w:tc>
        <w:tc>
          <w:tcPr>
            <w:tcW w:w="142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7"/>
              </w:rPr>
              <w:t>January 1, 2019 to</w:t>
            </w:r>
          </w:p>
        </w:tc>
        <w:tc>
          <w:tcPr>
            <w:tcW w:w="0" w:type="dxa"/>
            <w:vAlign w:val="bottom"/>
          </w:tcPr>
          <w:p>
            <w:pPr>
              <w:spacing w:after="0"/>
              <w:rPr>
                <w:sz w:val="1"/>
                <w:szCs w:val="1"/>
                <w:color w:val="auto"/>
              </w:rPr>
            </w:pPr>
          </w:p>
        </w:tc>
      </w:tr>
      <w:tr>
        <w:trPr>
          <w:trHeight w:val="160"/>
        </w:trPr>
        <w:tc>
          <w:tcPr>
            <w:tcW w:w="25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6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5"/>
              </w:rPr>
              <w:t>December 31, 2020</w:t>
            </w:r>
          </w:p>
        </w:tc>
        <w:tc>
          <w:tcPr>
            <w:tcW w:w="17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(loss) income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(25,527)</w:t>
            </w: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8"/>
              </w:rPr>
              <w:t>(25,333)</w:t>
            </w: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(51,157)</w:t>
            </w: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660" w:type="dxa"/>
            <w:vAlign w:val="bottom"/>
            <w:tcBorders>
              <w:top w:val="single" w:sz="8" w:color="CCEEFF"/>
              <w:right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Interest expense, net</w:t>
            </w:r>
          </w:p>
        </w:tc>
        <w:tc>
          <w:tcPr>
            <w:tcW w:w="18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16,770</w:t>
            </w:r>
          </w:p>
        </w:tc>
        <w:tc>
          <w:tcPr>
            <w:tcW w:w="260" w:type="dxa"/>
            <w:vAlign w:val="bottom"/>
          </w:tcPr>
          <w:p>
            <w:pPr>
              <w:spacing w:after="0"/>
              <w:rPr>
                <w:sz w:val="17"/>
                <w:szCs w:val="17"/>
                <w:color w:val="auto"/>
              </w:rPr>
            </w:pPr>
          </w:p>
        </w:tc>
        <w:tc>
          <w:tcPr>
            <w:tcW w:w="1080" w:type="dxa"/>
            <w:vAlign w:val="bottom"/>
            <w:gridSpan w:val="2"/>
          </w:tcPr>
          <w:p>
            <w:pPr>
              <w:jc w:val="right"/>
              <w:ind w:right="472"/>
              <w:spacing w:after="0"/>
              <w:rPr>
                <w:sz w:val="20"/>
                <w:szCs w:val="20"/>
                <w:color w:val="auto"/>
              </w:rPr>
            </w:pPr>
            <w:r>
              <w:rPr>
                <w:rFonts w:ascii="Arial" w:cs="Arial" w:eastAsia="Arial" w:hAnsi="Arial"/>
                <w:sz w:val="17"/>
                <w:szCs w:val="17"/>
                <w:color w:val="auto"/>
                <w:w w:val="99"/>
              </w:rPr>
              <w:t>18,780</w:t>
            </w:r>
          </w:p>
        </w:tc>
        <w:tc>
          <w:tcPr>
            <w:tcW w:w="140" w:type="dxa"/>
            <w:vAlign w:val="bottom"/>
          </w:tcPr>
          <w:p>
            <w:pPr>
              <w:spacing w:after="0"/>
              <w:rPr>
                <w:sz w:val="17"/>
                <w:szCs w:val="17"/>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36,490</w:t>
            </w: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18,204</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741</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516</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1,152</w:t>
            </w:r>
          </w:p>
        </w:tc>
        <w:tc>
          <w:tcPr>
            <w:tcW w:w="80" w:type="dxa"/>
            <w:vAlign w:val="bottom"/>
            <w:shd w:val="clear" w:color="auto" w:fill="CCEEFF"/>
          </w:tcPr>
          <w:p>
            <w:pPr>
              <w:spacing w:after="0"/>
              <w:rPr>
                <w:sz w:val="17"/>
                <w:szCs w:val="17"/>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456</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00" w:type="dxa"/>
            <w:vAlign w:val="bottom"/>
            <w:gridSpan w:val="2"/>
          </w:tcPr>
          <w:p>
            <w:pPr>
              <w:spacing w:after="0" w:line="191" w:lineRule="exact"/>
              <w:rPr>
                <w:sz w:val="20"/>
                <w:szCs w:val="20"/>
                <w:color w:val="auto"/>
              </w:rPr>
            </w:pPr>
            <w:r>
              <w:rPr>
                <w:rFonts w:ascii="Arial" w:cs="Arial" w:eastAsia="Arial" w:hAnsi="Arial"/>
                <w:sz w:val="17"/>
                <w:szCs w:val="17"/>
                <w:color w:val="auto"/>
              </w:rPr>
              <w:t>Amortization of intangible</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ind w:left="140"/>
              <w:spacing w:after="0"/>
              <w:rPr>
                <w:sz w:val="20"/>
                <w:szCs w:val="20"/>
                <w:color w:val="auto"/>
              </w:rPr>
            </w:pPr>
            <w:r>
              <w:rPr>
                <w:rFonts w:ascii="Arial" w:cs="Arial" w:eastAsia="Arial" w:hAnsi="Arial"/>
                <w:sz w:val="17"/>
                <w:szCs w:val="17"/>
                <w:color w:val="auto"/>
              </w:rPr>
              <w:t>assets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28,853</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72"/>
              <w:spacing w:after="0"/>
              <w:rPr>
                <w:sz w:val="20"/>
                <w:szCs w:val="20"/>
                <w:color w:val="auto"/>
              </w:rPr>
            </w:pPr>
            <w:r>
              <w:rPr>
                <w:rFonts w:ascii="Arial" w:cs="Arial" w:eastAsia="Arial" w:hAnsi="Arial"/>
                <w:sz w:val="17"/>
                <w:szCs w:val="17"/>
                <w:color w:val="auto"/>
                <w:w w:val="99"/>
              </w:rPr>
              <w:t>28,893</w:t>
            </w:r>
          </w:p>
        </w:tc>
        <w:tc>
          <w:tcPr>
            <w:tcW w:w="1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58,428</w:t>
            </w:r>
          </w:p>
        </w:tc>
        <w:tc>
          <w:tcPr>
            <w:tcW w:w="80" w:type="dxa"/>
            <w:vAlign w:val="bottom"/>
          </w:tcPr>
          <w:p>
            <w:pPr>
              <w:spacing w:after="0"/>
              <w:rPr>
                <w:sz w:val="18"/>
                <w:szCs w:val="18"/>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30,617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2,042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EBITDA</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20,837</w:t>
            </w: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99"/>
              </w:rPr>
              <w:t>22,856</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44,913</w:t>
            </w:r>
          </w:p>
        </w:tc>
        <w:tc>
          <w:tcPr>
            <w:tcW w:w="80" w:type="dxa"/>
            <w:vAlign w:val="bottom"/>
            <w:shd w:val="clear" w:color="auto" w:fill="CCEEFF"/>
          </w:tcPr>
          <w:p>
            <w:pPr>
              <w:spacing w:after="0"/>
              <w:rPr>
                <w:sz w:val="17"/>
                <w:szCs w:val="17"/>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11</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15,498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Other (income) expense, net</w:t>
            </w:r>
            <w:r>
              <w:rPr>
                <w:rFonts w:ascii="Arial" w:cs="Arial" w:eastAsia="Arial" w:hAnsi="Arial"/>
                <w:sz w:val="14"/>
                <w:szCs w:val="14"/>
                <w:color w:val="auto"/>
              </w:rPr>
              <w:t>(1)</w:t>
            </w:r>
          </w:p>
        </w:tc>
        <w:tc>
          <w:tcPr>
            <w:tcW w:w="180" w:type="dxa"/>
            <w:vAlign w:val="bottom"/>
          </w:tcPr>
          <w:p>
            <w:pPr>
              <w:spacing w:after="0"/>
              <w:rPr>
                <w:sz w:val="17"/>
                <w:szCs w:val="17"/>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7"/>
                <w:szCs w:val="17"/>
                <w:color w:val="auto"/>
              </w:rPr>
            </w:pPr>
          </w:p>
        </w:tc>
        <w:tc>
          <w:tcPr>
            <w:tcW w:w="1080" w:type="dxa"/>
            <w:vAlign w:val="bottom"/>
            <w:gridSpan w:val="2"/>
          </w:tcPr>
          <w:p>
            <w:pPr>
              <w:jc w:val="right"/>
              <w:ind w:right="572"/>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7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Compensation costs</w:t>
            </w:r>
            <w:r>
              <w:rPr>
                <w:rFonts w:ascii="Arial" w:cs="Arial" w:eastAsia="Arial" w:hAnsi="Arial"/>
                <w:sz w:val="14"/>
                <w:szCs w:val="14"/>
                <w:color w:val="auto"/>
              </w:rPr>
              <w:t>(2)</w:t>
            </w: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2,021</w:t>
            </w:r>
          </w:p>
        </w:tc>
        <w:tc>
          <w:tcPr>
            <w:tcW w:w="2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872</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1,747</w:t>
            </w:r>
          </w:p>
        </w:tc>
        <w:tc>
          <w:tcPr>
            <w:tcW w:w="80" w:type="dxa"/>
            <w:vAlign w:val="bottom"/>
            <w:shd w:val="clear" w:color="auto" w:fill="CCEEFF"/>
          </w:tcPr>
          <w:p>
            <w:pPr>
              <w:spacing w:after="0"/>
              <w:rPr>
                <w:sz w:val="17"/>
                <w:szCs w:val="17"/>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744</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5,807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color w:val="auto"/>
              </w:rPr>
              <w:t>Acquisition related expenses</w:t>
            </w:r>
            <w:r>
              <w:rPr>
                <w:rFonts w:ascii="Arial" w:cs="Arial" w:eastAsia="Arial" w:hAnsi="Arial"/>
                <w:sz w:val="14"/>
                <w:szCs w:val="14"/>
                <w:color w:val="auto"/>
              </w:rPr>
              <w:t>(3)</w:t>
            </w:r>
          </w:p>
        </w:tc>
        <w:tc>
          <w:tcPr>
            <w:tcW w:w="180" w:type="dxa"/>
            <w:vAlign w:val="bottom"/>
          </w:tcPr>
          <w:p>
            <w:pPr>
              <w:spacing w:after="0"/>
              <w:rPr>
                <w:sz w:val="17"/>
                <w:szCs w:val="17"/>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color w:val="auto"/>
              </w:rPr>
              <w:t>3,469</w:t>
            </w:r>
          </w:p>
        </w:tc>
        <w:tc>
          <w:tcPr>
            <w:tcW w:w="260" w:type="dxa"/>
            <w:vAlign w:val="bottom"/>
          </w:tcPr>
          <w:p>
            <w:pPr>
              <w:spacing w:after="0"/>
              <w:rPr>
                <w:sz w:val="17"/>
                <w:szCs w:val="17"/>
                <w:color w:val="auto"/>
              </w:rPr>
            </w:pPr>
          </w:p>
        </w:tc>
        <w:tc>
          <w:tcPr>
            <w:tcW w:w="1080" w:type="dxa"/>
            <w:vAlign w:val="bottom"/>
            <w:gridSpan w:val="2"/>
          </w:tcPr>
          <w:p>
            <w:pPr>
              <w:jc w:val="right"/>
              <w:ind w:right="492"/>
              <w:spacing w:after="0"/>
              <w:rPr>
                <w:sz w:val="20"/>
                <w:szCs w:val="20"/>
                <w:color w:val="auto"/>
              </w:rPr>
            </w:pPr>
            <w:r>
              <w:rPr>
                <w:rFonts w:ascii="Arial" w:cs="Arial" w:eastAsia="Arial" w:hAnsi="Arial"/>
                <w:sz w:val="17"/>
                <w:szCs w:val="17"/>
                <w:color w:val="auto"/>
              </w:rPr>
              <w:t>708</w:t>
            </w:r>
          </w:p>
        </w:tc>
        <w:tc>
          <w:tcPr>
            <w:tcW w:w="140" w:type="dxa"/>
            <w:vAlign w:val="bottom"/>
          </w:tcPr>
          <w:p>
            <w:pPr>
              <w:spacing w:after="0"/>
              <w:rPr>
                <w:sz w:val="17"/>
                <w:szCs w:val="17"/>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3,776</w:t>
            </w: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14,703</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1,151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00" w:type="dxa"/>
            <w:vAlign w:val="bottom"/>
            <w:gridSpan w:val="2"/>
            <w:shd w:val="clear" w:color="auto" w:fill="CCEEFF"/>
          </w:tcPr>
          <w:p>
            <w:pPr>
              <w:spacing w:after="0" w:line="190" w:lineRule="exact"/>
              <w:rPr>
                <w:sz w:val="20"/>
                <w:szCs w:val="20"/>
                <w:color w:val="auto"/>
              </w:rPr>
            </w:pPr>
            <w:r>
              <w:rPr>
                <w:rFonts w:ascii="Arial" w:cs="Arial" w:eastAsia="Arial" w:hAnsi="Arial"/>
                <w:sz w:val="17"/>
                <w:szCs w:val="17"/>
                <w:color w:val="auto"/>
              </w:rPr>
              <w:t>Non-recurring and one-time</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6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adjustments</w:t>
            </w:r>
            <w:r>
              <w:rPr>
                <w:rFonts w:ascii="Arial" w:cs="Arial" w:eastAsia="Arial" w:hAnsi="Arial"/>
                <w:sz w:val="14"/>
                <w:szCs w:val="14"/>
                <w:color w:val="auto"/>
              </w:rPr>
              <w:t>(4)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92"/>
              <w:spacing w:after="0"/>
              <w:rPr>
                <w:sz w:val="20"/>
                <w:szCs w:val="20"/>
                <w:color w:val="auto"/>
              </w:rPr>
            </w:pPr>
            <w:r>
              <w:rPr>
                <w:rFonts w:ascii="Arial" w:cs="Arial" w:eastAsia="Arial" w:hAnsi="Arial"/>
                <w:sz w:val="17"/>
                <w:szCs w:val="17"/>
                <w:color w:val="auto"/>
              </w:rPr>
              <w:t>1,767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2,847</w:t>
            </w:r>
          </w:p>
        </w:tc>
        <w:tc>
          <w:tcPr>
            <w:tcW w:w="80" w:type="dxa"/>
            <w:vAlign w:val="bottom"/>
            <w:shd w:val="clear" w:color="auto" w:fill="CCEEFF"/>
          </w:tcPr>
          <w:p>
            <w:pPr>
              <w:spacing w:after="0"/>
              <w:rPr>
                <w:sz w:val="18"/>
                <w:szCs w:val="18"/>
                <w:color w:val="auto"/>
              </w:rPr>
            </w:pP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3,193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0"/>
        </w:trPr>
        <w:tc>
          <w:tcPr>
            <w:tcW w:w="252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Adjusted EBITDA</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520" w:type="dxa"/>
            <w:vAlign w:val="bottom"/>
            <w:gridSpan w:val="3"/>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28,467</w:t>
            </w:r>
          </w:p>
        </w:tc>
        <w:tc>
          <w:tcPr>
            <w:tcW w:w="5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472"/>
              <w:spacing w:after="0"/>
              <w:rPr>
                <w:sz w:val="20"/>
                <w:szCs w:val="20"/>
                <w:color w:val="auto"/>
              </w:rPr>
            </w:pPr>
            <w:r>
              <w:rPr>
                <w:rFonts w:ascii="Arial" w:cs="Arial" w:eastAsia="Arial" w:hAnsi="Arial"/>
                <w:sz w:val="17"/>
                <w:szCs w:val="17"/>
                <w:color w:val="auto"/>
                <w:w w:val="99"/>
              </w:rPr>
              <w:t>26,203</w:t>
            </w:r>
          </w:p>
        </w:tc>
        <w:tc>
          <w:tcPr>
            <w:tcW w:w="14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560"/>
              <w:spacing w:after="0"/>
              <w:rPr>
                <w:sz w:val="20"/>
                <w:szCs w:val="20"/>
                <w:color w:val="auto"/>
              </w:rPr>
            </w:pPr>
            <w:r>
              <w:rPr>
                <w:rFonts w:ascii="Arial" w:cs="Arial" w:eastAsia="Arial" w:hAnsi="Arial"/>
                <w:sz w:val="17"/>
                <w:szCs w:val="17"/>
                <w:color w:val="auto"/>
              </w:rPr>
              <w:t>53,505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66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7"/>
                <w:szCs w:val="17"/>
                <w:color w:val="auto"/>
              </w:rPr>
              <w:t>18,651</w:t>
            </w:r>
          </w:p>
        </w:tc>
        <w:tc>
          <w:tcPr>
            <w:tcW w:w="4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7"/>
                <w:szCs w:val="17"/>
                <w:color w:val="auto"/>
              </w:rPr>
              <w:t>23,656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76,757</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72"/>
              <w:spacing w:after="0"/>
              <w:rPr>
                <w:sz w:val="20"/>
                <w:szCs w:val="20"/>
                <w:color w:val="auto"/>
              </w:rPr>
            </w:pPr>
            <w:r>
              <w:rPr>
                <w:rFonts w:ascii="Arial" w:cs="Arial" w:eastAsia="Arial" w:hAnsi="Arial"/>
                <w:sz w:val="17"/>
                <w:szCs w:val="17"/>
                <w:color w:val="auto"/>
                <w:w w:val="99"/>
              </w:rPr>
              <w:t>54,586</w:t>
            </w:r>
          </w:p>
        </w:tc>
        <w:tc>
          <w:tcPr>
            <w:tcW w:w="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118,317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66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40,045</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spacing w:after="0"/>
              <w:rPr>
                <w:sz w:val="20"/>
                <w:szCs w:val="20"/>
                <w:color w:val="auto"/>
              </w:rPr>
            </w:pPr>
            <w:r>
              <w:rPr>
                <w:rFonts w:ascii="Arial" w:cs="Arial" w:eastAsia="Arial" w:hAnsi="Arial"/>
                <w:sz w:val="17"/>
                <w:szCs w:val="17"/>
                <w:b w:val="1"/>
                <w:bCs w:val="1"/>
                <w:color w:val="auto"/>
              </w:rPr>
              <w:t>Adjusted EBITDA Margin</w:t>
            </w:r>
          </w:p>
        </w:tc>
        <w:tc>
          <w:tcPr>
            <w:tcW w:w="180" w:type="dxa"/>
            <w:vAlign w:val="bottom"/>
          </w:tcPr>
          <w:p>
            <w:pPr>
              <w:spacing w:after="0"/>
              <w:rPr>
                <w:sz w:val="17"/>
                <w:szCs w:val="17"/>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7"/>
                <w:szCs w:val="17"/>
                <w:color w:val="auto"/>
              </w:rPr>
              <w:t>37%</w:t>
            </w:r>
          </w:p>
        </w:tc>
        <w:tc>
          <w:tcPr>
            <w:tcW w:w="260" w:type="dxa"/>
            <w:vAlign w:val="bottom"/>
          </w:tcPr>
          <w:p>
            <w:pPr>
              <w:spacing w:after="0"/>
              <w:rPr>
                <w:sz w:val="17"/>
                <w:szCs w:val="17"/>
                <w:color w:val="auto"/>
              </w:rPr>
            </w:pPr>
          </w:p>
        </w:tc>
        <w:tc>
          <w:tcPr>
            <w:tcW w:w="1080" w:type="dxa"/>
            <w:vAlign w:val="bottom"/>
            <w:gridSpan w:val="2"/>
          </w:tcPr>
          <w:p>
            <w:pPr>
              <w:jc w:val="right"/>
              <w:ind w:right="332"/>
              <w:spacing w:after="0"/>
              <w:rPr>
                <w:sz w:val="20"/>
                <w:szCs w:val="20"/>
                <w:color w:val="auto"/>
              </w:rPr>
            </w:pPr>
            <w:r>
              <w:rPr>
                <w:rFonts w:ascii="Arial" w:cs="Arial" w:eastAsia="Arial" w:hAnsi="Arial"/>
                <w:sz w:val="17"/>
                <w:szCs w:val="17"/>
                <w:color w:val="auto"/>
              </w:rPr>
              <w:t>48%</w:t>
            </w:r>
          </w:p>
        </w:tc>
        <w:tc>
          <w:tcPr>
            <w:tcW w:w="140" w:type="dxa"/>
            <w:vAlign w:val="bottom"/>
          </w:tcPr>
          <w:p>
            <w:pPr>
              <w:spacing w:after="0"/>
              <w:rPr>
                <w:sz w:val="17"/>
                <w:szCs w:val="17"/>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7"/>
                <w:szCs w:val="17"/>
                <w:color w:val="auto"/>
              </w:rPr>
            </w:pPr>
          </w:p>
        </w:tc>
        <w:tc>
          <w:tcPr>
            <w:tcW w:w="166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47%</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840" w:hanging="406"/>
        <w:spacing w:after="0"/>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9" w:lineRule="exact"/>
        <w:rPr>
          <w:rFonts w:ascii="Arial" w:cs="Arial" w:eastAsia="Arial" w:hAnsi="Arial"/>
          <w:sz w:val="17"/>
          <w:szCs w:val="17"/>
          <w:color w:val="auto"/>
        </w:rPr>
      </w:pPr>
    </w:p>
    <w:p>
      <w:pPr>
        <w:ind w:left="840" w:right="480" w:hanging="406"/>
        <w:spacing w:after="0" w:line="249" w:lineRule="auto"/>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840" w:right="20" w:hanging="406"/>
        <w:spacing w:after="0" w:line="249" w:lineRule="auto"/>
        <w:tabs>
          <w:tab w:leader="none" w:pos="8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Acquisition related expenses primarily represent legal, accounting and consulting expenses and fair value adjustments for contingent consideration related to our acquisitions.</w:t>
      </w:r>
    </w:p>
    <w:p>
      <w:pPr>
        <w:spacing w:after="0" w:line="1" w:lineRule="exact"/>
        <w:rPr>
          <w:rFonts w:ascii="Arial" w:cs="Arial" w:eastAsia="Arial" w:hAnsi="Arial"/>
          <w:sz w:val="17"/>
          <w:szCs w:val="17"/>
          <w:color w:val="auto"/>
        </w:rPr>
      </w:pPr>
    </w:p>
    <w:p>
      <w:pPr>
        <w:ind w:left="840" w:right="40" w:hanging="406"/>
        <w:spacing w:after="0" w:line="297" w:lineRule="auto"/>
        <w:tabs>
          <w:tab w:leader="none" w:pos="840" w:val="left"/>
        </w:tabs>
        <w:numPr>
          <w:ilvl w:val="0"/>
          <w:numId w:val="81"/>
        </w:numPr>
        <w:rPr>
          <w:rFonts w:ascii="Arial" w:cs="Arial" w:eastAsia="Arial" w:hAnsi="Arial"/>
          <w:sz w:val="15"/>
          <w:szCs w:val="15"/>
          <w:color w:val="auto"/>
        </w:rPr>
      </w:pPr>
      <w:r>
        <w:rPr>
          <w:rFonts w:ascii="Arial" w:cs="Arial" w:eastAsia="Arial" w:hAnsi="Arial"/>
          <w:sz w:val="15"/>
          <w:szCs w:val="15"/>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Net Dollar Retention Rate</w:t>
      </w:r>
    </w:p>
    <w:p>
      <w:pPr>
        <w:spacing w:after="0" w:line="110"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We believe the growth in use of our platform by our existing customers is an important measure of the health of our business and our future growth prospects. We monitor our NDR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0820"/>
          </w:cols>
          <w:pgMar w:left="320" w:top="442" w:right="75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graphic presents overall NDR, as well as NDR by customer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1317625</wp:posOffset>
            </wp:positionH>
            <wp:positionV relativeFrom="paragraph">
              <wp:posOffset>13335</wp:posOffset>
            </wp:positionV>
            <wp:extent cx="4514850" cy="17767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14850" cy="1776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Current Remaining Performance Obligations</w:t>
      </w:r>
    </w:p>
    <w:p>
      <w:pPr>
        <w:spacing w:after="0" w:line="110" w:lineRule="exact"/>
        <w:rPr>
          <w:sz w:val="20"/>
          <w:szCs w:val="20"/>
          <w:color w:val="auto"/>
        </w:rPr>
      </w:pPr>
    </w:p>
    <w:p>
      <w:pPr>
        <w:ind w:left="440" w:right="80" w:firstLine="415"/>
        <w:spacing w:after="0" w:line="298" w:lineRule="auto"/>
        <w:rPr>
          <w:sz w:val="20"/>
          <w:szCs w:val="20"/>
          <w:color w:val="auto"/>
        </w:rPr>
      </w:pPr>
      <w:r>
        <w:rPr>
          <w:rFonts w:ascii="Arial" w:cs="Arial" w:eastAsia="Arial" w:hAnsi="Arial"/>
          <w:sz w:val="15"/>
          <w:szCs w:val="15"/>
          <w:color w:val="auto"/>
        </w:rPr>
        <w:t>We monitor current remaining performance obligations as a metric to help us evaluate the health of our business and identify trends affecting our growth. Current Remaining Performance Obligations (“cRPO”) represent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presents cRPO as of June 30, 2021, December 31, 2020 and December 31, 2019:</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3040" w:type="dxa"/>
            <w:vAlign w:val="bottom"/>
            <w:gridSpan w:val="2"/>
            <w:vMerge w:val="restart"/>
          </w:tcPr>
          <w:p>
            <w:pPr>
              <w:spacing w:after="0"/>
              <w:rPr>
                <w:sz w:val="20"/>
                <w:szCs w:val="20"/>
                <w:color w:val="auto"/>
              </w:rPr>
            </w:pPr>
            <w:r>
              <w:rPr>
                <w:rFonts w:ascii="Arial" w:cs="Arial" w:eastAsia="Arial" w:hAnsi="Arial"/>
                <w:sz w:val="14"/>
                <w:szCs w:val="14"/>
                <w:color w:val="auto"/>
              </w:rPr>
              <w:t>($ in thousands)</w:t>
            </w:r>
          </w:p>
        </w:tc>
        <w:tc>
          <w:tcPr>
            <w:tcW w:w="2160" w:type="dxa"/>
            <w:vAlign w:val="bottom"/>
          </w:tcPr>
          <w:p>
            <w:pPr>
              <w:spacing w:after="0"/>
              <w:rPr>
                <w:sz w:val="14"/>
                <w:szCs w:val="14"/>
                <w:color w:val="auto"/>
              </w:rPr>
            </w:pP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w w:val="99"/>
              </w:rPr>
              <w:t>June 30,</w:t>
            </w:r>
          </w:p>
        </w:tc>
        <w:tc>
          <w:tcPr>
            <w:tcW w:w="1400" w:type="dxa"/>
            <w:vAlign w:val="bottom"/>
            <w:gridSpan w:val="2"/>
          </w:tcPr>
          <w:p>
            <w:pPr>
              <w:jc w:val="center"/>
              <w:ind w:left="532"/>
              <w:spacing w:after="0"/>
              <w:rPr>
                <w:sz w:val="20"/>
                <w:szCs w:val="20"/>
                <w:color w:val="auto"/>
              </w:rPr>
            </w:pPr>
            <w:r>
              <w:rPr>
                <w:rFonts w:ascii="Arial" w:cs="Arial" w:eastAsia="Arial" w:hAnsi="Arial"/>
                <w:sz w:val="14"/>
                <w:szCs w:val="14"/>
                <w:b w:val="1"/>
                <w:bCs w:val="1"/>
                <w:color w:val="auto"/>
                <w:w w:val="87"/>
              </w:rPr>
              <w:t>December 31,</w:t>
            </w:r>
          </w:p>
        </w:tc>
        <w:tc>
          <w:tcPr>
            <w:tcW w:w="1460" w:type="dxa"/>
            <w:vAlign w:val="bottom"/>
            <w:gridSpan w:val="4"/>
          </w:tcPr>
          <w:p>
            <w:pPr>
              <w:ind w:left="62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33"/>
        </w:trPr>
        <w:tc>
          <w:tcPr>
            <w:tcW w:w="3040" w:type="dxa"/>
            <w:vAlign w:val="bottom"/>
            <w:gridSpan w:val="2"/>
            <w:vMerge w:val="continue"/>
          </w:tcPr>
          <w:p>
            <w:pPr>
              <w:spacing w:after="0"/>
              <w:rPr>
                <w:sz w:val="11"/>
                <w:szCs w:val="11"/>
                <w:color w:val="auto"/>
              </w:rPr>
            </w:pPr>
          </w:p>
        </w:tc>
        <w:tc>
          <w:tcPr>
            <w:tcW w:w="2160" w:type="dxa"/>
            <w:vAlign w:val="bottom"/>
          </w:tcPr>
          <w:p>
            <w:pPr>
              <w:spacing w:after="0"/>
              <w:rPr>
                <w:sz w:val="11"/>
                <w:szCs w:val="11"/>
                <w:color w:val="auto"/>
              </w:rPr>
            </w:pPr>
          </w:p>
        </w:tc>
        <w:tc>
          <w:tcPr>
            <w:tcW w:w="660" w:type="dxa"/>
            <w:vAlign w:val="bottom"/>
            <w:tcBorders>
              <w:top w:val="single" w:sz="8" w:color="auto"/>
            </w:tcBorders>
          </w:tcPr>
          <w:p>
            <w:pPr>
              <w:jc w:val="right"/>
              <w:ind w:right="127"/>
              <w:spacing w:after="0" w:line="133" w:lineRule="exact"/>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1"/>
                <w:szCs w:val="11"/>
                <w:color w:val="auto"/>
              </w:rPr>
            </w:pPr>
          </w:p>
        </w:tc>
        <w:tc>
          <w:tcPr>
            <w:tcW w:w="7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9"/>
              </w:rPr>
              <w:t>2020</w:t>
            </w:r>
          </w:p>
        </w:tc>
        <w:tc>
          <w:tcPr>
            <w:tcW w:w="6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84"/>
              <w:spacing w:after="0" w:line="133"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Current</w:t>
            </w:r>
          </w:p>
        </w:tc>
        <w:tc>
          <w:tcPr>
            <w:tcW w:w="2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u w:val="single" w:color="auto"/>
                <w:color w:val="auto"/>
                <w:w w:val="87"/>
              </w:rPr>
              <w:t>$</w:t>
            </w:r>
            <w:r>
              <w:rPr>
                <w:rFonts w:ascii="Arial" w:cs="Arial" w:eastAsia="Arial" w:hAnsi="Arial"/>
                <w:sz w:val="17"/>
                <w:szCs w:val="17"/>
                <w:color w:val="auto"/>
                <w:w w:val="87"/>
              </w:rPr>
              <w:t>123,756</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7"/>
              </w:rPr>
              <w:t>$  114,284</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82,291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Impact of Acquisitions</w:t>
      </w:r>
    </w:p>
    <w:p>
      <w:pPr>
        <w:spacing w:after="0" w:line="114" w:lineRule="exact"/>
        <w:rPr>
          <w:sz w:val="20"/>
          <w:szCs w:val="20"/>
          <w:color w:val="auto"/>
        </w:rPr>
      </w:pPr>
    </w:p>
    <w:p>
      <w:pPr>
        <w:ind w:left="440" w:firstLine="415"/>
        <w:spacing w:after="0" w:line="289" w:lineRule="auto"/>
        <w:rPr>
          <w:sz w:val="20"/>
          <w:szCs w:val="20"/>
          <w:color w:val="auto"/>
        </w:rPr>
      </w:pPr>
      <w:r>
        <w:rPr>
          <w:rFonts w:ascii="Arial" w:cs="Arial" w:eastAsia="Arial" w:hAnsi="Arial"/>
          <w:sz w:val="15"/>
          <w:szCs w:val="15"/>
          <w:color w:val="auto"/>
        </w:rPr>
        <w:t>We seek to enhance our platform, data and business through both internal development and acquisitions of businesses that broaden and strengthen our platform. In October 2020, we acquired Monocl, a cloud-based platform with millions of expert profiles. In December 2019, we acquired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real-world data and intelligence for the healthcare supply chain. These acquisitions have strengthened our data platform and our business. Acquisitions can result in transaction costs, amortization expense and deferred revenue accounting adjustments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25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Impact of the Advent Acquisition</w:t>
      </w:r>
    </w:p>
    <w:p>
      <w:pPr>
        <w:spacing w:after="0" w:line="114"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On July 16, 2019, Advent acquired us for $1,699.6 million, consisting of $1,129.3 million of cash and $570.3 million in equity. The acquisition was accounted for as a business combination. Accordingly, we applied</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0800"/>
          </w:cols>
          <w:pgMar w:left="320" w:top="442" w:right="77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95" w:lineRule="auto"/>
        <w:rPr>
          <w:sz w:val="20"/>
          <w:szCs w:val="20"/>
          <w:color w:val="auto"/>
        </w:rPr>
      </w:pPr>
      <w:r>
        <w:rPr>
          <w:rFonts w:ascii="Arial" w:cs="Arial" w:eastAsia="Arial" w:hAnsi="Arial"/>
          <w:sz w:val="15"/>
          <w:szCs w:val="15"/>
          <w:color w:val="auto"/>
        </w:rPr>
        <w:t>purchase accounting, which has resulted in increased amortization expense associated with the amortization of specified assets. In addition, we are recording deferred revenue purchase accounting adjustments related to the acquisition in Successor periods. As part of the acquisition, we entered into the Credit Agreement (as defined herein) which provides for a $450.0 million term loan payable, a $100.0 million committed delayed draw term loan, and a $25.0 million revolving debt facility. As a result, our interest expense increased substantially and is reflected in our Successor periods consolidated financial statements. Accordingly, the consolidated financial statements for the period prior to the acquisition may not be comparable to those from the periods after. See Note 3 of the consolidated financial statements included elsewhere in this prospectus for more detail on the acquisition.</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Reorganization Transactions</w:t>
      </w:r>
    </w:p>
    <w:p>
      <w:pPr>
        <w:spacing w:after="0" w:line="114"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The historical results of operations discussed in this “Management’s Discussion and Analysis of Financial Condition and Results of Operations” are those of Definitive OpCo prior to the completion of the Reorganization Transactions, including this offering, and do not reflect certain items that we expect will affect our results of operations and financial condition after giving effect to the Reorganization Transactions and the use of proceeds from this offering.</w:t>
      </w:r>
    </w:p>
    <w:p>
      <w:pPr>
        <w:spacing w:after="0" w:line="18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Following the completion of the Reorganization Transactions, Definitive Healthcare Corp. will be the sole managing member of Definitive OpCo. We will have the sole voting interest in, and control the management of, Definitive OpCo. As a result, we will consolidate the financial results of Definitive OpCo and will report a noncontrolling interest related to the LLC Units held by the Continuing Pre-IPO LLC Members on our consolidated statements of operations and comprehensive income (loss). Immediately after the Transactions, investors in this offering will collectively own 10.7% of our outstanding Class A common stock, consisting of 15,555,555 shares (or 17,888,888 shares and 12.3%, respectively, if the underwriters exercise in full their option to purchase additional shares of Class A common stock), Definitive Healthcare Corp. will own 87,522,796 LLC Units, inclusive of unvested LLC Units (or 88,266,945 LLC Units if the underwriters exercise in full their option to purchase additional shares of Class A common stock), representing 59.1% of the LLC Units (or 59.6% if the underwriters exercise in full their option to purchase additional shares of Class A common stock) and the Continuing Pre-IPO LLC Members will collectively own 60,607,740 LLC Units, representing 40.9% of the LLC Units (or 40.4% if the underwriters exercise in full their option to purchase additional shares of Class A common stock). Accordingly, net income (loss) attributable to noncontrolling interests will represent 40.9% of the income (loss) before income tax benefit (expense) of Definitive Healthcare Corp. (or 40.4% if the underwriters exercise in full their option to purchase additional shares of Class A common stock). Definitive Healthcare Corp. is a holding company that conducts no operations and, as of the consummation of this offering, its principal asset will be LLC Units we purchase from Definitive OpCo.</w:t>
      </w:r>
    </w:p>
    <w:p>
      <w:pPr>
        <w:spacing w:after="0" w:line="159" w:lineRule="exact"/>
        <w:rPr>
          <w:sz w:val="20"/>
          <w:szCs w:val="20"/>
          <w:color w:val="auto"/>
        </w:rPr>
      </w:pPr>
    </w:p>
    <w:p>
      <w:pPr>
        <w:ind w:left="440" w:right="60" w:firstLine="415"/>
        <w:spacing w:after="0" w:line="253" w:lineRule="auto"/>
        <w:rPr>
          <w:sz w:val="20"/>
          <w:szCs w:val="20"/>
          <w:color w:val="auto"/>
        </w:rPr>
      </w:pPr>
      <w:r>
        <w:rPr>
          <w:rFonts w:ascii="Arial" w:cs="Arial" w:eastAsia="Arial" w:hAnsi="Arial"/>
          <w:sz w:val="17"/>
          <w:szCs w:val="17"/>
          <w:color w:val="auto"/>
        </w:rPr>
        <w:t>As a result of the waiver and the resultant modification in the terms of certain performance-vesting awards as further described in “Executive and Director Compensation—Equity Compensation,” we will record compensation expense based on the fair value of the Reclassified Class B LLC Units that otherwise would have been forfeited, which will be based on the IPO price. The compensation expense will be recognized ratably over the next three years as the awards vest on the next three anniversaries of the date of pricing of the IPO. Assuming all such Reclassified Class B LLC Units vest and an IPO price of $25.00 per share (the midpoint of the estimated public offering price range on the cover of this prospectus), the total compensation expense related to modification of these awards is approximately $15.5 million and the total compensation expense related to all of the awards is approximately $25.2 million.</w:t>
      </w:r>
    </w:p>
    <w:p>
      <w:pPr>
        <w:spacing w:after="0" w:line="186"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After consummation of this offering, Definitive Healthcare Corp. will become subject to U.S. federal, state and local income taxes with respect to our allocable share of any taxable income of Definitive OpCo and will be taxed at the prevailing corporate tax rates. In addition to tax expenses, we also will incur public company expenses related to our operations, plus payment obligations under the TRA, which we expect to be significant. We intend to cause Definitive OpCo to make distributions to us in an amount sufficient to allow us to pay our tax obligations and operating expenses, including distributions to fund any payments due under the TRA. See “Certain Relationships and Related Party Transactions—Amended Definitive OpCo Agreement.”</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0780"/>
          </w:cols>
          <w:pgMar w:left="320" w:top="442" w:right="79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60" w:firstLine="415"/>
        <w:spacing w:after="0" w:line="275" w:lineRule="auto"/>
        <w:rPr>
          <w:sz w:val="20"/>
          <w:szCs w:val="20"/>
          <w:color w:val="auto"/>
        </w:rPr>
      </w:pPr>
      <w:r>
        <w:rPr>
          <w:rFonts w:ascii="Arial" w:cs="Arial" w:eastAsia="Arial" w:hAnsi="Arial"/>
          <w:sz w:val="16"/>
          <w:szCs w:val="16"/>
          <w:color w:val="auto"/>
        </w:rPr>
        <w:t>As a result of the modification described above in “Reorganization Transactions,” the modified fair value as of the date of the modification was $15.5 million, and the total compensation expense related to all of the awards is approximately $25.2 million, which will be recognized as equity-based compensation expense in accordance with the time vesting condition, after the closing date of this offering over a three-year vesting term. In addition to the impact of the modified awards, new awards and modifications that will take place after the consummation of the proposed initial public offering will contribute to higher equity-based compensation in 2021 and over the next four years.</w:t>
      </w:r>
    </w:p>
    <w:p>
      <w:pPr>
        <w:spacing w:after="0" w:line="26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w:t>
      </w:r>
    </w:p>
    <w:p>
      <w:pPr>
        <w:spacing w:after="0" w:line="110" w:lineRule="exact"/>
        <w:rPr>
          <w:sz w:val="20"/>
          <w:szCs w:val="20"/>
          <w:color w:val="auto"/>
        </w:rPr>
      </w:pPr>
    </w:p>
    <w:p>
      <w:pPr>
        <w:ind w:left="440" w:right="20" w:firstLine="415"/>
        <w:spacing w:after="0" w:line="272" w:lineRule="auto"/>
        <w:rPr>
          <w:sz w:val="20"/>
          <w:szCs w:val="20"/>
          <w:color w:val="auto"/>
        </w:rPr>
      </w:pPr>
      <w:r>
        <w:rPr>
          <w:rFonts w:ascii="Arial" w:cs="Arial" w:eastAsia="Arial" w:hAnsi="Arial"/>
          <w:sz w:val="16"/>
          <w:szCs w:val="16"/>
          <w:color w:val="auto"/>
        </w:rPr>
        <w:t>For the six months ended June 30, 2021 and the year ended December 31, 2020, we derived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A substantial majority of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0" w:lineRule="exact"/>
        <w:rPr>
          <w:sz w:val="20"/>
          <w:szCs w:val="20"/>
          <w:color w:val="auto"/>
        </w:rPr>
      </w:pPr>
    </w:p>
    <w:p>
      <w:pPr>
        <w:ind w:left="440" w:right="100" w:firstLine="415"/>
        <w:spacing w:after="0" w:line="295" w:lineRule="auto"/>
        <w:rPr>
          <w:sz w:val="20"/>
          <w:szCs w:val="20"/>
          <w:color w:val="auto"/>
        </w:rPr>
      </w:pPr>
      <w:r>
        <w:rPr>
          <w:rFonts w:ascii="Arial" w:cs="Arial" w:eastAsia="Arial" w:hAnsi="Arial"/>
          <w:sz w:val="15"/>
          <w:szCs w:val="15"/>
          <w:i w:val="1"/>
          <w:iCs w:val="1"/>
          <w:color w:val="auto"/>
        </w:rPr>
        <w:t xml:space="preserve">Cost of Revenue. </w:t>
      </w:r>
      <w:r>
        <w:rPr>
          <w:rFonts w:ascii="Arial" w:cs="Arial" w:eastAsia="Arial" w:hAnsi="Arial"/>
          <w:sz w:val="15"/>
          <w:szCs w:val="15"/>
          <w:color w:val="auto"/>
        </w:rPr>
        <w:t>Cost of revenue, excluding amortization of acquired technology and data, consists of direct expenses related to the support and</w:t>
      </w:r>
      <w:r>
        <w:rPr>
          <w:rFonts w:ascii="Arial" w:cs="Arial" w:eastAsia="Arial" w:hAnsi="Arial"/>
          <w:sz w:val="15"/>
          <w:szCs w:val="15"/>
          <w:i w:val="1"/>
          <w:iCs w:val="1"/>
          <w:color w:val="auto"/>
        </w:rPr>
        <w:t xml:space="preserve"> </w:t>
      </w:r>
      <w:r>
        <w:rPr>
          <w:rFonts w:ascii="Arial" w:cs="Arial" w:eastAsia="Arial" w:hAnsi="Arial"/>
          <w:sz w:val="15"/>
          <w:szCs w:val="15"/>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and expenses related to third party subscription services that manage our billing.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127" w:lineRule="exact"/>
        <w:rPr>
          <w:sz w:val="20"/>
          <w:szCs w:val="20"/>
          <w:color w:val="auto"/>
        </w:rPr>
      </w:pPr>
    </w:p>
    <w:p>
      <w:pPr>
        <w:ind w:left="440" w:right="500" w:firstLine="415"/>
        <w:spacing w:after="0" w:line="273" w:lineRule="auto"/>
        <w:rPr>
          <w:sz w:val="20"/>
          <w:szCs w:val="20"/>
          <w:color w:val="auto"/>
        </w:rPr>
      </w:pPr>
      <w:r>
        <w:rPr>
          <w:rFonts w:ascii="Arial" w:cs="Arial" w:eastAsia="Arial" w:hAnsi="Arial"/>
          <w:sz w:val="17"/>
          <w:szCs w:val="17"/>
          <w:i w:val="1"/>
          <w:iCs w:val="1"/>
          <w:color w:val="auto"/>
        </w:rPr>
        <w:t>Amortization</w:t>
      </w:r>
      <w:r>
        <w:rPr>
          <w:rFonts w:ascii="Arial" w:cs="Arial" w:eastAsia="Arial" w:hAnsi="Arial"/>
          <w:sz w:val="17"/>
          <w:szCs w:val="17"/>
          <w:color w:val="auto"/>
        </w:rPr>
        <w:t>. Includes amortization expense for technology and data acquired in business combinations and asset purchase agreements. We</w:t>
      </w:r>
      <w:r>
        <w:rPr>
          <w:rFonts w:ascii="Arial" w:cs="Arial" w:eastAsia="Arial" w:hAnsi="Arial"/>
          <w:sz w:val="17"/>
          <w:szCs w:val="17"/>
          <w:i w:val="1"/>
          <w:iCs w:val="1"/>
          <w:color w:val="auto"/>
        </w:rPr>
        <w:t xml:space="preserve"> </w:t>
      </w:r>
      <w:r>
        <w:rPr>
          <w:rFonts w:ascii="Arial" w:cs="Arial" w:eastAsia="Arial" w:hAnsi="Arial"/>
          <w:sz w:val="17"/>
          <w:szCs w:val="17"/>
          <w:color w:val="auto"/>
        </w:rPr>
        <w:t>anticipate that amortization will only increase if we make additional acquisitions in the future.</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Gross Profit</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0"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0820"/>
          </w:cols>
          <w:pgMar w:left="320" w:top="442" w:right="75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firstLine="415"/>
        <w:spacing w:after="0" w:line="298"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primarily consist of personnel costs such as salaries, bonuses, sales commissions, stock-based</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and other employee-related benefits for our sales and marketing teams, as well as non-personnel costs including overhead costs, technology and marketing costs. We expect that sales and marketing expenses as a percentage of revenue will continue to increase in 2021 and may stay consistent or moderately decrease thereafter, as we realize operating leverage in the business. We continue to hire additional sales and marketing personnel, enhance our digital marketing infrastructure and invest in marketing programs targeting our major vertical markets.</w:t>
      </w:r>
    </w:p>
    <w:p>
      <w:pPr>
        <w:spacing w:after="0" w:line="125"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i w:val="1"/>
          <w:iCs w:val="1"/>
          <w:color w:val="auto"/>
        </w:rPr>
        <w:t xml:space="preserve">Product development. </w:t>
      </w:r>
      <w:r>
        <w:rPr>
          <w:rFonts w:ascii="Arial" w:cs="Arial" w:eastAsia="Arial" w:hAnsi="Arial"/>
          <w:sz w:val="15"/>
          <w:szCs w:val="15"/>
          <w:color w:val="auto"/>
        </w:rPr>
        <w:t>Product development expenses primarily consist of personnel costs such as salaries, bonuses, stock-based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114" w:lineRule="exact"/>
        <w:rPr>
          <w:sz w:val="20"/>
          <w:szCs w:val="20"/>
          <w:color w:val="auto"/>
        </w:rPr>
      </w:pPr>
    </w:p>
    <w:p>
      <w:pPr>
        <w:ind w:left="440" w:right="120" w:firstLine="415"/>
        <w:spacing w:after="0" w:line="27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primarily consist of personnel costs such as salaries, bonuses,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executive, finance, legal, human resources, IT and operations, and administrative teams, as well as non-personnel costs including overhead costs, professional fees, third party payment processor fees and other corporate expenses including expenses associated with preparation for the IPO. We anticipate that general and administrative costs will significantly increase relative to prior periods due to the incremental costs associated with operating as a public company, including incremental costs arising from higher stock-based compensation, corporate insurance costs, additional accounting and legal expenses, and additional resources associated with controls, reporting, and disclosure. We expect general and administrative costs as a percentage of revenue to increase in 2021 and again in 2022, and then stay consistent or modestly decrease thereafter, as we realize operating leverage in the business.</w:t>
      </w:r>
    </w:p>
    <w:p>
      <w:pPr>
        <w:spacing w:after="0" w:line="132"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expenses consist primarily of amortization of customer relationships and trade</w:t>
      </w:r>
      <w:r>
        <w:rPr>
          <w:rFonts w:ascii="Arial" w:cs="Arial" w:eastAsia="Arial" w:hAnsi="Arial"/>
          <w:sz w:val="17"/>
          <w:szCs w:val="17"/>
          <w:i w:val="1"/>
          <w:iCs w:val="1"/>
          <w:color w:val="auto"/>
        </w:rPr>
        <w:t xml:space="preserve"> </w:t>
      </w:r>
      <w:r>
        <w:rPr>
          <w:rFonts w:ascii="Arial" w:cs="Arial" w:eastAsia="Arial" w:hAnsi="Arial"/>
          <w:sz w:val="17"/>
          <w:szCs w:val="17"/>
          <w:color w:val="auto"/>
        </w:rPr>
        <w:t>names primarily as a result of the accounting for the Advent acquisition, as well as depreciation of property and equipment. We anticipate depreciation of property and equipment as a percentage of revenue to remain consistent or moderately decrease. Amortization will increase if we make additional acquisitions in the future.</w:t>
      </w:r>
    </w:p>
    <w:p>
      <w:pPr>
        <w:spacing w:after="0" w:line="180" w:lineRule="exact"/>
        <w:rPr>
          <w:sz w:val="20"/>
          <w:szCs w:val="20"/>
          <w:color w:val="auto"/>
        </w:rPr>
      </w:pPr>
    </w:p>
    <w:p>
      <w:pPr>
        <w:ind w:left="440" w:right="220" w:firstLine="415"/>
        <w:spacing w:after="0" w:line="306" w:lineRule="auto"/>
        <w:rPr>
          <w:sz w:val="20"/>
          <w:szCs w:val="20"/>
          <w:color w:val="auto"/>
        </w:rPr>
      </w:pPr>
      <w:r>
        <w:rPr>
          <w:rFonts w:ascii="Arial" w:cs="Arial" w:eastAsia="Arial" w:hAnsi="Arial"/>
          <w:sz w:val="16"/>
          <w:szCs w:val="16"/>
          <w:i w:val="1"/>
          <w:iCs w:val="1"/>
          <w:color w:val="auto"/>
        </w:rPr>
        <w:t xml:space="preserve">Transaction expenses. </w:t>
      </w:r>
      <w:r>
        <w:rPr>
          <w:rFonts w:ascii="Arial" w:cs="Arial" w:eastAsia="Arial" w:hAnsi="Arial"/>
          <w:sz w:val="16"/>
          <w:szCs w:val="16"/>
          <w:color w:val="auto"/>
        </w:rPr>
        <w:t>Transaction expenses are costs directly associated with various acquisition and integration activities we have undertaken,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accounting, legal due diligence, consulting and advisory fees, and fair value adjustments for contingent consideration.</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Other expense, net consists primarily of interest expense, net and foreign currency transaction gains or loss.</w:t>
      </w:r>
    </w:p>
    <w:p>
      <w:pPr>
        <w:spacing w:after="0" w:line="212"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i w:val="1"/>
          <w:iCs w:val="1"/>
          <w:color w:val="auto"/>
        </w:rPr>
        <w:t xml:space="preserve">Interest expense, net. </w:t>
      </w:r>
      <w:r>
        <w:rPr>
          <w:rFonts w:ascii="Arial" w:cs="Arial" w:eastAsia="Arial" w:hAnsi="Arial"/>
          <w:sz w:val="17"/>
          <w:szCs w:val="17"/>
          <w:color w:val="auto"/>
        </w:rPr>
        <w:t>Interest expense, net consists primarily of interest expense on our debt obligations and the amortization of debt discounts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debt issuance costs, less interest income. We expect to realize a reduction in our interest expense during 2021 over prior periods as we plan to repay a portion of our outstanding indebtedness with the proceeds from this offering.</w:t>
      </w:r>
    </w:p>
    <w:p>
      <w:pPr>
        <w:spacing w:after="0" w:line="176" w:lineRule="exact"/>
        <w:rPr>
          <w:sz w:val="20"/>
          <w:szCs w:val="20"/>
          <w:color w:val="auto"/>
        </w:rPr>
      </w:pPr>
    </w:p>
    <w:p>
      <w:pPr>
        <w:ind w:left="440" w:right="220" w:firstLine="415"/>
        <w:spacing w:after="0" w:line="261" w:lineRule="auto"/>
        <w:rPr>
          <w:sz w:val="20"/>
          <w:szCs w:val="20"/>
          <w:color w:val="auto"/>
        </w:rPr>
      </w:pPr>
      <w:r>
        <w:rPr>
          <w:rFonts w:ascii="Arial" w:cs="Arial" w:eastAsia="Arial" w:hAnsi="Arial"/>
          <w:sz w:val="17"/>
          <w:szCs w:val="17"/>
          <w:i w:val="1"/>
          <w:iCs w:val="1"/>
          <w:color w:val="auto"/>
        </w:rPr>
        <w:t>Foreign currency transaction loss</w:t>
      </w:r>
      <w:r>
        <w:rPr>
          <w:rFonts w:ascii="Arial" w:cs="Arial" w:eastAsia="Arial" w:hAnsi="Arial"/>
          <w:sz w:val="17"/>
          <w:szCs w:val="17"/>
          <w:color w:val="auto"/>
        </w:rPr>
        <w:t>. Foreign currency transaction loss consists primarily of realized and unrealized gains and losses related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of transactions denominated in a foreign currency. We do not have significant exposure to foreign exchange volatility and do not anticipate foreign currency transaction gains or losses to materially impact our results of operations.</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0820"/>
          </w:cols>
          <w:pgMar w:left="320" w:top="442" w:right="75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Results of Operations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sets forth a summary of our consolidated statements of operations for the periods presented:</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3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Definitive OpCo</w:t>
            </w:r>
          </w:p>
        </w:tc>
        <w:tc>
          <w:tcPr>
            <w:tcW w:w="0" w:type="dxa"/>
            <w:vAlign w:val="bottom"/>
          </w:tcPr>
          <w:p>
            <w:pPr>
              <w:spacing w:after="0"/>
              <w:rPr>
                <w:sz w:val="1"/>
                <w:szCs w:val="1"/>
                <w:color w:val="auto"/>
              </w:rPr>
            </w:pPr>
          </w:p>
        </w:tc>
      </w:tr>
      <w:tr>
        <w:trPr>
          <w:trHeight w:val="120"/>
        </w:trPr>
        <w:tc>
          <w:tcPr>
            <w:tcW w:w="3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4"/>
          </w:tcPr>
          <w:p>
            <w:pPr>
              <w:jc w:val="center"/>
              <w:ind w:right="820"/>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40"/>
        </w:trPr>
        <w:tc>
          <w:tcPr>
            <w:tcW w:w="3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6"/>
          </w:tcPr>
          <w:p>
            <w:pPr>
              <w:jc w:val="center"/>
              <w:ind w:right="16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60"/>
        </w:trPr>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3"/>
              </w:rPr>
              <w:t>Successor Company</w:t>
            </w: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3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right"/>
              <w:ind w:right="97"/>
              <w:spacing w:after="0" w:line="113" w:lineRule="exact"/>
              <w:rPr>
                <w:sz w:val="20"/>
                <w:szCs w:val="20"/>
                <w:color w:val="auto"/>
              </w:rPr>
            </w:pPr>
            <w:r>
              <w:rPr>
                <w:rFonts w:ascii="Arial" w:cs="Arial" w:eastAsia="Arial" w:hAnsi="Arial"/>
                <w:sz w:val="12"/>
                <w:szCs w:val="12"/>
                <w:b w:val="1"/>
                <w:bCs w:val="1"/>
                <w:color w:val="auto"/>
              </w:rPr>
              <w:t>Period from</w:t>
            </w:r>
          </w:p>
        </w:tc>
        <w:tc>
          <w:tcPr>
            <w:tcW w:w="52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jc w:val="center"/>
              <w:ind w:right="20"/>
              <w:spacing w:after="0" w:line="113"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7"/>
              </w:rPr>
              <w:t>Six Months Ended June 30,</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3"/>
                <w:szCs w:val="13"/>
                <w:color w:val="auto"/>
              </w:rPr>
            </w:pPr>
          </w:p>
        </w:tc>
        <w:tc>
          <w:tcPr>
            <w:tcW w:w="152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w w:val="86"/>
              </w:rPr>
              <w:t>July 16, 2019 to</w:t>
            </w:r>
          </w:p>
        </w:tc>
        <w:tc>
          <w:tcPr>
            <w:tcW w:w="300" w:type="dxa"/>
            <w:vAlign w:val="bottom"/>
          </w:tcPr>
          <w:p>
            <w:pPr>
              <w:spacing w:after="0"/>
              <w:rPr>
                <w:sz w:val="13"/>
                <w:szCs w:val="13"/>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133"/>
        </w:trPr>
        <w:tc>
          <w:tcPr>
            <w:tcW w:w="3260" w:type="dxa"/>
            <w:vAlign w:val="bottom"/>
          </w:tcPr>
          <w:p>
            <w:pPr>
              <w:spacing w:after="0" w:line="133" w:lineRule="exact"/>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7"/>
              <w:spacing w:after="0" w:line="133"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8"/>
              <w:spacing w:after="0" w:line="133"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December 31, 2020</w:t>
            </w:r>
          </w:p>
        </w:tc>
        <w:tc>
          <w:tcPr>
            <w:tcW w:w="1600" w:type="dxa"/>
            <w:vAlign w:val="bottom"/>
            <w:tcBorders>
              <w:right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96"/>
        </w:trPr>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520" w:type="dxa"/>
            <w:vAlign w:val="bottom"/>
            <w:tcBorders>
              <w:top w:val="single" w:sz="8" w:color="CCEEFF"/>
              <w:right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spacing w:after="0"/>
              <w:rPr>
                <w:sz w:val="20"/>
                <w:szCs w:val="20"/>
                <w:color w:val="auto"/>
              </w:rPr>
            </w:pPr>
            <w:r>
              <w:rPr>
                <w:rFonts w:ascii="Arial" w:cs="Arial" w:eastAsia="Arial" w:hAnsi="Arial"/>
                <w:sz w:val="17"/>
                <w:szCs w:val="17"/>
                <w:color w:val="auto"/>
              </w:rPr>
              <w:t>Cost of 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260" w:type="dxa"/>
            <w:vAlign w:val="bottom"/>
            <w:shd w:val="clear" w:color="auto" w:fill="CCEEFF"/>
          </w:tcPr>
          <w:p>
            <w:pPr>
              <w:ind w:left="340"/>
              <w:spacing w:after="0" w:line="191" w:lineRule="exact"/>
              <w:rPr>
                <w:sz w:val="20"/>
                <w:szCs w:val="20"/>
                <w:color w:val="auto"/>
              </w:rPr>
            </w:pPr>
            <w:r>
              <w:rPr>
                <w:rFonts w:ascii="Arial" w:cs="Arial" w:eastAsia="Arial" w:hAnsi="Arial"/>
                <w:sz w:val="17"/>
                <w:szCs w:val="17"/>
                <w:color w:val="auto"/>
              </w:rPr>
              <w:t>Cost of revenue exclusive of</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20" w:type="dxa"/>
            <w:vAlign w:val="bottom"/>
            <w:tcBorders>
              <w:right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amortization shown below</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8,766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5,257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11,085</w:t>
            </w:r>
          </w:p>
        </w:tc>
        <w:tc>
          <w:tcPr>
            <w:tcW w:w="80" w:type="dxa"/>
            <w:vAlign w:val="bottom"/>
            <w:shd w:val="clear" w:color="auto" w:fill="CCEEFF"/>
          </w:tcPr>
          <w:p>
            <w:pPr>
              <w:spacing w:after="0"/>
              <w:rPr>
                <w:sz w:val="18"/>
                <w:szCs w:val="18"/>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4,668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10,540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9,484</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19,383</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8,614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Total cost of revenue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19,306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14,741</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30,468</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13,282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vMerge w:val="restart"/>
          </w:tcPr>
          <w:p>
            <w:pPr>
              <w:ind w:left="1020"/>
              <w:spacing w:after="0"/>
              <w:rPr>
                <w:sz w:val="20"/>
                <w:szCs w:val="20"/>
                <w:color w:val="auto"/>
              </w:rPr>
            </w:pPr>
            <w:r>
              <w:rPr>
                <w:rFonts w:ascii="Arial" w:cs="Arial" w:eastAsia="Arial" w:hAnsi="Arial"/>
                <w:sz w:val="17"/>
                <w:szCs w:val="17"/>
                <w:b w:val="1"/>
                <w:bCs w:val="1"/>
                <w:color w:val="auto"/>
              </w:rPr>
              <w:t>Gross profit</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57,451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39,845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87,849</w:t>
            </w:r>
          </w:p>
        </w:tc>
        <w:tc>
          <w:tcPr>
            <w:tcW w:w="8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26,763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24,627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15,250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34,332</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10,814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16,039</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Product development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8,071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4,948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11,062</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3,484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11,011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5,567</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12,927</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6,365</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3,979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19,054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19,925</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40,197</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22,459</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rPr>
              <w:t>Transaction expenses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3,469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708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7"/>
                <w:szCs w:val="17"/>
                <w:color w:val="auto"/>
              </w:rPr>
              <w:t>3,776</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7"/>
                <w:szCs w:val="17"/>
                <w:color w:val="auto"/>
              </w:rPr>
              <w:t>14,703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1,151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operating expenses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66,232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46,398</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102,294</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57,825</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27,097</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1020"/>
              <w:spacing w:after="0"/>
              <w:rPr>
                <w:sz w:val="20"/>
                <w:szCs w:val="20"/>
                <w:color w:val="auto"/>
              </w:rPr>
            </w:pPr>
            <w:r>
              <w:rPr>
                <w:rFonts w:ascii="Arial" w:cs="Arial" w:eastAsia="Arial" w:hAnsi="Arial"/>
                <w:sz w:val="17"/>
                <w:szCs w:val="17"/>
                <w:color w:val="auto"/>
                <w:w w:val="96"/>
              </w:rPr>
              <w:t>(Loss) income from operations</w:t>
            </w: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rPr>
              <w:t>(8,781)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(6,553)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(14,445)</w:t>
            </w:r>
          </w:p>
        </w:tc>
        <w:tc>
          <w:tcPr>
            <w:tcW w:w="80" w:type="dxa"/>
            <w:vAlign w:val="bottom"/>
          </w:tcPr>
          <w:p>
            <w:pPr>
              <w:spacing w:after="0"/>
              <w:rPr>
                <w:sz w:val="18"/>
                <w:szCs w:val="18"/>
                <w:color w:val="auto"/>
              </w:rPr>
            </w:pPr>
          </w:p>
        </w:tc>
        <w:tc>
          <w:tcPr>
            <w:tcW w:w="15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7"/>
                <w:szCs w:val="17"/>
                <w:color w:val="auto"/>
              </w:rPr>
              <w:t>(31,062)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13,033</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260" w:type="dxa"/>
            <w:vAlign w:val="bottom"/>
          </w:tcPr>
          <w:p>
            <w:pPr>
              <w:ind w:left="340"/>
              <w:spacing w:after="0"/>
              <w:rPr>
                <w:sz w:val="20"/>
                <w:szCs w:val="20"/>
                <w:color w:val="auto"/>
              </w:rPr>
            </w:pPr>
            <w:r>
              <w:rPr>
                <w:rFonts w:ascii="Arial" w:cs="Arial" w:eastAsia="Arial" w:hAnsi="Arial"/>
                <w:sz w:val="17"/>
                <w:szCs w:val="17"/>
                <w:color w:val="auto"/>
                <w:w w:val="97"/>
              </w:rPr>
              <w:t>Foreign currency transaction gain (loss)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(16,770)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(18,780)</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(36,490)</w:t>
            </w:r>
          </w:p>
        </w:tc>
        <w:tc>
          <w:tcPr>
            <w:tcW w:w="80" w:type="dxa"/>
            <w:vAlign w:val="bottom"/>
            <w:shd w:val="clear" w:color="auto" w:fill="CCEEFF"/>
          </w:tcPr>
          <w:p>
            <w:pPr>
              <w:spacing w:after="0"/>
              <w:rPr>
                <w:sz w:val="17"/>
                <w:szCs w:val="17"/>
                <w:color w:val="auto"/>
              </w:rPr>
            </w:pPr>
          </w:p>
        </w:tc>
        <w:tc>
          <w:tcPr>
            <w:tcW w:w="152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(18,204)</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4"/>
        </w:trPr>
        <w:tc>
          <w:tcPr>
            <w:tcW w:w="3260" w:type="dxa"/>
            <w:vAlign w:val="bottom"/>
          </w:tcPr>
          <w:p>
            <w:pPr>
              <w:ind w:left="680"/>
              <w:spacing w:after="0"/>
              <w:rPr>
                <w:sz w:val="20"/>
                <w:szCs w:val="20"/>
                <w:color w:val="auto"/>
              </w:rPr>
            </w:pPr>
            <w:r>
              <w:rPr>
                <w:rFonts w:ascii="Arial" w:cs="Arial" w:eastAsia="Arial" w:hAnsi="Arial"/>
                <w:sz w:val="17"/>
                <w:szCs w:val="17"/>
                <w:b w:val="1"/>
                <w:bCs w:val="1"/>
                <w:color w:val="auto"/>
              </w:rPr>
              <w:t>Total other expense,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(16,746)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(18,780)</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7"/>
                <w:szCs w:val="17"/>
                <w:color w:val="auto"/>
              </w:rPr>
              <w:t>(36,712)</w:t>
            </w:r>
          </w:p>
        </w:tc>
        <w:tc>
          <w:tcPr>
            <w:tcW w:w="80" w:type="dxa"/>
            <w:vAlign w:val="bottom"/>
          </w:tcPr>
          <w:p>
            <w:pPr>
              <w:spacing w:after="0"/>
              <w:rPr>
                <w:sz w:val="17"/>
                <w:szCs w:val="17"/>
                <w:color w:val="auto"/>
              </w:rPr>
            </w:pPr>
          </w:p>
        </w:tc>
        <w:tc>
          <w:tcPr>
            <w:tcW w:w="15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7"/>
                <w:szCs w:val="17"/>
                <w:color w:val="auto"/>
              </w:rPr>
              <w:t>(18,204)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5"/>
        </w:trPr>
        <w:tc>
          <w:tcPr>
            <w:tcW w:w="3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3260" w:type="dxa"/>
            <w:vAlign w:val="bottom"/>
            <w:shd w:val="clear" w:color="auto" w:fill="CCEEFF"/>
          </w:tcPr>
          <w:p>
            <w:pPr>
              <w:ind w:left="1020"/>
              <w:spacing w:after="0"/>
              <w:rPr>
                <w:sz w:val="20"/>
                <w:szCs w:val="20"/>
                <w:color w:val="auto"/>
              </w:rPr>
            </w:pPr>
            <w:r>
              <w:rPr>
                <w:rFonts w:ascii="Arial" w:cs="Arial" w:eastAsia="Arial" w:hAnsi="Arial"/>
                <w:sz w:val="17"/>
                <w:szCs w:val="17"/>
                <w:b w:val="1"/>
                <w:bCs w:val="1"/>
                <w:color w:val="auto"/>
              </w:rPr>
              <w:t>Net (loss) income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(25,527)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(25,333)</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(51,157)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52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(49,266)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Six Months Ended June 30, 2021 Compared to Six Months Ended June 30, 2020</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Revenue was $76.8 million for the six months ended June 30, 2021, compared to $54.6 million for the six months ended June 30, 2020,</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$22.2 million or 41%, driven by higher subscription revenue of $21.7 million. Of the 41% increase in total revenue, approximately 37% was attributable to net expansion with existing customers and 4% to the addition of new customers inclusive of those acquired through the acquisition of Monocl in October 2020.</w:t>
      </w:r>
    </w:p>
    <w:p>
      <w:pPr>
        <w:spacing w:after="0" w:line="11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0820"/>
          </w:cols>
          <w:pgMar w:left="320" w:top="442" w:right="7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was $19.3 million for the six months ended June 30, 2021, compared to $14.7 million for the same period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prior year, an increase of $4.6 million, or 31%. The increase was primarily due to:</w:t>
      </w:r>
    </w:p>
    <w:p>
      <w:pPr>
        <w:spacing w:after="0" w:line="77" w:lineRule="exact"/>
        <w:rPr>
          <w:sz w:val="20"/>
          <w:szCs w:val="20"/>
          <w:color w:val="auto"/>
        </w:rPr>
      </w:pPr>
    </w:p>
    <w:p>
      <w:pPr>
        <w:ind w:left="1360" w:hanging="519"/>
        <w:spacing w:after="0" w:line="261" w:lineRule="auto"/>
        <w:tabs>
          <w:tab w:leader="none" w:pos="13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 increase in cost of revenue exclusive of amortization expense of $3.5 million, or 67%, to $8.8 million for the six months ended June 30, 2021, compared to $5.3 million for the six months ended June 30, 2020, due primarily to additional hiring to support our growth and, to a lesser extent, additional resources added through the Monocl acquisition in October 2020; and</w:t>
      </w:r>
    </w:p>
    <w:p>
      <w:pPr>
        <w:spacing w:after="0" w:line="87" w:lineRule="exact"/>
        <w:rPr>
          <w:rFonts w:ascii="Arial" w:cs="Arial" w:eastAsia="Arial" w:hAnsi="Arial"/>
          <w:sz w:val="17"/>
          <w:szCs w:val="17"/>
          <w:color w:val="auto"/>
        </w:rPr>
      </w:pPr>
    </w:p>
    <w:p>
      <w:pPr>
        <w:ind w:left="1360" w:hanging="519"/>
        <w:spacing w:after="0"/>
        <w:tabs>
          <w:tab w:leader="none" w:pos="1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An increase in amortization expense of $1.0 million, or 11%, to $10.5 million for the six months ended June 30, 2021, compared to</w:t>
      </w:r>
    </w:p>
    <w:p>
      <w:pPr>
        <w:spacing w:after="0" w:line="31" w:lineRule="exact"/>
        <w:rPr>
          <w:rFonts w:ascii="Arial" w:cs="Arial" w:eastAsia="Arial" w:hAnsi="Arial"/>
          <w:sz w:val="16"/>
          <w:szCs w:val="16"/>
          <w:color w:val="auto"/>
        </w:rPr>
      </w:pPr>
    </w:p>
    <w:p>
      <w:pPr>
        <w:ind w:left="1360" w:right="200"/>
        <w:spacing w:after="0" w:line="259" w:lineRule="auto"/>
        <w:rPr>
          <w:rFonts w:ascii="Arial" w:cs="Arial" w:eastAsia="Arial" w:hAnsi="Arial"/>
          <w:sz w:val="16"/>
          <w:szCs w:val="16"/>
          <w:color w:val="auto"/>
        </w:rPr>
      </w:pPr>
      <w:r>
        <w:rPr>
          <w:rFonts w:ascii="Arial" w:cs="Arial" w:eastAsia="Arial" w:hAnsi="Arial"/>
          <w:sz w:val="17"/>
          <w:szCs w:val="17"/>
          <w:color w:val="auto"/>
        </w:rPr>
        <w:t>$9.5 million for the six months ended June 30, 2020, primarily due to additional amortization of acquired technology that arose from the Monocl acquisition in October 2020.</w:t>
      </w:r>
    </w:p>
    <w:p>
      <w:pPr>
        <w:spacing w:after="0" w:line="177"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$66.2 million for the six months ended June 30, 2021, compared to $46.4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an increase of $19.8 million, or 43%. The increase was primarily due to:</w:t>
      </w:r>
    </w:p>
    <w:p>
      <w:pPr>
        <w:spacing w:after="0" w:line="77" w:lineRule="exact"/>
        <w:rPr>
          <w:sz w:val="20"/>
          <w:szCs w:val="20"/>
          <w:color w:val="auto"/>
        </w:rPr>
      </w:pPr>
    </w:p>
    <w:p>
      <w:pPr>
        <w:ind w:left="1360" w:right="60" w:hanging="519"/>
        <w:spacing w:after="0" w:line="285" w:lineRule="auto"/>
        <w:tabs>
          <w:tab w:leader="none" w:pos="13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 increase in sales and marketing expense of $9.3 million, or 61%, to $24.6 million for the six months ended June 30, 2021, compared to $15.3 million for the six months ended June 30, 2020, due primarily to additional hiring to drive continued incremental sales and, to a lesser extent, additional sales and marketing resources added through the Monocl acquisition in October 2020;</w:t>
      </w:r>
    </w:p>
    <w:p>
      <w:pPr>
        <w:spacing w:after="0" w:line="69" w:lineRule="exact"/>
        <w:rPr>
          <w:rFonts w:ascii="Arial" w:cs="Arial" w:eastAsia="Arial" w:hAnsi="Arial"/>
          <w:sz w:val="16"/>
          <w:szCs w:val="16"/>
          <w:color w:val="auto"/>
        </w:rPr>
      </w:pPr>
    </w:p>
    <w:p>
      <w:pPr>
        <w:ind w:left="1360" w:right="40" w:hanging="519"/>
        <w:spacing w:after="0" w:line="302" w:lineRule="auto"/>
        <w:tabs>
          <w:tab w:leader="none" w:pos="1360" w:val="left"/>
        </w:tabs>
        <w:numPr>
          <w:ilvl w:val="0"/>
          <w:numId w:val="83"/>
        </w:numPr>
        <w:rPr>
          <w:rFonts w:ascii="Arial" w:cs="Arial" w:eastAsia="Arial" w:hAnsi="Arial"/>
          <w:sz w:val="15"/>
          <w:szCs w:val="15"/>
          <w:color w:val="auto"/>
        </w:rPr>
      </w:pPr>
      <w:r>
        <w:rPr>
          <w:rFonts w:ascii="Arial" w:cs="Arial" w:eastAsia="Arial" w:hAnsi="Arial"/>
          <w:sz w:val="15"/>
          <w:szCs w:val="15"/>
          <w:color w:val="auto"/>
        </w:rPr>
        <w:t>An increase in general and administrative expense of $5.4 million, or 96%, to $11.0 million for the six months ended June 30, 2021, compared to $5.6 million for the six months ended June 30, 2020, due primarily to additional hiring to support our growth, including incremental costs associated with preparing for our IPO, additional accounting and legal expenses and additional resources associated with controls, reporting and disclosure and, to a lesser extent, additional resources added through the Monocl acquisition in October 2020;</w:t>
      </w:r>
    </w:p>
    <w:p>
      <w:pPr>
        <w:spacing w:after="0" w:line="60" w:lineRule="exact"/>
        <w:rPr>
          <w:rFonts w:ascii="Arial" w:cs="Arial" w:eastAsia="Arial" w:hAnsi="Arial"/>
          <w:sz w:val="15"/>
          <w:szCs w:val="15"/>
          <w:color w:val="auto"/>
        </w:rPr>
      </w:pPr>
    </w:p>
    <w:p>
      <w:pPr>
        <w:ind w:left="1360" w:right="40" w:hanging="519"/>
        <w:spacing w:after="0" w:line="261" w:lineRule="auto"/>
        <w:tabs>
          <w:tab w:leader="none" w:pos="1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increase in product development expense of $3.2 million, or 65%, to $8.1 million for the six months ended June 30, 2021, compared to $4.9 million for the six months ended June 30, 2020, due primarily to additional product management resources added during the year to support our growth; and</w:t>
      </w:r>
    </w:p>
    <w:p>
      <w:pPr>
        <w:spacing w:after="0" w:line="87" w:lineRule="exact"/>
        <w:rPr>
          <w:rFonts w:ascii="Arial" w:cs="Arial" w:eastAsia="Arial" w:hAnsi="Arial"/>
          <w:sz w:val="17"/>
          <w:szCs w:val="17"/>
          <w:color w:val="auto"/>
        </w:rPr>
      </w:pPr>
    </w:p>
    <w:p>
      <w:pPr>
        <w:ind w:left="1360" w:hanging="519"/>
        <w:spacing w:after="0" w:line="261" w:lineRule="auto"/>
        <w:tabs>
          <w:tab w:leader="none" w:pos="13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An increase in transaction expense of $2.8 million to $3.5 million for the six months ended June 30, 2021, compared to $0.7 million for the six months ended June 30, 2020, due primarily to an increase in the fair value of the contingent consideration in connection with the Monocl acquisition in October 2020.</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These increases were partially offset by:</w:t>
      </w:r>
    </w:p>
    <w:p>
      <w:pPr>
        <w:spacing w:after="0" w:line="123" w:lineRule="exact"/>
        <w:rPr>
          <w:sz w:val="20"/>
          <w:szCs w:val="20"/>
          <w:color w:val="auto"/>
        </w:rPr>
      </w:pPr>
    </w:p>
    <w:p>
      <w:pPr>
        <w:ind w:left="1360" w:right="60" w:hanging="519"/>
        <w:spacing w:after="0" w:line="273" w:lineRule="auto"/>
        <w:tabs>
          <w:tab w:leader="none" w:pos="13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 decrease in depreciation and amortization expense of $0.8 million to $19.1 million for the six months ended June 30, 2021, compared to $19.9 million for the six months ended June 30, 2020.</w:t>
      </w:r>
    </w:p>
    <w:p>
      <w:pPr>
        <w:spacing w:after="0" w:line="166"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$16.7 million for the six months ended June 30, 2021, compared to $18.8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2021, a decrease of $2.1 million, or 11%, primarily due to:</w:t>
      </w:r>
    </w:p>
    <w:p>
      <w:pPr>
        <w:spacing w:after="0" w:line="77" w:lineRule="exact"/>
        <w:rPr>
          <w:sz w:val="20"/>
          <w:szCs w:val="20"/>
          <w:color w:val="auto"/>
        </w:rPr>
      </w:pPr>
    </w:p>
    <w:p>
      <w:pPr>
        <w:ind w:left="1360" w:right="480" w:hanging="519"/>
        <w:spacing w:after="0" w:line="342" w:lineRule="auto"/>
        <w:tabs>
          <w:tab w:leader="none" w:pos="13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 decrease in interest expense, net of $2.0 million, or 11%, to $16.8 million for the six months ended June 30, 2021, as compared to $18.8 million for the six months ended June 30, 2020. The decrease was primarily due to lower interest rates; partially offset by</w:t>
      </w:r>
    </w:p>
    <w:p>
      <w:pPr>
        <w:spacing w:after="0" w:line="29" w:lineRule="exact"/>
        <w:rPr>
          <w:rFonts w:ascii="Arial" w:cs="Arial" w:eastAsia="Arial" w:hAnsi="Arial"/>
          <w:sz w:val="15"/>
          <w:szCs w:val="15"/>
          <w:color w:val="auto"/>
        </w:rPr>
      </w:pPr>
    </w:p>
    <w:p>
      <w:pPr>
        <w:ind w:left="1360" w:right="240" w:hanging="519"/>
        <w:spacing w:after="0" w:line="273" w:lineRule="auto"/>
        <w:tabs>
          <w:tab w:leader="none" w:pos="13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Higher foreign currency transaction gain of less than $0.1 million for the six months ended June 30, 2021, as compared to nil for the six months ended June 30, 2020.</w:t>
      </w:r>
    </w:p>
    <w:p>
      <w:pPr>
        <w:spacing w:after="0" w:line="166" w:lineRule="exact"/>
        <w:rPr>
          <w:sz w:val="20"/>
          <w:szCs w:val="20"/>
          <w:color w:val="auto"/>
        </w:rPr>
      </w:pPr>
    </w:p>
    <w:p>
      <w:pPr>
        <w:ind w:left="440" w:right="460" w:firstLine="415"/>
        <w:spacing w:after="0" w:line="273"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for the six months ended June 30, 2021 was $25.5 million, compared to net loss of $25.3 million for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2020, an increase of $0.2 million, or 1%. The increase was attributable to the items described above.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0800"/>
          </w:cols>
          <w:pgMar w:left="320" w:top="442" w:right="77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40"/>
        <w:spacing w:after="0" w:line="273" w:lineRule="auto"/>
        <w:rPr>
          <w:sz w:val="20"/>
          <w:szCs w:val="20"/>
          <w:color w:val="auto"/>
        </w:rPr>
      </w:pPr>
      <w:r>
        <w:rPr>
          <w:rFonts w:ascii="Arial" w:cs="Arial" w:eastAsia="Arial" w:hAnsi="Arial"/>
          <w:sz w:val="17"/>
          <w:szCs w:val="17"/>
          <w:b w:val="1"/>
          <w:bCs w:val="1"/>
          <w:i w:val="1"/>
          <w:iCs w:val="1"/>
          <w:color w:val="auto"/>
        </w:rPr>
        <w:t>Year Ended December 31, 2020 Compared to Period from July 16, 2019 to December 31, 2019 (Successor) and Period from January 1, 2019 to July 15, 2019 (Predecessor)</w:t>
      </w:r>
    </w:p>
    <w:p>
      <w:pPr>
        <w:spacing w:after="0" w:line="64" w:lineRule="exact"/>
        <w:rPr>
          <w:sz w:val="20"/>
          <w:szCs w:val="20"/>
          <w:color w:val="auto"/>
        </w:rPr>
      </w:pPr>
    </w:p>
    <w:p>
      <w:pPr>
        <w:ind w:left="440" w:right="220" w:firstLine="415"/>
        <w:spacing w:after="0" w:line="254"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Revenue was $118.3 million for the year ended December 31, 2020, compared to $40.0 million for the period from July 16, 2019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2019 (Successor) and $45.5 million for the period from January 1, 2019 to July 15, 2019 (Predecessor), an increase of $32.8 million, or 38%, driven by higher subscription revenue of $32.0 million. During the year ended December 31, 2020, our total customers increased by 337 from 2,243 as of December 31, 2019 to 2,580 as of December 31, 2020. Of the 38% increase in total revenue, approximately 33% was attributable to net expansion with existing customers and 5% to the addition of new customers inclusive of those acquired through the acquisition of Monocl in October 2020.</w:t>
      </w:r>
    </w:p>
    <w:p>
      <w:pPr>
        <w:spacing w:after="0" w:line="183" w:lineRule="exact"/>
        <w:rPr>
          <w:sz w:val="20"/>
          <w:szCs w:val="20"/>
          <w:color w:val="auto"/>
        </w:rPr>
      </w:pPr>
    </w:p>
    <w:p>
      <w:pPr>
        <w:ind w:left="440" w:right="340" w:firstLine="415"/>
        <w:spacing w:after="0" w:line="261"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Cost of revenue was $30.5 million for the year ended December 31, 2020, compared to $13.3 million for the period from</w:t>
      </w:r>
      <w:r>
        <w:rPr>
          <w:rFonts w:ascii="Arial" w:cs="Arial" w:eastAsia="Arial" w:hAnsi="Arial"/>
          <w:sz w:val="17"/>
          <w:szCs w:val="17"/>
          <w:i w:val="1"/>
          <w:iCs w:val="1"/>
          <w:color w:val="auto"/>
        </w:rPr>
        <w:t xml:space="preserve"> </w:t>
      </w:r>
      <w:r>
        <w:rPr>
          <w:rFonts w:ascii="Arial" w:cs="Arial" w:eastAsia="Arial" w:hAnsi="Arial"/>
          <w:sz w:val="17"/>
          <w:szCs w:val="17"/>
          <w:color w:val="auto"/>
        </w:rPr>
        <w:t>July 16, 2019 to December 31, 2019 (Successor) and $5.3 million for the period from January 1, 2019 to July 15, 2019 (Predecessor), an increase of $11.9 million, or 64%. The increase was primarily due to:</w:t>
      </w:r>
    </w:p>
    <w:p>
      <w:pPr>
        <w:spacing w:after="0" w:line="87" w:lineRule="exact"/>
        <w:rPr>
          <w:sz w:val="20"/>
          <w:szCs w:val="20"/>
          <w:color w:val="auto"/>
        </w:rPr>
      </w:pPr>
    </w:p>
    <w:p>
      <w:pPr>
        <w:ind w:left="1360" w:hanging="519"/>
        <w:spacing w:after="0" w:line="279" w:lineRule="auto"/>
        <w:tabs>
          <w:tab w:leader="none" w:pos="13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 increase in amortization expense of $10.3 million, to $19.4 million for the year ended December 31, 2020, compared to $8.6 million for the period from July 16, 2019 to December 31, 2019 (Successor) and $0.5 million for the period from January 1, 2019 to July 15, 2019 (Predecessor), primarily due to additional amortization of acquired technology that arose from accounting for the Advent acquisition, and, to a lesser extent, the acquisitions of Monocl and HSE in October 2020 and December 2019, respectively.</w:t>
      </w:r>
    </w:p>
    <w:p>
      <w:pPr>
        <w:spacing w:after="0" w:line="73" w:lineRule="exact"/>
        <w:rPr>
          <w:rFonts w:ascii="Arial" w:cs="Arial" w:eastAsia="Arial" w:hAnsi="Arial"/>
          <w:sz w:val="16"/>
          <w:szCs w:val="16"/>
          <w:color w:val="auto"/>
        </w:rPr>
      </w:pPr>
    </w:p>
    <w:p>
      <w:pPr>
        <w:ind w:left="1360" w:hanging="519"/>
        <w:spacing w:after="0"/>
        <w:tabs>
          <w:tab w:leader="none" w:pos="13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An increase in cost of revenue exclusive of amortization expense of $1.6 million, or 17%, to $11.1 million for the year ended</w:t>
      </w:r>
    </w:p>
    <w:p>
      <w:pPr>
        <w:spacing w:after="0" w:line="19" w:lineRule="exact"/>
        <w:rPr>
          <w:rFonts w:ascii="Arial" w:cs="Arial" w:eastAsia="Arial" w:hAnsi="Arial"/>
          <w:sz w:val="17"/>
          <w:szCs w:val="17"/>
          <w:color w:val="auto"/>
        </w:rPr>
      </w:pPr>
    </w:p>
    <w:p>
      <w:pPr>
        <w:jc w:val="both"/>
        <w:ind w:left="1360" w:right="20"/>
        <w:spacing w:after="0" w:line="304" w:lineRule="auto"/>
        <w:rPr>
          <w:rFonts w:ascii="Arial" w:cs="Arial" w:eastAsia="Arial" w:hAnsi="Arial"/>
          <w:sz w:val="17"/>
          <w:szCs w:val="17"/>
          <w:color w:val="auto"/>
        </w:rPr>
      </w:pPr>
      <w:r>
        <w:rPr>
          <w:rFonts w:ascii="Arial" w:cs="Arial" w:eastAsia="Arial" w:hAnsi="Arial"/>
          <w:sz w:val="15"/>
          <w:szCs w:val="15"/>
          <w:color w:val="auto"/>
        </w:rPr>
        <w:t>December 31, 2020, compared to $4.7 million for the period from July 16, 2019 to December 31, 2019 (Successor) and $4.8 million for the period from January 1, 2019 to July 15, 2019 (Predecessor), due primarily to additional hiring during the year to support our growth and to a lesser extent, additional resources added through the Monocl acquisition in October 2020 and the HSE acquisition in December 2019.</w:t>
      </w:r>
    </w:p>
    <w:p>
      <w:pPr>
        <w:spacing w:after="0" w:line="147"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Operating expenses were $102.3 million for the year ended December 31, 2020, compared to $57.8 million for the period</w:t>
      </w:r>
      <w:r>
        <w:rPr>
          <w:rFonts w:ascii="Arial" w:cs="Arial" w:eastAsia="Arial" w:hAnsi="Arial"/>
          <w:sz w:val="17"/>
          <w:szCs w:val="17"/>
          <w:i w:val="1"/>
          <w:iCs w:val="1"/>
          <w:color w:val="auto"/>
        </w:rPr>
        <w:t xml:space="preserve"> </w:t>
      </w:r>
      <w:r>
        <w:rPr>
          <w:rFonts w:ascii="Arial" w:cs="Arial" w:eastAsia="Arial" w:hAnsi="Arial"/>
          <w:sz w:val="17"/>
          <w:szCs w:val="17"/>
          <w:color w:val="auto"/>
        </w:rPr>
        <w:t>from July 16, 2019 to December 31, 2019 (Successor) and $27.1 million for the period from January 1, 2019 to July 15, 2019 (Predecessor), an increase of $17.4 million, or 20%. The increase was primarily due to:</w:t>
      </w:r>
    </w:p>
    <w:p>
      <w:pPr>
        <w:spacing w:after="0" w:line="87" w:lineRule="exact"/>
        <w:rPr>
          <w:sz w:val="20"/>
          <w:szCs w:val="20"/>
          <w:color w:val="auto"/>
        </w:rPr>
      </w:pPr>
    </w:p>
    <w:p>
      <w:pPr>
        <w:jc w:val="both"/>
        <w:ind w:left="1360" w:right="80" w:hanging="519"/>
        <w:spacing w:after="0" w:line="279" w:lineRule="auto"/>
        <w:tabs>
          <w:tab w:leader="none" w:pos="13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 increase in depreciation and amortization expense of $15.7 million, to $40.2 million for the year ended December 31, 2020, compared to $22.5 million for the period from July 16, 2019 to December 31, 2019 (Successor) and $2.0 million for the period from January 1, 2019 to July 15, 2019 (Predecessor), due to additional amortization expense related to intangible assets acquired in the Advent acquisition, and, to a lesser extent, the acquisitions of HSE in December 2019 and Monocl in October 2020;</w:t>
      </w:r>
    </w:p>
    <w:p>
      <w:pPr>
        <w:spacing w:after="0" w:line="73" w:lineRule="exact"/>
        <w:rPr>
          <w:rFonts w:ascii="Arial" w:cs="Arial" w:eastAsia="Arial" w:hAnsi="Arial"/>
          <w:sz w:val="16"/>
          <w:szCs w:val="16"/>
          <w:color w:val="auto"/>
        </w:rPr>
      </w:pPr>
    </w:p>
    <w:p>
      <w:pPr>
        <w:ind w:left="1360" w:right="40" w:hanging="519"/>
        <w:spacing w:after="0" w:line="254" w:lineRule="auto"/>
        <w:tabs>
          <w:tab w:leader="none" w:pos="13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 increase in sales and marketing expense of $7.5 million, or 28%, to $34.3 million for the year ended December 31, 2020, compared to $10.8 million for the period from July 16, 2019 to December 31, 2019 (Successor) and $16.0 million for the period from January 1, 2019 to July 15, 2019 (Predecessor), due primarily to additional hiring to drive continued incremental sales, and to a lesser extent, additional sales and marketing resources added through the Monocl acquisition in October 2020 and the HSE acquisition in December 2019, partially offset by lower equity compensation expenses due to the acceleration of Predecessor’s equity-based compensation plan, in connection with the Advent acquisition on July 16, 2019;</w:t>
      </w:r>
    </w:p>
    <w:p>
      <w:pPr>
        <w:spacing w:after="0" w:line="94" w:lineRule="exact"/>
        <w:rPr>
          <w:rFonts w:ascii="Arial" w:cs="Arial" w:eastAsia="Arial" w:hAnsi="Arial"/>
          <w:sz w:val="17"/>
          <w:szCs w:val="17"/>
          <w:color w:val="auto"/>
        </w:rPr>
      </w:pPr>
    </w:p>
    <w:p>
      <w:pPr>
        <w:ind w:left="1360" w:right="60" w:hanging="519"/>
        <w:spacing w:after="0" w:line="285" w:lineRule="auto"/>
        <w:tabs>
          <w:tab w:leader="none" w:pos="13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 increase in product development expense of $3.6 million, or 48%, to $11.1 million for the year ended December 31, 2020, compared to $3.5 million for the period from July 16, 2019 to December 31, 2019 (Successor) and $4.0 million for the period from January 1, 2019 to July 15, 2019 (Predecessor), due primarily to additional product management resources added during the year;</w:t>
      </w:r>
    </w:p>
    <w:p>
      <w:pPr>
        <w:spacing w:after="0" w:line="9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0820"/>
          </w:cols>
          <w:pgMar w:left="320" w:top="442" w:right="7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40" w:hanging="519"/>
        <w:spacing w:after="0" w:line="254" w:lineRule="auto"/>
        <w:tabs>
          <w:tab w:leader="none" w:pos="13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$2.6 million, or 25%, to $12.9 million for the year ended December 31, 2020, compared to $6.4 million for the period from July 16, 2019 to December 31, 2019 (Successor) and $4.0 million for the period from January 1, 2019 to July 15, 2019 (Predecessor), due primarily to additional hiring during the year to support our growth, including incremental costs associated with preparing for an IPO, additional accounting and legal expenses, and additional resources associated with controls, reporting, and disclosure, and to a lesser extent, additional resources added through the Monocl acquisition in October 2020 and the HSE acquisition in December 2019;</w:t>
      </w:r>
    </w:p>
    <w:p>
      <w:pPr>
        <w:spacing w:after="0" w:line="94" w:lineRule="exact"/>
        <w:rPr>
          <w:rFonts w:ascii="Arial" w:cs="Arial" w:eastAsia="Arial" w:hAnsi="Arial"/>
          <w:sz w:val="17"/>
          <w:szCs w:val="17"/>
          <w:color w:val="auto"/>
        </w:rPr>
      </w:pPr>
    </w:p>
    <w:p>
      <w:pPr>
        <w:ind w:left="1360" w:right="140" w:hanging="519"/>
        <w:spacing w:after="0" w:line="312" w:lineRule="auto"/>
        <w:tabs>
          <w:tab w:leader="none" w:pos="1360" w:val="left"/>
        </w:tabs>
        <w:numPr>
          <w:ilvl w:val="0"/>
          <w:numId w:val="88"/>
        </w:numPr>
        <w:rPr>
          <w:rFonts w:ascii="Arial" w:cs="Arial" w:eastAsia="Arial" w:hAnsi="Arial"/>
          <w:sz w:val="15"/>
          <w:szCs w:val="15"/>
          <w:color w:val="auto"/>
        </w:rPr>
      </w:pPr>
      <w:r>
        <w:rPr>
          <w:rFonts w:ascii="Arial" w:cs="Arial" w:eastAsia="Arial" w:hAnsi="Arial"/>
          <w:sz w:val="15"/>
          <w:szCs w:val="15"/>
          <w:color w:val="auto"/>
        </w:rPr>
        <w:t>A decrease in transaction expense of $12.1 million, to $3.8 million for the year ended December 31, 2020, compared to $14.7 million for the period from July 16, 2019 to December 31, 2019 (Successor) and $1.2 million for the period from January 1, 2019 to July 15, 2019 (Predecessor), due primarily to $15.7 million of transaction costs incurred in connection with the Advent acquisition in 2019.</w:t>
      </w:r>
    </w:p>
    <w:p>
      <w:pPr>
        <w:spacing w:after="0" w:line="141" w:lineRule="exact"/>
        <w:rPr>
          <w:sz w:val="20"/>
          <w:szCs w:val="20"/>
          <w:color w:val="auto"/>
        </w:rPr>
      </w:pPr>
    </w:p>
    <w:p>
      <w:pPr>
        <w:ind w:left="440" w:right="120" w:firstLine="415"/>
        <w:spacing w:after="0" w:line="261" w:lineRule="auto"/>
        <w:rPr>
          <w:sz w:val="20"/>
          <w:szCs w:val="20"/>
          <w:color w:val="auto"/>
        </w:rPr>
      </w:pPr>
      <w:r>
        <w:rPr>
          <w:rFonts w:ascii="Arial" w:cs="Arial" w:eastAsia="Arial" w:hAnsi="Arial"/>
          <w:sz w:val="17"/>
          <w:szCs w:val="17"/>
          <w:i w:val="1"/>
          <w:iCs w:val="1"/>
          <w:color w:val="auto"/>
        </w:rPr>
        <w:t xml:space="preserve">Other Expense, Net. </w:t>
      </w:r>
      <w:r>
        <w:rPr>
          <w:rFonts w:ascii="Arial" w:cs="Arial" w:eastAsia="Arial" w:hAnsi="Arial"/>
          <w:sz w:val="17"/>
          <w:szCs w:val="17"/>
          <w:color w:val="auto"/>
        </w:rPr>
        <w:t>Other expense, net was $36.7 million for the year ended December 31, 2020, compared to $18.2 million for the period from</w:t>
      </w:r>
      <w:r>
        <w:rPr>
          <w:rFonts w:ascii="Arial" w:cs="Arial" w:eastAsia="Arial" w:hAnsi="Arial"/>
          <w:sz w:val="17"/>
          <w:szCs w:val="17"/>
          <w:i w:val="1"/>
          <w:iCs w:val="1"/>
          <w:color w:val="auto"/>
        </w:rPr>
        <w:t xml:space="preserve"> </w:t>
      </w:r>
      <w:r>
        <w:rPr>
          <w:rFonts w:ascii="Arial" w:cs="Arial" w:eastAsia="Arial" w:hAnsi="Arial"/>
          <w:sz w:val="17"/>
          <w:szCs w:val="17"/>
          <w:color w:val="auto"/>
        </w:rPr>
        <w:t>July 16, 2019 to December 31, 2019 (Successor) and $0.2 million for the period from January 1, 2019 to July 15, 2019 (Predecessor), an increase of $18.3 million, primarily due to:</w:t>
      </w:r>
    </w:p>
    <w:p>
      <w:pPr>
        <w:spacing w:after="0" w:line="87" w:lineRule="exact"/>
        <w:rPr>
          <w:sz w:val="20"/>
          <w:szCs w:val="20"/>
          <w:color w:val="auto"/>
        </w:rPr>
      </w:pPr>
    </w:p>
    <w:p>
      <w:pPr>
        <w:ind w:left="1360" w:hanging="519"/>
        <w:spacing w:after="0" w:line="257" w:lineRule="auto"/>
        <w:tabs>
          <w:tab w:leader="none" w:pos="13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increase in interest expense, net of $18.1 million, to $36.5 million for the year ended December 31, 2020, as compared to $18.2 million for the period from July 16, 2019 to December 31, 2019 (Successor) and $0.2 million for the period from January 1, 2019 to July 15, 2019 (Predecessor). The increase was primarily due to debt that we incurred in July 2019, in connection with the Advent acquisition, partially offset by lower interest rates; and</w:t>
      </w:r>
    </w:p>
    <w:p>
      <w:pPr>
        <w:spacing w:after="0" w:line="91" w:lineRule="exact"/>
        <w:rPr>
          <w:rFonts w:ascii="Arial" w:cs="Arial" w:eastAsia="Arial" w:hAnsi="Arial"/>
          <w:sz w:val="17"/>
          <w:szCs w:val="17"/>
          <w:color w:val="auto"/>
        </w:rPr>
      </w:pPr>
    </w:p>
    <w:p>
      <w:pPr>
        <w:ind w:left="1360" w:right="80" w:hanging="519"/>
        <w:spacing w:after="0" w:line="342" w:lineRule="auto"/>
        <w:tabs>
          <w:tab w:leader="none" w:pos="13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Higher foreign currency transaction loss of $0.2 million, to $0.2 million for the year ended December 31, 2020, as compared to nil for the period from July 16, 2019 to December 31, 2019 (Successor) and nil for the period from January 1, 2019 to July 15, 2019 (Predecessor).</w:t>
      </w:r>
    </w:p>
    <w:p>
      <w:pPr>
        <w:spacing w:after="0" w:line="119"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i w:val="1"/>
          <w:iCs w:val="1"/>
          <w:color w:val="auto"/>
        </w:rPr>
        <w:t xml:space="preserve">Net loss. </w:t>
      </w:r>
      <w:r>
        <w:rPr>
          <w:rFonts w:ascii="Arial" w:cs="Arial" w:eastAsia="Arial" w:hAnsi="Arial"/>
          <w:sz w:val="17"/>
          <w:szCs w:val="17"/>
          <w:color w:val="auto"/>
        </w:rPr>
        <w:t>Net loss for the year ended December 31, 2020 was $51.2 million, compared to net loss of $49.3 million for the period from July 16,</w:t>
      </w:r>
      <w:r>
        <w:rPr>
          <w:rFonts w:ascii="Arial" w:cs="Arial" w:eastAsia="Arial" w:hAnsi="Arial"/>
          <w:sz w:val="17"/>
          <w:szCs w:val="17"/>
          <w:i w:val="1"/>
          <w:iCs w:val="1"/>
          <w:color w:val="auto"/>
        </w:rPr>
        <w:t xml:space="preserve"> </w:t>
      </w:r>
      <w:r>
        <w:rPr>
          <w:rFonts w:ascii="Arial" w:cs="Arial" w:eastAsia="Arial" w:hAnsi="Arial"/>
          <w:sz w:val="17"/>
          <w:szCs w:val="17"/>
          <w:color w:val="auto"/>
        </w:rPr>
        <w:t>2019 to December 31, 2019 (Successor) and net income of $12.9 million for the period from January 1, 2019 to July 15, 2019 (Predecessor), an increase of $14.8 million, or 41%. The increase was attributable to the items described above.</w:t>
      </w:r>
    </w:p>
    <w:p>
      <w:pPr>
        <w:spacing w:after="0" w:line="11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0780"/>
          </w:cols>
          <w:pgMar w:left="320" w:top="442" w:right="79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Selected Quarterly Financial Information</w:t>
      </w:r>
    </w:p>
    <w:p>
      <w:pPr>
        <w:spacing w:after="0" w:line="114" w:lineRule="exact"/>
        <w:rPr>
          <w:sz w:val="20"/>
          <w:szCs w:val="20"/>
          <w:color w:val="auto"/>
        </w:rPr>
      </w:pPr>
    </w:p>
    <w:p>
      <w:pPr>
        <w:ind w:left="440" w:right="80" w:firstLine="415"/>
        <w:spacing w:after="0" w:line="290" w:lineRule="auto"/>
        <w:rPr>
          <w:sz w:val="20"/>
          <w:szCs w:val="20"/>
          <w:color w:val="auto"/>
        </w:rPr>
      </w:pPr>
      <w:r>
        <w:rPr>
          <w:rFonts w:ascii="Arial" w:cs="Arial" w:eastAsia="Arial" w:hAnsi="Arial"/>
          <w:sz w:val="15"/>
          <w:szCs w:val="15"/>
          <w:color w:val="auto"/>
        </w:rPr>
        <w:t>The following tables present the unaudited quarterly historical consolidated financial and other data for each of the quarters ended June 30, 2021, March 31, 2021, December 31, 2020, September 30, 2020, June 30, 2020, March 31, 2020 and December 31, 2019, the period July 16, 2019 to September 30, 2019, the period from July 1, 2019 to July 15, 2019 and each of the quarters ended June 30, 2019 and March 31, 2019. The unaudited quarterly historical consolidated financial and other data have been prepared on the same basis as the audited consolidated financial statements of Definitive OpCo and its subsidiaries included elsewhere in this prospectus. In our opinion, the unaudited quarterly historical consolidated financial information includes all adjustments, which include normal recurring adjustments necessary to present fairly in all material respects our financial position and results of operations for these periods. This information should be read in conjunction with the consolidated financial statements of Definitive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86"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8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96"/>
              </w:rPr>
              <w:t>Predecessor</w:t>
            </w: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2"/>
          </w:tcPr>
          <w:p>
            <w:pPr>
              <w:jc w:val="center"/>
              <w:ind w:right="100"/>
              <w:spacing w:after="0" w:line="96"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860" w:type="dxa"/>
            <w:vAlign w:val="bottom"/>
          </w:tcPr>
          <w:p>
            <w:pPr>
              <w:spacing w:after="0"/>
              <w:rPr>
                <w:sz w:val="9"/>
                <w:szCs w:val="9"/>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6"/>
              </w:rPr>
              <w:t>Period from</w:t>
            </w:r>
          </w:p>
        </w:tc>
        <w:tc>
          <w:tcPr>
            <w:tcW w:w="22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Three</w:t>
            </w:r>
          </w:p>
        </w:tc>
        <w:tc>
          <w:tcPr>
            <w:tcW w:w="4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860" w:type="dxa"/>
            <w:vAlign w:val="bottom"/>
          </w:tcPr>
          <w:p>
            <w:pPr>
              <w:spacing w:after="0"/>
              <w:rPr>
                <w:sz w:val="9"/>
                <w:szCs w:val="9"/>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4"/>
              </w:rPr>
              <w:t>Three Months</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3"/>
              </w:rPr>
              <w:t>July 16, 2019</w:t>
            </w:r>
          </w:p>
        </w:tc>
        <w:tc>
          <w:tcPr>
            <w:tcW w:w="220" w:type="dxa"/>
            <w:vAlign w:val="bottom"/>
          </w:tcPr>
          <w:p>
            <w:pPr>
              <w:spacing w:after="0"/>
              <w:rPr>
                <w:sz w:val="9"/>
                <w:szCs w:val="9"/>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4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860" w:type="dxa"/>
            <w:vAlign w:val="bottom"/>
          </w:tcPr>
          <w:p>
            <w:pPr>
              <w:spacing w:after="0"/>
              <w:rPr>
                <w:sz w:val="9"/>
                <w:szCs w:val="9"/>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6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Ended</w:t>
            </w:r>
          </w:p>
        </w:tc>
        <w:tc>
          <w:tcPr>
            <w:tcW w:w="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10"/>
                <w:szCs w:val="10"/>
                <w:b w:val="1"/>
                <w:bCs w:val="1"/>
                <w:color w:val="auto"/>
              </w:rPr>
              <w:t>to</w:t>
            </w:r>
          </w:p>
        </w:tc>
        <w:tc>
          <w:tcPr>
            <w:tcW w:w="220" w:type="dxa"/>
            <w:vAlign w:val="bottom"/>
          </w:tcPr>
          <w:p>
            <w:pPr>
              <w:spacing w:after="0"/>
              <w:rPr>
                <w:sz w:val="9"/>
                <w:szCs w:val="9"/>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2"/>
              </w:rPr>
              <w:t>2019 to</w:t>
            </w:r>
          </w:p>
        </w:tc>
        <w:tc>
          <w:tcPr>
            <w:tcW w:w="8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4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860" w:type="dxa"/>
            <w:vAlign w:val="bottom"/>
          </w:tcPr>
          <w:p>
            <w:pPr>
              <w:spacing w:after="0"/>
              <w:rPr>
                <w:sz w:val="9"/>
                <w:szCs w:val="9"/>
                <w:color w:val="auto"/>
              </w:rPr>
            </w:pPr>
          </w:p>
        </w:tc>
        <w:tc>
          <w:tcPr>
            <w:tcW w:w="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2"/>
              </w:rPr>
              <w:t>December 31,</w:t>
            </w: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0"/>
              </w:rPr>
              <w:t>September 30,</w:t>
            </w:r>
          </w:p>
        </w:tc>
        <w:tc>
          <w:tcPr>
            <w:tcW w:w="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9"/>
              </w:rPr>
              <w:t>December 31,</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September 30,</w:t>
            </w:r>
          </w:p>
        </w:tc>
        <w:tc>
          <w:tcPr>
            <w:tcW w:w="22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8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2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43"/>
              <w:spacing w:after="0"/>
              <w:rPr>
                <w:sz w:val="20"/>
                <w:szCs w:val="20"/>
                <w:color w:val="auto"/>
              </w:rPr>
            </w:pPr>
            <w:r>
              <w:rPr>
                <w:rFonts w:ascii="Arial" w:cs="Arial" w:eastAsia="Arial" w:hAnsi="Arial"/>
                <w:sz w:val="10"/>
                <w:szCs w:val="10"/>
                <w:b w:val="1"/>
                <w:bCs w:val="1"/>
                <w:color w:val="auto"/>
                <w:w w:val="91"/>
              </w:rPr>
              <w:t>2020 (1)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62"/>
              <w:spacing w:after="0"/>
              <w:rPr>
                <w:sz w:val="20"/>
                <w:szCs w:val="20"/>
                <w:color w:val="auto"/>
              </w:rPr>
            </w:pPr>
            <w:r>
              <w:rPr>
                <w:rFonts w:ascii="Arial" w:cs="Arial" w:eastAsia="Arial" w:hAnsi="Arial"/>
                <w:sz w:val="10"/>
                <w:szCs w:val="10"/>
                <w:b w:val="1"/>
                <w:bCs w:val="1"/>
                <w:color w:val="auto"/>
                <w:w w:val="98"/>
              </w:rPr>
              <w:t>2020</w:t>
            </w:r>
          </w:p>
        </w:tc>
        <w:tc>
          <w:tcPr>
            <w:tcW w:w="1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520" w:type="dxa"/>
            <w:vAlign w:val="bottom"/>
            <w:gridSpan w:val="2"/>
          </w:tcPr>
          <w:p>
            <w:pPr>
              <w:jc w:val="right"/>
              <w:ind w:right="67"/>
              <w:spacing w:after="0"/>
              <w:rPr>
                <w:sz w:val="20"/>
                <w:szCs w:val="20"/>
                <w:color w:val="auto"/>
              </w:rPr>
            </w:pPr>
            <w:r>
              <w:rPr>
                <w:rFonts w:ascii="Arial" w:cs="Arial" w:eastAsia="Arial" w:hAnsi="Arial"/>
                <w:sz w:val="10"/>
                <w:szCs w:val="10"/>
                <w:b w:val="1"/>
                <w:bCs w:val="1"/>
                <w:color w:val="auto"/>
              </w:rPr>
              <w:t>2020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43"/>
              <w:spacing w:after="0"/>
              <w:rPr>
                <w:sz w:val="20"/>
                <w:szCs w:val="20"/>
                <w:color w:val="auto"/>
              </w:rPr>
            </w:pPr>
            <w:r>
              <w:rPr>
                <w:rFonts w:ascii="Arial" w:cs="Arial" w:eastAsia="Arial" w:hAnsi="Arial"/>
                <w:sz w:val="10"/>
                <w:szCs w:val="10"/>
                <w:b w:val="1"/>
                <w:bCs w:val="1"/>
                <w:color w:val="auto"/>
                <w:w w:val="91"/>
              </w:rPr>
              <w:t>2019 (2)</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1"/>
              <w:spacing w:after="0"/>
              <w:rPr>
                <w:sz w:val="20"/>
                <w:szCs w:val="20"/>
                <w:color w:val="auto"/>
              </w:rPr>
            </w:pPr>
            <w:r>
              <w:rPr>
                <w:rFonts w:ascii="Arial" w:cs="Arial" w:eastAsia="Arial" w:hAnsi="Arial"/>
                <w:sz w:val="10"/>
                <w:szCs w:val="10"/>
                <w:b w:val="1"/>
                <w:bCs w:val="1"/>
                <w:color w:val="auto"/>
                <w:w w:val="91"/>
              </w:rPr>
              <w:t>2019 (3)</w:t>
            </w:r>
          </w:p>
        </w:tc>
        <w:tc>
          <w:tcPr>
            <w:tcW w:w="280" w:type="dxa"/>
            <w:vAlign w:val="bottom"/>
            <w:tcBorders>
              <w:right w:val="single" w:sz="8" w:color="auto"/>
            </w:tcBorders>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b w:val="1"/>
                <w:bCs w:val="1"/>
                <w:color w:val="auto"/>
              </w:rPr>
              <w:t>2019 (3)</w:t>
            </w:r>
          </w:p>
        </w:tc>
        <w:tc>
          <w:tcPr>
            <w:tcW w:w="100" w:type="dxa"/>
            <w:vAlign w:val="bottom"/>
          </w:tcPr>
          <w:p>
            <w:pPr>
              <w:spacing w:after="0"/>
              <w:rPr>
                <w:sz w:val="10"/>
                <w:szCs w:val="10"/>
                <w:color w:val="auto"/>
              </w:rPr>
            </w:pPr>
          </w:p>
        </w:tc>
        <w:tc>
          <w:tcPr>
            <w:tcW w:w="50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1"/>
              </w:rPr>
              <w:t>2019 (4)</w:t>
            </w:r>
          </w:p>
        </w:tc>
        <w:tc>
          <w:tcPr>
            <w:tcW w:w="40" w:type="dxa"/>
            <w:vAlign w:val="bottom"/>
          </w:tcPr>
          <w:p>
            <w:pPr>
              <w:spacing w:after="0"/>
              <w:rPr>
                <w:sz w:val="10"/>
                <w:szCs w:val="10"/>
                <w:color w:val="auto"/>
              </w:rPr>
            </w:pPr>
          </w:p>
        </w:tc>
      </w:tr>
      <w:tr>
        <w:trPr>
          <w:trHeight w:val="133"/>
        </w:trPr>
        <w:tc>
          <w:tcPr>
            <w:tcW w:w="28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Revenue</w:t>
            </w: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$ 39,821</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$ 36,936</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33,658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30,073</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$ 28,245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$ 26,341</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23,233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16,812</w:t>
            </w:r>
          </w:p>
        </w:tc>
        <w:tc>
          <w:tcPr>
            <w:tcW w:w="280" w:type="dxa"/>
            <w:vAlign w:val="bottom"/>
            <w:tcBorders>
              <w:top w:val="single" w:sz="8" w:color="CCEEFF"/>
              <w:right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5"/>
              </w:rPr>
              <w:t>$3,829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5"/>
              </w:rPr>
              <w:t>$22,631</w:t>
            </w:r>
          </w:p>
        </w:tc>
        <w:tc>
          <w:tcPr>
            <w:tcW w:w="1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$ 18,998</w:t>
            </w:r>
          </w:p>
        </w:tc>
        <w:tc>
          <w:tcPr>
            <w:tcW w:w="40" w:type="dxa"/>
            <w:vAlign w:val="bottom"/>
            <w:tcBorders>
              <w:top w:val="single" w:sz="8" w:color="CCEEFF"/>
            </w:tcBorders>
            <w:shd w:val="clear" w:color="auto" w:fill="CCEEFF"/>
          </w:tcPr>
          <w:p>
            <w:pPr>
              <w:spacing w:after="0"/>
              <w:rPr>
                <w:sz w:val="11"/>
                <w:szCs w:val="11"/>
                <w:color w:val="auto"/>
              </w:rPr>
            </w:pPr>
          </w:p>
        </w:tc>
      </w:tr>
      <w:tr>
        <w:trPr>
          <w:trHeight w:val="140"/>
        </w:trPr>
        <w:tc>
          <w:tcPr>
            <w:tcW w:w="2860" w:type="dxa"/>
            <w:vAlign w:val="bottom"/>
          </w:tcPr>
          <w:p>
            <w:pPr>
              <w:spacing w:after="0" w:line="140" w:lineRule="exact"/>
              <w:rPr>
                <w:sz w:val="20"/>
                <w:szCs w:val="20"/>
                <w:color w:val="auto"/>
              </w:rPr>
            </w:pPr>
            <w:r>
              <w:rPr>
                <w:rFonts w:ascii="Arial" w:cs="Arial" w:eastAsia="Arial" w:hAnsi="Arial"/>
                <w:sz w:val="13"/>
                <w:szCs w:val="13"/>
                <w:color w:val="auto"/>
              </w:rPr>
              <w:t>Gross profit</w:t>
            </w: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29,952</w:t>
            </w:r>
          </w:p>
        </w:tc>
        <w:tc>
          <w:tcPr>
            <w:tcW w:w="120" w:type="dxa"/>
            <w:vAlign w:val="bottom"/>
          </w:tcPr>
          <w:p>
            <w:pPr>
              <w:spacing w:after="0"/>
              <w:rPr>
                <w:sz w:val="12"/>
                <w:szCs w:val="12"/>
                <w:color w:val="auto"/>
              </w:rPr>
            </w:pPr>
          </w:p>
        </w:tc>
        <w:tc>
          <w:tcPr>
            <w:tcW w:w="680" w:type="dxa"/>
            <w:vAlign w:val="bottom"/>
            <w:gridSpan w:val="3"/>
          </w:tcPr>
          <w:p>
            <w:pPr>
              <w:jc w:val="right"/>
              <w:ind w:right="160"/>
              <w:spacing w:after="0" w:line="140" w:lineRule="exact"/>
              <w:rPr>
                <w:sz w:val="20"/>
                <w:szCs w:val="20"/>
                <w:color w:val="auto"/>
              </w:rPr>
            </w:pPr>
            <w:r>
              <w:rPr>
                <w:rFonts w:ascii="Arial" w:cs="Arial" w:eastAsia="Arial" w:hAnsi="Arial"/>
                <w:sz w:val="13"/>
                <w:szCs w:val="13"/>
                <w:color w:val="auto"/>
              </w:rPr>
              <w:t>27,499</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25,344</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22,660</w:t>
            </w: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20,939</w:t>
            </w:r>
          </w:p>
        </w:tc>
        <w:tc>
          <w:tcPr>
            <w:tcW w:w="100" w:type="dxa"/>
            <w:vAlign w:val="bottom"/>
          </w:tcPr>
          <w:p>
            <w:pPr>
              <w:spacing w:after="0"/>
              <w:rPr>
                <w:sz w:val="12"/>
                <w:szCs w:val="12"/>
                <w:color w:val="auto"/>
              </w:rPr>
            </w:pPr>
          </w:p>
        </w:tc>
        <w:tc>
          <w:tcPr>
            <w:tcW w:w="700" w:type="dxa"/>
            <w:vAlign w:val="bottom"/>
            <w:gridSpan w:val="3"/>
          </w:tcPr>
          <w:p>
            <w:pPr>
              <w:jc w:val="right"/>
              <w:ind w:right="180"/>
              <w:spacing w:after="0" w:line="140" w:lineRule="exact"/>
              <w:rPr>
                <w:sz w:val="20"/>
                <w:szCs w:val="20"/>
                <w:color w:val="auto"/>
              </w:rPr>
            </w:pPr>
            <w:r>
              <w:rPr>
                <w:rFonts w:ascii="Arial" w:cs="Arial" w:eastAsia="Arial" w:hAnsi="Arial"/>
                <w:sz w:val="13"/>
                <w:szCs w:val="13"/>
                <w:color w:val="auto"/>
              </w:rPr>
              <w:t>18,906</w:t>
            </w: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15,796</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80"/>
              <w:spacing w:after="0" w:line="140" w:lineRule="exact"/>
              <w:rPr>
                <w:sz w:val="20"/>
                <w:szCs w:val="20"/>
                <w:color w:val="auto"/>
              </w:rPr>
            </w:pPr>
            <w:r>
              <w:rPr>
                <w:rFonts w:ascii="Arial" w:cs="Arial" w:eastAsia="Arial" w:hAnsi="Arial"/>
                <w:sz w:val="13"/>
                <w:szCs w:val="13"/>
                <w:color w:val="auto"/>
              </w:rPr>
              <w:t>10,967</w:t>
            </w:r>
          </w:p>
        </w:tc>
        <w:tc>
          <w:tcPr>
            <w:tcW w:w="58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3,297</w:t>
            </w:r>
          </w:p>
        </w:tc>
        <w:tc>
          <w:tcPr>
            <w:tcW w:w="10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20,177</w:t>
            </w:r>
          </w:p>
        </w:tc>
        <w:tc>
          <w:tcPr>
            <w:tcW w:w="140" w:type="dxa"/>
            <w:vAlign w:val="bottom"/>
          </w:tcPr>
          <w:p>
            <w:pPr>
              <w:spacing w:after="0"/>
              <w:rPr>
                <w:sz w:val="12"/>
                <w:szCs w:val="12"/>
                <w:color w:val="auto"/>
              </w:rPr>
            </w:pPr>
          </w:p>
        </w:tc>
        <w:tc>
          <w:tcPr>
            <w:tcW w:w="48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16,656</w:t>
            </w:r>
          </w:p>
        </w:tc>
      </w:tr>
      <w:tr>
        <w:trPr>
          <w:trHeight w:val="140"/>
        </w:trPr>
        <w:tc>
          <w:tcPr>
            <w:tcW w:w="2860" w:type="dxa"/>
            <w:vAlign w:val="bottom"/>
            <w:shd w:val="clear" w:color="auto" w:fill="CCEEFF"/>
          </w:tcPr>
          <w:p>
            <w:pPr>
              <w:ind w:left="120"/>
              <w:spacing w:after="0" w:line="140" w:lineRule="exact"/>
              <w:rPr>
                <w:sz w:val="20"/>
                <w:szCs w:val="20"/>
                <w:color w:val="auto"/>
              </w:rPr>
            </w:pPr>
            <w:r>
              <w:rPr>
                <w:rFonts w:ascii="Arial" w:cs="Arial" w:eastAsia="Arial" w:hAnsi="Arial"/>
                <w:sz w:val="13"/>
                <w:szCs w:val="13"/>
                <w:color w:val="auto"/>
              </w:rPr>
              <w:t>(Loss) income from operations</w:t>
            </w:r>
          </w:p>
        </w:tc>
        <w:tc>
          <w:tcPr>
            <w:tcW w:w="58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(6,623)</w:t>
            </w:r>
          </w:p>
        </w:tc>
        <w:tc>
          <w:tcPr>
            <w:tcW w:w="680" w:type="dxa"/>
            <w:vAlign w:val="bottom"/>
            <w:gridSpan w:val="3"/>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(2,158)</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(6,952)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(940)</w:t>
            </w:r>
          </w:p>
        </w:tc>
        <w:tc>
          <w:tcPr>
            <w:tcW w:w="56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(2,170)</w:t>
            </w:r>
          </w:p>
        </w:tc>
        <w:tc>
          <w:tcPr>
            <w:tcW w:w="700" w:type="dxa"/>
            <w:vAlign w:val="bottom"/>
            <w:gridSpan w:val="3"/>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(4,383)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(8,586)</w:t>
            </w:r>
          </w:p>
        </w:tc>
        <w:tc>
          <w:tcPr>
            <w:tcW w:w="100" w:type="dxa"/>
            <w:vAlign w:val="bottom"/>
            <w:shd w:val="clear" w:color="auto" w:fill="CCEEFF"/>
          </w:tcPr>
          <w:p>
            <w:pPr>
              <w:spacing w:after="0"/>
              <w:rPr>
                <w:sz w:val="12"/>
                <w:szCs w:val="12"/>
                <w:color w:val="auto"/>
              </w:rPr>
            </w:pPr>
          </w:p>
        </w:tc>
        <w:tc>
          <w:tcPr>
            <w:tcW w:w="800" w:type="dxa"/>
            <w:vAlign w:val="bottom"/>
            <w:tcBorders>
              <w:right w:val="single" w:sz="8" w:color="auto"/>
            </w:tcBorders>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(22,476)</w:t>
            </w:r>
          </w:p>
        </w:tc>
        <w:tc>
          <w:tcPr>
            <w:tcW w:w="680" w:type="dxa"/>
            <w:vAlign w:val="bottom"/>
            <w:gridSpan w:val="3"/>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(647)</w:t>
            </w: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8,022</w:t>
            </w:r>
          </w:p>
        </w:tc>
        <w:tc>
          <w:tcPr>
            <w:tcW w:w="1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5,658</w:t>
            </w:r>
          </w:p>
        </w:tc>
      </w:tr>
      <w:tr>
        <w:trPr>
          <w:trHeight w:val="140"/>
        </w:trPr>
        <w:tc>
          <w:tcPr>
            <w:tcW w:w="2860" w:type="dxa"/>
            <w:vAlign w:val="bottom"/>
          </w:tcPr>
          <w:p>
            <w:pPr>
              <w:spacing w:after="0" w:line="140" w:lineRule="exact"/>
              <w:rPr>
                <w:sz w:val="20"/>
                <w:szCs w:val="20"/>
                <w:color w:val="auto"/>
              </w:rPr>
            </w:pPr>
            <w:r>
              <w:rPr>
                <w:rFonts w:ascii="Arial" w:cs="Arial" w:eastAsia="Arial" w:hAnsi="Arial"/>
                <w:sz w:val="13"/>
                <w:szCs w:val="13"/>
                <w:color w:val="auto"/>
              </w:rPr>
              <w:t>Net (loss) income</w:t>
            </w:r>
          </w:p>
        </w:tc>
        <w:tc>
          <w:tcPr>
            <w:tcW w:w="58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w w:val="99"/>
              </w:rPr>
              <w:t>(15,039)</w:t>
            </w:r>
          </w:p>
        </w:tc>
        <w:tc>
          <w:tcPr>
            <w:tcW w:w="680" w:type="dxa"/>
            <w:vAlign w:val="bottom"/>
            <w:gridSpan w:val="3"/>
          </w:tcPr>
          <w:p>
            <w:pPr>
              <w:jc w:val="right"/>
              <w:ind w:right="120"/>
              <w:spacing w:after="0" w:line="140" w:lineRule="exact"/>
              <w:rPr>
                <w:sz w:val="20"/>
                <w:szCs w:val="20"/>
                <w:color w:val="auto"/>
              </w:rPr>
            </w:pPr>
            <w:r>
              <w:rPr>
                <w:rFonts w:ascii="Arial" w:cs="Arial" w:eastAsia="Arial" w:hAnsi="Arial"/>
                <w:sz w:val="13"/>
                <w:szCs w:val="13"/>
                <w:color w:val="auto"/>
              </w:rPr>
              <w:t>(10,488)</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auto"/>
              </w:rPr>
              <w:t>(15,862)</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auto"/>
              </w:rPr>
              <w:t>(9,962)</w:t>
            </w:r>
          </w:p>
        </w:tc>
        <w:tc>
          <w:tcPr>
            <w:tcW w:w="56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w w:val="99"/>
              </w:rPr>
              <w:t>(11,498)</w:t>
            </w:r>
          </w:p>
        </w:tc>
        <w:tc>
          <w:tcPr>
            <w:tcW w:w="700" w:type="dxa"/>
            <w:vAlign w:val="bottom"/>
            <w:gridSpan w:val="3"/>
          </w:tcPr>
          <w:p>
            <w:pPr>
              <w:jc w:val="right"/>
              <w:ind w:right="120"/>
              <w:spacing w:after="0" w:line="140" w:lineRule="exact"/>
              <w:rPr>
                <w:sz w:val="20"/>
                <w:szCs w:val="20"/>
                <w:color w:val="auto"/>
              </w:rPr>
            </w:pPr>
            <w:r>
              <w:rPr>
                <w:rFonts w:ascii="Arial" w:cs="Arial" w:eastAsia="Arial" w:hAnsi="Arial"/>
                <w:sz w:val="13"/>
                <w:szCs w:val="13"/>
                <w:color w:val="auto"/>
              </w:rPr>
              <w:t>(13,835)</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auto"/>
              </w:rPr>
              <w:t>(18,480)</w:t>
            </w: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color w:val="auto"/>
              </w:rPr>
              <w:t>(30,786)</w:t>
            </w:r>
          </w:p>
        </w:tc>
        <w:tc>
          <w:tcPr>
            <w:tcW w:w="680" w:type="dxa"/>
            <w:vAlign w:val="bottom"/>
            <w:gridSpan w:val="3"/>
          </w:tcPr>
          <w:p>
            <w:pPr>
              <w:jc w:val="right"/>
              <w:ind w:right="60"/>
              <w:spacing w:after="0" w:line="140" w:lineRule="exact"/>
              <w:rPr>
                <w:sz w:val="20"/>
                <w:szCs w:val="20"/>
                <w:color w:val="auto"/>
              </w:rPr>
            </w:pPr>
            <w:r>
              <w:rPr>
                <w:rFonts w:ascii="Arial" w:cs="Arial" w:eastAsia="Arial" w:hAnsi="Arial"/>
                <w:sz w:val="13"/>
                <w:szCs w:val="13"/>
                <w:color w:val="auto"/>
              </w:rPr>
              <w:t>(639)</w:t>
            </w: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7,964</w:t>
            </w:r>
          </w:p>
        </w:tc>
        <w:tc>
          <w:tcPr>
            <w:tcW w:w="140" w:type="dxa"/>
            <w:vAlign w:val="bottom"/>
          </w:tcPr>
          <w:p>
            <w:pPr>
              <w:spacing w:after="0"/>
              <w:rPr>
                <w:sz w:val="12"/>
                <w:szCs w:val="12"/>
                <w:color w:val="auto"/>
              </w:rPr>
            </w:pPr>
          </w:p>
        </w:tc>
        <w:tc>
          <w:tcPr>
            <w:tcW w:w="48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5,543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hanging="406"/>
        <w:spacing w:after="0"/>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 completed the purchase of all of the outstanding shares of Monocl in December 2020 for a total estimated consideration of</w:t>
      </w:r>
    </w:p>
    <w:p>
      <w:pPr>
        <w:spacing w:after="0" w:line="31" w:lineRule="exact"/>
        <w:rPr>
          <w:rFonts w:ascii="Arial" w:cs="Arial" w:eastAsia="Arial" w:hAnsi="Arial"/>
          <w:sz w:val="16"/>
          <w:szCs w:val="16"/>
          <w:color w:val="auto"/>
        </w:rPr>
      </w:pPr>
    </w:p>
    <w:p>
      <w:pPr>
        <w:ind w:left="840" w:right="40"/>
        <w:spacing w:after="0" w:line="265" w:lineRule="auto"/>
        <w:rPr>
          <w:rFonts w:ascii="Arial" w:cs="Arial" w:eastAsia="Arial" w:hAnsi="Arial"/>
          <w:sz w:val="16"/>
          <w:szCs w:val="16"/>
          <w:color w:val="auto"/>
        </w:rPr>
      </w:pPr>
      <w:r>
        <w:rPr>
          <w:rFonts w:ascii="Arial" w:cs="Arial" w:eastAsia="Arial" w:hAnsi="Arial"/>
          <w:sz w:val="16"/>
          <w:szCs w:val="16"/>
          <w:color w:val="auto"/>
        </w:rPr>
        <w:t>$46.3 million and up to $60.0 million, consisting of approximately $18.3 million of cash payable at closing, $25.4 million of rollover equity of the Company indirectly through an affiliate, AIDH Management Holdings, LLC, and up to $15.0 million of contingent consideration.</w:t>
      </w:r>
    </w:p>
    <w:p>
      <w:pPr>
        <w:ind w:left="840" w:right="580" w:hanging="406"/>
        <w:spacing w:after="0" w:line="249" w:lineRule="auto"/>
        <w:tabs>
          <w:tab w:leader="none" w:pos="8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Company acquired 100% of the issued and outstanding common and preferred stock of HSE for a total purchase price of $6.8 million, consisting of $2.8 million of cash and $4.0 million of equity issued.</w:t>
      </w:r>
    </w:p>
    <w:p>
      <w:pPr>
        <w:spacing w:after="0" w:line="1" w:lineRule="exact"/>
        <w:rPr>
          <w:rFonts w:ascii="Arial" w:cs="Arial" w:eastAsia="Arial" w:hAnsi="Arial"/>
          <w:sz w:val="17"/>
          <w:szCs w:val="17"/>
          <w:color w:val="auto"/>
        </w:rPr>
      </w:pPr>
    </w:p>
    <w:p>
      <w:pPr>
        <w:ind w:left="840" w:right="120" w:hanging="406"/>
        <w:spacing w:after="0" w:line="265" w:lineRule="auto"/>
        <w:tabs>
          <w:tab w:leader="none" w:pos="8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On July 16, 2019, Advent acquired 100% of the issued and outstanding units of the Company, for a total consideration of $1,699.6 million, consisting of $1,129.3 million of cash and $570.3 million of equity units issued to the sellers and former owners. As a result, our interest expense increased substantially and is reflected in our Successor periods consolidated financial statements. Accordingly, the consolidated financial statements for the period prior to the acquisition may not be comparable to those from the periods after.</w:t>
      </w:r>
    </w:p>
    <w:p>
      <w:pPr>
        <w:spacing w:after="0" w:line="1" w:lineRule="exact"/>
        <w:rPr>
          <w:rFonts w:ascii="Arial" w:cs="Arial" w:eastAsia="Arial" w:hAnsi="Arial"/>
          <w:sz w:val="16"/>
          <w:szCs w:val="16"/>
          <w:color w:val="auto"/>
        </w:rPr>
      </w:pPr>
    </w:p>
    <w:p>
      <w:pPr>
        <w:ind w:left="840" w:right="340" w:hanging="406"/>
        <w:spacing w:after="0" w:line="259" w:lineRule="auto"/>
        <w:tabs>
          <w:tab w:leader="none" w:pos="8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Predecessor Company acquired substantially all of the assets and assumed substantially all of the liabilities of HIMSS for a total purchase price of $29.8 million.</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Gross Profit</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83"/>
              </w:rPr>
              <w:t>Predecessor</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center"/>
              <w:ind w:right="61"/>
              <w:spacing w:after="0" w:line="96" w:lineRule="exact"/>
              <w:rPr>
                <w:sz w:val="20"/>
                <w:szCs w:val="20"/>
                <w:color w:val="auto"/>
              </w:rPr>
            </w:pPr>
            <w:r>
              <w:rPr>
                <w:rFonts w:ascii="Arial" w:cs="Arial" w:eastAsia="Arial" w:hAnsi="Arial"/>
                <w:sz w:val="10"/>
                <w:szCs w:val="10"/>
                <w:b w:val="1"/>
                <w:bCs w:val="1"/>
                <w:color w:val="auto"/>
                <w:w w:val="89"/>
              </w:rPr>
              <w:t>Period</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w w:val="96"/>
              </w:rPr>
              <w:t>Period</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7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from</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from</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Months</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0"/>
                <w:szCs w:val="10"/>
                <w:b w:val="1"/>
                <w:bCs w:val="1"/>
                <w:color w:val="auto"/>
                <w:w w:val="90"/>
              </w:rPr>
              <w:t>July 16, 2019</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July 1,</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4"/>
              </w:rPr>
              <w:t>to</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6"/>
              </w:rPr>
              <w:t>2019 to</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3"/>
        </w:trPr>
        <w:tc>
          <w:tcPr>
            <w:tcW w:w="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w w:val="87"/>
              </w:rPr>
              <w:t>(</w:t>
            </w:r>
            <w:r>
              <w:rPr>
                <w:rFonts w:ascii="Arial" w:cs="Arial" w:eastAsia="Arial" w:hAnsi="Arial"/>
                <w:sz w:val="10"/>
                <w:szCs w:val="10"/>
                <w:b w:val="1"/>
                <w:bCs w:val="1"/>
                <w:color w:val="auto"/>
                <w:w w:val="87"/>
              </w:rPr>
              <w:t>$ in thousands)</w:t>
            </w:r>
          </w:p>
        </w:tc>
        <w:tc>
          <w:tcPr>
            <w:tcW w:w="1240" w:type="dxa"/>
            <w:vAlign w:val="bottom"/>
            <w:vMerge w:val="restart"/>
          </w:tcPr>
          <w:p>
            <w:pPr>
              <w:spacing w:after="0"/>
              <w:rPr>
                <w:sz w:val="9"/>
                <w:szCs w:val="9"/>
                <w:color w:val="auto"/>
              </w:rPr>
            </w:pPr>
          </w:p>
        </w:tc>
        <w:tc>
          <w:tcPr>
            <w:tcW w:w="68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4"/>
              </w:rPr>
              <w:t>June 30,</w:t>
            </w:r>
          </w:p>
        </w:tc>
        <w:tc>
          <w:tcPr>
            <w:tcW w:w="7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5"/>
              </w:rPr>
              <w:t>March 31,</w:t>
            </w:r>
          </w:p>
        </w:tc>
        <w:tc>
          <w:tcPr>
            <w:tcW w:w="840" w:type="dxa"/>
            <w:vAlign w:val="bottom"/>
            <w:gridSpan w:val="3"/>
          </w:tcPr>
          <w:p>
            <w:pPr>
              <w:jc w:val="center"/>
              <w:ind w:right="260"/>
              <w:spacing w:after="0" w:line="114" w:lineRule="exact"/>
              <w:rPr>
                <w:sz w:val="20"/>
                <w:szCs w:val="20"/>
                <w:color w:val="auto"/>
              </w:rPr>
            </w:pPr>
            <w:r>
              <w:rPr>
                <w:rFonts w:ascii="Arial" w:cs="Arial" w:eastAsia="Arial" w:hAnsi="Arial"/>
                <w:sz w:val="10"/>
                <w:szCs w:val="10"/>
                <w:b w:val="1"/>
                <w:bCs w:val="1"/>
                <w:color w:val="auto"/>
                <w:w w:val="89"/>
              </w:rPr>
              <w:t>December 31,</w:t>
            </w:r>
          </w:p>
        </w:tc>
        <w:tc>
          <w:tcPr>
            <w:tcW w:w="80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20" w:type="dxa"/>
            <w:vAlign w:val="bottom"/>
            <w:gridSpan w:val="2"/>
          </w:tcPr>
          <w:p>
            <w:pPr>
              <w:jc w:val="center"/>
              <w:ind w:right="180"/>
              <w:spacing w:after="0" w:line="114" w:lineRule="exact"/>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9"/>
                <w:szCs w:val="9"/>
                <w:color w:val="auto"/>
              </w:rPr>
            </w:pPr>
          </w:p>
        </w:tc>
        <w:tc>
          <w:tcPr>
            <w:tcW w:w="780" w:type="dxa"/>
            <w:vAlign w:val="bottom"/>
            <w:gridSpan w:val="3"/>
          </w:tcPr>
          <w:p>
            <w:pPr>
              <w:jc w:val="center"/>
              <w:ind w:right="180"/>
              <w:spacing w:after="0" w:line="114" w:lineRule="exact"/>
              <w:rPr>
                <w:sz w:val="20"/>
                <w:szCs w:val="20"/>
                <w:color w:val="auto"/>
              </w:rPr>
            </w:pPr>
            <w:r>
              <w:rPr>
                <w:rFonts w:ascii="Arial" w:cs="Arial" w:eastAsia="Arial" w:hAnsi="Arial"/>
                <w:sz w:val="10"/>
                <w:szCs w:val="10"/>
                <w:b w:val="1"/>
                <w:bCs w:val="1"/>
                <w:color w:val="auto"/>
                <w:w w:val="92"/>
              </w:rPr>
              <w:t>December 31,</w:t>
            </w:r>
          </w:p>
        </w:tc>
        <w:tc>
          <w:tcPr>
            <w:tcW w:w="80" w:type="dxa"/>
            <w:vAlign w:val="bottom"/>
          </w:tcPr>
          <w:p>
            <w:pPr>
              <w:spacing w:after="0"/>
              <w:rPr>
                <w:sz w:val="9"/>
                <w:szCs w:val="9"/>
                <w:color w:val="auto"/>
              </w:rPr>
            </w:pPr>
          </w:p>
        </w:tc>
        <w:tc>
          <w:tcPr>
            <w:tcW w:w="860" w:type="dxa"/>
            <w:vAlign w:val="bottom"/>
            <w:gridSpan w:val="3"/>
          </w:tcPr>
          <w:p>
            <w:pPr>
              <w:jc w:val="center"/>
              <w:ind w:right="240"/>
              <w:spacing w:after="0" w:line="114" w:lineRule="exact"/>
              <w:rPr>
                <w:sz w:val="20"/>
                <w:szCs w:val="20"/>
                <w:color w:val="auto"/>
              </w:rPr>
            </w:pPr>
            <w:r>
              <w:rPr>
                <w:rFonts w:ascii="Arial" w:cs="Arial" w:eastAsia="Arial" w:hAnsi="Arial"/>
                <w:sz w:val="10"/>
                <w:szCs w:val="10"/>
                <w:b w:val="1"/>
                <w:bCs w:val="1"/>
                <w:color w:val="auto"/>
                <w:w w:val="90"/>
              </w:rPr>
              <w:t>September 30,</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gridSpan w:val="2"/>
          </w:tcPr>
          <w:p>
            <w:pPr>
              <w:jc w:val="center"/>
              <w:ind w:right="260"/>
              <w:spacing w:after="0" w:line="114" w:lineRule="exact"/>
              <w:rPr>
                <w:sz w:val="20"/>
                <w:szCs w:val="20"/>
                <w:color w:val="auto"/>
              </w:rPr>
            </w:pPr>
            <w:r>
              <w:rPr>
                <w:rFonts w:ascii="Arial" w:cs="Arial" w:eastAsia="Arial" w:hAnsi="Arial"/>
                <w:sz w:val="10"/>
                <w:szCs w:val="10"/>
                <w:b w:val="1"/>
                <w:bCs w:val="1"/>
                <w:color w:val="auto"/>
                <w:w w:val="92"/>
              </w:rPr>
              <w:t>July 15,</w:t>
            </w:r>
          </w:p>
        </w:tc>
        <w:tc>
          <w:tcPr>
            <w:tcW w:w="600" w:type="dxa"/>
            <w:vAlign w:val="bottom"/>
            <w:gridSpan w:val="2"/>
          </w:tcPr>
          <w:p>
            <w:pPr>
              <w:jc w:val="center"/>
              <w:ind w:right="160"/>
              <w:spacing w:after="0" w:line="114" w:lineRule="exact"/>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00" w:type="dxa"/>
            <w:vAlign w:val="bottom"/>
            <w:gridSpan w:val="2"/>
          </w:tcPr>
          <w:p>
            <w:pPr>
              <w:jc w:val="center"/>
              <w:ind w:right="140"/>
              <w:spacing w:after="0" w:line="114" w:lineRule="exact"/>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34"/>
        </w:trPr>
        <w:tc>
          <w:tcPr>
            <w:tcW w:w="700" w:type="dxa"/>
            <w:vAlign w:val="bottom"/>
            <w:tcBorders>
              <w:bottom w:val="single" w:sz="8" w:color="auto"/>
            </w:tcBorders>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98"/>
              </w:rPr>
              <w:t>2021</w:t>
            </w:r>
          </w:p>
        </w:tc>
        <w:tc>
          <w:tcPr>
            <w:tcW w:w="26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42"/>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500" w:type="dxa"/>
            <w:vAlign w:val="bottom"/>
            <w:gridSpan w:val="2"/>
          </w:tcPr>
          <w:p>
            <w:pPr>
              <w:jc w:val="center"/>
              <w:ind w:left="39"/>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520" w:type="dxa"/>
            <w:vAlign w:val="bottom"/>
            <w:gridSpan w:val="2"/>
          </w:tcPr>
          <w:p>
            <w:pPr>
              <w:jc w:val="center"/>
              <w:ind w:left="19"/>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61"/>
              <w:spacing w:after="0"/>
              <w:rPr>
                <w:sz w:val="20"/>
                <w:szCs w:val="20"/>
                <w:color w:val="auto"/>
              </w:rPr>
            </w:pPr>
            <w:r>
              <w:rPr>
                <w:rFonts w:ascii="Arial" w:cs="Arial" w:eastAsia="Arial" w:hAnsi="Arial"/>
                <w:sz w:val="10"/>
                <w:szCs w:val="10"/>
                <w:b w:val="1"/>
                <w:bCs w:val="1"/>
                <w:color w:val="auto"/>
                <w:w w:val="89"/>
              </w:rPr>
              <w:t>2019</w:t>
            </w:r>
          </w:p>
        </w:tc>
        <w:tc>
          <w:tcPr>
            <w:tcW w:w="240" w:type="dxa"/>
            <w:vAlign w:val="bottom"/>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580" w:type="dxa"/>
            <w:vAlign w:val="bottom"/>
            <w:gridSpan w:val="2"/>
          </w:tcPr>
          <w:p>
            <w:pPr>
              <w:jc w:val="right"/>
              <w:ind w:right="5"/>
              <w:spacing w:after="0"/>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11"/>
                <w:szCs w:val="11"/>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98"/>
              </w:rPr>
              <w:t>2019</w:t>
            </w:r>
          </w:p>
        </w:tc>
        <w:tc>
          <w:tcPr>
            <w:tcW w:w="180" w:type="dxa"/>
            <w:vAlign w:val="bottom"/>
          </w:tcPr>
          <w:p>
            <w:pPr>
              <w:spacing w:after="0"/>
              <w:rPr>
                <w:sz w:val="11"/>
                <w:szCs w:val="11"/>
                <w:color w:val="auto"/>
              </w:rPr>
            </w:pPr>
          </w:p>
        </w:tc>
        <w:tc>
          <w:tcPr>
            <w:tcW w:w="540" w:type="dxa"/>
            <w:vAlign w:val="bottom"/>
            <w:gridSpan w:val="2"/>
          </w:tcPr>
          <w:p>
            <w:pPr>
              <w:jc w:val="center"/>
              <w:ind w:left="19"/>
              <w:spacing w:after="0"/>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940" w:type="dxa"/>
            <w:vAlign w:val="bottom"/>
            <w:tcBorders>
              <w:top w:val="single" w:sz="8" w:color="CCEEFF"/>
            </w:tcBorders>
            <w:gridSpan w:val="2"/>
            <w:shd w:val="clear" w:color="auto" w:fill="CCEEFF"/>
          </w:tcPr>
          <w:p>
            <w:pPr>
              <w:spacing w:after="0" w:line="126" w:lineRule="exact"/>
              <w:rPr>
                <w:sz w:val="20"/>
                <w:szCs w:val="20"/>
                <w:color w:val="auto"/>
              </w:rPr>
            </w:pPr>
            <w:r>
              <w:rPr>
                <w:rFonts w:ascii="Arial" w:cs="Arial" w:eastAsia="Arial" w:hAnsi="Arial"/>
                <w:sz w:val="13"/>
                <w:szCs w:val="13"/>
                <w:color w:val="auto"/>
              </w:rPr>
              <w:t>Reported gross profit</w:t>
            </w: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$29,952</w:t>
            </w:r>
          </w:p>
        </w:tc>
        <w:tc>
          <w:tcPr>
            <w:tcW w:w="2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$ 27,499</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25,344</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22,660</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$20,939</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$ 18,906</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15,796</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10,967</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0"/>
              </w:rPr>
              <w:t>$3,297</w:t>
            </w:r>
          </w:p>
        </w:tc>
        <w:tc>
          <w:tcPr>
            <w:tcW w:w="2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$20,177</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6"/>
              </w:rPr>
              <w:t>$ 16,656</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940" w:type="dxa"/>
            <w:vAlign w:val="bottom"/>
            <w:gridSpan w:val="2"/>
          </w:tcPr>
          <w:p>
            <w:pPr>
              <w:spacing w:after="0" w:line="131" w:lineRule="exact"/>
              <w:rPr>
                <w:sz w:val="20"/>
                <w:szCs w:val="20"/>
                <w:color w:val="auto"/>
              </w:rPr>
            </w:pPr>
            <w:r>
              <w:rPr>
                <w:rFonts w:ascii="Arial" w:cs="Arial" w:eastAsia="Arial" w:hAnsi="Arial"/>
                <w:sz w:val="13"/>
                <w:szCs w:val="13"/>
                <w:color w:val="auto"/>
              </w:rPr>
              <w:t>Amortization of intangible assets</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ind w:left="120"/>
              <w:spacing w:after="0" w:line="140" w:lineRule="exact"/>
              <w:rPr>
                <w:sz w:val="20"/>
                <w:szCs w:val="20"/>
                <w:color w:val="auto"/>
              </w:rPr>
            </w:pPr>
            <w:r>
              <w:rPr>
                <w:rFonts w:ascii="Arial" w:cs="Arial" w:eastAsia="Arial" w:hAnsi="Arial"/>
                <w:sz w:val="13"/>
                <w:szCs w:val="13"/>
                <w:color w:val="auto"/>
                <w:w w:val="95"/>
              </w:rPr>
              <w:t>resulting from acquisition-related</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ind w:left="120"/>
              <w:spacing w:after="0" w:line="140" w:lineRule="exact"/>
              <w:rPr>
                <w:sz w:val="20"/>
                <w:szCs w:val="20"/>
                <w:color w:val="auto"/>
              </w:rPr>
            </w:pPr>
            <w:r>
              <w:rPr>
                <w:rFonts w:ascii="Arial" w:cs="Arial" w:eastAsia="Arial" w:hAnsi="Arial"/>
                <w:sz w:val="13"/>
                <w:szCs w:val="13"/>
                <w:color w:val="auto"/>
              </w:rPr>
              <w:t>purchase accounting</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ind w:left="120"/>
              <w:spacing w:after="0"/>
              <w:rPr>
                <w:sz w:val="20"/>
                <w:szCs w:val="20"/>
                <w:color w:val="auto"/>
              </w:rPr>
            </w:pPr>
            <w:r>
              <w:rPr>
                <w:rFonts w:ascii="Arial" w:cs="Arial" w:eastAsia="Arial" w:hAnsi="Arial"/>
                <w:sz w:val="13"/>
                <w:szCs w:val="13"/>
                <w:color w:val="auto"/>
              </w:rPr>
              <w:t>adjustments</w:t>
            </w:r>
            <w:r>
              <w:rPr>
                <w:rFonts w:ascii="Arial" w:cs="Arial" w:eastAsia="Arial" w:hAnsi="Arial"/>
                <w:sz w:val="10"/>
                <w:szCs w:val="10"/>
                <w:color w:val="auto"/>
              </w:rPr>
              <w:t>(1)</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5,042</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4,987</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4,994</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4,759</w:t>
            </w: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3,906</w:t>
            </w:r>
          </w:p>
        </w:tc>
        <w:tc>
          <w:tcPr>
            <w:tcW w:w="120" w:type="dxa"/>
            <w:vAlign w:val="bottom"/>
            <w:tcBorders>
              <w:right w:val="single" w:sz="8" w:color="auto"/>
            </w:tcBorders>
          </w:tcPr>
          <w:p>
            <w:pPr>
              <w:spacing w:after="0"/>
              <w:rPr>
                <w:sz w:val="12"/>
                <w:szCs w:val="12"/>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3"/>
                <w:szCs w:val="13"/>
                <w:color w:val="auto"/>
              </w:rPr>
              <w:t>41</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249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Equity compensation costs</w:t>
            </w:r>
          </w:p>
        </w:tc>
        <w:tc>
          <w:tcPr>
            <w:tcW w:w="680" w:type="dxa"/>
            <w:vAlign w:val="bottom"/>
            <w:tcBorders>
              <w:bottom w:val="single" w:sz="8" w:color="auto"/>
            </w:tcBorders>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16</w:t>
            </w:r>
          </w:p>
        </w:tc>
        <w:tc>
          <w:tcPr>
            <w:tcW w:w="700" w:type="dxa"/>
            <w:vAlign w:val="bottom"/>
            <w:tcBorders>
              <w:bottom w:val="single" w:sz="8" w:color="auto"/>
            </w:tcBorders>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15</w:t>
            </w: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16</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16</w:t>
            </w:r>
          </w:p>
        </w:tc>
        <w:tc>
          <w:tcPr>
            <w:tcW w:w="1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13</w:t>
            </w:r>
          </w:p>
        </w:tc>
        <w:tc>
          <w:tcPr>
            <w:tcW w:w="2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107</w:t>
            </w:r>
          </w:p>
        </w:tc>
        <w:tc>
          <w:tcPr>
            <w:tcW w:w="600" w:type="dxa"/>
            <w:vAlign w:val="bottom"/>
            <w:tcBorders>
              <w:bottom w:val="single" w:sz="8" w:color="auto"/>
            </w:tcBorders>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75</w:t>
            </w:r>
          </w:p>
        </w:tc>
        <w:tc>
          <w:tcPr>
            <w:tcW w:w="540" w:type="dxa"/>
            <w:vAlign w:val="bottom"/>
            <w:tcBorders>
              <w:bottom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940" w:type="dxa"/>
            <w:vAlign w:val="bottom"/>
            <w:gridSpan w:val="2"/>
          </w:tcPr>
          <w:p>
            <w:pPr>
              <w:spacing w:after="0" w:line="146" w:lineRule="exact"/>
              <w:rPr>
                <w:sz w:val="20"/>
                <w:szCs w:val="20"/>
                <w:color w:val="auto"/>
              </w:rPr>
            </w:pPr>
            <w:r>
              <w:rPr>
                <w:rFonts w:ascii="Arial" w:cs="Arial" w:eastAsia="Arial" w:hAnsi="Arial"/>
                <w:sz w:val="13"/>
                <w:szCs w:val="13"/>
                <w:color w:val="auto"/>
              </w:rPr>
              <w:t>Adjusted Gross Profit</w:t>
            </w:r>
          </w:p>
        </w:tc>
        <w:tc>
          <w:tcPr>
            <w:tcW w:w="68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w w:val="85"/>
              </w:rPr>
              <w:t>$35,010</w:t>
            </w:r>
          </w:p>
        </w:tc>
        <w:tc>
          <w:tcPr>
            <w:tcW w:w="700" w:type="dxa"/>
            <w:vAlign w:val="bottom"/>
            <w:gridSpan w:val="2"/>
          </w:tcPr>
          <w:p>
            <w:pPr>
              <w:jc w:val="right"/>
              <w:ind w:right="260"/>
              <w:spacing w:after="0" w:line="146" w:lineRule="exact"/>
              <w:rPr>
                <w:sz w:val="20"/>
                <w:szCs w:val="20"/>
                <w:color w:val="auto"/>
              </w:rPr>
            </w:pPr>
            <w:r>
              <w:rPr>
                <w:rFonts w:ascii="Arial" w:cs="Arial" w:eastAsia="Arial" w:hAnsi="Arial"/>
                <w:sz w:val="13"/>
                <w:szCs w:val="13"/>
                <w:color w:val="auto"/>
                <w:w w:val="82"/>
              </w:rPr>
              <w:t>$ 32,501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30,354</w:t>
            </w:r>
          </w:p>
        </w:tc>
        <w:tc>
          <w:tcPr>
            <w:tcW w:w="120" w:type="dxa"/>
            <w:vAlign w:val="bottom"/>
          </w:tcPr>
          <w:p>
            <w:pPr>
              <w:jc w:val="right"/>
              <w:spacing w:after="0" w:line="146" w:lineRule="exact"/>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27,435</w:t>
            </w:r>
          </w:p>
        </w:tc>
        <w:tc>
          <w:tcPr>
            <w:tcW w:w="180" w:type="dxa"/>
            <w:vAlign w:val="bottom"/>
          </w:tcPr>
          <w:p>
            <w:pPr>
              <w:spacing w:after="0"/>
              <w:rPr>
                <w:sz w:val="12"/>
                <w:szCs w:val="12"/>
                <w:color w:val="auto"/>
              </w:rPr>
            </w:pPr>
          </w:p>
        </w:tc>
        <w:tc>
          <w:tcPr>
            <w:tcW w:w="5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$25,662</w:t>
            </w:r>
          </w:p>
        </w:tc>
        <w:tc>
          <w:tcPr>
            <w:tcW w:w="180" w:type="dxa"/>
            <w:vAlign w:val="bottom"/>
          </w:tcPr>
          <w:p>
            <w:pPr>
              <w:spacing w:after="0"/>
              <w:rPr>
                <w:sz w:val="12"/>
                <w:szCs w:val="12"/>
                <w:color w:val="auto"/>
              </w:rPr>
            </w:pPr>
          </w:p>
        </w:tc>
        <w:tc>
          <w:tcPr>
            <w:tcW w:w="52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98"/>
              </w:rPr>
              <w:t>$ 23,629</w:t>
            </w:r>
          </w:p>
        </w:tc>
        <w:tc>
          <w:tcPr>
            <w:tcW w:w="180" w:type="dxa"/>
            <w:vAlign w:val="bottom"/>
          </w:tcPr>
          <w:p>
            <w:pPr>
              <w:spacing w:after="0"/>
              <w:rPr>
                <w:sz w:val="12"/>
                <w:szCs w:val="12"/>
                <w:color w:val="auto"/>
              </w:rPr>
            </w:pPr>
          </w:p>
        </w:tc>
        <w:tc>
          <w:tcPr>
            <w:tcW w:w="1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20,507</w:t>
            </w:r>
          </w:p>
        </w:tc>
        <w:tc>
          <w:tcPr>
            <w:tcW w:w="180" w:type="dxa"/>
            <w:vAlign w:val="bottom"/>
          </w:tcPr>
          <w:p>
            <w:pPr>
              <w:spacing w:after="0"/>
              <w:rPr>
                <w:sz w:val="12"/>
                <w:szCs w:val="12"/>
                <w:color w:val="auto"/>
              </w:rPr>
            </w:pPr>
          </w:p>
        </w:tc>
        <w:tc>
          <w:tcPr>
            <w:tcW w:w="1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40"/>
              <w:spacing w:after="0" w:line="146" w:lineRule="exact"/>
              <w:rPr>
                <w:sz w:val="20"/>
                <w:szCs w:val="20"/>
                <w:color w:val="auto"/>
              </w:rPr>
            </w:pPr>
            <w:r>
              <w:rPr>
                <w:rFonts w:ascii="Arial" w:cs="Arial" w:eastAsia="Arial" w:hAnsi="Arial"/>
                <w:sz w:val="13"/>
                <w:szCs w:val="13"/>
                <w:color w:val="auto"/>
              </w:rPr>
              <w:t>14,886</w:t>
            </w:r>
          </w:p>
        </w:tc>
        <w:tc>
          <w:tcPr>
            <w:tcW w:w="120" w:type="dxa"/>
            <w:vAlign w:val="bottom"/>
            <w:tcBorders>
              <w:right w:val="single" w:sz="8" w:color="auto"/>
            </w:tcBorders>
          </w:tcPr>
          <w:p>
            <w:pPr>
              <w:spacing w:after="0"/>
              <w:rPr>
                <w:sz w:val="12"/>
                <w:szCs w:val="12"/>
                <w:color w:val="auto"/>
              </w:rPr>
            </w:pPr>
          </w:p>
        </w:tc>
        <w:tc>
          <w:tcPr>
            <w:tcW w:w="840" w:type="dxa"/>
            <w:vAlign w:val="bottom"/>
            <w:gridSpan w:val="3"/>
          </w:tcPr>
          <w:p>
            <w:pPr>
              <w:jc w:val="right"/>
              <w:ind w:right="260"/>
              <w:spacing w:after="0" w:line="146" w:lineRule="exact"/>
              <w:rPr>
                <w:sz w:val="20"/>
                <w:szCs w:val="20"/>
                <w:color w:val="auto"/>
              </w:rPr>
            </w:pPr>
            <w:r>
              <w:rPr>
                <w:rFonts w:ascii="Arial" w:cs="Arial" w:eastAsia="Arial" w:hAnsi="Arial"/>
                <w:sz w:val="13"/>
                <w:szCs w:val="13"/>
                <w:color w:val="auto"/>
              </w:rPr>
              <w:t>$3,445</w:t>
            </w:r>
          </w:p>
        </w:tc>
        <w:tc>
          <w:tcPr>
            <w:tcW w:w="6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85"/>
              </w:rPr>
              <w:t>$20,501</w:t>
            </w:r>
          </w:p>
        </w:tc>
        <w:tc>
          <w:tcPr>
            <w:tcW w:w="5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$ 16,938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Revenue</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39,821</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36,936</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30,073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28,245</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26,341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23,233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16,812</w:t>
            </w:r>
          </w:p>
        </w:tc>
        <w:tc>
          <w:tcPr>
            <w:tcW w:w="120" w:type="dxa"/>
            <w:vAlign w:val="bottom"/>
            <w:tcBorders>
              <w:right w:val="single" w:sz="8" w:color="auto"/>
            </w:tcBorders>
            <w:shd w:val="clear" w:color="auto" w:fill="CCEEFF"/>
          </w:tcPr>
          <w:p>
            <w:pPr>
              <w:spacing w:after="0"/>
              <w:rPr>
                <w:sz w:val="12"/>
                <w:szCs w:val="12"/>
                <w:color w:val="auto"/>
              </w:rPr>
            </w:pPr>
          </w:p>
        </w:tc>
        <w:tc>
          <w:tcPr>
            <w:tcW w:w="840" w:type="dxa"/>
            <w:vAlign w:val="bottom"/>
            <w:gridSpan w:val="3"/>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3,829</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22,631</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spacing w:after="0" w:line="140" w:lineRule="exact"/>
              <w:rPr>
                <w:sz w:val="20"/>
                <w:szCs w:val="20"/>
                <w:color w:val="auto"/>
              </w:rPr>
            </w:pPr>
            <w:r>
              <w:rPr>
                <w:rFonts w:ascii="Arial" w:cs="Arial" w:eastAsia="Arial" w:hAnsi="Arial"/>
                <w:sz w:val="13"/>
                <w:szCs w:val="13"/>
                <w:color w:val="auto"/>
              </w:rPr>
              <w:t>Adjusted Gross Margin</w:t>
            </w: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88%</w:t>
            </w:r>
          </w:p>
        </w:tc>
        <w:tc>
          <w:tcPr>
            <w:tcW w:w="70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88%</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91%</w:t>
            </w:r>
          </w:p>
        </w:tc>
        <w:tc>
          <w:tcPr>
            <w:tcW w:w="70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89%</w:t>
            </w:r>
          </w:p>
        </w:tc>
        <w:tc>
          <w:tcPr>
            <w:tcW w:w="120" w:type="dxa"/>
            <w:vAlign w:val="bottom"/>
            <w:tcBorders>
              <w:right w:val="single" w:sz="8" w:color="auto"/>
            </w:tcBorders>
          </w:tcPr>
          <w:p>
            <w:pPr>
              <w:spacing w:after="0"/>
              <w:rPr>
                <w:sz w:val="12"/>
                <w:szCs w:val="12"/>
                <w:color w:val="auto"/>
              </w:rPr>
            </w:pPr>
          </w:p>
        </w:tc>
        <w:tc>
          <w:tcPr>
            <w:tcW w:w="840" w:type="dxa"/>
            <w:vAlign w:val="bottom"/>
            <w:gridSpan w:val="3"/>
          </w:tcPr>
          <w:p>
            <w:pPr>
              <w:jc w:val="right"/>
              <w:ind w:right="140"/>
              <w:spacing w:after="0" w:line="140" w:lineRule="exact"/>
              <w:rPr>
                <w:sz w:val="20"/>
                <w:szCs w:val="20"/>
                <w:color w:val="auto"/>
              </w:rPr>
            </w:pPr>
            <w:r>
              <w:rPr>
                <w:rFonts w:ascii="Arial" w:cs="Arial" w:eastAsia="Arial" w:hAnsi="Arial"/>
                <w:sz w:val="13"/>
                <w:szCs w:val="13"/>
                <w:color w:val="auto"/>
              </w:rPr>
              <w:t>90%</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5"/>
        </w:trPr>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5582285</wp:posOffset>
            </wp:positionH>
            <wp:positionV relativeFrom="paragraph">
              <wp:posOffset>-847725</wp:posOffset>
            </wp:positionV>
            <wp:extent cx="1587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5875" cy="8255"/>
                    </a:xfrm>
                    <a:prstGeom prst="rect">
                      <a:avLst/>
                    </a:prstGeom>
                    <a:noFill/>
                  </pic:spPr>
                </pic:pic>
              </a:graphicData>
            </a:graphic>
          </wp:anchor>
        </w:drawing>
      </w:r>
    </w:p>
    <w:p>
      <w:pPr>
        <w:spacing w:after="0" w:line="10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0820"/>
          </w:cols>
          <w:pgMar w:left="320" w:top="442" w:right="75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273685</wp:posOffset>
            </wp:positionV>
            <wp:extent cx="72707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40" w:right="260" w:hanging="406"/>
        <w:spacing w:after="0" w:line="273" w:lineRule="auto"/>
        <w:tabs>
          <w:tab w:leader="none" w:pos="8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the amortization of acquired intangibles, primarily resulting from the Advent acquisition.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Gross Margin</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83"/>
              </w:rPr>
              <w:t>Predecessor</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gridSpan w:val="2"/>
          </w:tcPr>
          <w:p>
            <w:pPr>
              <w:jc w:val="center"/>
              <w:ind w:right="260"/>
              <w:spacing w:after="0" w:line="96" w:lineRule="exact"/>
              <w:rPr>
                <w:sz w:val="20"/>
                <w:szCs w:val="20"/>
                <w:color w:val="auto"/>
              </w:rPr>
            </w:pPr>
            <w:r>
              <w:rPr>
                <w:rFonts w:ascii="Arial" w:cs="Arial" w:eastAsia="Arial" w:hAnsi="Arial"/>
                <w:sz w:val="10"/>
                <w:szCs w:val="10"/>
                <w:b w:val="1"/>
                <w:bCs w:val="1"/>
                <w:color w:val="auto"/>
                <w:w w:val="96"/>
              </w:rPr>
              <w:t>Period</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7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9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0"/>
                <w:szCs w:val="10"/>
                <w:b w:val="1"/>
                <w:bCs w:val="1"/>
                <w:color w:val="auto"/>
                <w:w w:val="92"/>
              </w:rPr>
              <w:t>Period from</w:t>
            </w:r>
          </w:p>
        </w:tc>
        <w:tc>
          <w:tcPr>
            <w:tcW w:w="26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from</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74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Months</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9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0"/>
                <w:szCs w:val="10"/>
                <w:b w:val="1"/>
                <w:bCs w:val="1"/>
                <w:color w:val="auto"/>
                <w:w w:val="90"/>
              </w:rPr>
              <w:t>July 16, 2019</w:t>
            </w:r>
          </w:p>
        </w:tc>
        <w:tc>
          <w:tcPr>
            <w:tcW w:w="26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6"/>
              </w:rPr>
              <w:t>July 1,</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7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480"/>
              <w:spacing w:after="0"/>
              <w:rPr>
                <w:sz w:val="20"/>
                <w:szCs w:val="20"/>
                <w:color w:val="auto"/>
              </w:rPr>
            </w:pPr>
            <w:r>
              <w:rPr>
                <w:rFonts w:ascii="Arial" w:cs="Arial" w:eastAsia="Arial" w:hAnsi="Arial"/>
                <w:sz w:val="10"/>
                <w:szCs w:val="10"/>
                <w:b w:val="1"/>
                <w:bCs w:val="1"/>
                <w:color w:val="auto"/>
                <w:w w:val="84"/>
              </w:rPr>
              <w:t>to</w:t>
            </w:r>
          </w:p>
        </w:tc>
        <w:tc>
          <w:tcPr>
            <w:tcW w:w="26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6"/>
              </w:rPr>
              <w:t>2019 to</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4"/>
        </w:trPr>
        <w:tc>
          <w:tcPr>
            <w:tcW w:w="7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w w:val="87"/>
              </w:rPr>
              <w:t>(</w:t>
            </w:r>
            <w:r>
              <w:rPr>
                <w:rFonts w:ascii="Arial" w:cs="Arial" w:eastAsia="Arial" w:hAnsi="Arial"/>
                <w:sz w:val="10"/>
                <w:szCs w:val="10"/>
                <w:b w:val="1"/>
                <w:bCs w:val="1"/>
                <w:color w:val="auto"/>
                <w:w w:val="87"/>
              </w:rPr>
              <w:t>$ in thousands)</w:t>
            </w:r>
          </w:p>
        </w:tc>
        <w:tc>
          <w:tcPr>
            <w:tcW w:w="1240" w:type="dxa"/>
            <w:vAlign w:val="bottom"/>
            <w:vMerge w:val="restart"/>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4"/>
              </w:rPr>
              <w:t>June 30,</w:t>
            </w:r>
          </w:p>
        </w:tc>
        <w:tc>
          <w:tcPr>
            <w:tcW w:w="7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March 31,</w:t>
            </w:r>
          </w:p>
        </w:tc>
        <w:tc>
          <w:tcPr>
            <w:tcW w:w="84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800" w:type="dxa"/>
            <w:vAlign w:val="bottom"/>
            <w:gridSpan w:val="3"/>
          </w:tcPr>
          <w:p>
            <w:pPr>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9"/>
                <w:szCs w:val="9"/>
                <w:color w:val="auto"/>
              </w:rPr>
            </w:pPr>
          </w:p>
        </w:tc>
        <w:tc>
          <w:tcPr>
            <w:tcW w:w="78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9"/>
                <w:szCs w:val="9"/>
                <w:color w:val="auto"/>
              </w:rPr>
            </w:pPr>
          </w:p>
        </w:tc>
        <w:tc>
          <w:tcPr>
            <w:tcW w:w="96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0"/>
                <w:szCs w:val="10"/>
                <w:b w:val="1"/>
                <w:bCs w:val="1"/>
                <w:color w:val="auto"/>
                <w:w w:val="90"/>
              </w:rPr>
              <w:t>September 30,</w:t>
            </w:r>
          </w:p>
        </w:tc>
        <w:tc>
          <w:tcPr>
            <w:tcW w:w="260" w:type="dxa"/>
            <w:vAlign w:val="bottom"/>
          </w:tcPr>
          <w:p>
            <w:pPr>
              <w:spacing w:after="0"/>
              <w:rPr>
                <w:sz w:val="9"/>
                <w:szCs w:val="9"/>
                <w:color w:val="auto"/>
              </w:rPr>
            </w:pPr>
          </w:p>
        </w:tc>
        <w:tc>
          <w:tcPr>
            <w:tcW w:w="60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2"/>
              </w:rPr>
              <w:t>July 15,</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33"/>
        </w:trPr>
        <w:tc>
          <w:tcPr>
            <w:tcW w:w="700" w:type="dxa"/>
            <w:vAlign w:val="bottom"/>
            <w:tcBorders>
              <w:bottom w:val="single" w:sz="8" w:color="auto"/>
            </w:tcBorders>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4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2021</w:t>
            </w:r>
          </w:p>
        </w:tc>
        <w:tc>
          <w:tcPr>
            <w:tcW w:w="260" w:type="dxa"/>
            <w:vAlign w:val="bottom"/>
          </w:tcPr>
          <w:p>
            <w:pPr>
              <w:spacing w:after="0"/>
              <w:rPr>
                <w:sz w:val="11"/>
                <w:szCs w:val="11"/>
                <w:color w:val="auto"/>
              </w:rPr>
            </w:pPr>
          </w:p>
        </w:tc>
        <w:tc>
          <w:tcPr>
            <w:tcW w:w="4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2021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500" w:type="dxa"/>
            <w:vAlign w:val="bottom"/>
            <w:gridSpan w:val="2"/>
          </w:tcPr>
          <w:p>
            <w:pPr>
              <w:jc w:val="center"/>
              <w:ind w:left="37"/>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520" w:type="dxa"/>
            <w:vAlign w:val="bottom"/>
            <w:gridSpan w:val="2"/>
          </w:tcPr>
          <w:p>
            <w:pPr>
              <w:jc w:val="center"/>
              <w:ind w:left="17"/>
              <w:spacing w:after="0" w:line="114" w:lineRule="exact"/>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ind w:right="78"/>
              <w:spacing w:after="0" w:line="114" w:lineRule="exact"/>
              <w:rPr>
                <w:sz w:val="20"/>
                <w:szCs w:val="20"/>
                <w:color w:val="auto"/>
              </w:rPr>
            </w:pPr>
            <w:r>
              <w:rPr>
                <w:rFonts w:ascii="Arial" w:cs="Arial" w:eastAsia="Arial" w:hAnsi="Arial"/>
                <w:sz w:val="10"/>
                <w:szCs w:val="10"/>
                <w:b w:val="1"/>
                <w:bCs w:val="1"/>
                <w:color w:val="auto"/>
                <w:w w:val="89"/>
              </w:rPr>
              <w:t>2019</w:t>
            </w:r>
          </w:p>
        </w:tc>
        <w:tc>
          <w:tcPr>
            <w:tcW w:w="3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jc w:val="right"/>
              <w:ind w:right="1"/>
              <w:spacing w:after="0" w:line="114" w:lineRule="exact"/>
              <w:rPr>
                <w:sz w:val="20"/>
                <w:szCs w:val="20"/>
                <w:color w:val="auto"/>
              </w:rPr>
            </w:pPr>
            <w:r>
              <w:rPr>
                <w:rFonts w:ascii="Arial" w:cs="Arial" w:eastAsia="Arial" w:hAnsi="Arial"/>
                <w:sz w:val="10"/>
                <w:szCs w:val="10"/>
                <w:b w:val="1"/>
                <w:bCs w:val="1"/>
                <w:color w:val="auto"/>
              </w:rPr>
              <w:t>2019</w:t>
            </w:r>
          </w:p>
        </w:tc>
        <w:tc>
          <w:tcPr>
            <w:tcW w:w="260" w:type="dxa"/>
            <w:vAlign w:val="bottom"/>
          </w:tcPr>
          <w:p>
            <w:pPr>
              <w:spacing w:after="0"/>
              <w:rPr>
                <w:sz w:val="11"/>
                <w:szCs w:val="11"/>
                <w:color w:val="auto"/>
              </w:rPr>
            </w:pPr>
          </w:p>
        </w:tc>
        <w:tc>
          <w:tcPr>
            <w:tcW w:w="42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2019</w:t>
            </w:r>
          </w:p>
        </w:tc>
        <w:tc>
          <w:tcPr>
            <w:tcW w:w="180" w:type="dxa"/>
            <w:vAlign w:val="bottom"/>
          </w:tcPr>
          <w:p>
            <w:pPr>
              <w:spacing w:after="0"/>
              <w:rPr>
                <w:sz w:val="11"/>
                <w:szCs w:val="11"/>
                <w:color w:val="auto"/>
              </w:rPr>
            </w:pPr>
          </w:p>
        </w:tc>
        <w:tc>
          <w:tcPr>
            <w:tcW w:w="540" w:type="dxa"/>
            <w:vAlign w:val="bottom"/>
            <w:gridSpan w:val="2"/>
          </w:tcPr>
          <w:p>
            <w:pPr>
              <w:jc w:val="center"/>
              <w:ind w:left="17"/>
              <w:spacing w:after="0" w:line="114" w:lineRule="exact"/>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940" w:type="dxa"/>
            <w:vAlign w:val="bottom"/>
            <w:tcBorders>
              <w:top w:val="single" w:sz="8" w:color="CCEEFF"/>
            </w:tcBorders>
            <w:gridSpan w:val="2"/>
            <w:shd w:val="clear" w:color="auto" w:fill="CCEEFF"/>
          </w:tcPr>
          <w:p>
            <w:pPr>
              <w:spacing w:after="0" w:line="126" w:lineRule="exact"/>
              <w:rPr>
                <w:sz w:val="20"/>
                <w:szCs w:val="20"/>
                <w:color w:val="auto"/>
              </w:rPr>
            </w:pPr>
            <w:r>
              <w:rPr>
                <w:rFonts w:ascii="Arial" w:cs="Arial" w:eastAsia="Arial" w:hAnsi="Arial"/>
                <w:sz w:val="13"/>
                <w:szCs w:val="13"/>
                <w:color w:val="auto"/>
              </w:rPr>
              <w:t>Revenue</w:t>
            </w: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$39,821</w:t>
            </w:r>
          </w:p>
        </w:tc>
        <w:tc>
          <w:tcPr>
            <w:tcW w:w="26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$ 36,936</w:t>
            </w:r>
          </w:p>
        </w:tc>
        <w:tc>
          <w:tcPr>
            <w:tcW w:w="2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33,658</w:t>
            </w: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30,073</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$28,245</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$ 26,341</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23,233</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rPr>
              <w:t>16,812</w:t>
            </w:r>
          </w:p>
        </w:tc>
        <w:tc>
          <w:tcPr>
            <w:tcW w:w="340" w:type="dxa"/>
            <w:vAlign w:val="bottom"/>
            <w:tcBorders>
              <w:top w:val="single" w:sz="8" w:color="CCEEFF"/>
              <w:right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0"/>
              </w:rPr>
              <w:t>$3,829</w:t>
            </w:r>
          </w:p>
        </w:tc>
        <w:tc>
          <w:tcPr>
            <w:tcW w:w="26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$22,631</w:t>
            </w: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jc w:val="right"/>
              <w:spacing w:after="0" w:line="126" w:lineRule="exact"/>
              <w:rPr>
                <w:sz w:val="20"/>
                <w:szCs w:val="20"/>
                <w:color w:val="auto"/>
              </w:rPr>
            </w:pPr>
            <w:r>
              <w:rPr>
                <w:rFonts w:ascii="Arial" w:cs="Arial" w:eastAsia="Arial" w:hAnsi="Arial"/>
                <w:sz w:val="13"/>
                <w:szCs w:val="13"/>
                <w:color w:val="auto"/>
                <w:w w:val="86"/>
              </w:rPr>
              <w:t>$ 18,998</w:t>
            </w: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940" w:type="dxa"/>
            <w:vAlign w:val="bottom"/>
            <w:gridSpan w:val="2"/>
          </w:tcPr>
          <w:p>
            <w:pPr>
              <w:spacing w:after="0"/>
              <w:rPr>
                <w:sz w:val="20"/>
                <w:szCs w:val="20"/>
                <w:color w:val="auto"/>
              </w:rPr>
            </w:pPr>
            <w:r>
              <w:rPr>
                <w:rFonts w:ascii="Arial" w:cs="Arial" w:eastAsia="Arial" w:hAnsi="Arial"/>
                <w:sz w:val="13"/>
                <w:szCs w:val="13"/>
                <w:color w:val="auto"/>
              </w:rPr>
              <w:t>Total cost of revenue</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9,869</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9,437</w:t>
            </w:r>
          </w:p>
        </w:tc>
        <w:tc>
          <w:tcPr>
            <w:tcW w:w="1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8,314</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7,413</w:t>
            </w:r>
          </w:p>
        </w:tc>
        <w:tc>
          <w:tcPr>
            <w:tcW w:w="1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7,306</w:t>
            </w:r>
          </w:p>
        </w:tc>
        <w:tc>
          <w:tcPr>
            <w:tcW w:w="1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7,435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7,437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5,845</w:t>
            </w:r>
          </w:p>
        </w:tc>
        <w:tc>
          <w:tcPr>
            <w:tcW w:w="26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532</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2,454</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2,342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940" w:type="dxa"/>
            <w:vAlign w:val="bottom"/>
            <w:gridSpan w:val="2"/>
            <w:shd w:val="clear" w:color="auto" w:fill="CCEEFF"/>
          </w:tcPr>
          <w:p>
            <w:pPr>
              <w:spacing w:after="0" w:line="133" w:lineRule="exact"/>
              <w:rPr>
                <w:sz w:val="20"/>
                <w:szCs w:val="20"/>
                <w:color w:val="auto"/>
              </w:rPr>
            </w:pPr>
            <w:r>
              <w:rPr>
                <w:rFonts w:ascii="Arial" w:cs="Arial" w:eastAsia="Arial" w:hAnsi="Arial"/>
                <w:sz w:val="13"/>
                <w:szCs w:val="13"/>
                <w:color w:val="auto"/>
              </w:rPr>
              <w:t>Reported gross profit</w:t>
            </w:r>
          </w:p>
        </w:tc>
        <w:tc>
          <w:tcPr>
            <w:tcW w:w="68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w w:val="85"/>
              </w:rPr>
              <w:t>$29,952</w:t>
            </w:r>
          </w:p>
        </w:tc>
        <w:tc>
          <w:tcPr>
            <w:tcW w:w="70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w w:val="82"/>
              </w:rPr>
              <w:t>$ 27,499</w:t>
            </w:r>
          </w:p>
        </w:tc>
        <w:tc>
          <w:tcPr>
            <w:tcW w:w="10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3"/>
                <w:szCs w:val="13"/>
                <w:color w:val="auto"/>
              </w:rPr>
              <w:t>25,344</w:t>
            </w:r>
          </w:p>
        </w:tc>
        <w:tc>
          <w:tcPr>
            <w:tcW w:w="12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22,660</w:t>
            </w:r>
          </w:p>
        </w:tc>
        <w:tc>
          <w:tcPr>
            <w:tcW w:w="1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$20,939</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w w:val="98"/>
              </w:rPr>
              <w:t>$ 18,906</w:t>
            </w:r>
          </w:p>
        </w:tc>
        <w:tc>
          <w:tcPr>
            <w:tcW w:w="180" w:type="dxa"/>
            <w:vAlign w:val="bottom"/>
            <w:shd w:val="clear" w:color="auto" w:fill="CCEEFF"/>
          </w:tcPr>
          <w:p>
            <w:pPr>
              <w:spacing w:after="0"/>
              <w:rPr>
                <w:sz w:val="11"/>
                <w:szCs w:val="11"/>
                <w:color w:val="auto"/>
              </w:rPr>
            </w:pPr>
          </w:p>
        </w:tc>
        <w:tc>
          <w:tcPr>
            <w:tcW w:w="180" w:type="dxa"/>
            <w:vAlign w:val="bottom"/>
            <w:gridSpan w:val="2"/>
            <w:shd w:val="clear" w:color="auto" w:fill="CCEEFF"/>
          </w:tcPr>
          <w:p>
            <w:pPr>
              <w:ind w:left="80"/>
              <w:spacing w:after="0" w:line="133"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color w:val="auto"/>
              </w:rPr>
              <w:t>15,796</w:t>
            </w:r>
          </w:p>
        </w:tc>
        <w:tc>
          <w:tcPr>
            <w:tcW w:w="1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0"/>
              <w:spacing w:after="0" w:line="133"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line="133" w:lineRule="exact"/>
              <w:rPr>
                <w:sz w:val="20"/>
                <w:szCs w:val="20"/>
                <w:color w:val="auto"/>
              </w:rPr>
            </w:pPr>
            <w:r>
              <w:rPr>
                <w:rFonts w:ascii="Arial" w:cs="Arial" w:eastAsia="Arial" w:hAnsi="Arial"/>
                <w:sz w:val="13"/>
                <w:szCs w:val="13"/>
                <w:color w:val="auto"/>
              </w:rPr>
              <w:t>10,967</w:t>
            </w:r>
          </w:p>
        </w:tc>
        <w:tc>
          <w:tcPr>
            <w:tcW w:w="26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3"/>
                <w:szCs w:val="13"/>
                <w:color w:val="auto"/>
                <w:w w:val="80"/>
              </w:rPr>
              <w:t>$3,297</w:t>
            </w:r>
          </w:p>
        </w:tc>
        <w:tc>
          <w:tcPr>
            <w:tcW w:w="60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3"/>
                <w:szCs w:val="13"/>
                <w:color w:val="auto"/>
                <w:w w:val="85"/>
              </w:rPr>
              <w:t>$20,177</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3"/>
                <w:szCs w:val="13"/>
                <w:color w:val="auto"/>
              </w:rPr>
              <w:t>$ 16,656</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Gross margin</w:t>
            </w: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75%</w:t>
            </w:r>
          </w:p>
        </w:tc>
        <w:tc>
          <w:tcPr>
            <w:tcW w:w="70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74%</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75%</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75%</w:t>
            </w:r>
          </w:p>
        </w:tc>
        <w:tc>
          <w:tcPr>
            <w:tcW w:w="68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74%</w:t>
            </w:r>
          </w:p>
        </w:tc>
        <w:tc>
          <w:tcPr>
            <w:tcW w:w="70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color w:val="auto"/>
              </w:rPr>
              <w:t>65%</w:t>
            </w: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86%</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89%</w:t>
            </w:r>
          </w:p>
        </w:tc>
        <w:tc>
          <w:tcPr>
            <w:tcW w:w="68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Revenue</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5"/>
              </w:rPr>
              <w:t>$39,821</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2"/>
              </w:rPr>
              <w:t>$ 36,936</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30,073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$28,245</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$ 26,341</w:t>
            </w: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23,233</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
              <w:spacing w:after="0" w:line="140"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3"/>
                <w:szCs w:val="13"/>
                <w:color w:val="auto"/>
              </w:rPr>
              <w:t>16,812</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0"/>
              </w:rPr>
              <w:t>$3,829</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85"/>
              </w:rPr>
              <w:t>$22,631</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spacing w:after="0" w:line="140" w:lineRule="exact"/>
              <w:rPr>
                <w:sz w:val="20"/>
                <w:szCs w:val="20"/>
                <w:color w:val="auto"/>
              </w:rPr>
            </w:pPr>
            <w:r>
              <w:rPr>
                <w:rFonts w:ascii="Arial" w:cs="Arial" w:eastAsia="Arial" w:hAnsi="Arial"/>
                <w:sz w:val="13"/>
                <w:szCs w:val="13"/>
                <w:color w:val="auto"/>
              </w:rPr>
              <w:t>Total cost of revenue</w:t>
            </w:r>
          </w:p>
        </w:tc>
        <w:tc>
          <w:tcPr>
            <w:tcW w:w="680" w:type="dxa"/>
            <w:vAlign w:val="bottom"/>
            <w:gridSpan w:val="2"/>
          </w:tcPr>
          <w:p>
            <w:pPr>
              <w:jc w:val="right"/>
              <w:ind w:right="260"/>
              <w:spacing w:after="0" w:line="140" w:lineRule="exact"/>
              <w:rPr>
                <w:sz w:val="20"/>
                <w:szCs w:val="20"/>
                <w:color w:val="auto"/>
              </w:rPr>
            </w:pPr>
            <w:r>
              <w:rPr>
                <w:rFonts w:ascii="Arial" w:cs="Arial" w:eastAsia="Arial" w:hAnsi="Arial"/>
                <w:sz w:val="13"/>
                <w:szCs w:val="13"/>
                <w:color w:val="auto"/>
              </w:rPr>
              <w:t>9,869</w:t>
            </w:r>
          </w:p>
        </w:tc>
        <w:tc>
          <w:tcPr>
            <w:tcW w:w="700" w:type="dxa"/>
            <w:vAlign w:val="bottom"/>
            <w:gridSpan w:val="2"/>
          </w:tcPr>
          <w:p>
            <w:pPr>
              <w:jc w:val="right"/>
              <w:ind w:right="260"/>
              <w:spacing w:after="0" w:line="140" w:lineRule="exact"/>
              <w:rPr>
                <w:sz w:val="20"/>
                <w:szCs w:val="20"/>
                <w:color w:val="auto"/>
              </w:rPr>
            </w:pPr>
            <w:r>
              <w:rPr>
                <w:rFonts w:ascii="Arial" w:cs="Arial" w:eastAsia="Arial" w:hAnsi="Arial"/>
                <w:sz w:val="13"/>
                <w:szCs w:val="13"/>
                <w:color w:val="auto"/>
              </w:rPr>
              <w:t>9,437</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line="140" w:lineRule="exact"/>
              <w:rPr>
                <w:sz w:val="20"/>
                <w:szCs w:val="20"/>
                <w:color w:val="auto"/>
              </w:rPr>
            </w:pPr>
            <w:r>
              <w:rPr>
                <w:rFonts w:ascii="Arial" w:cs="Arial" w:eastAsia="Arial" w:hAnsi="Arial"/>
                <w:sz w:val="13"/>
                <w:szCs w:val="13"/>
                <w:color w:val="auto"/>
              </w:rPr>
              <w:t>8,314</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7,413</w:t>
            </w:r>
          </w:p>
        </w:tc>
        <w:tc>
          <w:tcPr>
            <w:tcW w:w="18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7,306</w:t>
            </w:r>
          </w:p>
        </w:tc>
        <w:tc>
          <w:tcPr>
            <w:tcW w:w="180" w:type="dxa"/>
            <w:vAlign w:val="bottom"/>
          </w:tcPr>
          <w:p>
            <w:pPr>
              <w:spacing w:after="0"/>
              <w:rPr>
                <w:sz w:val="12"/>
                <w:szCs w:val="12"/>
                <w:color w:val="auto"/>
              </w:rPr>
            </w:pPr>
          </w:p>
        </w:tc>
        <w:tc>
          <w:tcPr>
            <w:tcW w:w="52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7,435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7,437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40"/>
              <w:spacing w:after="0" w:line="140" w:lineRule="exact"/>
              <w:rPr>
                <w:sz w:val="20"/>
                <w:szCs w:val="20"/>
                <w:color w:val="auto"/>
              </w:rPr>
            </w:pPr>
            <w:r>
              <w:rPr>
                <w:rFonts w:ascii="Arial" w:cs="Arial" w:eastAsia="Arial" w:hAnsi="Arial"/>
                <w:sz w:val="13"/>
                <w:szCs w:val="13"/>
                <w:color w:val="auto"/>
              </w:rPr>
              <w:t>5,845</w:t>
            </w:r>
          </w:p>
        </w:tc>
        <w:tc>
          <w:tcPr>
            <w:tcW w:w="260" w:type="dxa"/>
            <w:vAlign w:val="bottom"/>
          </w:tcPr>
          <w:p>
            <w:pPr>
              <w:spacing w:after="0"/>
              <w:rPr>
                <w:sz w:val="12"/>
                <w:szCs w:val="12"/>
                <w:color w:val="auto"/>
              </w:rPr>
            </w:pPr>
          </w:p>
        </w:tc>
        <w:tc>
          <w:tcPr>
            <w:tcW w:w="600" w:type="dxa"/>
            <w:vAlign w:val="bottom"/>
            <w:gridSpan w:val="2"/>
          </w:tcPr>
          <w:p>
            <w:pPr>
              <w:jc w:val="right"/>
              <w:ind w:right="260"/>
              <w:spacing w:after="0" w:line="140" w:lineRule="exact"/>
              <w:rPr>
                <w:sz w:val="20"/>
                <w:szCs w:val="20"/>
                <w:color w:val="auto"/>
              </w:rPr>
            </w:pPr>
            <w:r>
              <w:rPr>
                <w:rFonts w:ascii="Arial" w:cs="Arial" w:eastAsia="Arial" w:hAnsi="Arial"/>
                <w:sz w:val="13"/>
                <w:szCs w:val="13"/>
                <w:color w:val="auto"/>
              </w:rPr>
              <w:t>532</w:t>
            </w:r>
          </w:p>
        </w:tc>
        <w:tc>
          <w:tcPr>
            <w:tcW w:w="60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2,454</w:t>
            </w:r>
          </w:p>
        </w:tc>
        <w:tc>
          <w:tcPr>
            <w:tcW w:w="54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2,342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Reported gross profit</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5"/>
              </w:rPr>
              <w:t>$29,952</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2"/>
              </w:rPr>
              <w:t>$ 27,499</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25,344</w:t>
            </w:r>
          </w:p>
        </w:tc>
        <w:tc>
          <w:tcPr>
            <w:tcW w:w="12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22,660</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$20,939</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w w:val="98"/>
              </w:rPr>
              <w:t>$ 18,906</w:t>
            </w: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15,796</w:t>
            </w:r>
          </w:p>
        </w:tc>
        <w:tc>
          <w:tcPr>
            <w:tcW w:w="18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
              <w:spacing w:after="0" w:line="140"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3"/>
                <w:szCs w:val="13"/>
                <w:color w:val="auto"/>
              </w:rPr>
              <w:t>10,967</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0"/>
              </w:rPr>
              <w:t>$3,297</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85"/>
              </w:rPr>
              <w:t>$20,177</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$ 16,656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940" w:type="dxa"/>
            <w:vAlign w:val="bottom"/>
            <w:gridSpan w:val="2"/>
          </w:tcPr>
          <w:p>
            <w:pPr>
              <w:spacing w:after="0" w:line="131" w:lineRule="exact"/>
              <w:rPr>
                <w:sz w:val="20"/>
                <w:szCs w:val="20"/>
                <w:color w:val="auto"/>
              </w:rPr>
            </w:pPr>
            <w:r>
              <w:rPr>
                <w:rFonts w:ascii="Arial" w:cs="Arial" w:eastAsia="Arial" w:hAnsi="Arial"/>
                <w:sz w:val="13"/>
                <w:szCs w:val="13"/>
                <w:color w:val="auto"/>
              </w:rPr>
              <w:t>Amortization of intangible assets,</w:t>
            </w: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ind w:left="120"/>
              <w:spacing w:after="0" w:line="140" w:lineRule="exact"/>
              <w:rPr>
                <w:sz w:val="20"/>
                <w:szCs w:val="20"/>
                <w:color w:val="auto"/>
              </w:rPr>
            </w:pPr>
            <w:r>
              <w:rPr>
                <w:rFonts w:ascii="Arial" w:cs="Arial" w:eastAsia="Arial" w:hAnsi="Arial"/>
                <w:sz w:val="13"/>
                <w:szCs w:val="13"/>
                <w:color w:val="auto"/>
              </w:rPr>
              <w:t>resulting from purchase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gridSpan w:val="2"/>
          </w:tcPr>
          <w:p>
            <w:pPr>
              <w:ind w:left="120"/>
              <w:spacing w:after="0"/>
              <w:rPr>
                <w:sz w:val="20"/>
                <w:szCs w:val="20"/>
                <w:color w:val="auto"/>
              </w:rPr>
            </w:pPr>
            <w:r>
              <w:rPr>
                <w:rFonts w:ascii="Arial" w:cs="Arial" w:eastAsia="Arial" w:hAnsi="Arial"/>
                <w:sz w:val="13"/>
                <w:szCs w:val="13"/>
                <w:color w:val="auto"/>
              </w:rPr>
              <w:t>accounting adjustments</w:t>
            </w:r>
            <w:r>
              <w:rPr>
                <w:rFonts w:ascii="Arial" w:cs="Arial" w:eastAsia="Arial" w:hAnsi="Arial"/>
                <w:sz w:val="10"/>
                <w:szCs w:val="10"/>
                <w:color w:val="auto"/>
              </w:rPr>
              <w:t>(1)</w:t>
            </w:r>
          </w:p>
        </w:tc>
        <w:tc>
          <w:tcPr>
            <w:tcW w:w="680" w:type="dxa"/>
            <w:vAlign w:val="bottom"/>
            <w:gridSpan w:val="2"/>
          </w:tcPr>
          <w:p>
            <w:pPr>
              <w:jc w:val="right"/>
              <w:ind w:right="260"/>
              <w:spacing w:after="0"/>
              <w:rPr>
                <w:sz w:val="20"/>
                <w:szCs w:val="20"/>
                <w:color w:val="auto"/>
              </w:rPr>
            </w:pPr>
            <w:r>
              <w:rPr>
                <w:rFonts w:ascii="Arial" w:cs="Arial" w:eastAsia="Arial" w:hAnsi="Arial"/>
                <w:sz w:val="13"/>
                <w:szCs w:val="13"/>
                <w:color w:val="auto"/>
              </w:rPr>
              <w:t>5,042</w:t>
            </w:r>
          </w:p>
        </w:tc>
        <w:tc>
          <w:tcPr>
            <w:tcW w:w="700" w:type="dxa"/>
            <w:vAlign w:val="bottom"/>
            <w:gridSpan w:val="2"/>
          </w:tcPr>
          <w:p>
            <w:pPr>
              <w:jc w:val="right"/>
              <w:ind w:right="260"/>
              <w:spacing w:after="0"/>
              <w:rPr>
                <w:sz w:val="20"/>
                <w:szCs w:val="20"/>
                <w:color w:val="auto"/>
              </w:rPr>
            </w:pPr>
            <w:r>
              <w:rPr>
                <w:rFonts w:ascii="Arial" w:cs="Arial" w:eastAsia="Arial" w:hAnsi="Arial"/>
                <w:sz w:val="13"/>
                <w:szCs w:val="13"/>
                <w:color w:val="auto"/>
              </w:rPr>
              <w:t>4,987</w:t>
            </w:r>
          </w:p>
        </w:tc>
        <w:tc>
          <w:tcPr>
            <w:tcW w:w="10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4,994</w:t>
            </w: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4,759</w:t>
            </w:r>
          </w:p>
        </w:tc>
        <w:tc>
          <w:tcPr>
            <w:tcW w:w="18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4,708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4,696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3,906</w:t>
            </w:r>
          </w:p>
        </w:tc>
        <w:tc>
          <w:tcPr>
            <w:tcW w:w="26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41</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249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208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Equity compensation costs</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16</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107</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75</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74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vMerge w:val="restart"/>
          </w:tcPr>
          <w:p>
            <w:pPr>
              <w:spacing w:after="0"/>
              <w:rPr>
                <w:sz w:val="20"/>
                <w:szCs w:val="20"/>
                <w:color w:val="auto"/>
              </w:rPr>
            </w:pPr>
            <w:r>
              <w:rPr>
                <w:rFonts w:ascii="Arial" w:cs="Arial" w:eastAsia="Arial" w:hAnsi="Arial"/>
                <w:sz w:val="13"/>
                <w:szCs w:val="13"/>
                <w:color w:val="auto"/>
              </w:rPr>
              <w:t>Adjusted Gross Profit</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940" w:type="dxa"/>
            <w:vAlign w:val="bottom"/>
            <w:gridSpan w:val="2"/>
            <w:vMerge w:val="continue"/>
          </w:tcPr>
          <w:p>
            <w:pPr>
              <w:spacing w:after="0"/>
              <w:rPr>
                <w:sz w:val="11"/>
                <w:szCs w:val="11"/>
                <w:color w:val="auto"/>
              </w:rPr>
            </w:pPr>
          </w:p>
        </w:tc>
        <w:tc>
          <w:tcPr>
            <w:tcW w:w="68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3"/>
                <w:szCs w:val="13"/>
                <w:color w:val="auto"/>
                <w:w w:val="85"/>
              </w:rPr>
              <w:t>$35,010</w:t>
            </w:r>
          </w:p>
        </w:tc>
        <w:tc>
          <w:tcPr>
            <w:tcW w:w="70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3"/>
                <w:szCs w:val="13"/>
                <w:color w:val="auto"/>
                <w:w w:val="82"/>
              </w:rPr>
              <w:t>$ 32,501</w:t>
            </w:r>
          </w:p>
        </w:tc>
        <w:tc>
          <w:tcPr>
            <w:tcW w:w="10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gridSpan w:val="2"/>
          </w:tcPr>
          <w:p>
            <w:pPr>
              <w:jc w:val="right"/>
              <w:ind w:right="240"/>
              <w:spacing w:after="0" w:line="133" w:lineRule="exact"/>
              <w:rPr>
                <w:sz w:val="20"/>
                <w:szCs w:val="20"/>
                <w:color w:val="auto"/>
              </w:rPr>
            </w:pPr>
            <w:r>
              <w:rPr>
                <w:rFonts w:ascii="Arial" w:cs="Arial" w:eastAsia="Arial" w:hAnsi="Arial"/>
                <w:sz w:val="13"/>
                <w:szCs w:val="13"/>
                <w:color w:val="auto"/>
              </w:rPr>
              <w:t>30,354</w:t>
            </w:r>
          </w:p>
        </w:tc>
        <w:tc>
          <w:tcPr>
            <w:tcW w:w="120" w:type="dxa"/>
            <w:vAlign w:val="bottom"/>
            <w:tcBorders>
              <w:top w:val="single" w:sz="8" w:color="auto"/>
            </w:tcBorders>
          </w:tcPr>
          <w:p>
            <w:pPr>
              <w:spacing w:after="0" w:line="133"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27,435</w:t>
            </w: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3"/>
                <w:szCs w:val="13"/>
                <w:color w:val="auto"/>
              </w:rPr>
              <w:t>$25,662</w:t>
            </w: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3"/>
                <w:szCs w:val="13"/>
                <w:color w:val="auto"/>
                <w:w w:val="98"/>
              </w:rPr>
              <w:t>$ 23,629</w:t>
            </w:r>
          </w:p>
        </w:tc>
        <w:tc>
          <w:tcPr>
            <w:tcW w:w="1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20,507</w:t>
            </w:r>
          </w:p>
        </w:tc>
        <w:tc>
          <w:tcPr>
            <w:tcW w:w="1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gridSpan w:val="2"/>
          </w:tcPr>
          <w:p>
            <w:pPr>
              <w:jc w:val="right"/>
              <w:ind w:right="10"/>
              <w:spacing w:after="0" w:line="133" w:lineRule="exact"/>
              <w:rPr>
                <w:sz w:val="20"/>
                <w:szCs w:val="20"/>
                <w:color w:val="auto"/>
              </w:rPr>
            </w:pPr>
            <w:r>
              <w:rPr>
                <w:rFonts w:ascii="Arial" w:cs="Arial" w:eastAsia="Arial" w:hAnsi="Arial"/>
                <w:sz w:val="13"/>
                <w:szCs w:val="13"/>
                <w:color w:val="auto"/>
              </w:rPr>
              <w:t>$</w:t>
            </w: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3"/>
                <w:szCs w:val="13"/>
                <w:color w:val="auto"/>
              </w:rPr>
              <w:t>14,886</w:t>
            </w:r>
          </w:p>
        </w:tc>
        <w:tc>
          <w:tcPr>
            <w:tcW w:w="34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3"/>
                <w:szCs w:val="13"/>
                <w:color w:val="auto"/>
                <w:w w:val="80"/>
              </w:rPr>
              <w:t>$3,445</w:t>
            </w:r>
          </w:p>
        </w:tc>
        <w:tc>
          <w:tcPr>
            <w:tcW w:w="600" w:type="dxa"/>
            <w:vAlign w:val="bottom"/>
            <w:tcBorders>
              <w:top w:val="single" w:sz="8" w:color="auto"/>
            </w:tcBorders>
            <w:gridSpan w:val="2"/>
          </w:tcPr>
          <w:p>
            <w:pPr>
              <w:jc w:val="right"/>
              <w:ind w:right="180"/>
              <w:spacing w:after="0" w:line="133" w:lineRule="exact"/>
              <w:rPr>
                <w:sz w:val="20"/>
                <w:szCs w:val="20"/>
                <w:color w:val="auto"/>
              </w:rPr>
            </w:pPr>
            <w:r>
              <w:rPr>
                <w:rFonts w:ascii="Arial" w:cs="Arial" w:eastAsia="Arial" w:hAnsi="Arial"/>
                <w:sz w:val="13"/>
                <w:szCs w:val="13"/>
                <w:color w:val="auto"/>
                <w:w w:val="85"/>
              </w:rPr>
              <w:t>$20,501</w:t>
            </w:r>
          </w:p>
        </w:tc>
        <w:tc>
          <w:tcPr>
            <w:tcW w:w="54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3"/>
                <w:szCs w:val="13"/>
                <w:color w:val="auto"/>
              </w:rPr>
              <w:t>$ 16,938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9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Revenue</w:t>
            </w:r>
          </w:p>
        </w:tc>
        <w:tc>
          <w:tcPr>
            <w:tcW w:w="68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85"/>
              </w:rPr>
              <w:t>$39,821</w:t>
            </w:r>
          </w:p>
        </w:tc>
        <w:tc>
          <w:tcPr>
            <w:tcW w:w="7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36,936</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40"/>
              <w:spacing w:after="0" w:line="140" w:lineRule="exact"/>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30,073</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28,245</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26,341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23,233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340"/>
              <w:spacing w:after="0" w:line="140" w:lineRule="exact"/>
              <w:rPr>
                <w:sz w:val="20"/>
                <w:szCs w:val="20"/>
                <w:color w:val="auto"/>
              </w:rPr>
            </w:pPr>
            <w:r>
              <w:rPr>
                <w:rFonts w:ascii="Arial" w:cs="Arial" w:eastAsia="Arial" w:hAnsi="Arial"/>
                <w:sz w:val="13"/>
                <w:szCs w:val="13"/>
                <w:color w:val="auto"/>
              </w:rPr>
              <w:t>16,812</w:t>
            </w:r>
          </w:p>
        </w:tc>
        <w:tc>
          <w:tcPr>
            <w:tcW w:w="2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w w:val="98"/>
              </w:rPr>
              <w:t>3,829</w:t>
            </w: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22,631</w:t>
            </w: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40" w:type="dxa"/>
            <w:vAlign w:val="bottom"/>
            <w:gridSpan w:val="2"/>
          </w:tcPr>
          <w:p>
            <w:pPr>
              <w:spacing w:after="0" w:line="140" w:lineRule="exact"/>
              <w:rPr>
                <w:sz w:val="20"/>
                <w:szCs w:val="20"/>
                <w:color w:val="auto"/>
              </w:rPr>
            </w:pPr>
            <w:r>
              <w:rPr>
                <w:rFonts w:ascii="Arial" w:cs="Arial" w:eastAsia="Arial" w:hAnsi="Arial"/>
                <w:sz w:val="13"/>
                <w:szCs w:val="13"/>
                <w:color w:val="auto"/>
              </w:rPr>
              <w:t>Adjusted Gross Margin</w:t>
            </w:r>
          </w:p>
        </w:tc>
        <w:tc>
          <w:tcPr>
            <w:tcW w:w="6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88%</w:t>
            </w:r>
          </w:p>
        </w:tc>
        <w:tc>
          <w:tcPr>
            <w:tcW w:w="70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88%</w:t>
            </w:r>
          </w:p>
        </w:tc>
        <w:tc>
          <w:tcPr>
            <w:tcW w:w="100" w:type="dxa"/>
            <w:vAlign w:val="bottom"/>
          </w:tcPr>
          <w:p>
            <w:pPr>
              <w:spacing w:after="0"/>
              <w:rPr>
                <w:sz w:val="12"/>
                <w:szCs w:val="12"/>
                <w:color w:val="auto"/>
              </w:rPr>
            </w:pPr>
          </w:p>
        </w:tc>
        <w:tc>
          <w:tcPr>
            <w:tcW w:w="74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68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91%</w:t>
            </w:r>
          </w:p>
        </w:tc>
        <w:tc>
          <w:tcPr>
            <w:tcW w:w="700" w:type="dxa"/>
            <w:vAlign w:val="bottom"/>
            <w:gridSpan w:val="3"/>
          </w:tcPr>
          <w:p>
            <w:pPr>
              <w:jc w:val="right"/>
              <w:ind w:right="80"/>
              <w:spacing w:after="0" w:line="140" w:lineRule="exact"/>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color w:val="auto"/>
              </w:rPr>
              <w:t>89%</w:t>
            </w:r>
          </w:p>
        </w:tc>
        <w:tc>
          <w:tcPr>
            <w:tcW w:w="260" w:type="dxa"/>
            <w:vAlign w:val="bottom"/>
          </w:tcPr>
          <w:p>
            <w:pPr>
              <w:spacing w:after="0"/>
              <w:rPr>
                <w:sz w:val="12"/>
                <w:szCs w:val="12"/>
                <w:color w:val="auto"/>
              </w:rPr>
            </w:pPr>
          </w:p>
        </w:tc>
        <w:tc>
          <w:tcPr>
            <w:tcW w:w="60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90%</w:t>
            </w:r>
          </w:p>
        </w:tc>
        <w:tc>
          <w:tcPr>
            <w:tcW w:w="600" w:type="dxa"/>
            <w:vAlign w:val="bottom"/>
            <w:gridSpan w:val="2"/>
          </w:tcPr>
          <w:p>
            <w:pPr>
              <w:jc w:val="right"/>
              <w:ind w:right="80"/>
              <w:spacing w:after="0" w:line="140" w:lineRule="exact"/>
              <w:rPr>
                <w:sz w:val="20"/>
                <w:szCs w:val="20"/>
                <w:color w:val="auto"/>
              </w:rPr>
            </w:pPr>
            <w:r>
              <w:rPr>
                <w:rFonts w:ascii="Arial" w:cs="Arial" w:eastAsia="Arial" w:hAnsi="Arial"/>
                <w:sz w:val="13"/>
                <w:szCs w:val="13"/>
                <w:color w:val="auto"/>
              </w:rPr>
              <w:t>91%</w:t>
            </w:r>
          </w:p>
        </w:tc>
        <w:tc>
          <w:tcPr>
            <w:tcW w:w="680" w:type="dxa"/>
            <w:vAlign w:val="bottom"/>
            <w:gridSpan w:val="3"/>
          </w:tcPr>
          <w:p>
            <w:pPr>
              <w:jc w:val="right"/>
              <w:ind w:right="40"/>
              <w:spacing w:after="0" w:line="140"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260" w:hanging="406"/>
        <w:spacing w:after="0" w:line="273" w:lineRule="auto"/>
        <w:tabs>
          <w:tab w:leader="none" w:pos="8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the amortization of acquired intangibles, primarily resulting from the Advent acquisition.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0"/>
                <w:szCs w:val="10"/>
                <w:b w:val="1"/>
                <w:bCs w:val="1"/>
                <w:color w:val="auto"/>
                <w:w w:val="93"/>
              </w:rPr>
              <w:t>Predecessor</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gridSpan w:val="3"/>
          </w:tcPr>
          <w:p>
            <w:pPr>
              <w:jc w:val="center"/>
              <w:ind w:right="200"/>
              <w:spacing w:after="0" w:line="96" w:lineRule="exact"/>
              <w:rPr>
                <w:sz w:val="20"/>
                <w:szCs w:val="20"/>
                <w:color w:val="auto"/>
              </w:rPr>
            </w:pPr>
            <w:r>
              <w:rPr>
                <w:rFonts w:ascii="Arial" w:cs="Arial" w:eastAsia="Arial" w:hAnsi="Arial"/>
                <w:sz w:val="10"/>
                <w:szCs w:val="10"/>
                <w:b w:val="1"/>
                <w:bCs w:val="1"/>
                <w:color w:val="auto"/>
                <w:w w:val="96"/>
              </w:rPr>
              <w:t>Period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Three</w:t>
            </w: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98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0"/>
                <w:szCs w:val="10"/>
                <w:b w:val="1"/>
                <w:bCs w:val="1"/>
                <w:color w:val="auto"/>
                <w:w w:val="92"/>
              </w:rPr>
              <w:t>Period from</w:t>
            </w:r>
          </w:p>
        </w:tc>
        <w:tc>
          <w:tcPr>
            <w:tcW w:w="240" w:type="dxa"/>
            <w:vAlign w:val="bottom"/>
          </w:tcPr>
          <w:p>
            <w:pPr>
              <w:spacing w:after="0"/>
              <w:rPr>
                <w:sz w:val="9"/>
                <w:szCs w:val="9"/>
                <w:color w:val="auto"/>
              </w:rPr>
            </w:pPr>
          </w:p>
        </w:tc>
        <w:tc>
          <w:tcPr>
            <w:tcW w:w="54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6"/>
              </w:rPr>
              <w:t>July 1,</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Three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Months</w:t>
            </w: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98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0"/>
                <w:szCs w:val="10"/>
                <w:b w:val="1"/>
                <w:bCs w:val="1"/>
                <w:color w:val="auto"/>
                <w:w w:val="90"/>
              </w:rPr>
              <w:t>July 16, 2019</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center"/>
              <w:spacing w:after="0"/>
              <w:rPr>
                <w:sz w:val="20"/>
                <w:szCs w:val="20"/>
                <w:color w:val="auto"/>
              </w:rPr>
            </w:pPr>
            <w:r>
              <w:rPr>
                <w:rFonts w:ascii="Arial" w:cs="Arial" w:eastAsia="Arial" w:hAnsi="Arial"/>
                <w:sz w:val="10"/>
                <w:szCs w:val="10"/>
                <w:b w:val="1"/>
                <w:bCs w:val="1"/>
                <w:color w:val="auto"/>
                <w:w w:val="98"/>
              </w:rPr>
              <w:t>2019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5"/>
              </w:rPr>
              <w:t>Months</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8"/>
              </w:rPr>
              <w:t>Ended</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0"/>
                <w:szCs w:val="10"/>
                <w:b w:val="1"/>
                <w:bCs w:val="1"/>
                <w:color w:val="auto"/>
                <w:w w:val="84"/>
              </w:rPr>
              <w:t>to</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rPr>
              <w:t>to</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8"/>
              </w:rPr>
              <w:t>Ended</w:t>
            </w:r>
          </w:p>
        </w:tc>
        <w:tc>
          <w:tcPr>
            <w:tcW w:w="0" w:type="dxa"/>
            <w:vAlign w:val="bottom"/>
          </w:tcPr>
          <w:p>
            <w:pPr>
              <w:spacing w:after="0"/>
              <w:rPr>
                <w:sz w:val="1"/>
                <w:szCs w:val="1"/>
                <w:color w:val="auto"/>
              </w:rPr>
            </w:pPr>
          </w:p>
        </w:tc>
      </w:tr>
      <w:tr>
        <w:trPr>
          <w:trHeight w:val="114"/>
        </w:trPr>
        <w:tc>
          <w:tcPr>
            <w:tcW w:w="1660" w:type="dxa"/>
            <w:vAlign w:val="bottom"/>
            <w:gridSpan w:val="3"/>
            <w:vMerge w:val="restart"/>
          </w:tcPr>
          <w:p>
            <w:pPr>
              <w:spacing w:after="0"/>
              <w:rPr>
                <w:sz w:val="20"/>
                <w:szCs w:val="20"/>
                <w:color w:val="auto"/>
              </w:rPr>
            </w:pP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 in thousands)</w:t>
            </w:r>
          </w:p>
        </w:tc>
        <w:tc>
          <w:tcPr>
            <w:tcW w:w="74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4"/>
              </w:rPr>
              <w:t>June 30,</w:t>
            </w: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9"/>
                <w:szCs w:val="9"/>
                <w:color w:val="auto"/>
              </w:rPr>
            </w:pPr>
          </w:p>
        </w:tc>
        <w:tc>
          <w:tcPr>
            <w:tcW w:w="88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September 30,</w:t>
            </w:r>
          </w:p>
        </w:tc>
        <w:tc>
          <w:tcPr>
            <w:tcW w:w="80" w:type="dxa"/>
            <w:vAlign w:val="bottom"/>
          </w:tcPr>
          <w:p>
            <w:pPr>
              <w:spacing w:after="0"/>
              <w:rPr>
                <w:sz w:val="9"/>
                <w:szCs w:val="9"/>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March 31,</w:t>
            </w:r>
          </w:p>
        </w:tc>
        <w:tc>
          <w:tcPr>
            <w:tcW w:w="800" w:type="dxa"/>
            <w:vAlign w:val="bottom"/>
            <w:gridSpan w:val="3"/>
          </w:tcPr>
          <w:p>
            <w:pPr>
              <w:spacing w:after="0"/>
              <w:rPr>
                <w:sz w:val="20"/>
                <w:szCs w:val="20"/>
                <w:color w:val="auto"/>
              </w:rPr>
            </w:pPr>
            <w:r>
              <w:rPr>
                <w:rFonts w:ascii="Arial" w:cs="Arial" w:eastAsia="Arial" w:hAnsi="Arial"/>
                <w:sz w:val="10"/>
                <w:szCs w:val="10"/>
                <w:b w:val="1"/>
                <w:bCs w:val="1"/>
                <w:color w:val="auto"/>
              </w:rPr>
              <w:t>December 31,</w:t>
            </w:r>
          </w:p>
        </w:tc>
        <w:tc>
          <w:tcPr>
            <w:tcW w:w="80" w:type="dxa"/>
            <w:vAlign w:val="bottom"/>
          </w:tcPr>
          <w:p>
            <w:pPr>
              <w:spacing w:after="0"/>
              <w:rPr>
                <w:sz w:val="9"/>
                <w:szCs w:val="9"/>
                <w:color w:val="auto"/>
              </w:rPr>
            </w:pPr>
          </w:p>
        </w:tc>
        <w:tc>
          <w:tcPr>
            <w:tcW w:w="98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0"/>
                <w:szCs w:val="10"/>
                <w:b w:val="1"/>
                <w:bCs w:val="1"/>
                <w:color w:val="auto"/>
                <w:w w:val="90"/>
              </w:rPr>
              <w:t>September 30,</w:t>
            </w:r>
          </w:p>
        </w:tc>
        <w:tc>
          <w:tcPr>
            <w:tcW w:w="240" w:type="dxa"/>
            <w:vAlign w:val="bottom"/>
          </w:tcPr>
          <w:p>
            <w:pPr>
              <w:spacing w:after="0"/>
              <w:rPr>
                <w:sz w:val="9"/>
                <w:szCs w:val="9"/>
                <w:color w:val="auto"/>
              </w:rPr>
            </w:pPr>
          </w:p>
        </w:tc>
        <w:tc>
          <w:tcPr>
            <w:tcW w:w="54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60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9"/>
              </w:rPr>
              <w:t>March 31,</w:t>
            </w:r>
          </w:p>
        </w:tc>
        <w:tc>
          <w:tcPr>
            <w:tcW w:w="0" w:type="dxa"/>
            <w:vAlign w:val="bottom"/>
          </w:tcPr>
          <w:p>
            <w:pPr>
              <w:spacing w:after="0"/>
              <w:rPr>
                <w:sz w:val="1"/>
                <w:szCs w:val="1"/>
                <w:color w:val="auto"/>
              </w:rPr>
            </w:pPr>
          </w:p>
        </w:tc>
      </w:tr>
      <w:tr>
        <w:trPr>
          <w:trHeight w:val="113"/>
        </w:trPr>
        <w:tc>
          <w:tcPr>
            <w:tcW w:w="1660" w:type="dxa"/>
            <w:vAlign w:val="bottom"/>
            <w:gridSpan w:val="3"/>
            <w:vMerge w:val="continue"/>
          </w:tcPr>
          <w:p>
            <w:pPr>
              <w:spacing w:after="0"/>
              <w:rPr>
                <w:sz w:val="9"/>
                <w:szCs w:val="9"/>
                <w:color w:val="auto"/>
              </w:rPr>
            </w:pPr>
          </w:p>
        </w:tc>
        <w:tc>
          <w:tcPr>
            <w:tcW w:w="4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2021</w:t>
            </w:r>
          </w:p>
        </w:tc>
        <w:tc>
          <w:tcPr>
            <w:tcW w:w="280" w:type="dxa"/>
            <w:vAlign w:val="bottom"/>
          </w:tcPr>
          <w:p>
            <w:pPr>
              <w:spacing w:after="0"/>
              <w:rPr>
                <w:sz w:val="9"/>
                <w:szCs w:val="9"/>
                <w:color w:val="auto"/>
              </w:rPr>
            </w:pPr>
          </w:p>
        </w:tc>
        <w:tc>
          <w:tcPr>
            <w:tcW w:w="46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2021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40"/>
              <w:spacing w:after="0" w:line="114" w:lineRule="exact"/>
              <w:rPr>
                <w:sz w:val="20"/>
                <w:szCs w:val="20"/>
                <w:color w:val="auto"/>
              </w:rPr>
            </w:pPr>
            <w:r>
              <w:rPr>
                <w:rFonts w:ascii="Arial" w:cs="Arial" w:eastAsia="Arial" w:hAnsi="Arial"/>
                <w:sz w:val="10"/>
                <w:szCs w:val="10"/>
                <w:b w:val="1"/>
                <w:bCs w:val="1"/>
                <w:color w:val="auto"/>
                <w:w w:val="89"/>
              </w:rPr>
              <w:t>2020</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jc w:val="center"/>
              <w:ind w:right="60"/>
              <w:spacing w:after="0" w:line="11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9"/>
                <w:szCs w:val="9"/>
                <w:color w:val="auto"/>
              </w:rPr>
            </w:pPr>
          </w:p>
        </w:tc>
        <w:tc>
          <w:tcPr>
            <w:tcW w:w="54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9"/>
                <w:szCs w:val="9"/>
                <w:color w:val="auto"/>
              </w:rPr>
            </w:pPr>
          </w:p>
        </w:tc>
        <w:tc>
          <w:tcPr>
            <w:tcW w:w="540" w:type="dxa"/>
            <w:vAlign w:val="bottom"/>
            <w:gridSpan w:val="2"/>
          </w:tcPr>
          <w:p>
            <w:pPr>
              <w:jc w:val="center"/>
              <w:spacing w:after="0" w:line="114" w:lineRule="exact"/>
              <w:rPr>
                <w:sz w:val="20"/>
                <w:szCs w:val="20"/>
                <w:color w:val="auto"/>
              </w:rPr>
            </w:pPr>
            <w:r>
              <w:rPr>
                <w:rFonts w:ascii="Arial" w:cs="Arial" w:eastAsia="Arial" w:hAnsi="Arial"/>
                <w:sz w:val="10"/>
                <w:szCs w:val="10"/>
                <w:b w:val="1"/>
                <w:bCs w:val="1"/>
                <w:color w:val="auto"/>
                <w:w w:val="89"/>
              </w:rPr>
              <w:t>2020</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60"/>
              <w:spacing w:after="0" w:line="114" w:lineRule="exact"/>
              <w:rPr>
                <w:sz w:val="20"/>
                <w:szCs w:val="20"/>
                <w:color w:val="auto"/>
              </w:rPr>
            </w:pPr>
            <w:r>
              <w:rPr>
                <w:rFonts w:ascii="Arial" w:cs="Arial" w:eastAsia="Arial" w:hAnsi="Arial"/>
                <w:sz w:val="10"/>
                <w:szCs w:val="10"/>
                <w:b w:val="1"/>
                <w:bCs w:val="1"/>
                <w:color w:val="auto"/>
                <w:w w:val="98"/>
              </w:rPr>
              <w:t>2019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jc w:val="center"/>
              <w:ind w:right="78"/>
              <w:spacing w:after="0" w:line="114" w:lineRule="exact"/>
              <w:rPr>
                <w:sz w:val="20"/>
                <w:szCs w:val="20"/>
                <w:color w:val="auto"/>
              </w:rPr>
            </w:pPr>
            <w:r>
              <w:rPr>
                <w:rFonts w:ascii="Arial" w:cs="Arial" w:eastAsia="Arial" w:hAnsi="Arial"/>
                <w:sz w:val="10"/>
                <w:szCs w:val="10"/>
                <w:b w:val="1"/>
                <w:bCs w:val="1"/>
                <w:color w:val="auto"/>
                <w:w w:val="89"/>
              </w:rPr>
              <w:t>2019</w:t>
            </w:r>
          </w:p>
        </w:tc>
        <w:tc>
          <w:tcPr>
            <w:tcW w:w="3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98"/>
              </w:rPr>
              <w:t>2019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center"/>
              <w:spacing w:after="0" w:line="114" w:lineRule="exact"/>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right="19"/>
              <w:spacing w:after="0" w:line="114" w:lineRule="exact"/>
              <w:rPr>
                <w:sz w:val="20"/>
                <w:szCs w:val="20"/>
                <w:color w:val="auto"/>
              </w:rPr>
            </w:pPr>
            <w:r>
              <w:rPr>
                <w:rFonts w:ascii="Arial" w:cs="Arial" w:eastAsia="Arial" w:hAnsi="Arial"/>
                <w:sz w:val="10"/>
                <w:szCs w:val="10"/>
                <w:b w:val="1"/>
                <w:bCs w:val="1"/>
                <w:color w:val="auto"/>
                <w:w w:val="98"/>
              </w:rPr>
              <w:t>2019</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right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1640" w:type="dxa"/>
            <w:vAlign w:val="bottom"/>
            <w:gridSpan w:val="2"/>
            <w:shd w:val="clear" w:color="auto" w:fill="CCEEFF"/>
          </w:tcPr>
          <w:p>
            <w:pPr>
              <w:spacing w:after="0" w:line="126" w:lineRule="exact"/>
              <w:rPr>
                <w:sz w:val="20"/>
                <w:szCs w:val="20"/>
                <w:color w:val="auto"/>
              </w:rPr>
            </w:pPr>
            <w:r>
              <w:rPr>
                <w:rFonts w:ascii="Arial" w:cs="Arial" w:eastAsia="Arial" w:hAnsi="Arial"/>
                <w:sz w:val="13"/>
                <w:szCs w:val="13"/>
                <w:color w:val="auto"/>
              </w:rPr>
              <w:t>Net (loss) income</w:t>
            </w: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78"/>
              </w:rPr>
              <w:t>$(15,039)</w:t>
            </w:r>
          </w:p>
        </w:tc>
        <w:tc>
          <w:tcPr>
            <w:tcW w:w="2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78"/>
              </w:rPr>
              <w:t>$(10,488)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99"/>
              </w:rPr>
              <w:t>(15,862)</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(9,962)</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78"/>
              </w:rPr>
              <w:t>$(11,498)</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78"/>
              </w:rPr>
              <w:t>$(13,835)</w:t>
            </w: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line="126"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99"/>
              </w:rPr>
              <w:t>(18,480)</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99"/>
              </w:rPr>
              <w:t>(30,786)</w:t>
            </w:r>
          </w:p>
        </w:tc>
        <w:tc>
          <w:tcPr>
            <w:tcW w:w="360" w:type="dxa"/>
            <w:vAlign w:val="bottom"/>
            <w:tcBorders>
              <w:right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5"/>
              </w:rPr>
              <w:t>(639)</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98"/>
              </w:rPr>
              <w:t>7,964</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line="126" w:lineRule="exact"/>
              <w:rPr>
                <w:sz w:val="20"/>
                <w:szCs w:val="20"/>
                <w:color w:val="auto"/>
              </w:rPr>
            </w:pPr>
            <w:r>
              <w:rPr>
                <w:rFonts w:ascii="Arial" w:cs="Arial" w:eastAsia="Arial" w:hAnsi="Arial"/>
                <w:sz w:val="13"/>
                <w:szCs w:val="13"/>
                <w:color w:val="auto"/>
              </w:rPr>
              <w:t>5,543</w:t>
            </w: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tcPr>
          <w:p>
            <w:pPr>
              <w:spacing w:after="0" w:line="140" w:lineRule="exact"/>
              <w:rPr>
                <w:sz w:val="20"/>
                <w:szCs w:val="20"/>
                <w:color w:val="auto"/>
              </w:rPr>
            </w:pPr>
            <w:r>
              <w:rPr>
                <w:rFonts w:ascii="Arial" w:cs="Arial" w:eastAsia="Arial" w:hAnsi="Arial"/>
                <w:sz w:val="13"/>
                <w:szCs w:val="13"/>
                <w:color w:val="auto"/>
              </w:rPr>
              <w:t>Interest expense, net</w:t>
            </w: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8,316</w:t>
            </w:r>
          </w:p>
        </w:tc>
        <w:tc>
          <w:tcPr>
            <w:tcW w:w="280" w:type="dxa"/>
            <w:vAlign w:val="bottom"/>
          </w:tcPr>
          <w:p>
            <w:pPr>
              <w:spacing w:after="0"/>
              <w:rPr>
                <w:sz w:val="12"/>
                <w:szCs w:val="12"/>
                <w:color w:val="auto"/>
              </w:rPr>
            </w:pP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8,454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line="140" w:lineRule="exact"/>
              <w:rPr>
                <w:sz w:val="20"/>
                <w:szCs w:val="20"/>
                <w:color w:val="auto"/>
              </w:rPr>
            </w:pPr>
            <w:r>
              <w:rPr>
                <w:rFonts w:ascii="Arial" w:cs="Arial" w:eastAsia="Arial" w:hAnsi="Arial"/>
                <w:sz w:val="13"/>
                <w:szCs w:val="13"/>
                <w:color w:val="auto"/>
              </w:rPr>
              <w:t>8,688</w:t>
            </w:r>
          </w:p>
        </w:tc>
        <w:tc>
          <w:tcPr>
            <w:tcW w:w="100" w:type="dxa"/>
            <w:vAlign w:val="bottom"/>
          </w:tcPr>
          <w:p>
            <w:pPr>
              <w:spacing w:after="0"/>
              <w:rPr>
                <w:sz w:val="12"/>
                <w:szCs w:val="12"/>
                <w:color w:val="auto"/>
              </w:rPr>
            </w:pP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9,022</w:t>
            </w:r>
          </w:p>
        </w:tc>
        <w:tc>
          <w:tcPr>
            <w:tcW w:w="200" w:type="dxa"/>
            <w:vAlign w:val="bottom"/>
          </w:tcPr>
          <w:p>
            <w:pPr>
              <w:spacing w:after="0"/>
              <w:rPr>
                <w:sz w:val="12"/>
                <w:szCs w:val="12"/>
                <w:color w:val="auto"/>
              </w:rPr>
            </w:pPr>
          </w:p>
        </w:tc>
        <w:tc>
          <w:tcPr>
            <w:tcW w:w="54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9,328</w:t>
            </w:r>
          </w:p>
        </w:tc>
        <w:tc>
          <w:tcPr>
            <w:tcW w:w="200" w:type="dxa"/>
            <w:vAlign w:val="bottom"/>
          </w:tcPr>
          <w:p>
            <w:pPr>
              <w:spacing w:after="0"/>
              <w:rPr>
                <w:sz w:val="12"/>
                <w:szCs w:val="12"/>
                <w:color w:val="auto"/>
              </w:rPr>
            </w:pPr>
          </w:p>
        </w:tc>
        <w:tc>
          <w:tcPr>
            <w:tcW w:w="820" w:type="dxa"/>
            <w:vAlign w:val="bottom"/>
            <w:gridSpan w:val="3"/>
          </w:tcPr>
          <w:p>
            <w:pPr>
              <w:jc w:val="right"/>
              <w:ind w:right="280"/>
              <w:spacing w:after="0" w:line="140" w:lineRule="exact"/>
              <w:rPr>
                <w:sz w:val="20"/>
                <w:szCs w:val="20"/>
                <w:color w:val="auto"/>
              </w:rPr>
            </w:pPr>
            <w:r>
              <w:rPr>
                <w:rFonts w:ascii="Arial" w:cs="Arial" w:eastAsia="Arial" w:hAnsi="Arial"/>
                <w:sz w:val="13"/>
                <w:szCs w:val="13"/>
                <w:color w:val="auto"/>
              </w:rPr>
              <w:t>9,452</w:t>
            </w: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9,894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60"/>
              <w:spacing w:after="0" w:line="140" w:lineRule="exact"/>
              <w:rPr>
                <w:sz w:val="20"/>
                <w:szCs w:val="20"/>
                <w:color w:val="auto"/>
              </w:rPr>
            </w:pPr>
            <w:r>
              <w:rPr>
                <w:rFonts w:ascii="Arial" w:cs="Arial" w:eastAsia="Arial" w:hAnsi="Arial"/>
                <w:sz w:val="13"/>
                <w:szCs w:val="13"/>
                <w:color w:val="auto"/>
              </w:rPr>
              <w:t>8,310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60"/>
              <w:spacing w:after="0" w:line="140" w:lineRule="exact"/>
              <w:rPr>
                <w:sz w:val="20"/>
                <w:szCs w:val="20"/>
                <w:color w:val="auto"/>
              </w:rPr>
            </w:pPr>
            <w:r>
              <w:rPr>
                <w:rFonts w:ascii="Arial" w:cs="Arial" w:eastAsia="Arial" w:hAnsi="Arial"/>
                <w:sz w:val="13"/>
                <w:szCs w:val="13"/>
                <w:color w:val="auto"/>
              </w:rPr>
              <w:t>(8)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58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0" w:lineRule="exact"/>
              <w:rPr>
                <w:sz w:val="20"/>
                <w:szCs w:val="20"/>
                <w:color w:val="auto"/>
              </w:rPr>
            </w:pPr>
            <w:r>
              <w:rPr>
                <w:rFonts w:ascii="Arial" w:cs="Arial" w:eastAsia="Arial" w:hAnsi="Arial"/>
                <w:sz w:val="13"/>
                <w:szCs w:val="13"/>
                <w:color w:val="auto"/>
              </w:rPr>
              <w:t>115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Depreciation</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400</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335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301</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257</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259</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60"/>
              <w:spacing w:after="0" w:line="140" w:lineRule="exact"/>
              <w:rPr>
                <w:sz w:val="20"/>
                <w:szCs w:val="20"/>
                <w:color w:val="auto"/>
              </w:rPr>
            </w:pPr>
            <w:r>
              <w:rPr>
                <w:rFonts w:ascii="Arial" w:cs="Arial" w:eastAsia="Arial" w:hAnsi="Arial"/>
                <w:sz w:val="13"/>
                <w:szCs w:val="13"/>
                <w:color w:val="auto"/>
              </w:rPr>
              <w:t>195</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222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tcPr>
          <w:p>
            <w:pPr>
              <w:spacing w:after="0" w:line="131" w:lineRule="exact"/>
              <w:rPr>
                <w:sz w:val="20"/>
                <w:szCs w:val="20"/>
                <w:color w:val="auto"/>
              </w:rPr>
            </w:pPr>
            <w:r>
              <w:rPr>
                <w:rFonts w:ascii="Arial" w:cs="Arial" w:eastAsia="Arial" w:hAnsi="Arial"/>
                <w:sz w:val="13"/>
                <w:szCs w:val="13"/>
                <w:color w:val="auto"/>
              </w:rPr>
              <w:t>Amortization of intangible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assets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14,507</w:t>
            </w:r>
          </w:p>
        </w:tc>
        <w:tc>
          <w:tcPr>
            <w:tcW w:w="2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14,346</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3"/>
                <w:szCs w:val="13"/>
                <w:color w:val="auto"/>
              </w:rPr>
              <w:t>14,930</w:t>
            </w: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14,605</w:t>
            </w: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14,447</w:t>
            </w: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3"/>
                <w:szCs w:val="13"/>
                <w:color w:val="auto"/>
              </w:rPr>
              <w:t>14,446</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16,755</w:t>
            </w: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13,862</w:t>
            </w:r>
          </w:p>
        </w:tc>
        <w:tc>
          <w:tcPr>
            <w:tcW w:w="36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162</w:t>
            </w: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972</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908</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EBITDA</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8,184</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12,653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8,091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13,966</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12,534</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10,322</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8,430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20"/>
              <w:spacing w:after="0" w:line="140" w:lineRule="exact"/>
              <w:rPr>
                <w:sz w:val="20"/>
                <w:szCs w:val="20"/>
                <w:color w:val="auto"/>
              </w:rPr>
            </w:pPr>
            <w:r>
              <w:rPr>
                <w:rFonts w:ascii="Arial" w:cs="Arial" w:eastAsia="Arial" w:hAnsi="Arial"/>
                <w:sz w:val="13"/>
                <w:szCs w:val="13"/>
                <w:color w:val="auto"/>
              </w:rPr>
              <w:t>(8,419)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w w:val="98"/>
              </w:rPr>
              <w:t>(446)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98"/>
              </w:rPr>
              <w:t>9,216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6,728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tcPr>
          <w:p>
            <w:pPr>
              <w:spacing w:after="0" w:line="131" w:lineRule="exact"/>
              <w:rPr>
                <w:sz w:val="20"/>
                <w:szCs w:val="20"/>
                <w:color w:val="auto"/>
              </w:rPr>
            </w:pPr>
            <w:r>
              <w:rPr>
                <w:rFonts w:ascii="Arial" w:cs="Arial" w:eastAsia="Arial" w:hAnsi="Arial"/>
                <w:sz w:val="13"/>
                <w:szCs w:val="13"/>
                <w:color w:val="auto"/>
              </w:rPr>
              <w:t>Other (income) expense,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net</w:t>
            </w:r>
            <w:r>
              <w:rPr>
                <w:rFonts w:ascii="Arial" w:cs="Arial" w:eastAsia="Arial" w:hAnsi="Arial"/>
                <w:sz w:val="10"/>
                <w:szCs w:val="10"/>
                <w:color w:val="auto"/>
              </w:rPr>
              <w:t>(1)</w:t>
            </w:r>
          </w:p>
        </w:tc>
        <w:tc>
          <w:tcPr>
            <w:tcW w:w="460" w:type="dxa"/>
            <w:vAlign w:val="bottom"/>
          </w:tcPr>
          <w:p>
            <w:pPr>
              <w:jc w:val="right"/>
              <w:spacing w:after="0"/>
              <w:rPr>
                <w:sz w:val="20"/>
                <w:szCs w:val="20"/>
                <w:color w:val="auto"/>
              </w:rPr>
            </w:pPr>
            <w:r>
              <w:rPr>
                <w:rFonts w:ascii="Arial" w:cs="Arial" w:eastAsia="Arial" w:hAnsi="Arial"/>
                <w:sz w:val="13"/>
                <w:szCs w:val="13"/>
                <w:color w:val="auto"/>
              </w:rPr>
              <w:t>100</w:t>
            </w:r>
          </w:p>
        </w:tc>
        <w:tc>
          <w:tcPr>
            <w:tcW w:w="28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w w:val="97"/>
              </w:rPr>
              <w:t>Equity compensation costs</w:t>
            </w:r>
            <w:r>
              <w:rPr>
                <w:rFonts w:ascii="Arial" w:cs="Arial" w:eastAsia="Arial" w:hAnsi="Arial"/>
                <w:sz w:val="10"/>
                <w:szCs w:val="10"/>
                <w:color w:val="auto"/>
                <w:w w:val="97"/>
              </w:rPr>
              <w:t>(2)</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1,615</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406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417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458</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442</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412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60"/>
              <w:spacing w:after="0" w:line="140" w:lineRule="exact"/>
              <w:rPr>
                <w:sz w:val="20"/>
                <w:szCs w:val="20"/>
                <w:color w:val="auto"/>
              </w:rPr>
            </w:pPr>
            <w:r>
              <w:rPr>
                <w:rFonts w:ascii="Arial" w:cs="Arial" w:eastAsia="Arial" w:hAnsi="Arial"/>
                <w:sz w:val="13"/>
                <w:szCs w:val="13"/>
                <w:color w:val="auto"/>
              </w:rPr>
              <w:t>332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3"/>
                <w:szCs w:val="13"/>
                <w:color w:val="auto"/>
                <w:w w:val="79"/>
              </w:rPr>
              <w:t>2,402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98"/>
              </w:rPr>
              <w:t>1,712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1,693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tcPr>
          <w:p>
            <w:pPr>
              <w:spacing w:after="0" w:line="131" w:lineRule="exact"/>
              <w:rPr>
                <w:sz w:val="20"/>
                <w:szCs w:val="20"/>
                <w:color w:val="auto"/>
              </w:rPr>
            </w:pPr>
            <w:r>
              <w:rPr>
                <w:rFonts w:ascii="Arial" w:cs="Arial" w:eastAsia="Arial" w:hAnsi="Arial"/>
                <w:sz w:val="13"/>
                <w:szCs w:val="13"/>
                <w:color w:val="auto"/>
              </w:rPr>
              <w:t>Acquisition related</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tcPr>
          <w:p>
            <w:pPr>
              <w:ind w:left="100"/>
              <w:spacing w:after="0"/>
              <w:rPr>
                <w:sz w:val="20"/>
                <w:szCs w:val="20"/>
                <w:color w:val="auto"/>
              </w:rPr>
            </w:pPr>
            <w:r>
              <w:rPr>
                <w:rFonts w:ascii="Arial" w:cs="Arial" w:eastAsia="Arial" w:hAnsi="Arial"/>
                <w:sz w:val="13"/>
                <w:szCs w:val="13"/>
                <w:color w:val="auto"/>
              </w:rPr>
              <w:t>expenses</w:t>
            </w:r>
            <w:r>
              <w:rPr>
                <w:rFonts w:ascii="Arial" w:cs="Arial" w:eastAsia="Arial" w:hAnsi="Arial"/>
                <w:sz w:val="10"/>
                <w:szCs w:val="10"/>
                <w:color w:val="auto"/>
              </w:rPr>
              <w:t>(3)</w:t>
            </w:r>
          </w:p>
        </w:tc>
        <w:tc>
          <w:tcPr>
            <w:tcW w:w="460" w:type="dxa"/>
            <w:vAlign w:val="bottom"/>
          </w:tcPr>
          <w:p>
            <w:pPr>
              <w:jc w:val="right"/>
              <w:spacing w:after="0"/>
              <w:rPr>
                <w:sz w:val="20"/>
                <w:szCs w:val="20"/>
                <w:color w:val="auto"/>
              </w:rPr>
            </w:pPr>
            <w:r>
              <w:rPr>
                <w:rFonts w:ascii="Arial" w:cs="Arial" w:eastAsia="Arial" w:hAnsi="Arial"/>
                <w:sz w:val="13"/>
                <w:szCs w:val="13"/>
                <w:color w:val="auto"/>
              </w:rPr>
              <w:t>3,431</w:t>
            </w:r>
          </w:p>
        </w:tc>
        <w:tc>
          <w:tcPr>
            <w:tcW w:w="2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3"/>
                <w:szCs w:val="13"/>
                <w:color w:val="auto"/>
              </w:rPr>
              <w:t>3,028</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w:t>
            </w:r>
          </w:p>
        </w:tc>
        <w:tc>
          <w:tcPr>
            <w:tcW w:w="20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268</w:t>
            </w:r>
          </w:p>
        </w:tc>
        <w:tc>
          <w:tcPr>
            <w:tcW w:w="200" w:type="dxa"/>
            <w:vAlign w:val="bottom"/>
          </w:tcPr>
          <w:p>
            <w:pPr>
              <w:spacing w:after="0"/>
              <w:rPr>
                <w:sz w:val="12"/>
                <w:szCs w:val="12"/>
                <w:color w:val="auto"/>
              </w:rPr>
            </w:pPr>
          </w:p>
        </w:tc>
        <w:tc>
          <w:tcPr>
            <w:tcW w:w="820" w:type="dxa"/>
            <w:vAlign w:val="bottom"/>
            <w:gridSpan w:val="3"/>
          </w:tcPr>
          <w:p>
            <w:pPr>
              <w:jc w:val="right"/>
              <w:ind w:right="280"/>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(678)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3"/>
                <w:szCs w:val="13"/>
                <w:color w:val="auto"/>
              </w:rPr>
              <w:t>15,381</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w w:val="98"/>
              </w:rPr>
              <w:t>1,019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132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4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Non-recurring and one-time</w:t>
            </w: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tcBorders>
              <w:right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items</w:t>
            </w:r>
            <w:r>
              <w:rPr>
                <w:rFonts w:ascii="Arial" w:cs="Arial" w:eastAsia="Arial" w:hAnsi="Arial"/>
                <w:sz w:val="10"/>
                <w:szCs w:val="10"/>
                <w:color w:val="auto"/>
              </w:rPr>
              <w:t>(4)</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1,069</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1,043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877</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571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546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tcPr>
          <w:p>
            <w:pPr>
              <w:spacing w:after="0" w:line="140" w:lineRule="exact"/>
              <w:rPr>
                <w:sz w:val="20"/>
                <w:szCs w:val="20"/>
                <w:color w:val="auto"/>
              </w:rPr>
            </w:pPr>
            <w:r>
              <w:rPr>
                <w:rFonts w:ascii="Arial" w:cs="Arial" w:eastAsia="Arial" w:hAnsi="Arial"/>
                <w:sz w:val="13"/>
                <w:szCs w:val="13"/>
                <w:color w:val="auto"/>
              </w:rPr>
              <w:t>Adjusted EBITDA</w:t>
            </w: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rPr>
              <w:t>14,399</w:t>
            </w:r>
          </w:p>
        </w:tc>
        <w:tc>
          <w:tcPr>
            <w:tcW w:w="280" w:type="dxa"/>
            <w:vAlign w:val="bottom"/>
          </w:tcPr>
          <w:p>
            <w:pPr>
              <w:spacing w:after="0"/>
              <w:rPr>
                <w:sz w:val="12"/>
                <w:szCs w:val="12"/>
                <w:color w:val="auto"/>
              </w:rPr>
            </w:pPr>
          </w:p>
        </w:tc>
        <w:tc>
          <w:tcPr>
            <w:tcW w:w="460" w:type="dxa"/>
            <w:vAlign w:val="bottom"/>
          </w:tcPr>
          <w:p>
            <w:pPr>
              <w:jc w:val="right"/>
              <w:spacing w:after="0" w:line="140" w:lineRule="exact"/>
              <w:rPr>
                <w:sz w:val="20"/>
                <w:szCs w:val="20"/>
                <w:color w:val="auto"/>
              </w:rPr>
            </w:pPr>
            <w:r>
              <w:rPr>
                <w:rFonts w:ascii="Arial" w:cs="Arial" w:eastAsia="Arial" w:hAnsi="Arial"/>
                <w:sz w:val="13"/>
                <w:szCs w:val="13"/>
                <w:color w:val="auto"/>
                <w:w w:val="86"/>
              </w:rPr>
              <w:t>$ 14,068</w:t>
            </w:r>
          </w:p>
        </w:tc>
        <w:tc>
          <w:tcPr>
            <w:tcW w:w="200" w:type="dxa"/>
            <w:vAlign w:val="bottom"/>
          </w:tcPr>
          <w:p>
            <w:pPr>
              <w:spacing w:after="0"/>
              <w:rPr>
                <w:sz w:val="12"/>
                <w:szCs w:val="12"/>
                <w:color w:val="auto"/>
              </w:rPr>
            </w:pPr>
          </w:p>
        </w:tc>
        <w:tc>
          <w:tcPr>
            <w:tcW w:w="180" w:type="dxa"/>
            <w:vAlign w:val="bottom"/>
            <w:gridSpan w:val="2"/>
          </w:tcPr>
          <w:p>
            <w:pPr>
              <w:ind w:left="80"/>
              <w:spacing w:after="0" w:line="140"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80"/>
              <w:spacing w:after="0" w:line="140" w:lineRule="exact"/>
              <w:rPr>
                <w:sz w:val="20"/>
                <w:szCs w:val="20"/>
                <w:color w:val="auto"/>
              </w:rPr>
            </w:pPr>
            <w:r>
              <w:rPr>
                <w:rFonts w:ascii="Arial" w:cs="Arial" w:eastAsia="Arial" w:hAnsi="Arial"/>
                <w:sz w:val="13"/>
                <w:szCs w:val="13"/>
                <w:color w:val="auto"/>
              </w:rPr>
              <w:t>12,801</w:t>
            </w:r>
          </w:p>
        </w:tc>
        <w:tc>
          <w:tcPr>
            <w:tcW w:w="100" w:type="dxa"/>
            <w:vAlign w:val="bottom"/>
          </w:tcPr>
          <w:p>
            <w:pPr>
              <w:spacing w:after="0" w:line="140"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40" w:lineRule="exact"/>
              <w:rPr>
                <w:sz w:val="20"/>
                <w:szCs w:val="20"/>
                <w:color w:val="auto"/>
              </w:rPr>
            </w:pPr>
            <w:r>
              <w:rPr>
                <w:rFonts w:ascii="Arial" w:cs="Arial" w:eastAsia="Arial" w:hAnsi="Arial"/>
                <w:sz w:val="13"/>
                <w:szCs w:val="13"/>
                <w:color w:val="auto"/>
              </w:rPr>
              <w:t>14,501</w:t>
            </w:r>
          </w:p>
        </w:tc>
        <w:tc>
          <w:tcPr>
            <w:tcW w:w="200" w:type="dxa"/>
            <w:vAlign w:val="bottom"/>
          </w:tcPr>
          <w:p>
            <w:pPr>
              <w:spacing w:after="0"/>
              <w:rPr>
                <w:sz w:val="12"/>
                <w:szCs w:val="12"/>
                <w:color w:val="auto"/>
              </w:rPr>
            </w:pPr>
          </w:p>
        </w:tc>
        <w:tc>
          <w:tcPr>
            <w:tcW w:w="54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$ 14,134</w:t>
            </w:r>
          </w:p>
        </w:tc>
        <w:tc>
          <w:tcPr>
            <w:tcW w:w="200" w:type="dxa"/>
            <w:vAlign w:val="bottom"/>
          </w:tcPr>
          <w:p>
            <w:pPr>
              <w:spacing w:after="0"/>
              <w:rPr>
                <w:sz w:val="12"/>
                <w:szCs w:val="12"/>
                <w:color w:val="auto"/>
              </w:rPr>
            </w:pPr>
          </w:p>
        </w:tc>
        <w:tc>
          <w:tcPr>
            <w:tcW w:w="820" w:type="dxa"/>
            <w:vAlign w:val="bottom"/>
            <w:gridSpan w:val="3"/>
          </w:tcPr>
          <w:p>
            <w:pPr>
              <w:jc w:val="right"/>
              <w:ind w:right="280"/>
              <w:spacing w:after="0" w:line="140" w:lineRule="exact"/>
              <w:rPr>
                <w:sz w:val="20"/>
                <w:szCs w:val="20"/>
                <w:color w:val="auto"/>
              </w:rPr>
            </w:pPr>
            <w:r>
              <w:rPr>
                <w:rFonts w:ascii="Arial" w:cs="Arial" w:eastAsia="Arial" w:hAnsi="Arial"/>
                <w:sz w:val="13"/>
                <w:szCs w:val="13"/>
                <w:color w:val="auto"/>
              </w:rPr>
              <w:t>$ 12,069</w:t>
            </w:r>
          </w:p>
        </w:tc>
        <w:tc>
          <w:tcPr>
            <w:tcW w:w="100" w:type="dxa"/>
            <w:vAlign w:val="bottom"/>
          </w:tcPr>
          <w:p>
            <w:pPr>
              <w:spacing w:after="0" w:line="140" w:lineRule="exact"/>
              <w:rPr>
                <w:sz w:val="20"/>
                <w:szCs w:val="20"/>
                <w:color w:val="auto"/>
              </w:rPr>
            </w:pPr>
            <w:r>
              <w:rPr>
                <w:rFonts w:ascii="Arial" w:cs="Arial" w:eastAsia="Arial" w:hAnsi="Arial"/>
                <w:sz w:val="13"/>
                <w:szCs w:val="13"/>
                <w:color w:val="auto"/>
              </w:rPr>
              <w:t>$</w:t>
            </w: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10,786</w:t>
            </w:r>
          </w:p>
        </w:tc>
        <w:tc>
          <w:tcPr>
            <w:tcW w:w="200" w:type="dxa"/>
            <w:vAlign w:val="bottom"/>
          </w:tcPr>
          <w:p>
            <w:pPr>
              <w:spacing w:after="0"/>
              <w:rPr>
                <w:sz w:val="12"/>
                <w:szCs w:val="12"/>
                <w:color w:val="auto"/>
              </w:rPr>
            </w:pPr>
          </w:p>
        </w:tc>
        <w:tc>
          <w:tcPr>
            <w:tcW w:w="200" w:type="dxa"/>
            <w:vAlign w:val="bottom"/>
            <w:gridSpan w:val="2"/>
          </w:tcPr>
          <w:p>
            <w:pPr>
              <w:jc w:val="right"/>
              <w:ind w:right="10"/>
              <w:spacing w:after="0" w:line="140"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gridSpan w:val="2"/>
          </w:tcPr>
          <w:p>
            <w:pPr>
              <w:jc w:val="right"/>
              <w:ind w:right="360"/>
              <w:spacing w:after="0" w:line="140" w:lineRule="exact"/>
              <w:rPr>
                <w:sz w:val="20"/>
                <w:szCs w:val="20"/>
                <w:color w:val="auto"/>
              </w:rPr>
            </w:pPr>
            <w:r>
              <w:rPr>
                <w:rFonts w:ascii="Arial" w:cs="Arial" w:eastAsia="Arial" w:hAnsi="Arial"/>
                <w:sz w:val="13"/>
                <w:szCs w:val="13"/>
                <w:color w:val="auto"/>
              </w:rPr>
              <w:t>7,865</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200"/>
              <w:spacing w:after="0" w:line="140" w:lineRule="exact"/>
              <w:rPr>
                <w:sz w:val="20"/>
                <w:szCs w:val="20"/>
                <w:color w:val="auto"/>
              </w:rPr>
            </w:pPr>
            <w:r>
              <w:rPr>
                <w:rFonts w:ascii="Arial" w:cs="Arial" w:eastAsia="Arial" w:hAnsi="Arial"/>
                <w:sz w:val="13"/>
                <w:szCs w:val="13"/>
                <w:color w:val="auto"/>
                <w:w w:val="79"/>
              </w:rPr>
              <w:t>2,084</w:t>
            </w:r>
          </w:p>
        </w:tc>
        <w:tc>
          <w:tcPr>
            <w:tcW w:w="16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w w:val="80"/>
              </w:rPr>
              <w:t>12,493</w:t>
            </w:r>
          </w:p>
        </w:tc>
        <w:tc>
          <w:tcPr>
            <w:tcW w:w="14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w:t>
            </w:r>
          </w:p>
        </w:tc>
        <w:tc>
          <w:tcPr>
            <w:tcW w:w="380" w:type="dxa"/>
            <w:vAlign w:val="bottom"/>
          </w:tcPr>
          <w:p>
            <w:pPr>
              <w:jc w:val="right"/>
              <w:spacing w:after="0" w:line="140" w:lineRule="exact"/>
              <w:rPr>
                <w:sz w:val="20"/>
                <w:szCs w:val="20"/>
                <w:color w:val="auto"/>
              </w:rPr>
            </w:pPr>
            <w:r>
              <w:rPr>
                <w:rFonts w:ascii="Arial" w:cs="Arial" w:eastAsia="Arial" w:hAnsi="Arial"/>
                <w:sz w:val="13"/>
                <w:szCs w:val="13"/>
                <w:color w:val="auto"/>
              </w:rPr>
              <w:t>9,079</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Revenue</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6"/>
              </w:rPr>
              <w:t>$ 39,821</w:t>
            </w: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6"/>
              </w:rPr>
              <w:t>$ 36,936</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0"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33,658</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30,073</w:t>
            </w: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$ 28,245</w:t>
            </w:r>
          </w:p>
        </w:tc>
        <w:tc>
          <w:tcPr>
            <w:tcW w:w="2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rPr>
              <w:t>$ 26,341</w:t>
            </w:r>
          </w:p>
        </w:tc>
        <w:tc>
          <w:tcPr>
            <w:tcW w:w="1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23,233</w:t>
            </w:r>
          </w:p>
        </w:tc>
        <w:tc>
          <w:tcPr>
            <w:tcW w:w="2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
              <w:spacing w:after="0" w:line="140"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gridSpan w:val="2"/>
            <w:shd w:val="clear" w:color="auto" w:fill="CCEEFF"/>
          </w:tcPr>
          <w:p>
            <w:pPr>
              <w:jc w:val="right"/>
              <w:ind w:right="360"/>
              <w:spacing w:after="0" w:line="140" w:lineRule="exact"/>
              <w:rPr>
                <w:sz w:val="20"/>
                <w:szCs w:val="20"/>
                <w:color w:val="auto"/>
              </w:rPr>
            </w:pPr>
            <w:r>
              <w:rPr>
                <w:rFonts w:ascii="Arial" w:cs="Arial" w:eastAsia="Arial" w:hAnsi="Arial"/>
                <w:sz w:val="13"/>
                <w:szCs w:val="13"/>
                <w:color w:val="auto"/>
              </w:rPr>
              <w:t>16,812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200"/>
              <w:spacing w:after="0" w:line="140" w:lineRule="exact"/>
              <w:rPr>
                <w:sz w:val="20"/>
                <w:szCs w:val="20"/>
                <w:color w:val="auto"/>
              </w:rPr>
            </w:pPr>
            <w:r>
              <w:rPr>
                <w:rFonts w:ascii="Arial" w:cs="Arial" w:eastAsia="Arial" w:hAnsi="Arial"/>
                <w:sz w:val="13"/>
                <w:szCs w:val="13"/>
                <w:color w:val="auto"/>
                <w:w w:val="79"/>
              </w:rPr>
              <w:t>3,829</w:t>
            </w:r>
          </w:p>
        </w:tc>
        <w:tc>
          <w:tcPr>
            <w:tcW w:w="16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w w:val="80"/>
              </w:rPr>
              <w:t>22,631</w:t>
            </w:r>
          </w:p>
        </w:tc>
        <w:tc>
          <w:tcPr>
            <w:tcW w:w="1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0"/>
              </w:rPr>
              <w:t>18,998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640" w:type="dxa"/>
            <w:vAlign w:val="bottom"/>
            <w:gridSpan w:val="2"/>
          </w:tcPr>
          <w:p>
            <w:pPr>
              <w:spacing w:after="0" w:line="128" w:lineRule="exact"/>
              <w:rPr>
                <w:sz w:val="20"/>
                <w:szCs w:val="20"/>
                <w:color w:val="auto"/>
              </w:rPr>
            </w:pPr>
            <w:r>
              <w:rPr>
                <w:rFonts w:ascii="Arial" w:cs="Arial" w:eastAsia="Arial" w:hAnsi="Arial"/>
                <w:sz w:val="12"/>
                <w:szCs w:val="12"/>
                <w:color w:val="auto"/>
              </w:rPr>
              <w:t xml:space="preserve">Net (loss) income margin </w:t>
            </w:r>
            <w:r>
              <w:rPr>
                <w:rFonts w:ascii="Arial" w:cs="Arial" w:eastAsia="Arial" w:hAnsi="Arial"/>
                <w:sz w:val="10"/>
                <w:szCs w:val="10"/>
                <w:color w:val="auto"/>
              </w:rPr>
              <w:t>(5)</w:t>
            </w:r>
          </w:p>
        </w:tc>
        <w:tc>
          <w:tcPr>
            <w:tcW w:w="7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(38)%</w:t>
            </w:r>
          </w:p>
        </w:tc>
        <w:tc>
          <w:tcPr>
            <w:tcW w:w="66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(28)%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(47)%</w:t>
            </w: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(33)%</w:t>
            </w:r>
          </w:p>
        </w:tc>
        <w:tc>
          <w:tcPr>
            <w:tcW w:w="74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(41)%</w:t>
            </w:r>
          </w:p>
        </w:tc>
        <w:tc>
          <w:tcPr>
            <w:tcW w:w="82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(53)%</w:t>
            </w:r>
          </w:p>
        </w:tc>
        <w:tc>
          <w:tcPr>
            <w:tcW w:w="100" w:type="dxa"/>
            <w:vAlign w:val="bottom"/>
          </w:tcPr>
          <w:p>
            <w:pPr>
              <w:spacing w:after="0"/>
              <w:rPr>
                <w:sz w:val="11"/>
                <w:szCs w:val="11"/>
                <w:color w:val="auto"/>
              </w:rPr>
            </w:pPr>
          </w:p>
        </w:tc>
        <w:tc>
          <w:tcPr>
            <w:tcW w:w="70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(80)%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220"/>
              <w:spacing w:after="0" w:line="128" w:lineRule="exact"/>
              <w:rPr>
                <w:sz w:val="20"/>
                <w:szCs w:val="20"/>
                <w:color w:val="auto"/>
              </w:rPr>
            </w:pPr>
            <w:r>
              <w:rPr>
                <w:rFonts w:ascii="Arial" w:cs="Arial" w:eastAsia="Arial" w:hAnsi="Arial"/>
                <w:sz w:val="12"/>
                <w:szCs w:val="12"/>
                <w:color w:val="auto"/>
              </w:rPr>
              <w:t>(183)%</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35%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40"/>
              <w:spacing w:after="0" w:line="128" w:lineRule="exact"/>
              <w:rPr>
                <w:sz w:val="20"/>
                <w:szCs w:val="20"/>
                <w:color w:val="auto"/>
              </w:rPr>
            </w:pPr>
            <w:r>
              <w:rPr>
                <w:rFonts w:ascii="Arial" w:cs="Arial" w:eastAsia="Arial" w:hAnsi="Arial"/>
                <w:sz w:val="12"/>
                <w:szCs w:val="12"/>
                <w:color w:val="auto"/>
              </w:rPr>
              <w:t>29%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640" w:type="dxa"/>
            <w:vAlign w:val="bottom"/>
            <w:gridSpan w:val="2"/>
            <w:shd w:val="clear" w:color="auto" w:fill="CCEEFF"/>
          </w:tcPr>
          <w:p>
            <w:pPr>
              <w:spacing w:after="0" w:line="140" w:lineRule="exact"/>
              <w:rPr>
                <w:sz w:val="20"/>
                <w:szCs w:val="20"/>
                <w:color w:val="auto"/>
              </w:rPr>
            </w:pPr>
            <w:r>
              <w:rPr>
                <w:rFonts w:ascii="Arial" w:cs="Arial" w:eastAsia="Arial" w:hAnsi="Arial"/>
                <w:sz w:val="13"/>
                <w:szCs w:val="13"/>
                <w:color w:val="auto"/>
              </w:rPr>
              <w:t>Adjusted EBITDA Margin</w:t>
            </w:r>
          </w:p>
        </w:tc>
        <w:tc>
          <w:tcPr>
            <w:tcW w:w="74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36%</w:t>
            </w:r>
          </w:p>
        </w:tc>
        <w:tc>
          <w:tcPr>
            <w:tcW w:w="6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48%</w:t>
            </w:r>
          </w:p>
        </w:tc>
        <w:tc>
          <w:tcPr>
            <w:tcW w:w="740" w:type="dxa"/>
            <w:vAlign w:val="bottom"/>
            <w:gridSpan w:val="3"/>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50%</w:t>
            </w:r>
          </w:p>
        </w:tc>
        <w:tc>
          <w:tcPr>
            <w:tcW w:w="820" w:type="dxa"/>
            <w:vAlign w:val="bottom"/>
            <w:gridSpan w:val="3"/>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46%</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60"/>
              <w:spacing w:after="0" w:line="140" w:lineRule="exact"/>
              <w:rPr>
                <w:sz w:val="20"/>
                <w:szCs w:val="20"/>
                <w:color w:val="auto"/>
              </w:rPr>
            </w:pPr>
            <w:r>
              <w:rPr>
                <w:rFonts w:ascii="Arial" w:cs="Arial" w:eastAsia="Arial" w:hAnsi="Arial"/>
                <w:sz w:val="13"/>
                <w:szCs w:val="13"/>
                <w:color w:val="auto"/>
              </w:rPr>
              <w:t>47%</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80"/>
              <w:spacing w:after="0" w:line="140" w:lineRule="exact"/>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55%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0820"/>
          </w:cols>
          <w:pgMar w:left="320" w:top="442" w:right="75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273685</wp:posOffset>
            </wp:positionV>
            <wp:extent cx="7270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40" w:hanging="406"/>
        <w:spacing w:after="0"/>
        <w:tabs>
          <w:tab w:leader="none" w:pos="8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Primarily represents foreign exchange remeasurement gains and losses.</w:t>
      </w:r>
    </w:p>
    <w:p>
      <w:pPr>
        <w:spacing w:after="0" w:line="19" w:lineRule="exact"/>
        <w:rPr>
          <w:rFonts w:ascii="Arial" w:cs="Arial" w:eastAsia="Arial" w:hAnsi="Arial"/>
          <w:sz w:val="17"/>
          <w:szCs w:val="17"/>
          <w:color w:val="auto"/>
        </w:rPr>
      </w:pPr>
    </w:p>
    <w:p>
      <w:pPr>
        <w:ind w:left="840" w:right="480" w:hanging="406"/>
        <w:spacing w:after="0" w:line="249" w:lineRule="auto"/>
        <w:tabs>
          <w:tab w:leader="none" w:pos="8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7"/>
          <w:szCs w:val="17"/>
          <w:color w:val="auto"/>
        </w:rPr>
      </w:pPr>
    </w:p>
    <w:p>
      <w:pPr>
        <w:ind w:left="840" w:right="80" w:hanging="406"/>
        <w:spacing w:after="0" w:line="283" w:lineRule="auto"/>
        <w:tabs>
          <w:tab w:leader="none" w:pos="8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840" w:right="20" w:hanging="406"/>
        <w:spacing w:after="0" w:line="283" w:lineRule="auto"/>
        <w:tabs>
          <w:tab w:leader="none" w:pos="840" w:val="left"/>
        </w:tabs>
        <w:numPr>
          <w:ilvl w:val="0"/>
          <w:numId w:val="93"/>
        </w:numPr>
        <w:rPr>
          <w:rFonts w:ascii="Arial" w:cs="Arial" w:eastAsia="Arial" w:hAnsi="Arial"/>
          <w:sz w:val="15"/>
          <w:szCs w:val="15"/>
          <w:color w:val="auto"/>
        </w:rPr>
      </w:pPr>
      <w:r>
        <w:rPr>
          <w:rFonts w:ascii="Arial" w:cs="Arial" w:eastAsia="Arial" w:hAnsi="Arial"/>
          <w:sz w:val="15"/>
          <w:szCs w:val="15"/>
          <w:color w:val="auto"/>
        </w:rPr>
        <w:t>Non-recurring items represent expenses that are typically one-time or non-operational in nature. One-time expenses are comprised primarily of the following items: a pricing study initiated by our sponsors and professional fees for the preparation for our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ind w:left="840" w:hanging="406"/>
        <w:spacing w:after="0"/>
        <w:tabs>
          <w:tab w:leader="none" w:pos="8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Net (loss) income margin is defined as net (loss) income as a percentage of revenue for the applicable period.</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Operating Income (Loss)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90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0"/>
                <w:szCs w:val="10"/>
                <w:b w:val="1"/>
                <w:bCs w:val="1"/>
                <w:color w:val="auto"/>
              </w:rPr>
              <w:t>Successor</w:t>
            </w: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96"/>
              </w:rPr>
              <w:t>Predecessor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center"/>
              <w:ind w:right="41"/>
              <w:spacing w:after="0" w:line="96" w:lineRule="exact"/>
              <w:rPr>
                <w:sz w:val="20"/>
                <w:szCs w:val="20"/>
                <w:color w:val="auto"/>
              </w:rPr>
            </w:pPr>
            <w:r>
              <w:rPr>
                <w:rFonts w:ascii="Arial" w:cs="Arial" w:eastAsia="Arial" w:hAnsi="Arial"/>
                <w:sz w:val="10"/>
                <w:szCs w:val="10"/>
                <w:b w:val="1"/>
                <w:bCs w:val="1"/>
                <w:color w:val="auto"/>
                <w:w w:val="89"/>
              </w:rPr>
              <w:t>Period</w:t>
            </w:r>
          </w:p>
        </w:tc>
        <w:tc>
          <w:tcPr>
            <w:tcW w:w="30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3"/>
          </w:tcPr>
          <w:p>
            <w:pPr>
              <w:jc w:val="center"/>
              <w:ind w:right="100"/>
              <w:spacing w:after="0" w:line="96"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900" w:type="dxa"/>
            <w:vAlign w:val="bottom"/>
          </w:tcPr>
          <w:p>
            <w:pPr>
              <w:spacing w:after="0"/>
              <w:rPr>
                <w:sz w:val="9"/>
                <w:szCs w:val="9"/>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8"/>
              </w:rPr>
              <w:t>from</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Three</w:t>
            </w:r>
          </w:p>
        </w:tc>
        <w:tc>
          <w:tcPr>
            <w:tcW w:w="60" w:type="dxa"/>
            <w:vAlign w:val="bottom"/>
          </w:tcPr>
          <w:p>
            <w:pPr>
              <w:spacing w:after="0"/>
              <w:rPr>
                <w:sz w:val="9"/>
                <w:szCs w:val="9"/>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900" w:type="dxa"/>
            <w:vAlign w:val="bottom"/>
          </w:tcPr>
          <w:p>
            <w:pPr>
              <w:spacing w:after="0"/>
              <w:rPr>
                <w:sz w:val="9"/>
                <w:szCs w:val="9"/>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9"/>
              </w:rPr>
              <w:t>Months</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92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July 16, 2019</w:t>
            </w:r>
          </w:p>
        </w:tc>
        <w:tc>
          <w:tcPr>
            <w:tcW w:w="220" w:type="dxa"/>
            <w:vAlign w:val="bottom"/>
          </w:tcPr>
          <w:p>
            <w:pPr>
              <w:spacing w:after="0"/>
              <w:rPr>
                <w:sz w:val="9"/>
                <w:szCs w:val="9"/>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4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900" w:type="dxa"/>
            <w:vAlign w:val="bottom"/>
          </w:tcPr>
          <w:p>
            <w:pPr>
              <w:spacing w:after="0"/>
              <w:rPr>
                <w:sz w:val="9"/>
                <w:szCs w:val="9"/>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5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84"/>
              </w:rPr>
              <w:t>to</w:t>
            </w:r>
          </w:p>
        </w:tc>
        <w:tc>
          <w:tcPr>
            <w:tcW w:w="220" w:type="dxa"/>
            <w:vAlign w:val="bottom"/>
          </w:tcPr>
          <w:p>
            <w:pPr>
              <w:spacing w:after="0"/>
              <w:rPr>
                <w:sz w:val="9"/>
                <w:szCs w:val="9"/>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2"/>
              </w:rPr>
              <w:t>2019 to</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900" w:type="dxa"/>
            <w:vAlign w:val="bottom"/>
          </w:tcPr>
          <w:p>
            <w:pPr>
              <w:spacing w:after="0"/>
              <w:rPr>
                <w:sz w:val="9"/>
                <w:szCs w:val="9"/>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92"/>
              </w:rPr>
              <w:t>December 31,</w:t>
            </w:r>
          </w:p>
        </w:tc>
        <w:tc>
          <w:tcPr>
            <w:tcW w:w="80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0"/>
              </w:rPr>
              <w:t>September 30,</w:t>
            </w: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56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9"/>
              </w:rPr>
              <w:t>March 31,</w:t>
            </w:r>
          </w:p>
        </w:tc>
        <w:tc>
          <w:tcPr>
            <w:tcW w:w="60" w:type="dxa"/>
            <w:vAlign w:val="bottom"/>
          </w:tcPr>
          <w:p>
            <w:pPr>
              <w:spacing w:after="0"/>
              <w:rPr>
                <w:sz w:val="9"/>
                <w:szCs w:val="9"/>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December 31,</w:t>
            </w:r>
          </w:p>
        </w:tc>
        <w:tc>
          <w:tcPr>
            <w:tcW w:w="92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0"/>
                <w:szCs w:val="10"/>
                <w:b w:val="1"/>
                <w:bCs w:val="1"/>
                <w:color w:val="auto"/>
                <w:w w:val="90"/>
              </w:rPr>
              <w:t>September 30,</w:t>
            </w:r>
          </w:p>
        </w:tc>
        <w:tc>
          <w:tcPr>
            <w:tcW w:w="220" w:type="dxa"/>
            <w:vAlign w:val="bottom"/>
          </w:tcPr>
          <w:p>
            <w:pPr>
              <w:spacing w:after="0"/>
              <w:rPr>
                <w:sz w:val="9"/>
                <w:szCs w:val="9"/>
                <w:color w:val="auto"/>
              </w:rPr>
            </w:pPr>
          </w:p>
        </w:tc>
        <w:tc>
          <w:tcPr>
            <w:tcW w:w="4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90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20" w:type="dxa"/>
            <w:vAlign w:val="bottom"/>
          </w:tcPr>
          <w:p>
            <w:pPr>
              <w:spacing w:after="0"/>
              <w:rPr>
                <w:sz w:val="10"/>
                <w:szCs w:val="10"/>
                <w:color w:val="auto"/>
              </w:rPr>
            </w:pPr>
          </w:p>
        </w:tc>
        <w:tc>
          <w:tcPr>
            <w:tcW w:w="50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2021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2"/>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30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jc w:val="center"/>
              <w:ind w:right="21"/>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1"/>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r>
      <w:tr>
        <w:trPr>
          <w:trHeight w:val="133"/>
        </w:trPr>
        <w:tc>
          <w:tcPr>
            <w:tcW w:w="290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(Loss) Income from operations</w:t>
            </w: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76"/>
              </w:rPr>
              <w:t>$ (6,623)</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0"/>
              </w:rPr>
              <w:t>$ (2,158)</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(6,952)</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(940)</w:t>
            </w:r>
          </w:p>
        </w:tc>
        <w:tc>
          <w:tcPr>
            <w:tcW w:w="18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76"/>
              </w:rPr>
              <w:t>$ (2,170)</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4"/>
              </w:rPr>
              <w:t>$ (4,383)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(8,586)</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99"/>
              </w:rPr>
              <w:t>(22,476)</w:t>
            </w:r>
          </w:p>
        </w:tc>
        <w:tc>
          <w:tcPr>
            <w:tcW w:w="300" w:type="dxa"/>
            <w:vAlign w:val="bottom"/>
            <w:tcBorders>
              <w:top w:val="single" w:sz="8" w:color="CCEEFF"/>
              <w:right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92"/>
              </w:rPr>
              <w:t>(647)</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8,022</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5,658</w:t>
            </w:r>
          </w:p>
        </w:tc>
        <w:tc>
          <w:tcPr>
            <w:tcW w:w="40" w:type="dxa"/>
            <w:vAlign w:val="bottom"/>
            <w:tcBorders>
              <w:top w:val="single" w:sz="8" w:color="CCEEFF"/>
            </w:tcBorders>
            <w:shd w:val="clear" w:color="auto" w:fill="CCEEFF"/>
          </w:tcPr>
          <w:p>
            <w:pPr>
              <w:spacing w:after="0"/>
              <w:rPr>
                <w:sz w:val="11"/>
                <w:szCs w:val="11"/>
                <w:color w:val="auto"/>
              </w:rPr>
            </w:pPr>
          </w:p>
        </w:tc>
      </w:tr>
      <w:tr>
        <w:trPr>
          <w:trHeight w:val="140"/>
        </w:trPr>
        <w:tc>
          <w:tcPr>
            <w:tcW w:w="2900" w:type="dxa"/>
            <w:vAlign w:val="bottom"/>
          </w:tcPr>
          <w:p>
            <w:pPr>
              <w:spacing w:after="0" w:line="140"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0"/>
                <w:szCs w:val="10"/>
                <w:color w:val="auto"/>
              </w:rPr>
              <w:t>(1)</w:t>
            </w:r>
          </w:p>
        </w:tc>
        <w:tc>
          <w:tcPr>
            <w:tcW w:w="420" w:type="dxa"/>
            <w:vAlign w:val="bottom"/>
          </w:tcPr>
          <w:p>
            <w:pPr>
              <w:jc w:val="right"/>
              <w:spacing w:after="0" w:line="140" w:lineRule="exact"/>
              <w:rPr>
                <w:sz w:val="20"/>
                <w:szCs w:val="20"/>
                <w:color w:val="auto"/>
              </w:rPr>
            </w:pPr>
            <w:r>
              <w:rPr>
                <w:rFonts w:ascii="Arial" w:cs="Arial" w:eastAsia="Arial" w:hAnsi="Arial"/>
                <w:sz w:val="13"/>
                <w:szCs w:val="13"/>
                <w:color w:val="auto"/>
              </w:rPr>
              <w:t>14,250</w:t>
            </w:r>
          </w:p>
        </w:tc>
        <w:tc>
          <w:tcPr>
            <w:tcW w:w="12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14,092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14,819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14,570</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14,413</w:t>
            </w:r>
          </w:p>
        </w:tc>
        <w:tc>
          <w:tcPr>
            <w:tcW w:w="56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14,412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16,743</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13,862</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0" w:lineRule="exact"/>
              <w:rPr>
                <w:sz w:val="20"/>
                <w:szCs w:val="20"/>
                <w:color w:val="auto"/>
              </w:rPr>
            </w:pPr>
            <w:r>
              <w:rPr>
                <w:rFonts w:ascii="Arial" w:cs="Arial" w:eastAsia="Arial" w:hAnsi="Arial"/>
                <w:sz w:val="13"/>
                <w:szCs w:val="13"/>
                <w:color w:val="auto"/>
              </w:rPr>
              <w:t>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3"/>
                <w:szCs w:val="13"/>
                <w:color w:val="auto"/>
              </w:rPr>
              <w:t>972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908</w:t>
            </w:r>
          </w:p>
        </w:tc>
      </w:tr>
      <w:tr>
        <w:trPr>
          <w:trHeight w:val="140"/>
        </w:trPr>
        <w:tc>
          <w:tcPr>
            <w:tcW w:w="29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Equity compensation costs</w:t>
            </w:r>
          </w:p>
        </w:tc>
        <w:tc>
          <w:tcPr>
            <w:tcW w:w="42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1,615</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406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417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458</w:t>
            </w:r>
          </w:p>
        </w:tc>
        <w:tc>
          <w:tcPr>
            <w:tcW w:w="1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442</w:t>
            </w:r>
          </w:p>
        </w:tc>
        <w:tc>
          <w:tcPr>
            <w:tcW w:w="56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332</w:t>
            </w: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5"/>
              </w:rPr>
              <w:t>2,402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1,712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1,693</w:t>
            </w:r>
          </w:p>
        </w:tc>
      </w:tr>
      <w:tr>
        <w:trPr>
          <w:trHeight w:val="140"/>
        </w:trPr>
        <w:tc>
          <w:tcPr>
            <w:tcW w:w="2900" w:type="dxa"/>
            <w:vAlign w:val="bottom"/>
          </w:tcPr>
          <w:p>
            <w:pPr>
              <w:spacing w:after="0" w:line="140"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0"/>
                <w:szCs w:val="10"/>
                <w:color w:val="auto"/>
              </w:rPr>
              <w:t>(2)</w:t>
            </w:r>
          </w:p>
        </w:tc>
        <w:tc>
          <w:tcPr>
            <w:tcW w:w="420" w:type="dxa"/>
            <w:vAlign w:val="bottom"/>
          </w:tcPr>
          <w:p>
            <w:pPr>
              <w:jc w:val="right"/>
              <w:spacing w:after="0" w:line="140" w:lineRule="exact"/>
              <w:rPr>
                <w:sz w:val="20"/>
                <w:szCs w:val="20"/>
                <w:color w:val="auto"/>
              </w:rPr>
            </w:pPr>
            <w:r>
              <w:rPr>
                <w:rFonts w:ascii="Arial" w:cs="Arial" w:eastAsia="Arial" w:hAnsi="Arial"/>
                <w:sz w:val="13"/>
                <w:szCs w:val="13"/>
                <w:color w:val="auto"/>
              </w:rPr>
              <w:t>3,431</w:t>
            </w:r>
          </w:p>
        </w:tc>
        <w:tc>
          <w:tcPr>
            <w:tcW w:w="120" w:type="dxa"/>
            <w:vAlign w:val="bottom"/>
          </w:tcPr>
          <w:p>
            <w:pPr>
              <w:spacing w:after="0"/>
              <w:rPr>
                <w:sz w:val="12"/>
                <w:szCs w:val="12"/>
                <w:color w:val="auto"/>
              </w:rPr>
            </w:pPr>
          </w:p>
        </w:tc>
        <w:tc>
          <w:tcPr>
            <w:tcW w:w="50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38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3,028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40</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268</w:t>
            </w:r>
          </w:p>
        </w:tc>
        <w:tc>
          <w:tcPr>
            <w:tcW w:w="56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440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(678)</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15,381</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ind w:left="100"/>
              <w:spacing w:after="0" w:line="140"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3"/>
                <w:szCs w:val="13"/>
                <w:color w:val="auto"/>
              </w:rPr>
              <w:t>1,019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132</w:t>
            </w:r>
          </w:p>
        </w:tc>
      </w:tr>
      <w:tr>
        <w:trPr>
          <w:trHeight w:val="140"/>
        </w:trPr>
        <w:tc>
          <w:tcPr>
            <w:tcW w:w="290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Other non-recurring adjustments</w:t>
            </w:r>
            <w:r>
              <w:rPr>
                <w:rFonts w:ascii="Arial" w:cs="Arial" w:eastAsia="Arial" w:hAnsi="Arial"/>
                <w:sz w:val="10"/>
                <w:szCs w:val="10"/>
                <w:color w:val="auto"/>
              </w:rPr>
              <w:t>(3)</w:t>
            </w:r>
          </w:p>
        </w:tc>
        <w:tc>
          <w:tcPr>
            <w:tcW w:w="42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1,069</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1,095</w:t>
            </w:r>
          </w:p>
        </w:tc>
        <w:tc>
          <w:tcPr>
            <w:tcW w:w="1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1,043</w:t>
            </w: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37</w:t>
            </w: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890</w:t>
            </w:r>
          </w:p>
        </w:tc>
        <w:tc>
          <w:tcPr>
            <w:tcW w:w="560" w:type="dxa"/>
            <w:vAlign w:val="bottom"/>
            <w:tcBorders>
              <w:bottom w:val="single" w:sz="8" w:color="auto"/>
            </w:tcBorders>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877</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2,622</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571</w:t>
            </w: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128</w:t>
            </w: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546</w:t>
            </w:r>
          </w:p>
        </w:tc>
        <w:tc>
          <w:tcPr>
            <w:tcW w:w="1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line="140" w:lineRule="exact"/>
              <w:rPr>
                <w:sz w:val="20"/>
                <w:szCs w:val="20"/>
                <w:color w:val="auto"/>
              </w:rPr>
            </w:pPr>
            <w:r>
              <w:rPr>
                <w:rFonts w:ascii="Arial" w:cs="Arial" w:eastAsia="Arial" w:hAnsi="Arial"/>
                <w:sz w:val="13"/>
                <w:szCs w:val="13"/>
                <w:color w:val="auto"/>
              </w:rPr>
              <w:t>526</w:t>
            </w:r>
          </w:p>
        </w:tc>
        <w:tc>
          <w:tcPr>
            <w:tcW w:w="40" w:type="dxa"/>
            <w:vAlign w:val="bottom"/>
            <w:shd w:val="clear" w:color="auto" w:fill="CCEEFF"/>
          </w:tcPr>
          <w:p>
            <w:pPr>
              <w:spacing w:after="0"/>
              <w:rPr>
                <w:sz w:val="12"/>
                <w:szCs w:val="12"/>
                <w:color w:val="auto"/>
              </w:rPr>
            </w:pPr>
          </w:p>
        </w:tc>
      </w:tr>
      <w:tr>
        <w:trPr>
          <w:trHeight w:val="145"/>
        </w:trPr>
        <w:tc>
          <w:tcPr>
            <w:tcW w:w="2900" w:type="dxa"/>
            <w:vAlign w:val="bottom"/>
          </w:tcPr>
          <w:p>
            <w:pPr>
              <w:spacing w:after="0" w:line="146" w:lineRule="exact"/>
              <w:rPr>
                <w:sz w:val="20"/>
                <w:szCs w:val="20"/>
                <w:color w:val="auto"/>
              </w:rPr>
            </w:pPr>
            <w:r>
              <w:rPr>
                <w:rFonts w:ascii="Arial" w:cs="Arial" w:eastAsia="Arial" w:hAnsi="Arial"/>
                <w:sz w:val="13"/>
                <w:szCs w:val="13"/>
                <w:color w:val="auto"/>
              </w:rPr>
              <w:t>Adjusted Operating Income (Loss)</w:t>
            </w:r>
          </w:p>
        </w:tc>
        <w:tc>
          <w:tcPr>
            <w:tcW w:w="420" w:type="dxa"/>
            <w:vAlign w:val="bottom"/>
          </w:tcPr>
          <w:p>
            <w:pPr>
              <w:jc w:val="right"/>
              <w:spacing w:after="0" w:line="146" w:lineRule="exact"/>
              <w:rPr>
                <w:sz w:val="20"/>
                <w:szCs w:val="20"/>
                <w:color w:val="auto"/>
              </w:rPr>
            </w:pPr>
            <w:r>
              <w:rPr>
                <w:rFonts w:ascii="Arial" w:cs="Arial" w:eastAsia="Arial" w:hAnsi="Arial"/>
                <w:sz w:val="13"/>
                <w:szCs w:val="13"/>
                <w:color w:val="auto"/>
                <w:w w:val="85"/>
              </w:rPr>
              <w:t>$13,742</w:t>
            </w:r>
          </w:p>
        </w:tc>
        <w:tc>
          <w:tcPr>
            <w:tcW w:w="120" w:type="dxa"/>
            <w:vAlign w:val="bottom"/>
          </w:tcPr>
          <w:p>
            <w:pPr>
              <w:spacing w:after="0"/>
              <w:rPr>
                <w:sz w:val="12"/>
                <w:szCs w:val="12"/>
                <w:color w:val="auto"/>
              </w:rPr>
            </w:pPr>
          </w:p>
        </w:tc>
        <w:tc>
          <w:tcPr>
            <w:tcW w:w="500" w:type="dxa"/>
            <w:vAlign w:val="bottom"/>
            <w:gridSpan w:val="2"/>
          </w:tcPr>
          <w:p>
            <w:pPr>
              <w:jc w:val="right"/>
              <w:spacing w:after="0" w:line="146" w:lineRule="exact"/>
              <w:rPr>
                <w:sz w:val="20"/>
                <w:szCs w:val="20"/>
                <w:color w:val="auto"/>
              </w:rPr>
            </w:pPr>
            <w:r>
              <w:rPr>
                <w:rFonts w:ascii="Arial" w:cs="Arial" w:eastAsia="Arial" w:hAnsi="Arial"/>
                <w:sz w:val="13"/>
                <w:szCs w:val="13"/>
                <w:color w:val="auto"/>
                <w:w w:val="94"/>
              </w:rPr>
              <w:t>$ 13,473</w:t>
            </w:r>
          </w:p>
        </w:tc>
        <w:tc>
          <w:tcPr>
            <w:tcW w:w="1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12,355</w:t>
            </w:r>
          </w:p>
        </w:tc>
        <w:tc>
          <w:tcPr>
            <w:tcW w:w="160" w:type="dxa"/>
            <w:vAlign w:val="bottom"/>
          </w:tcPr>
          <w:p>
            <w:pPr>
              <w:spacing w:after="0"/>
              <w:rPr>
                <w:sz w:val="12"/>
                <w:szCs w:val="12"/>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14,165</w:t>
            </w:r>
          </w:p>
        </w:tc>
        <w:tc>
          <w:tcPr>
            <w:tcW w:w="180" w:type="dxa"/>
            <w:vAlign w:val="bottom"/>
          </w:tcPr>
          <w:p>
            <w:pPr>
              <w:spacing w:after="0"/>
              <w:rPr>
                <w:sz w:val="12"/>
                <w:szCs w:val="12"/>
                <w:color w:val="auto"/>
              </w:rPr>
            </w:pPr>
          </w:p>
        </w:tc>
        <w:tc>
          <w:tcPr>
            <w:tcW w:w="60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w w:val="85"/>
              </w:rPr>
              <w:t>$13,843</w:t>
            </w:r>
          </w:p>
        </w:tc>
        <w:tc>
          <w:tcPr>
            <w:tcW w:w="56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w w:val="86"/>
              </w:rPr>
              <w:t>$ 11,776</w:t>
            </w:r>
          </w:p>
        </w:tc>
        <w:tc>
          <w:tcPr>
            <w:tcW w:w="16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80"/>
              <w:spacing w:after="0" w:line="146" w:lineRule="exact"/>
              <w:rPr>
                <w:sz w:val="20"/>
                <w:szCs w:val="20"/>
                <w:color w:val="auto"/>
              </w:rPr>
            </w:pPr>
            <w:r>
              <w:rPr>
                <w:rFonts w:ascii="Arial" w:cs="Arial" w:eastAsia="Arial" w:hAnsi="Arial"/>
                <w:sz w:val="13"/>
                <w:szCs w:val="13"/>
                <w:color w:val="auto"/>
              </w:rPr>
              <w:t>10,513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6" w:lineRule="exact"/>
              <w:rPr>
                <w:sz w:val="20"/>
                <w:szCs w:val="20"/>
                <w:color w:val="auto"/>
              </w:rPr>
            </w:pPr>
            <w:r>
              <w:rPr>
                <w:rFonts w:ascii="Arial" w:cs="Arial" w:eastAsia="Arial" w:hAnsi="Arial"/>
                <w:sz w:val="13"/>
                <w:szCs w:val="13"/>
                <w:color w:val="auto"/>
              </w:rPr>
              <w:t>7,670</w:t>
            </w:r>
          </w:p>
        </w:tc>
        <w:tc>
          <w:tcPr>
            <w:tcW w:w="300" w:type="dxa"/>
            <w:vAlign w:val="bottom"/>
            <w:tcBorders>
              <w:right w:val="single" w:sz="8" w:color="auto"/>
            </w:tcBorders>
          </w:tcPr>
          <w:p>
            <w:pPr>
              <w:spacing w:after="0"/>
              <w:rPr>
                <w:sz w:val="12"/>
                <w:szCs w:val="12"/>
                <w:color w:val="auto"/>
              </w:rPr>
            </w:pPr>
          </w:p>
        </w:tc>
        <w:tc>
          <w:tcPr>
            <w:tcW w:w="28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300" w:type="dxa"/>
            <w:vAlign w:val="bottom"/>
          </w:tcPr>
          <w:p>
            <w:pPr>
              <w:jc w:val="right"/>
              <w:spacing w:after="0" w:line="146" w:lineRule="exact"/>
              <w:rPr>
                <w:sz w:val="20"/>
                <w:szCs w:val="20"/>
                <w:color w:val="auto"/>
              </w:rPr>
            </w:pPr>
            <w:r>
              <w:rPr>
                <w:rFonts w:ascii="Arial" w:cs="Arial" w:eastAsia="Arial" w:hAnsi="Arial"/>
                <w:sz w:val="13"/>
                <w:szCs w:val="13"/>
                <w:color w:val="auto"/>
                <w:w w:val="85"/>
              </w:rPr>
              <w:t>2,045</w:t>
            </w:r>
          </w:p>
        </w:tc>
        <w:tc>
          <w:tcPr>
            <w:tcW w:w="100" w:type="dxa"/>
            <w:vAlign w:val="bottom"/>
          </w:tcPr>
          <w:p>
            <w:pPr>
              <w:spacing w:after="0"/>
              <w:rPr>
                <w:sz w:val="12"/>
                <w:szCs w:val="12"/>
                <w:color w:val="auto"/>
              </w:rPr>
            </w:pPr>
          </w:p>
        </w:tc>
        <w:tc>
          <w:tcPr>
            <w:tcW w:w="14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46" w:lineRule="exact"/>
              <w:rPr>
                <w:sz w:val="20"/>
                <w:szCs w:val="20"/>
                <w:color w:val="auto"/>
              </w:rPr>
            </w:pPr>
            <w:r>
              <w:rPr>
                <w:rFonts w:ascii="Arial" w:cs="Arial" w:eastAsia="Arial" w:hAnsi="Arial"/>
                <w:sz w:val="13"/>
                <w:szCs w:val="13"/>
                <w:color w:val="auto"/>
                <w:w w:val="85"/>
              </w:rPr>
              <w:t>12,271</w:t>
            </w:r>
          </w:p>
        </w:tc>
        <w:tc>
          <w:tcPr>
            <w:tcW w:w="1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rPr>
              <w:t>8,917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520" w:hanging="406"/>
        <w:spacing w:after="0" w:line="256" w:lineRule="auto"/>
        <w:tabs>
          <w:tab w:leader="none" w:pos="8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7"/>
          <w:szCs w:val="17"/>
          <w:color w:val="auto"/>
        </w:rPr>
      </w:pPr>
    </w:p>
    <w:p>
      <w:pPr>
        <w:ind w:left="840" w:right="80" w:hanging="406"/>
        <w:spacing w:after="0" w:line="283" w:lineRule="auto"/>
        <w:tabs>
          <w:tab w:leader="none" w:pos="8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840" w:right="20" w:hanging="406"/>
        <w:spacing w:after="0" w:line="271" w:lineRule="auto"/>
        <w:tabs>
          <w:tab w:leader="none" w:pos="8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professional fees for the preparation for the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07"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0820"/>
          </w:cols>
          <w:pgMar w:left="320" w:top="442" w:right="75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Adjusted Net Income (Loss)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6"/>
          </w:tcPr>
          <w:p>
            <w:pPr>
              <w:ind w:left="40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4"/>
          </w:tcPr>
          <w:p>
            <w:pPr>
              <w:ind w:left="40"/>
              <w:spacing w:after="0"/>
              <w:rPr>
                <w:sz w:val="20"/>
                <w:szCs w:val="20"/>
                <w:color w:val="auto"/>
              </w:rPr>
            </w:pPr>
            <w:r>
              <w:rPr>
                <w:rFonts w:ascii="Arial" w:cs="Arial" w:eastAsia="Arial" w:hAnsi="Arial"/>
                <w:sz w:val="10"/>
                <w:szCs w:val="10"/>
                <w:b w:val="1"/>
                <w:bCs w:val="1"/>
                <w:color w:val="auto"/>
                <w:w w:val="96"/>
              </w:rPr>
              <w:t>Predecessor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jc w:val="center"/>
              <w:ind w:right="41"/>
              <w:spacing w:after="0" w:line="96" w:lineRule="exact"/>
              <w:rPr>
                <w:sz w:val="20"/>
                <w:szCs w:val="20"/>
                <w:color w:val="auto"/>
              </w:rPr>
            </w:pPr>
            <w:r>
              <w:rPr>
                <w:rFonts w:ascii="Arial" w:cs="Arial" w:eastAsia="Arial" w:hAnsi="Arial"/>
                <w:sz w:val="10"/>
                <w:szCs w:val="10"/>
                <w:b w:val="1"/>
                <w:bCs w:val="1"/>
                <w:color w:val="auto"/>
                <w:w w:val="89"/>
              </w:rPr>
              <w:t>Period</w:t>
            </w:r>
          </w:p>
        </w:tc>
        <w:tc>
          <w:tcPr>
            <w:tcW w:w="30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gridSpan w:val="3"/>
          </w:tcPr>
          <w:p>
            <w:pPr>
              <w:jc w:val="center"/>
              <w:ind w:right="100"/>
              <w:spacing w:after="0" w:line="96" w:lineRule="exact"/>
              <w:rPr>
                <w:sz w:val="20"/>
                <w:szCs w:val="20"/>
                <w:color w:val="auto"/>
              </w:rPr>
            </w:pPr>
            <w:r>
              <w:rPr>
                <w:rFonts w:ascii="Arial" w:cs="Arial" w:eastAsia="Arial" w:hAnsi="Arial"/>
                <w:sz w:val="10"/>
                <w:szCs w:val="10"/>
                <w:b w:val="1"/>
                <w:bCs w:val="1"/>
                <w:color w:val="auto"/>
                <w:w w:val="89"/>
              </w:rPr>
              <w:t>Period</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0"/>
                <w:szCs w:val="10"/>
                <w:b w:val="1"/>
                <w:bCs w:val="1"/>
                <w:color w:val="auto"/>
                <w:w w:val="98"/>
              </w:rPr>
              <w:t>from</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from</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Three</w:t>
            </w:r>
          </w:p>
        </w:tc>
        <w:tc>
          <w:tcPr>
            <w:tcW w:w="60" w:type="dxa"/>
            <w:vAlign w:val="bottom"/>
          </w:tcPr>
          <w:p>
            <w:pPr>
              <w:spacing w:after="0"/>
              <w:rPr>
                <w:sz w:val="9"/>
                <w:szCs w:val="9"/>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5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92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July 16, 2019</w:t>
            </w:r>
          </w:p>
        </w:tc>
        <w:tc>
          <w:tcPr>
            <w:tcW w:w="220" w:type="dxa"/>
            <w:vAlign w:val="bottom"/>
          </w:tcPr>
          <w:p>
            <w:pPr>
              <w:spacing w:after="0"/>
              <w:rPr>
                <w:sz w:val="9"/>
                <w:szCs w:val="9"/>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89"/>
              </w:rPr>
              <w:t>July 1,</w:t>
            </w:r>
          </w:p>
        </w:tc>
        <w:tc>
          <w:tcPr>
            <w:tcW w:w="8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4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80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84"/>
              </w:rPr>
              <w:t>to</w:t>
            </w:r>
          </w:p>
        </w:tc>
        <w:tc>
          <w:tcPr>
            <w:tcW w:w="220" w:type="dxa"/>
            <w:vAlign w:val="bottom"/>
          </w:tcPr>
          <w:p>
            <w:pPr>
              <w:spacing w:after="0"/>
              <w:rPr>
                <w:sz w:val="9"/>
                <w:szCs w:val="9"/>
                <w:color w:val="auto"/>
              </w:rPr>
            </w:pPr>
          </w:p>
        </w:tc>
        <w:tc>
          <w:tcPr>
            <w:tcW w:w="46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2"/>
              </w:rPr>
              <w:t>2019 to</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760" w:type="dxa"/>
            <w:vAlign w:val="bottom"/>
          </w:tcPr>
          <w:p>
            <w:pPr>
              <w:spacing w:after="0"/>
              <w:rPr>
                <w:sz w:val="9"/>
                <w:szCs w:val="9"/>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64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9"/>
              </w:rPr>
              <w:t>March 31,</w:t>
            </w:r>
          </w:p>
        </w:tc>
        <w:tc>
          <w:tcPr>
            <w:tcW w:w="7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2"/>
              </w:rPr>
              <w:t>December 31,</w:t>
            </w:r>
          </w:p>
        </w:tc>
        <w:tc>
          <w:tcPr>
            <w:tcW w:w="7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89"/>
              </w:rPr>
              <w:t>June 30,</w:t>
            </w:r>
          </w:p>
        </w:tc>
        <w:tc>
          <w:tcPr>
            <w:tcW w:w="80" w:type="dxa"/>
            <w:vAlign w:val="bottom"/>
          </w:tcPr>
          <w:p>
            <w:pPr>
              <w:spacing w:after="0"/>
              <w:rPr>
                <w:sz w:val="9"/>
                <w:szCs w:val="9"/>
                <w:color w:val="auto"/>
              </w:rPr>
            </w:pPr>
          </w:p>
        </w:tc>
        <w:tc>
          <w:tcPr>
            <w:tcW w:w="5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5"/>
              </w:rPr>
              <w:t>March 31,</w:t>
            </w:r>
          </w:p>
        </w:tc>
        <w:tc>
          <w:tcPr>
            <w:tcW w:w="60" w:type="dxa"/>
            <w:vAlign w:val="bottom"/>
          </w:tcPr>
          <w:p>
            <w:pPr>
              <w:spacing w:after="0"/>
              <w:rPr>
                <w:sz w:val="9"/>
                <w:szCs w:val="9"/>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December 31,</w:t>
            </w:r>
          </w:p>
        </w:tc>
        <w:tc>
          <w:tcPr>
            <w:tcW w:w="92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0"/>
                <w:szCs w:val="10"/>
                <w:b w:val="1"/>
                <w:bCs w:val="1"/>
                <w:color w:val="auto"/>
                <w:w w:val="90"/>
              </w:rPr>
              <w:t>September 30,</w:t>
            </w:r>
          </w:p>
        </w:tc>
        <w:tc>
          <w:tcPr>
            <w:tcW w:w="220" w:type="dxa"/>
            <w:vAlign w:val="bottom"/>
          </w:tcPr>
          <w:p>
            <w:pPr>
              <w:spacing w:after="0"/>
              <w:rPr>
                <w:sz w:val="9"/>
                <w:szCs w:val="9"/>
                <w:color w:val="auto"/>
              </w:rPr>
            </w:pPr>
          </w:p>
        </w:tc>
        <w:tc>
          <w:tcPr>
            <w:tcW w:w="460" w:type="dxa"/>
            <w:vAlign w:val="bottom"/>
            <w:gridSpan w:val="3"/>
          </w:tcPr>
          <w:p>
            <w:pPr>
              <w:jc w:val="center"/>
              <w:ind w:right="120"/>
              <w:spacing w:after="0"/>
              <w:rPr>
                <w:sz w:val="20"/>
                <w:szCs w:val="20"/>
                <w:color w:val="auto"/>
              </w:rPr>
            </w:pPr>
            <w:r>
              <w:rPr>
                <w:rFonts w:ascii="Arial" w:cs="Arial" w:eastAsia="Arial" w:hAnsi="Arial"/>
                <w:sz w:val="10"/>
                <w:szCs w:val="10"/>
                <w:b w:val="1"/>
                <w:bCs w:val="1"/>
                <w:color w:val="auto"/>
                <w:w w:val="92"/>
              </w:rPr>
              <w:t>July 15,</w:t>
            </w:r>
          </w:p>
        </w:tc>
        <w:tc>
          <w:tcPr>
            <w:tcW w:w="80" w:type="dxa"/>
            <w:vAlign w:val="bottom"/>
          </w:tcPr>
          <w:p>
            <w:pPr>
              <w:spacing w:after="0"/>
              <w:rPr>
                <w:sz w:val="9"/>
                <w:szCs w:val="9"/>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7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89"/>
              </w:rPr>
              <w:t>2021</w:t>
            </w:r>
          </w:p>
        </w:tc>
        <w:tc>
          <w:tcPr>
            <w:tcW w:w="1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2021</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62"/>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center"/>
              <w:ind w:right="41"/>
              <w:spacing w:after="0"/>
              <w:rPr>
                <w:sz w:val="20"/>
                <w:szCs w:val="20"/>
                <w:color w:val="auto"/>
              </w:rPr>
            </w:pPr>
            <w:r>
              <w:rPr>
                <w:rFonts w:ascii="Arial" w:cs="Arial" w:eastAsia="Arial" w:hAnsi="Arial"/>
                <w:sz w:val="10"/>
                <w:szCs w:val="10"/>
                <w:b w:val="1"/>
                <w:bCs w:val="1"/>
                <w:color w:val="auto"/>
                <w:w w:val="89"/>
              </w:rPr>
              <w:t>2019</w:t>
            </w:r>
          </w:p>
        </w:tc>
        <w:tc>
          <w:tcPr>
            <w:tcW w:w="300" w:type="dxa"/>
            <w:vAlign w:val="bottom"/>
            <w:tcBorders>
              <w:bottom w:val="single" w:sz="8" w:color="CCEEFF"/>
              <w:right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ind w:right="21"/>
              <w:spacing w:after="0"/>
              <w:rPr>
                <w:sz w:val="20"/>
                <w:szCs w:val="20"/>
                <w:color w:val="auto"/>
              </w:rPr>
            </w:pPr>
            <w:r>
              <w:rPr>
                <w:rFonts w:ascii="Arial" w:cs="Arial" w:eastAsia="Arial" w:hAnsi="Arial"/>
                <w:sz w:val="10"/>
                <w:szCs w:val="10"/>
                <w:b w:val="1"/>
                <w:bCs w:val="1"/>
                <w:color w:val="auto"/>
                <w:w w:val="89"/>
              </w:rPr>
              <w:t>2019</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Borders>
              <w:bottom w:val="single" w:sz="8" w:color="CCEEFF"/>
            </w:tcBorders>
          </w:tcPr>
          <w:p>
            <w:pPr>
              <w:spacing w:after="0"/>
              <w:rPr>
                <w:sz w:val="10"/>
                <w:szCs w:val="10"/>
                <w:color w:val="auto"/>
              </w:rPr>
            </w:pPr>
          </w:p>
        </w:tc>
      </w:tr>
      <w:tr>
        <w:trPr>
          <w:trHeight w:val="133"/>
        </w:trPr>
        <w:tc>
          <w:tcPr>
            <w:tcW w:w="2760" w:type="dxa"/>
            <w:vAlign w:val="bottom"/>
            <w:shd w:val="clear" w:color="auto" w:fill="CCEEFF"/>
          </w:tcPr>
          <w:p>
            <w:pPr>
              <w:spacing w:after="0" w:line="133" w:lineRule="exact"/>
              <w:rPr>
                <w:sz w:val="20"/>
                <w:szCs w:val="20"/>
                <w:color w:val="auto"/>
              </w:rPr>
            </w:pPr>
            <w:r>
              <w:rPr>
                <w:rFonts w:ascii="Arial" w:cs="Arial" w:eastAsia="Arial" w:hAnsi="Arial"/>
                <w:sz w:val="13"/>
                <w:szCs w:val="13"/>
                <w:color w:val="auto"/>
              </w:rPr>
              <w:t>Net (loss) income</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74"/>
              </w:rPr>
              <w:t>(15,039)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78"/>
              </w:rPr>
              <w:t>(10,488)</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9"/>
              </w:rPr>
              <w:t>(15,862)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(9,962)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78"/>
              </w:rPr>
              <w:t>(11,498)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78"/>
              </w:rPr>
              <w:t>(13,835)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82"/>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9"/>
              </w:rPr>
              <w:t>(18,480)</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9"/>
              </w:rPr>
              <w:t>(30,786)</w:t>
            </w:r>
          </w:p>
        </w:tc>
        <w:tc>
          <w:tcPr>
            <w:tcW w:w="300" w:type="dxa"/>
            <w:vAlign w:val="bottom"/>
            <w:tcBorders>
              <w:right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w w:val="92"/>
              </w:rPr>
              <w:t>(639)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7,964</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Arial" w:cs="Arial" w:eastAsia="Arial" w:hAnsi="Arial"/>
                <w:sz w:val="13"/>
                <w:szCs w:val="13"/>
                <w:b w:val="1"/>
                <w:bCs w:val="1"/>
                <w:color w:val="auto"/>
              </w:rPr>
              <w:t>5,543</w:t>
            </w:r>
          </w:p>
        </w:tc>
        <w:tc>
          <w:tcPr>
            <w:tcW w:w="40" w:type="dxa"/>
            <w:vAlign w:val="bottom"/>
            <w:shd w:val="clear" w:color="auto" w:fill="CCEEFF"/>
          </w:tcPr>
          <w:p>
            <w:pPr>
              <w:spacing w:after="0"/>
              <w:rPr>
                <w:sz w:val="11"/>
                <w:szCs w:val="11"/>
                <w:color w:val="auto"/>
              </w:rPr>
            </w:pPr>
          </w:p>
        </w:tc>
      </w:tr>
      <w:tr>
        <w:trPr>
          <w:trHeight w:val="140"/>
        </w:trPr>
        <w:tc>
          <w:tcPr>
            <w:tcW w:w="2760" w:type="dxa"/>
            <w:vAlign w:val="bottom"/>
          </w:tcPr>
          <w:p>
            <w:pPr>
              <w:spacing w:after="0" w:line="140" w:lineRule="exact"/>
              <w:rPr>
                <w:sz w:val="20"/>
                <w:szCs w:val="20"/>
                <w:color w:val="auto"/>
              </w:rPr>
            </w:pPr>
            <w:r>
              <w:rPr>
                <w:rFonts w:ascii="Arial" w:cs="Arial" w:eastAsia="Arial" w:hAnsi="Arial"/>
                <w:sz w:val="13"/>
                <w:szCs w:val="13"/>
                <w:color w:val="auto"/>
              </w:rPr>
              <w:t>Amortization of intangible assets</w:t>
            </w: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w w:val="90"/>
              </w:rPr>
              <w:t>14,250</w:t>
            </w: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w w:val="95"/>
              </w:rPr>
              <w:t>14,092</w:t>
            </w: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14,819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14,570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w w:val="95"/>
              </w:rPr>
              <w:t>14,413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w w:val="95"/>
              </w:rPr>
              <w:t>14,412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16,743</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13,862</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jc w:val="right"/>
              <w:spacing w:after="0" w:line="140" w:lineRule="exact"/>
              <w:rPr>
                <w:sz w:val="20"/>
                <w:szCs w:val="20"/>
                <w:color w:val="auto"/>
              </w:rPr>
            </w:pPr>
            <w:r>
              <w:rPr>
                <w:rFonts w:ascii="Arial" w:cs="Arial" w:eastAsia="Arial" w:hAnsi="Arial"/>
                <w:sz w:val="13"/>
                <w:szCs w:val="13"/>
                <w:color w:val="auto"/>
              </w:rPr>
              <w:t>162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3"/>
                <w:szCs w:val="13"/>
                <w:color w:val="auto"/>
              </w:rPr>
              <w:t>972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908</w:t>
            </w:r>
          </w:p>
        </w:tc>
      </w:tr>
      <w:tr>
        <w:trPr>
          <w:trHeight w:val="140"/>
        </w:trPr>
        <w:tc>
          <w:tcPr>
            <w:tcW w:w="27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Equity compensation costs</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1,615</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406</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417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458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442</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430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332</w:t>
            </w: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5"/>
              </w:rPr>
              <w:t>2,402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1,712</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1,693</w:t>
            </w:r>
          </w:p>
        </w:tc>
      </w:tr>
      <w:tr>
        <w:trPr>
          <w:trHeight w:val="140"/>
        </w:trPr>
        <w:tc>
          <w:tcPr>
            <w:tcW w:w="2760" w:type="dxa"/>
            <w:vAlign w:val="bottom"/>
          </w:tcPr>
          <w:p>
            <w:pPr>
              <w:spacing w:after="0" w:line="140"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0"/>
                <w:szCs w:val="10"/>
                <w:color w:val="auto"/>
              </w:rPr>
              <w:t>(2)</w:t>
            </w:r>
          </w:p>
        </w:tc>
        <w:tc>
          <w:tcPr>
            <w:tcW w:w="80" w:type="dxa"/>
            <w:vAlign w:val="bottom"/>
          </w:tcPr>
          <w:p>
            <w:pPr>
              <w:spacing w:after="0"/>
              <w:rPr>
                <w:sz w:val="12"/>
                <w:szCs w:val="12"/>
                <w:color w:val="auto"/>
              </w:rPr>
            </w:pPr>
          </w:p>
        </w:tc>
        <w:tc>
          <w:tcPr>
            <w:tcW w:w="56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3,431</w:t>
            </w:r>
          </w:p>
        </w:tc>
        <w:tc>
          <w:tcPr>
            <w:tcW w:w="60" w:type="dxa"/>
            <w:vAlign w:val="bottom"/>
          </w:tcPr>
          <w:p>
            <w:pPr>
              <w:spacing w:after="0"/>
              <w:rPr>
                <w:sz w:val="12"/>
                <w:szCs w:val="12"/>
                <w:color w:val="auto"/>
              </w:rPr>
            </w:pPr>
          </w:p>
        </w:tc>
        <w:tc>
          <w:tcPr>
            <w:tcW w:w="580" w:type="dxa"/>
            <w:vAlign w:val="bottom"/>
            <w:gridSpan w:val="2"/>
          </w:tcPr>
          <w:p>
            <w:pPr>
              <w:jc w:val="right"/>
              <w:ind w:right="180"/>
              <w:spacing w:after="0" w:line="140" w:lineRule="exact"/>
              <w:rPr>
                <w:sz w:val="20"/>
                <w:szCs w:val="20"/>
                <w:color w:val="auto"/>
              </w:rPr>
            </w:pPr>
            <w:r>
              <w:rPr>
                <w:rFonts w:ascii="Arial" w:cs="Arial" w:eastAsia="Arial" w:hAnsi="Arial"/>
                <w:sz w:val="13"/>
                <w:szCs w:val="13"/>
                <w:color w:val="auto"/>
              </w:rPr>
              <w:t>38</w:t>
            </w:r>
          </w:p>
        </w:tc>
        <w:tc>
          <w:tcPr>
            <w:tcW w:w="10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3,028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268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right"/>
              <w:ind w:right="100"/>
              <w:spacing w:after="0" w:line="140" w:lineRule="exact"/>
              <w:rPr>
                <w:sz w:val="20"/>
                <w:szCs w:val="20"/>
                <w:color w:val="auto"/>
              </w:rPr>
            </w:pPr>
            <w:r>
              <w:rPr>
                <w:rFonts w:ascii="Arial" w:cs="Arial" w:eastAsia="Arial" w:hAnsi="Arial"/>
                <w:sz w:val="13"/>
                <w:szCs w:val="13"/>
                <w:color w:val="auto"/>
              </w:rPr>
              <w:t>440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(678)</w:t>
            </w:r>
          </w:p>
        </w:tc>
        <w:tc>
          <w:tcPr>
            <w:tcW w:w="120" w:type="dxa"/>
            <w:vAlign w:val="bottom"/>
          </w:tcPr>
          <w:p>
            <w:pPr>
              <w:spacing w:after="0"/>
              <w:rPr>
                <w:sz w:val="12"/>
                <w:szCs w:val="12"/>
                <w:color w:val="auto"/>
              </w:rPr>
            </w:pPr>
          </w:p>
        </w:tc>
        <w:tc>
          <w:tcPr>
            <w:tcW w:w="500" w:type="dxa"/>
            <w:vAlign w:val="bottom"/>
          </w:tcPr>
          <w:p>
            <w:pPr>
              <w:jc w:val="right"/>
              <w:spacing w:after="0" w:line="140" w:lineRule="exact"/>
              <w:rPr>
                <w:sz w:val="20"/>
                <w:szCs w:val="20"/>
                <w:color w:val="auto"/>
              </w:rPr>
            </w:pPr>
            <w:r>
              <w:rPr>
                <w:rFonts w:ascii="Arial" w:cs="Arial" w:eastAsia="Arial" w:hAnsi="Arial"/>
                <w:sz w:val="13"/>
                <w:szCs w:val="13"/>
                <w:color w:val="auto"/>
              </w:rPr>
              <w:t>15,381</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ind w:left="100"/>
              <w:spacing w:after="0" w:line="140"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0" w:lineRule="exact"/>
              <w:rPr>
                <w:sz w:val="20"/>
                <w:szCs w:val="20"/>
                <w:color w:val="auto"/>
              </w:rPr>
            </w:pPr>
            <w:r>
              <w:rPr>
                <w:rFonts w:ascii="Arial" w:cs="Arial" w:eastAsia="Arial" w:hAnsi="Arial"/>
                <w:sz w:val="13"/>
                <w:szCs w:val="13"/>
                <w:color w:val="auto"/>
              </w:rPr>
              <w:t>1,019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rPr>
              <w:t>132</w:t>
            </w:r>
          </w:p>
        </w:tc>
      </w:tr>
      <w:tr>
        <w:trPr>
          <w:trHeight w:val="140"/>
        </w:trPr>
        <w:tc>
          <w:tcPr>
            <w:tcW w:w="27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Other non-recurring adjustments</w:t>
            </w: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1,069</w:t>
            </w: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1,095</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1,043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890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0" w:lineRule="exact"/>
              <w:rPr>
                <w:sz w:val="20"/>
                <w:szCs w:val="20"/>
                <w:color w:val="auto"/>
              </w:rPr>
            </w:pPr>
            <w:r>
              <w:rPr>
                <w:rFonts w:ascii="Arial" w:cs="Arial" w:eastAsia="Arial" w:hAnsi="Arial"/>
                <w:sz w:val="13"/>
                <w:szCs w:val="13"/>
                <w:color w:val="auto"/>
              </w:rPr>
              <w:t>877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2,622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571</w:t>
            </w:r>
          </w:p>
        </w:tc>
        <w:tc>
          <w:tcPr>
            <w:tcW w:w="30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546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0" w:lineRule="exact"/>
              <w:rPr>
                <w:sz w:val="20"/>
                <w:szCs w:val="20"/>
                <w:color w:val="auto"/>
              </w:rPr>
            </w:pPr>
            <w:r>
              <w:rPr>
                <w:rFonts w:ascii="Arial" w:cs="Arial" w:eastAsia="Arial" w:hAnsi="Arial"/>
                <w:sz w:val="13"/>
                <w:szCs w:val="13"/>
                <w:color w:val="auto"/>
              </w:rPr>
              <w:t>526</w:t>
            </w:r>
          </w:p>
        </w:tc>
      </w:tr>
      <w:tr>
        <w:trPr>
          <w:trHeight w:val="145"/>
        </w:trPr>
        <w:tc>
          <w:tcPr>
            <w:tcW w:w="2760" w:type="dxa"/>
            <w:vAlign w:val="bottom"/>
          </w:tcPr>
          <w:p>
            <w:pPr>
              <w:spacing w:after="0" w:line="146" w:lineRule="exact"/>
              <w:rPr>
                <w:sz w:val="20"/>
                <w:szCs w:val="20"/>
                <w:color w:val="auto"/>
              </w:rPr>
            </w:pPr>
            <w:r>
              <w:rPr>
                <w:rFonts w:ascii="Arial" w:cs="Arial" w:eastAsia="Arial" w:hAnsi="Arial"/>
                <w:sz w:val="13"/>
                <w:szCs w:val="13"/>
                <w:color w:val="auto"/>
              </w:rPr>
              <w:t>Adjusted Net Income (Loss)</w:t>
            </w:r>
          </w:p>
        </w:tc>
        <w:tc>
          <w:tcPr>
            <w:tcW w:w="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tcBorders>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5,326</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5,143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3,445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b w:val="1"/>
                <w:bCs w:val="1"/>
                <w:color w:val="auto"/>
              </w:rPr>
              <w:t>5,143</w:t>
            </w:r>
          </w:p>
        </w:tc>
        <w:tc>
          <w:tcPr>
            <w:tcW w:w="14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b w:val="1"/>
                <w:bCs w:val="1"/>
                <w:color w:val="auto"/>
              </w:rPr>
              <w:t>4,515</w:t>
            </w:r>
          </w:p>
        </w:tc>
        <w:tc>
          <w:tcPr>
            <w:tcW w:w="14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auto"/>
            </w:tcBorders>
            <w:gridSpan w:val="2"/>
          </w:tcPr>
          <w:p>
            <w:pPr>
              <w:jc w:val="right"/>
              <w:ind w:right="100"/>
              <w:spacing w:after="0" w:line="146" w:lineRule="exact"/>
              <w:rPr>
                <w:sz w:val="20"/>
                <w:szCs w:val="20"/>
                <w:color w:val="auto"/>
              </w:rPr>
            </w:pPr>
            <w:r>
              <w:rPr>
                <w:rFonts w:ascii="Arial" w:cs="Arial" w:eastAsia="Arial" w:hAnsi="Arial"/>
                <w:sz w:val="13"/>
                <w:szCs w:val="13"/>
                <w:b w:val="1"/>
                <w:bCs w:val="1"/>
                <w:color w:val="auto"/>
              </w:rPr>
              <w:t>2,324</w:t>
            </w:r>
          </w:p>
        </w:tc>
        <w:tc>
          <w:tcPr>
            <w:tcW w:w="16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tcBorders>
            <w:gridSpan w:val="2"/>
          </w:tcPr>
          <w:p>
            <w:pPr>
              <w:jc w:val="right"/>
              <w:ind w:right="180"/>
              <w:spacing w:after="0" w:line="146" w:lineRule="exact"/>
              <w:rPr>
                <w:sz w:val="20"/>
                <w:szCs w:val="20"/>
                <w:color w:val="auto"/>
              </w:rPr>
            </w:pPr>
            <w:r>
              <w:rPr>
                <w:rFonts w:ascii="Arial" w:cs="Arial" w:eastAsia="Arial" w:hAnsi="Arial"/>
                <w:sz w:val="13"/>
                <w:szCs w:val="13"/>
                <w:b w:val="1"/>
                <w:bCs w:val="1"/>
                <w:color w:val="auto"/>
              </w:rPr>
              <w:t>619</w:t>
            </w: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(640)</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w w:val="85"/>
              </w:rPr>
              <w:t>2,053</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gridSpan w:val="2"/>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w w:val="85"/>
              </w:rPr>
              <w:t>12,213</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tcBorders>
          </w:tcPr>
          <w:p>
            <w:pPr>
              <w:jc w:val="right"/>
              <w:spacing w:after="0" w:line="146" w:lineRule="exact"/>
              <w:rPr>
                <w:sz w:val="20"/>
                <w:szCs w:val="20"/>
                <w:color w:val="auto"/>
              </w:rPr>
            </w:pPr>
            <w:r>
              <w:rPr>
                <w:rFonts w:ascii="Arial" w:cs="Arial" w:eastAsia="Arial" w:hAnsi="Arial"/>
                <w:sz w:val="13"/>
                <w:szCs w:val="13"/>
                <w:b w:val="1"/>
                <w:bCs w:val="1"/>
                <w:color w:val="auto"/>
              </w:rPr>
              <w:t>8,802</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520" w:hanging="406"/>
        <w:spacing w:after="0" w:line="256" w:lineRule="auto"/>
        <w:tabs>
          <w:tab w:leader="none" w:pos="8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7"/>
          <w:szCs w:val="17"/>
          <w:color w:val="auto"/>
        </w:rPr>
      </w:pPr>
    </w:p>
    <w:p>
      <w:pPr>
        <w:ind w:left="840" w:right="80" w:hanging="406"/>
        <w:spacing w:after="0" w:line="283" w:lineRule="auto"/>
        <w:tabs>
          <w:tab w:leader="none" w:pos="8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ind w:left="840" w:right="20" w:hanging="406"/>
        <w:spacing w:after="0" w:line="271" w:lineRule="auto"/>
        <w:tabs>
          <w:tab w:leader="none" w:pos="8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professional fees for the preparation for the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0"/>
                <w:szCs w:val="10"/>
                <w:b w:val="1"/>
                <w:bCs w:val="1"/>
                <w:color w:val="auto"/>
              </w:rPr>
              <w:t>Successor</w:t>
            </w: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0"/>
                <w:szCs w:val="10"/>
                <w:b w:val="1"/>
                <w:bCs w:val="1"/>
                <w:color w:val="auto"/>
                <w:w w:val="86"/>
              </w:rPr>
              <w:t>Predecessor</w:t>
            </w: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9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jc w:val="center"/>
              <w:ind w:right="24"/>
              <w:spacing w:after="0" w:line="96" w:lineRule="exact"/>
              <w:rPr>
                <w:sz w:val="20"/>
                <w:szCs w:val="20"/>
                <w:color w:val="auto"/>
              </w:rPr>
            </w:pPr>
            <w:r>
              <w:rPr>
                <w:rFonts w:ascii="Arial" w:cs="Arial" w:eastAsia="Arial" w:hAnsi="Arial"/>
                <w:sz w:val="10"/>
                <w:szCs w:val="10"/>
                <w:b w:val="1"/>
                <w:bCs w:val="1"/>
                <w:color w:val="auto"/>
                <w:w w:val="89"/>
              </w:rPr>
              <w:t>Period</w:t>
            </w:r>
          </w:p>
        </w:tc>
        <w:tc>
          <w:tcPr>
            <w:tcW w:w="28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gridSpan w:val="2"/>
          </w:tcPr>
          <w:p>
            <w:pPr>
              <w:jc w:val="center"/>
              <w:ind w:right="120"/>
              <w:spacing w:after="0" w:line="96" w:lineRule="exact"/>
              <w:rPr>
                <w:sz w:val="20"/>
                <w:szCs w:val="20"/>
                <w:color w:val="auto"/>
              </w:rPr>
            </w:pPr>
            <w:r>
              <w:rPr>
                <w:rFonts w:ascii="Arial" w:cs="Arial" w:eastAsia="Arial" w:hAnsi="Arial"/>
                <w:sz w:val="10"/>
                <w:szCs w:val="10"/>
                <w:b w:val="1"/>
                <w:bCs w:val="1"/>
                <w:color w:val="auto"/>
                <w:w w:val="96"/>
              </w:rPr>
              <w:t>Period</w:t>
            </w: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14"/>
        </w:trPr>
        <w:tc>
          <w:tcPr>
            <w:tcW w:w="2960" w:type="dxa"/>
            <w:vAlign w:val="bottom"/>
          </w:tcPr>
          <w:p>
            <w:pPr>
              <w:spacing w:after="0"/>
              <w:rPr>
                <w:sz w:val="9"/>
                <w:szCs w:val="9"/>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Three</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Three</w:t>
            </w: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8"/>
              </w:rPr>
              <w:t>from</w:t>
            </w:r>
          </w:p>
        </w:tc>
        <w:tc>
          <w:tcPr>
            <w:tcW w:w="18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from</w:t>
            </w:r>
          </w:p>
        </w:tc>
        <w:tc>
          <w:tcPr>
            <w:tcW w:w="6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960" w:type="dxa"/>
            <w:vAlign w:val="bottom"/>
          </w:tcPr>
          <w:p>
            <w:pPr>
              <w:spacing w:after="0"/>
              <w:rPr>
                <w:sz w:val="9"/>
                <w:szCs w:val="9"/>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Months</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Months</w:t>
            </w:r>
          </w:p>
        </w:tc>
        <w:tc>
          <w:tcPr>
            <w:tcW w:w="6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Months</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90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0"/>
                <w:szCs w:val="10"/>
                <w:b w:val="1"/>
                <w:bCs w:val="1"/>
                <w:color w:val="auto"/>
                <w:w w:val="90"/>
              </w:rPr>
              <w:t>July 16, 2019</w:t>
            </w:r>
          </w:p>
        </w:tc>
        <w:tc>
          <w:tcPr>
            <w:tcW w:w="18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July 1,</w:t>
            </w:r>
          </w:p>
        </w:tc>
        <w:tc>
          <w:tcPr>
            <w:tcW w:w="60" w:type="dxa"/>
            <w:vAlign w:val="bottom"/>
          </w:tcPr>
          <w:p>
            <w:pPr>
              <w:spacing w:after="0"/>
              <w:rPr>
                <w:sz w:val="9"/>
                <w:szCs w:val="9"/>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Months</w:t>
            </w: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960" w:type="dxa"/>
            <w:vAlign w:val="bottom"/>
          </w:tcPr>
          <w:p>
            <w:pPr>
              <w:spacing w:after="0"/>
              <w:rPr>
                <w:sz w:val="9"/>
                <w:szCs w:val="9"/>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Ended</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60" w:type="dxa"/>
            <w:vAlign w:val="bottom"/>
          </w:tcPr>
          <w:p>
            <w:pPr>
              <w:spacing w:after="0"/>
              <w:rPr>
                <w:sz w:val="9"/>
                <w:szCs w:val="9"/>
                <w:color w:val="auto"/>
              </w:rPr>
            </w:pPr>
          </w:p>
        </w:tc>
        <w:tc>
          <w:tcPr>
            <w:tcW w:w="84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4"/>
              </w:rPr>
              <w:t>to</w:t>
            </w:r>
          </w:p>
        </w:tc>
        <w:tc>
          <w:tcPr>
            <w:tcW w:w="18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86"/>
              </w:rPr>
              <w:t>2019 to</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54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960" w:type="dxa"/>
            <w:vAlign w:val="bottom"/>
          </w:tcPr>
          <w:p>
            <w:pPr>
              <w:spacing w:after="0"/>
              <w:rPr>
                <w:sz w:val="9"/>
                <w:szCs w:val="9"/>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9"/>
              </w:rPr>
              <w:t>June 30,</w:t>
            </w:r>
          </w:p>
        </w:tc>
        <w:tc>
          <w:tcPr>
            <w:tcW w:w="60" w:type="dxa"/>
            <w:vAlign w:val="bottom"/>
          </w:tcPr>
          <w:p>
            <w:pPr>
              <w:spacing w:after="0"/>
              <w:rPr>
                <w:sz w:val="9"/>
                <w:szCs w:val="9"/>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March 31,</w:t>
            </w:r>
          </w:p>
        </w:tc>
        <w:tc>
          <w:tcPr>
            <w:tcW w:w="780" w:type="dxa"/>
            <w:vAlign w:val="bottom"/>
            <w:gridSpan w:val="3"/>
          </w:tcPr>
          <w:p>
            <w:pPr>
              <w:jc w:val="center"/>
              <w:ind w:right="160"/>
              <w:spacing w:after="0"/>
              <w:rPr>
                <w:sz w:val="20"/>
                <w:szCs w:val="20"/>
                <w:color w:val="auto"/>
              </w:rPr>
            </w:pPr>
            <w:r>
              <w:rPr>
                <w:rFonts w:ascii="Arial" w:cs="Arial" w:eastAsia="Arial" w:hAnsi="Arial"/>
                <w:sz w:val="10"/>
                <w:szCs w:val="10"/>
                <w:b w:val="1"/>
                <w:bCs w:val="1"/>
                <w:color w:val="auto"/>
                <w:w w:val="89"/>
              </w:rPr>
              <w:t>December 31,</w:t>
            </w:r>
          </w:p>
        </w:tc>
        <w:tc>
          <w:tcPr>
            <w:tcW w:w="7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0"/>
              </w:rPr>
              <w:t>September 30,</w:t>
            </w:r>
          </w:p>
        </w:tc>
        <w:tc>
          <w:tcPr>
            <w:tcW w:w="60" w:type="dxa"/>
            <w:vAlign w:val="bottom"/>
          </w:tcPr>
          <w:p>
            <w:pPr>
              <w:spacing w:after="0"/>
              <w:rPr>
                <w:sz w:val="9"/>
                <w:szCs w:val="9"/>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June 30,</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76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9"/>
              </w:rPr>
              <w:t>December 31,</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September 30,</w:t>
            </w:r>
          </w:p>
        </w:tc>
        <w:tc>
          <w:tcPr>
            <w:tcW w:w="180" w:type="dxa"/>
            <w:vAlign w:val="bottom"/>
          </w:tcPr>
          <w:p>
            <w:pPr>
              <w:spacing w:after="0"/>
              <w:rPr>
                <w:sz w:val="9"/>
                <w:szCs w:val="9"/>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2"/>
              </w:rPr>
              <w:t>July 15,</w:t>
            </w:r>
          </w:p>
        </w:tc>
        <w:tc>
          <w:tcPr>
            <w:tcW w:w="60" w:type="dxa"/>
            <w:vAlign w:val="bottom"/>
          </w:tcPr>
          <w:p>
            <w:pPr>
              <w:spacing w:after="0"/>
              <w:rPr>
                <w:sz w:val="9"/>
                <w:szCs w:val="9"/>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June 30,</w:t>
            </w:r>
          </w:p>
        </w:tc>
        <w:tc>
          <w:tcPr>
            <w:tcW w:w="54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9"/>
              </w:rPr>
              <w:t>March 31,</w:t>
            </w:r>
          </w:p>
        </w:tc>
      </w:tr>
      <w:tr>
        <w:trPr>
          <w:trHeight w:val="126"/>
        </w:trPr>
        <w:tc>
          <w:tcPr>
            <w:tcW w:w="2960" w:type="dxa"/>
            <w:vAlign w:val="bottom"/>
          </w:tcPr>
          <w:p>
            <w:pPr>
              <w:spacing w:after="0"/>
              <w:rPr>
                <w:sz w:val="20"/>
                <w:szCs w:val="20"/>
                <w:color w:val="auto"/>
              </w:rPr>
            </w:pPr>
            <w:r>
              <w:rPr>
                <w:rFonts w:ascii="Arial" w:cs="Arial" w:eastAsia="Arial" w:hAnsi="Arial"/>
                <w:sz w:val="10"/>
                <w:szCs w:val="10"/>
                <w:b w:val="1"/>
                <w:bCs w:val="1"/>
                <w:color w:val="auto"/>
              </w:rPr>
              <w:t>($ in thousands)</w:t>
            </w:r>
          </w:p>
        </w:tc>
        <w:tc>
          <w:tcPr>
            <w:tcW w:w="40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Pr>
          <w:p>
            <w:pPr>
              <w:spacing w:after="0"/>
              <w:rPr>
                <w:sz w:val="10"/>
                <w:szCs w:val="10"/>
                <w:color w:val="auto"/>
              </w:rPr>
            </w:pPr>
          </w:p>
        </w:tc>
        <w:tc>
          <w:tcPr>
            <w:tcW w:w="500" w:type="dxa"/>
            <w:vAlign w:val="bottom"/>
            <w:gridSpan w:val="2"/>
          </w:tcPr>
          <w:p>
            <w:pPr>
              <w:ind w:left="180"/>
              <w:spacing w:after="0"/>
              <w:rPr>
                <w:sz w:val="20"/>
                <w:szCs w:val="20"/>
                <w:color w:val="auto"/>
              </w:rPr>
            </w:pPr>
            <w:r>
              <w:rPr>
                <w:rFonts w:ascii="Arial" w:cs="Arial" w:eastAsia="Arial" w:hAnsi="Arial"/>
                <w:sz w:val="10"/>
                <w:szCs w:val="10"/>
                <w:b w:val="1"/>
                <w:bCs w:val="1"/>
                <w:color w:val="auto"/>
              </w:rPr>
              <w:t>2021</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4"/>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64"/>
              <w:spacing w:after="0"/>
              <w:rPr>
                <w:sz w:val="20"/>
                <w:szCs w:val="20"/>
                <w:color w:val="auto"/>
              </w:rPr>
            </w:pPr>
            <w:r>
              <w:rPr>
                <w:rFonts w:ascii="Arial" w:cs="Arial" w:eastAsia="Arial" w:hAnsi="Arial"/>
                <w:sz w:val="10"/>
                <w:szCs w:val="10"/>
                <w:b w:val="1"/>
                <w:bCs w:val="1"/>
                <w:color w:val="auto"/>
                <w:w w:val="89"/>
              </w:rPr>
              <w:t>2020</w:t>
            </w:r>
          </w:p>
        </w:tc>
        <w:tc>
          <w:tcPr>
            <w:tcW w:w="100" w:type="dxa"/>
            <w:vAlign w:val="bottom"/>
          </w:tcPr>
          <w:p>
            <w:pPr>
              <w:spacing w:after="0"/>
              <w:rPr>
                <w:sz w:val="10"/>
                <w:szCs w:val="10"/>
                <w:color w:val="auto"/>
              </w:rPr>
            </w:pPr>
          </w:p>
        </w:tc>
        <w:tc>
          <w:tcPr>
            <w:tcW w:w="460" w:type="dxa"/>
            <w:vAlign w:val="bottom"/>
            <w:gridSpan w:val="2"/>
          </w:tcPr>
          <w:p>
            <w:pPr>
              <w:jc w:val="center"/>
              <w:ind w:left="1"/>
              <w:spacing w:after="0"/>
              <w:rPr>
                <w:sz w:val="20"/>
                <w:szCs w:val="20"/>
                <w:color w:val="auto"/>
              </w:rPr>
            </w:pPr>
            <w:r>
              <w:rPr>
                <w:rFonts w:ascii="Arial" w:cs="Arial" w:eastAsia="Arial" w:hAnsi="Arial"/>
                <w:sz w:val="10"/>
                <w:szCs w:val="10"/>
                <w:b w:val="1"/>
                <w:bCs w:val="1"/>
                <w:color w:val="auto"/>
                <w:w w:val="89"/>
              </w:rPr>
              <w:t>2020</w:t>
            </w:r>
          </w:p>
        </w:tc>
        <w:tc>
          <w:tcPr>
            <w:tcW w:w="160" w:type="dxa"/>
            <w:vAlign w:val="bottom"/>
          </w:tcPr>
          <w:p>
            <w:pPr>
              <w:spacing w:after="0"/>
              <w:rPr>
                <w:sz w:val="10"/>
                <w:szCs w:val="10"/>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24"/>
              <w:spacing w:after="0"/>
              <w:rPr>
                <w:sz w:val="20"/>
                <w:szCs w:val="20"/>
                <w:color w:val="auto"/>
              </w:rPr>
            </w:pPr>
            <w:r>
              <w:rPr>
                <w:rFonts w:ascii="Arial" w:cs="Arial" w:eastAsia="Arial" w:hAnsi="Arial"/>
                <w:sz w:val="10"/>
                <w:szCs w:val="10"/>
                <w:b w:val="1"/>
                <w:bCs w:val="1"/>
                <w:color w:val="auto"/>
                <w:w w:val="98"/>
              </w:rPr>
              <w:t>2019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24"/>
              <w:spacing w:after="0"/>
              <w:rPr>
                <w:sz w:val="20"/>
                <w:szCs w:val="20"/>
                <w:color w:val="auto"/>
              </w:rPr>
            </w:pPr>
            <w:r>
              <w:rPr>
                <w:rFonts w:ascii="Arial" w:cs="Arial" w:eastAsia="Arial" w:hAnsi="Arial"/>
                <w:sz w:val="10"/>
                <w:szCs w:val="10"/>
                <w:b w:val="1"/>
                <w:bCs w:val="1"/>
                <w:color w:val="auto"/>
                <w:w w:val="89"/>
              </w:rPr>
              <w:t>2019</w:t>
            </w:r>
          </w:p>
        </w:tc>
        <w:tc>
          <w:tcPr>
            <w:tcW w:w="28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10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0"/>
                <w:szCs w:val="10"/>
                <w:color w:val="auto"/>
              </w:rPr>
            </w:pPr>
          </w:p>
        </w:tc>
      </w:tr>
      <w:tr>
        <w:trPr>
          <w:trHeight w:val="133"/>
        </w:trPr>
        <w:tc>
          <w:tcPr>
            <w:tcW w:w="296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w w:val="98"/>
              </w:rPr>
              <w:t>Net cash provided by (used in) operating activities</w:t>
            </w:r>
            <w:r>
              <w:rPr>
                <w:rFonts w:ascii="Arial" w:cs="Arial" w:eastAsia="Arial" w:hAnsi="Arial"/>
                <w:sz w:val="10"/>
                <w:szCs w:val="10"/>
                <w:color w:val="auto"/>
                <w:w w:val="98"/>
              </w:rPr>
              <w:t>(1)</w:t>
            </w: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7"/>
              </w:rPr>
              <w:t>$ 8,414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86"/>
              </w:rPr>
              <w:t>$ 13,527</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8,673</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795</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7"/>
              </w:rPr>
              <w:t>$ 5,551</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9"/>
              </w:rPr>
              <w:t>$  8,198</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center"/>
              <w:ind w:left="164"/>
              <w:spacing w:after="0" w:line="133" w:lineRule="exact"/>
              <w:rPr>
                <w:sz w:val="20"/>
                <w:szCs w:val="20"/>
                <w:color w:val="auto"/>
              </w:rPr>
            </w:pPr>
            <w:r>
              <w:rPr>
                <w:rFonts w:ascii="Arial" w:cs="Arial" w:eastAsia="Arial" w:hAnsi="Arial"/>
                <w:sz w:val="13"/>
                <w:szCs w:val="13"/>
                <w:color w:val="auto"/>
                <w:w w:val="85"/>
              </w:rPr>
              <w:t>1,616</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(8,749)</w:t>
            </w:r>
          </w:p>
        </w:tc>
        <w:tc>
          <w:tcPr>
            <w:tcW w:w="280" w:type="dxa"/>
            <w:vAlign w:val="bottom"/>
            <w:tcBorders>
              <w:top w:val="single" w:sz="8" w:color="CCEEFF"/>
              <w:right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5"/>
              </w:rPr>
              <w:t>$2,674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$ 13,658</w:t>
            </w:r>
          </w:p>
        </w:tc>
        <w:tc>
          <w:tcPr>
            <w:tcW w:w="1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6"/>
              </w:rPr>
              <w:t>$ 12,395</w:t>
            </w:r>
          </w:p>
        </w:tc>
        <w:tc>
          <w:tcPr>
            <w:tcW w:w="80" w:type="dxa"/>
            <w:vAlign w:val="bottom"/>
            <w:tcBorders>
              <w:top w:val="single" w:sz="8" w:color="CCEEFF"/>
            </w:tcBorders>
            <w:shd w:val="clear" w:color="auto" w:fill="CCEEFF"/>
          </w:tcPr>
          <w:p>
            <w:pPr>
              <w:spacing w:after="0"/>
              <w:rPr>
                <w:sz w:val="11"/>
                <w:szCs w:val="11"/>
                <w:color w:val="auto"/>
              </w:rPr>
            </w:pPr>
          </w:p>
        </w:tc>
      </w:tr>
      <w:tr>
        <w:trPr>
          <w:trHeight w:val="140"/>
        </w:trPr>
        <w:tc>
          <w:tcPr>
            <w:tcW w:w="2960" w:type="dxa"/>
            <w:vAlign w:val="bottom"/>
          </w:tcPr>
          <w:p>
            <w:pPr>
              <w:spacing w:after="0" w:line="140" w:lineRule="exact"/>
              <w:rPr>
                <w:sz w:val="20"/>
                <w:szCs w:val="20"/>
                <w:color w:val="auto"/>
              </w:rPr>
            </w:pPr>
            <w:r>
              <w:rPr>
                <w:rFonts w:ascii="Arial" w:cs="Arial" w:eastAsia="Arial" w:hAnsi="Arial"/>
                <w:sz w:val="13"/>
                <w:szCs w:val="13"/>
                <w:color w:val="auto"/>
                <w:w w:val="94"/>
              </w:rPr>
              <w:t>Net cash (used in) provided by investing activities</w:t>
            </w:r>
            <w:r>
              <w:rPr>
                <w:rFonts w:ascii="Arial" w:cs="Arial" w:eastAsia="Arial" w:hAnsi="Arial"/>
                <w:sz w:val="10"/>
                <w:szCs w:val="10"/>
                <w:color w:val="auto"/>
                <w:w w:val="94"/>
              </w:rPr>
              <w:t>(2) (3)</w:t>
            </w:r>
          </w:p>
        </w:tc>
        <w:tc>
          <w:tcPr>
            <w:tcW w:w="50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(1,380)</w:t>
            </w:r>
          </w:p>
        </w:tc>
        <w:tc>
          <w:tcPr>
            <w:tcW w:w="660" w:type="dxa"/>
            <w:vAlign w:val="bottom"/>
            <w:gridSpan w:val="3"/>
          </w:tcPr>
          <w:p>
            <w:pPr>
              <w:ind w:left="180"/>
              <w:spacing w:after="0" w:line="140" w:lineRule="exact"/>
              <w:rPr>
                <w:sz w:val="20"/>
                <w:szCs w:val="20"/>
                <w:color w:val="auto"/>
              </w:rPr>
            </w:pPr>
            <w:r>
              <w:rPr>
                <w:rFonts w:ascii="Arial" w:cs="Arial" w:eastAsia="Arial" w:hAnsi="Arial"/>
                <w:sz w:val="13"/>
                <w:szCs w:val="13"/>
                <w:color w:val="auto"/>
              </w:rPr>
              <w:t>(3,842)</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(15,866)</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(7,101)</w:t>
            </w:r>
          </w:p>
        </w:tc>
        <w:tc>
          <w:tcPr>
            <w:tcW w:w="620" w:type="dxa"/>
            <w:vAlign w:val="bottom"/>
            <w:gridSpan w:val="3"/>
          </w:tcPr>
          <w:p>
            <w:pPr>
              <w:jc w:val="right"/>
              <w:ind w:right="120"/>
              <w:spacing w:after="0" w:line="140" w:lineRule="exact"/>
              <w:rPr>
                <w:sz w:val="20"/>
                <w:szCs w:val="20"/>
                <w:color w:val="auto"/>
              </w:rPr>
            </w:pPr>
            <w:r>
              <w:rPr>
                <w:rFonts w:ascii="Arial" w:cs="Arial" w:eastAsia="Arial" w:hAnsi="Arial"/>
                <w:sz w:val="13"/>
                <w:szCs w:val="13"/>
                <w:color w:val="auto"/>
              </w:rPr>
              <w:t>(547)</w:t>
            </w:r>
          </w:p>
        </w:tc>
        <w:tc>
          <w:tcPr>
            <w:tcW w:w="620" w:type="dxa"/>
            <w:vAlign w:val="bottom"/>
            <w:gridSpan w:val="2"/>
          </w:tcPr>
          <w:p>
            <w:pPr>
              <w:jc w:val="right"/>
              <w:ind w:right="140"/>
              <w:spacing w:after="0" w:line="140" w:lineRule="exact"/>
              <w:rPr>
                <w:sz w:val="20"/>
                <w:szCs w:val="20"/>
                <w:color w:val="auto"/>
              </w:rPr>
            </w:pPr>
            <w:r>
              <w:rPr>
                <w:rFonts w:ascii="Arial" w:cs="Arial" w:eastAsia="Arial" w:hAnsi="Arial"/>
                <w:sz w:val="13"/>
                <w:szCs w:val="13"/>
                <w:color w:val="auto"/>
              </w:rPr>
              <w:t>(348)</w:t>
            </w:r>
          </w:p>
        </w:tc>
        <w:tc>
          <w:tcPr>
            <w:tcW w:w="80" w:type="dxa"/>
            <w:vAlign w:val="bottom"/>
          </w:tcPr>
          <w:p>
            <w:pPr>
              <w:spacing w:after="0"/>
              <w:rPr>
                <w:sz w:val="12"/>
                <w:szCs w:val="12"/>
                <w:color w:val="auto"/>
              </w:rPr>
            </w:pPr>
          </w:p>
        </w:tc>
        <w:tc>
          <w:tcPr>
            <w:tcW w:w="680" w:type="dxa"/>
            <w:vAlign w:val="bottom"/>
            <w:gridSpan w:val="2"/>
          </w:tcPr>
          <w:p>
            <w:pPr>
              <w:jc w:val="center"/>
              <w:ind w:left="4"/>
              <w:spacing w:after="0" w:line="140" w:lineRule="exact"/>
              <w:rPr>
                <w:sz w:val="20"/>
                <w:szCs w:val="20"/>
                <w:color w:val="auto"/>
              </w:rPr>
            </w:pPr>
            <w:r>
              <w:rPr>
                <w:rFonts w:ascii="Arial" w:cs="Arial" w:eastAsia="Arial" w:hAnsi="Arial"/>
                <w:sz w:val="13"/>
                <w:szCs w:val="13"/>
                <w:color w:val="auto"/>
                <w:w w:val="92"/>
              </w:rPr>
              <w:t>(3,974)</w:t>
            </w:r>
          </w:p>
        </w:tc>
        <w:tc>
          <w:tcPr>
            <w:tcW w:w="6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240"/>
              <w:spacing w:after="0" w:line="140" w:lineRule="exact"/>
              <w:rPr>
                <w:sz w:val="20"/>
                <w:szCs w:val="20"/>
                <w:color w:val="auto"/>
              </w:rPr>
            </w:pPr>
            <w:r>
              <w:rPr>
                <w:rFonts w:ascii="Arial" w:cs="Arial" w:eastAsia="Arial" w:hAnsi="Arial"/>
                <w:sz w:val="13"/>
                <w:szCs w:val="13"/>
                <w:color w:val="auto"/>
                <w:w w:val="87"/>
              </w:rPr>
              <w:t>(1,105,394)</w:t>
            </w:r>
          </w:p>
        </w:tc>
        <w:tc>
          <w:tcPr>
            <w:tcW w:w="180" w:type="dxa"/>
            <w:vAlign w:val="bottom"/>
          </w:tcPr>
          <w:p>
            <w:pPr>
              <w:spacing w:after="0"/>
              <w:rPr>
                <w:sz w:val="12"/>
                <w:szCs w:val="12"/>
                <w:color w:val="auto"/>
              </w:rPr>
            </w:pPr>
          </w:p>
        </w:tc>
        <w:tc>
          <w:tcPr>
            <w:tcW w:w="460" w:type="dxa"/>
            <w:vAlign w:val="bottom"/>
            <w:gridSpan w:val="2"/>
          </w:tcPr>
          <w:p>
            <w:pPr>
              <w:jc w:val="right"/>
              <w:ind w:right="60"/>
              <w:spacing w:after="0" w:line="140" w:lineRule="exact"/>
              <w:rPr>
                <w:sz w:val="20"/>
                <w:szCs w:val="20"/>
                <w:color w:val="auto"/>
              </w:rPr>
            </w:pPr>
            <w:r>
              <w:rPr>
                <w:rFonts w:ascii="Arial" w:cs="Arial" w:eastAsia="Arial" w:hAnsi="Arial"/>
                <w:sz w:val="13"/>
                <w:szCs w:val="13"/>
                <w:color w:val="auto"/>
              </w:rPr>
              <w:t>(11)</w:t>
            </w:r>
          </w:p>
        </w:tc>
        <w:tc>
          <w:tcPr>
            <w:tcW w:w="680" w:type="dxa"/>
            <w:vAlign w:val="bottom"/>
            <w:gridSpan w:val="3"/>
          </w:tcPr>
          <w:p>
            <w:pPr>
              <w:jc w:val="right"/>
              <w:ind w:right="120"/>
              <w:spacing w:after="0" w:line="140" w:lineRule="exact"/>
              <w:rPr>
                <w:sz w:val="20"/>
                <w:szCs w:val="20"/>
                <w:color w:val="auto"/>
              </w:rPr>
            </w:pPr>
            <w:r>
              <w:rPr>
                <w:rFonts w:ascii="Arial" w:cs="Arial" w:eastAsia="Arial" w:hAnsi="Arial"/>
                <w:sz w:val="13"/>
                <w:szCs w:val="13"/>
                <w:color w:val="auto"/>
              </w:rPr>
              <w:t>(539)</w:t>
            </w:r>
          </w:p>
        </w:tc>
        <w:tc>
          <w:tcPr>
            <w:tcW w:w="540" w:type="dxa"/>
            <w:vAlign w:val="bottom"/>
            <w:gridSpan w:val="2"/>
          </w:tcPr>
          <w:p>
            <w:pPr>
              <w:jc w:val="right"/>
              <w:ind w:right="40"/>
              <w:spacing w:after="0" w:line="140" w:lineRule="exact"/>
              <w:rPr>
                <w:sz w:val="20"/>
                <w:szCs w:val="20"/>
                <w:color w:val="auto"/>
              </w:rPr>
            </w:pPr>
            <w:r>
              <w:rPr>
                <w:rFonts w:ascii="Arial" w:cs="Arial" w:eastAsia="Arial" w:hAnsi="Arial"/>
                <w:sz w:val="13"/>
                <w:szCs w:val="13"/>
                <w:color w:val="auto"/>
                <w:w w:val="99"/>
              </w:rPr>
              <w:t>(30,010)</w:t>
            </w:r>
          </w:p>
        </w:tc>
      </w:tr>
      <w:tr>
        <w:trPr>
          <w:trHeight w:val="140"/>
        </w:trPr>
        <w:tc>
          <w:tcPr>
            <w:tcW w:w="296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Net cash (used in) provided by financing activities</w:t>
            </w:r>
          </w:p>
        </w:tc>
        <w:tc>
          <w:tcPr>
            <w:tcW w:w="50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(1,766)</w:t>
            </w:r>
          </w:p>
        </w:tc>
        <w:tc>
          <w:tcPr>
            <w:tcW w:w="660" w:type="dxa"/>
            <w:vAlign w:val="bottom"/>
            <w:gridSpan w:val="3"/>
            <w:shd w:val="clear" w:color="auto" w:fill="CCEEFF"/>
          </w:tcPr>
          <w:p>
            <w:pPr>
              <w:ind w:left="180"/>
              <w:spacing w:after="0" w:line="140" w:lineRule="exact"/>
              <w:rPr>
                <w:sz w:val="20"/>
                <w:szCs w:val="20"/>
                <w:color w:val="auto"/>
              </w:rPr>
            </w:pPr>
            <w:r>
              <w:rPr>
                <w:rFonts w:ascii="Arial" w:cs="Arial" w:eastAsia="Arial" w:hAnsi="Arial"/>
                <w:sz w:val="13"/>
                <w:szCs w:val="13"/>
                <w:color w:val="auto"/>
              </w:rPr>
              <w:t>(1,296)</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0" w:lineRule="exact"/>
              <w:rPr>
                <w:sz w:val="20"/>
                <w:szCs w:val="20"/>
                <w:color w:val="auto"/>
              </w:rPr>
            </w:pPr>
            <w:r>
              <w:rPr>
                <w:rFonts w:ascii="Arial" w:cs="Arial" w:eastAsia="Arial" w:hAnsi="Arial"/>
                <w:sz w:val="13"/>
                <w:szCs w:val="13"/>
                <w:color w:val="auto"/>
              </w:rPr>
              <w:t>(2,861)</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0" w:lineRule="exact"/>
              <w:rPr>
                <w:sz w:val="20"/>
                <w:szCs w:val="20"/>
                <w:color w:val="auto"/>
              </w:rPr>
            </w:pPr>
            <w:r>
              <w:rPr>
                <w:rFonts w:ascii="Arial" w:cs="Arial" w:eastAsia="Arial" w:hAnsi="Arial"/>
                <w:sz w:val="13"/>
                <w:szCs w:val="13"/>
                <w:color w:val="auto"/>
              </w:rPr>
              <w:t>(3,186)</w:t>
            </w:r>
          </w:p>
        </w:tc>
        <w:tc>
          <w:tcPr>
            <w:tcW w:w="620" w:type="dxa"/>
            <w:vAlign w:val="bottom"/>
            <w:gridSpan w:val="3"/>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(1,173)</w:t>
            </w:r>
          </w:p>
        </w:tc>
        <w:tc>
          <w:tcPr>
            <w:tcW w:w="62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23,875</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center"/>
              <w:ind w:left="4"/>
              <w:spacing w:after="0" w:line="140" w:lineRule="exact"/>
              <w:rPr>
                <w:sz w:val="20"/>
                <w:szCs w:val="20"/>
                <w:color w:val="auto"/>
              </w:rPr>
            </w:pPr>
            <w:r>
              <w:rPr>
                <w:rFonts w:ascii="Arial" w:cs="Arial" w:eastAsia="Arial" w:hAnsi="Arial"/>
                <w:sz w:val="13"/>
                <w:szCs w:val="13"/>
                <w:color w:val="auto"/>
                <w:w w:val="92"/>
              </w:rPr>
              <w:t>(7,757)</w:t>
            </w:r>
          </w:p>
        </w:tc>
        <w:tc>
          <w:tcPr>
            <w:tcW w:w="60" w:type="dxa"/>
            <w:vAlign w:val="bottom"/>
            <w:shd w:val="clear" w:color="auto" w:fill="CCEEFF"/>
          </w:tcPr>
          <w:p>
            <w:pPr>
              <w:spacing w:after="0"/>
              <w:rPr>
                <w:sz w:val="12"/>
                <w:szCs w:val="12"/>
                <w:color w:val="auto"/>
              </w:rPr>
            </w:pPr>
          </w:p>
        </w:tc>
        <w:tc>
          <w:tcPr>
            <w:tcW w:w="840" w:type="dxa"/>
            <w:vAlign w:val="bottom"/>
            <w:tcBorders>
              <w:right w:val="single" w:sz="8" w:color="auto"/>
            </w:tcBorders>
            <w:gridSpan w:val="2"/>
            <w:shd w:val="clear" w:color="auto" w:fill="CCEEFF"/>
          </w:tcPr>
          <w:p>
            <w:pPr>
              <w:jc w:val="right"/>
              <w:ind w:right="280"/>
              <w:spacing w:after="0" w:line="140" w:lineRule="exact"/>
              <w:rPr>
                <w:sz w:val="20"/>
                <w:szCs w:val="20"/>
                <w:color w:val="auto"/>
              </w:rPr>
            </w:pPr>
            <w:r>
              <w:rPr>
                <w:rFonts w:ascii="Arial" w:cs="Arial" w:eastAsia="Arial" w:hAnsi="Arial"/>
                <w:sz w:val="13"/>
                <w:szCs w:val="13"/>
                <w:color w:val="auto"/>
                <w:w w:val="93"/>
              </w:rPr>
              <w:t>1,132,876</w:t>
            </w: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80"/>
              <w:spacing w:after="0" w:line="140" w:lineRule="exact"/>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120"/>
              <w:spacing w:after="0" w:line="140" w:lineRule="exact"/>
              <w:rPr>
                <w:sz w:val="20"/>
                <w:szCs w:val="20"/>
                <w:color w:val="auto"/>
              </w:rPr>
            </w:pPr>
            <w:r>
              <w:rPr>
                <w:rFonts w:ascii="Arial" w:cs="Arial" w:eastAsia="Arial" w:hAnsi="Arial"/>
                <w:sz w:val="13"/>
                <w:szCs w:val="13"/>
                <w:color w:val="auto"/>
              </w:rPr>
              <w:t>(13,279)</w:t>
            </w:r>
          </w:p>
        </w:tc>
        <w:tc>
          <w:tcPr>
            <w:tcW w:w="46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12,811</w:t>
            </w:r>
          </w:p>
        </w:tc>
        <w:tc>
          <w:tcPr>
            <w:tcW w:w="8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5500" w:right="3340" w:hanging="5066"/>
        <w:spacing w:after="0" w:line="445" w:lineRule="auto"/>
        <w:tabs>
          <w:tab w:leader="none" w:pos="841" w:val="left"/>
        </w:tabs>
        <w:numPr>
          <w:ilvl w:val="0"/>
          <w:numId w:val="96"/>
        </w:numPr>
        <w:rPr>
          <w:rFonts w:ascii="Arial" w:cs="Arial" w:eastAsia="Arial" w:hAnsi="Arial"/>
          <w:sz w:val="17"/>
          <w:szCs w:val="17"/>
          <w:color w:val="auto"/>
        </w:rPr>
      </w:pPr>
      <w:r>
        <w:rPr>
          <w:rFonts w:ascii="Arial" w:cs="Arial" w:eastAsia="Arial" w:hAnsi="Arial"/>
          <w:sz w:val="17"/>
          <w:szCs w:val="17"/>
          <w:color w:val="auto"/>
        </w:rPr>
        <w:t>Net cash provided by (used in) operating activities includes cash payments for interest as follows: 110</w:t>
      </w:r>
    </w:p>
    <w:p>
      <w:pPr>
        <w:sectPr>
          <w:pgSz w:w="11900" w:h="16838" w:orient="portrait"/>
          <w:cols w:equalWidth="0" w:num="1">
            <w:col w:w="10820"/>
          </w:cols>
          <w:pgMar w:left="320" w:top="442" w:right="75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2"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74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3"/>
          </w:tcPr>
          <w:p>
            <w:pPr>
              <w:ind w:left="400"/>
              <w:spacing w:after="0"/>
              <w:rPr>
                <w:sz w:val="20"/>
                <w:szCs w:val="20"/>
                <w:color w:val="auto"/>
              </w:rPr>
            </w:pPr>
            <w:r>
              <w:rPr>
                <w:rFonts w:ascii="Arial" w:cs="Arial" w:eastAsia="Arial" w:hAnsi="Arial"/>
                <w:sz w:val="10"/>
                <w:szCs w:val="10"/>
                <w:b w:val="1"/>
                <w:bCs w:val="1"/>
                <w:color w:val="auto"/>
              </w:rPr>
              <w:t>Successor</w:t>
            </w: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tcPr>
          <w:p>
            <w:pPr>
              <w:ind w:left="180"/>
              <w:spacing w:after="0"/>
              <w:rPr>
                <w:sz w:val="20"/>
                <w:szCs w:val="20"/>
                <w:color w:val="auto"/>
              </w:rPr>
            </w:pPr>
            <w:r>
              <w:rPr>
                <w:rFonts w:ascii="Arial" w:cs="Arial" w:eastAsia="Arial" w:hAnsi="Arial"/>
                <w:sz w:val="10"/>
                <w:szCs w:val="10"/>
                <w:b w:val="1"/>
                <w:bCs w:val="1"/>
                <w:color w:val="auto"/>
                <w:w w:val="96"/>
              </w:rPr>
              <w:t>Predecessor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jc w:val="center"/>
              <w:spacing w:after="0" w:line="96" w:lineRule="exact"/>
              <w:rPr>
                <w:sz w:val="20"/>
                <w:szCs w:val="20"/>
                <w:color w:val="auto"/>
              </w:rPr>
            </w:pPr>
            <w:r>
              <w:rPr>
                <w:rFonts w:ascii="Arial" w:cs="Arial" w:eastAsia="Arial" w:hAnsi="Arial"/>
                <w:sz w:val="10"/>
                <w:szCs w:val="10"/>
                <w:b w:val="1"/>
                <w:bCs w:val="1"/>
                <w:color w:val="auto"/>
                <w:w w:val="89"/>
              </w:rPr>
              <w:t>Period</w:t>
            </w: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96"/>
              </w:rPr>
              <w:t>Period</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9"/>
              </w:rPr>
              <w:t>from</w:t>
            </w: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4"/>
        </w:trPr>
        <w:tc>
          <w:tcPr>
            <w:tcW w:w="274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5"/>
              </w:rPr>
              <w:t>Three</w:t>
            </w:r>
          </w:p>
        </w:tc>
        <w:tc>
          <w:tcPr>
            <w:tcW w:w="1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67"/>
              <w:spacing w:after="0"/>
              <w:rPr>
                <w:sz w:val="20"/>
                <w:szCs w:val="20"/>
                <w:color w:val="auto"/>
              </w:rPr>
            </w:pPr>
            <w:r>
              <w:rPr>
                <w:rFonts w:ascii="Arial" w:cs="Arial" w:eastAsia="Arial" w:hAnsi="Arial"/>
                <w:sz w:val="10"/>
                <w:szCs w:val="10"/>
                <w:b w:val="1"/>
                <w:bCs w:val="1"/>
                <w:color w:val="auto"/>
                <w:w w:val="95"/>
              </w:rPr>
              <w:t>Three</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Three</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Three</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w w:val="98"/>
              </w:rPr>
              <w:t>from</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9"/>
              </w:rPr>
              <w:t>July 1,</w:t>
            </w:r>
          </w:p>
        </w:tc>
        <w:tc>
          <w:tcPr>
            <w:tcW w:w="200" w:type="dxa"/>
            <w:vAlign w:val="bottom"/>
          </w:tcPr>
          <w:p>
            <w:pPr>
              <w:spacing w:after="0"/>
              <w:rPr>
                <w:sz w:val="9"/>
                <w:szCs w:val="9"/>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74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5"/>
              </w:rPr>
              <w:t>Months</w:t>
            </w:r>
          </w:p>
        </w:tc>
        <w:tc>
          <w:tcPr>
            <w:tcW w:w="1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Months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67"/>
              <w:spacing w:after="0"/>
              <w:rPr>
                <w:sz w:val="20"/>
                <w:szCs w:val="20"/>
                <w:color w:val="auto"/>
              </w:rPr>
            </w:pPr>
            <w:r>
              <w:rPr>
                <w:rFonts w:ascii="Arial" w:cs="Arial" w:eastAsia="Arial" w:hAnsi="Arial"/>
                <w:sz w:val="10"/>
                <w:szCs w:val="10"/>
                <w:b w:val="1"/>
                <w:bCs w:val="1"/>
                <w:color w:val="auto"/>
                <w:w w:val="95"/>
              </w:rPr>
              <w:t>Months</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9"/>
              </w:rPr>
              <w:t>Months</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95"/>
              </w:rPr>
              <w:t>Months</w:t>
            </w:r>
          </w:p>
        </w:tc>
        <w:tc>
          <w:tcPr>
            <w:tcW w:w="20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89"/>
              </w:rPr>
              <w:t>Months</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20"/>
              <w:spacing w:after="0"/>
              <w:rPr>
                <w:sz w:val="20"/>
                <w:szCs w:val="20"/>
                <w:color w:val="auto"/>
              </w:rPr>
            </w:pPr>
            <w:r>
              <w:rPr>
                <w:rFonts w:ascii="Arial" w:cs="Arial" w:eastAsia="Arial" w:hAnsi="Arial"/>
                <w:sz w:val="10"/>
                <w:szCs w:val="10"/>
                <w:b w:val="1"/>
                <w:bCs w:val="1"/>
                <w:color w:val="auto"/>
                <w:w w:val="95"/>
              </w:rPr>
              <w:t>Months</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3"/>
              </w:rPr>
              <w:t>July 16, 2019</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Months</w:t>
            </w:r>
          </w:p>
        </w:tc>
        <w:tc>
          <w:tcPr>
            <w:tcW w:w="4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74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91"/>
              </w:rPr>
              <w:t>Ended</w:t>
            </w:r>
          </w:p>
        </w:tc>
        <w:tc>
          <w:tcPr>
            <w:tcW w:w="1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91"/>
              </w:rPr>
              <w:t>Ended</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Ended</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1"/>
              </w:rPr>
              <w:t>Ended</w:t>
            </w:r>
          </w:p>
        </w:tc>
        <w:tc>
          <w:tcPr>
            <w:tcW w:w="120" w:type="dxa"/>
            <w:vAlign w:val="bottom"/>
          </w:tcPr>
          <w:p>
            <w:pPr>
              <w:spacing w:after="0"/>
              <w:rPr>
                <w:sz w:val="9"/>
                <w:szCs w:val="9"/>
                <w:color w:val="auto"/>
              </w:rPr>
            </w:pPr>
          </w:p>
        </w:tc>
        <w:tc>
          <w:tcPr>
            <w:tcW w:w="7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0"/>
                <w:szCs w:val="10"/>
                <w:b w:val="1"/>
                <w:bCs w:val="1"/>
                <w:color w:val="auto"/>
              </w:rPr>
              <w:t>to</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4"/>
              </w:rPr>
              <w:t>to</w:t>
            </w:r>
          </w:p>
        </w:tc>
        <w:tc>
          <w:tcPr>
            <w:tcW w:w="20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740" w:type="dxa"/>
            <w:vAlign w:val="bottom"/>
          </w:tcPr>
          <w:p>
            <w:pPr>
              <w:spacing w:after="0"/>
              <w:rPr>
                <w:sz w:val="9"/>
                <w:szCs w:val="9"/>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18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March 31,</w:t>
            </w:r>
          </w:p>
        </w:tc>
        <w:tc>
          <w:tcPr>
            <w:tcW w:w="200" w:type="dxa"/>
            <w:vAlign w:val="bottom"/>
          </w:tcPr>
          <w:p>
            <w:pPr>
              <w:spacing w:after="0"/>
              <w:rPr>
                <w:sz w:val="9"/>
                <w:szCs w:val="9"/>
                <w:color w:val="auto"/>
              </w:rPr>
            </w:pPr>
          </w:p>
        </w:tc>
        <w:tc>
          <w:tcPr>
            <w:tcW w:w="600" w:type="dxa"/>
            <w:vAlign w:val="bottom"/>
            <w:gridSpan w:val="2"/>
          </w:tcPr>
          <w:p>
            <w:pPr>
              <w:jc w:val="center"/>
              <w:spacing w:after="0"/>
              <w:rPr>
                <w:sz w:val="20"/>
                <w:szCs w:val="20"/>
                <w:color w:val="auto"/>
              </w:rPr>
            </w:pPr>
            <w:r>
              <w:rPr>
                <w:rFonts w:ascii="Arial" w:cs="Arial" w:eastAsia="Arial" w:hAnsi="Arial"/>
                <w:sz w:val="10"/>
                <w:szCs w:val="10"/>
                <w:b w:val="1"/>
                <w:bCs w:val="1"/>
                <w:color w:val="auto"/>
                <w:w w:val="92"/>
              </w:rPr>
              <w:t>December 31,</w:t>
            </w:r>
          </w:p>
        </w:tc>
        <w:tc>
          <w:tcPr>
            <w:tcW w:w="180" w:type="dxa"/>
            <w:vAlign w:val="bottom"/>
          </w:tcPr>
          <w:p>
            <w:pPr>
              <w:spacing w:after="0"/>
              <w:rPr>
                <w:sz w:val="9"/>
                <w:szCs w:val="9"/>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0"/>
              </w:rPr>
              <w:t>September 30,</w:t>
            </w: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June 30,</w:t>
            </w:r>
          </w:p>
        </w:tc>
        <w:tc>
          <w:tcPr>
            <w:tcW w:w="200" w:type="dxa"/>
            <w:vAlign w:val="bottom"/>
          </w:tcPr>
          <w:p>
            <w:pPr>
              <w:spacing w:after="0"/>
              <w:rPr>
                <w:sz w:val="9"/>
                <w:szCs w:val="9"/>
                <w:color w:val="auto"/>
              </w:rPr>
            </w:pPr>
          </w:p>
        </w:tc>
        <w:tc>
          <w:tcPr>
            <w:tcW w:w="440" w:type="dxa"/>
            <w:vAlign w:val="bottom"/>
          </w:tcPr>
          <w:p>
            <w:pPr>
              <w:jc w:val="center"/>
              <w:spacing w:after="0"/>
              <w:rPr>
                <w:sz w:val="20"/>
                <w:szCs w:val="20"/>
                <w:color w:val="auto"/>
              </w:rPr>
            </w:pPr>
            <w:r>
              <w:rPr>
                <w:rFonts w:ascii="Arial" w:cs="Arial" w:eastAsia="Arial" w:hAnsi="Arial"/>
                <w:sz w:val="10"/>
                <w:szCs w:val="10"/>
                <w:b w:val="1"/>
                <w:bCs w:val="1"/>
                <w:color w:val="auto"/>
                <w:w w:val="95"/>
              </w:rPr>
              <w:t>March 31,</w:t>
            </w:r>
          </w:p>
        </w:tc>
        <w:tc>
          <w:tcPr>
            <w:tcW w:w="200" w:type="dxa"/>
            <w:vAlign w:val="bottom"/>
          </w:tcPr>
          <w:p>
            <w:pPr>
              <w:spacing w:after="0"/>
              <w:rPr>
                <w:sz w:val="9"/>
                <w:szCs w:val="9"/>
                <w:color w:val="auto"/>
              </w:rPr>
            </w:pPr>
          </w:p>
        </w:tc>
        <w:tc>
          <w:tcPr>
            <w:tcW w:w="800" w:type="dxa"/>
            <w:vAlign w:val="bottom"/>
            <w:gridSpan w:val="3"/>
          </w:tcPr>
          <w:p>
            <w:pPr>
              <w:jc w:val="center"/>
              <w:ind w:right="200"/>
              <w:spacing w:after="0"/>
              <w:rPr>
                <w:sz w:val="20"/>
                <w:szCs w:val="20"/>
                <w:color w:val="auto"/>
              </w:rPr>
            </w:pPr>
            <w:r>
              <w:rPr>
                <w:rFonts w:ascii="Arial" w:cs="Arial" w:eastAsia="Arial" w:hAnsi="Arial"/>
                <w:sz w:val="10"/>
                <w:szCs w:val="10"/>
                <w:b w:val="1"/>
                <w:bCs w:val="1"/>
                <w:color w:val="auto"/>
                <w:w w:val="92"/>
              </w:rPr>
              <w:t>December 31,</w:t>
            </w:r>
          </w:p>
        </w:tc>
        <w:tc>
          <w:tcPr>
            <w:tcW w:w="900" w:type="dxa"/>
            <w:vAlign w:val="bottom"/>
            <w:tcBorders>
              <w:right w:val="single" w:sz="8" w:color="auto"/>
            </w:tcBorders>
            <w:gridSpan w:val="3"/>
          </w:tcPr>
          <w:p>
            <w:pPr>
              <w:jc w:val="center"/>
              <w:ind w:right="280"/>
              <w:spacing w:after="0"/>
              <w:rPr>
                <w:sz w:val="20"/>
                <w:szCs w:val="20"/>
                <w:color w:val="auto"/>
              </w:rPr>
            </w:pPr>
            <w:r>
              <w:rPr>
                <w:rFonts w:ascii="Arial" w:cs="Arial" w:eastAsia="Arial" w:hAnsi="Arial"/>
                <w:sz w:val="10"/>
                <w:szCs w:val="10"/>
                <w:b w:val="1"/>
                <w:bCs w:val="1"/>
                <w:color w:val="auto"/>
                <w:w w:val="90"/>
              </w:rPr>
              <w:t>September 30,</w:t>
            </w:r>
          </w:p>
        </w:tc>
        <w:tc>
          <w:tcPr>
            <w:tcW w:w="340" w:type="dxa"/>
            <w:vAlign w:val="bottom"/>
          </w:tcPr>
          <w:p>
            <w:pPr>
              <w:spacing w:after="0"/>
              <w:rPr>
                <w:sz w:val="9"/>
                <w:szCs w:val="9"/>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92"/>
              </w:rPr>
              <w:t>July 15,</w:t>
            </w:r>
          </w:p>
        </w:tc>
        <w:tc>
          <w:tcPr>
            <w:tcW w:w="200" w:type="dxa"/>
            <w:vAlign w:val="bottom"/>
          </w:tcPr>
          <w:p>
            <w:pPr>
              <w:spacing w:after="0"/>
              <w:rPr>
                <w:sz w:val="9"/>
                <w:szCs w:val="9"/>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740" w:type="dxa"/>
            <w:vAlign w:val="bottom"/>
          </w:tcPr>
          <w:p>
            <w:pPr>
              <w:spacing w:after="0"/>
              <w:rPr>
                <w:sz w:val="10"/>
                <w:szCs w:val="10"/>
                <w:color w:val="auto"/>
              </w:rPr>
            </w:pPr>
          </w:p>
        </w:tc>
        <w:tc>
          <w:tcPr>
            <w:tcW w:w="380" w:type="dxa"/>
            <w:vAlign w:val="bottom"/>
          </w:tcPr>
          <w:p>
            <w:pPr>
              <w:jc w:val="right"/>
              <w:ind w:right="47"/>
              <w:spacing w:after="0"/>
              <w:rPr>
                <w:sz w:val="20"/>
                <w:szCs w:val="20"/>
                <w:color w:val="auto"/>
              </w:rPr>
            </w:pPr>
            <w:r>
              <w:rPr>
                <w:rFonts w:ascii="Arial" w:cs="Arial" w:eastAsia="Arial" w:hAnsi="Arial"/>
                <w:sz w:val="10"/>
                <w:szCs w:val="10"/>
                <w:b w:val="1"/>
                <w:bCs w:val="1"/>
                <w:color w:val="auto"/>
              </w:rPr>
              <w:t>2021</w:t>
            </w:r>
          </w:p>
        </w:tc>
        <w:tc>
          <w:tcPr>
            <w:tcW w:w="620" w:type="dxa"/>
            <w:vAlign w:val="bottom"/>
            <w:gridSpan w:val="2"/>
          </w:tcPr>
          <w:p>
            <w:pPr>
              <w:jc w:val="center"/>
              <w:ind w:left="129"/>
              <w:spacing w:after="0"/>
              <w:rPr>
                <w:sz w:val="20"/>
                <w:szCs w:val="20"/>
                <w:color w:val="auto"/>
              </w:rPr>
            </w:pPr>
            <w:r>
              <w:rPr>
                <w:rFonts w:ascii="Arial" w:cs="Arial" w:eastAsia="Arial" w:hAnsi="Arial"/>
                <w:sz w:val="10"/>
                <w:szCs w:val="10"/>
                <w:b w:val="1"/>
                <w:bCs w:val="1"/>
                <w:color w:val="auto"/>
                <w:w w:val="89"/>
              </w:rPr>
              <w:t>2021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2020</w:t>
            </w:r>
          </w:p>
        </w:tc>
        <w:tc>
          <w:tcPr>
            <w:tcW w:w="20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2020</w:t>
            </w:r>
          </w:p>
        </w:tc>
        <w:tc>
          <w:tcPr>
            <w:tcW w:w="640" w:type="dxa"/>
            <w:vAlign w:val="bottom"/>
            <w:gridSpan w:val="2"/>
          </w:tcPr>
          <w:p>
            <w:pPr>
              <w:jc w:val="right"/>
              <w:ind w:right="67"/>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67"/>
              <w:spacing w:after="0"/>
              <w:rPr>
                <w:sz w:val="20"/>
                <w:szCs w:val="20"/>
                <w:color w:val="auto"/>
              </w:rPr>
            </w:pPr>
            <w:r>
              <w:rPr>
                <w:rFonts w:ascii="Arial" w:cs="Arial" w:eastAsia="Arial" w:hAnsi="Arial"/>
                <w:sz w:val="10"/>
                <w:szCs w:val="10"/>
                <w:b w:val="1"/>
                <w:bCs w:val="1"/>
                <w:color w:val="auto"/>
                <w:w w:val="98"/>
              </w:rPr>
              <w:t>2019</w:t>
            </w:r>
          </w:p>
        </w:tc>
        <w:tc>
          <w:tcPr>
            <w:tcW w:w="2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jc w:val="center"/>
              <w:spacing w:after="0"/>
              <w:rPr>
                <w:sz w:val="20"/>
                <w:szCs w:val="20"/>
                <w:color w:val="auto"/>
              </w:rPr>
            </w:pPr>
            <w:r>
              <w:rPr>
                <w:rFonts w:ascii="Arial" w:cs="Arial" w:eastAsia="Arial" w:hAnsi="Arial"/>
                <w:sz w:val="10"/>
                <w:szCs w:val="10"/>
                <w:b w:val="1"/>
                <w:bCs w:val="1"/>
                <w:color w:val="auto"/>
                <w:w w:val="89"/>
              </w:rPr>
              <w:t>2019</w:t>
            </w:r>
          </w:p>
        </w:tc>
        <w:tc>
          <w:tcPr>
            <w:tcW w:w="560" w:type="dxa"/>
            <w:vAlign w:val="bottom"/>
            <w:gridSpan w:val="2"/>
          </w:tcPr>
          <w:p>
            <w:pPr>
              <w:jc w:val="right"/>
              <w:ind w:right="27"/>
              <w:spacing w:after="0"/>
              <w:rPr>
                <w:sz w:val="20"/>
                <w:szCs w:val="20"/>
                <w:color w:val="auto"/>
              </w:rPr>
            </w:pPr>
            <w:r>
              <w:rPr>
                <w:rFonts w:ascii="Arial" w:cs="Arial" w:eastAsia="Arial" w:hAnsi="Arial"/>
                <w:sz w:val="10"/>
                <w:szCs w:val="10"/>
                <w:b w:val="1"/>
                <w:bCs w:val="1"/>
                <w:color w:val="auto"/>
              </w:rPr>
              <w:t>2019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6"/>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r>
      <w:tr>
        <w:trPr>
          <w:trHeight w:val="133"/>
        </w:trPr>
        <w:tc>
          <w:tcPr>
            <w:tcW w:w="27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rPr>
              <w:t>Cash paid for interest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$ 7,933</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93"/>
              </w:rPr>
              <w:t>$  8,039</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2,915</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9,157</w:t>
            </w: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82"/>
              </w:rPr>
              <w:t>$ 6,970</w:t>
            </w:r>
          </w:p>
        </w:tc>
        <w:tc>
          <w:tcPr>
            <w:tcW w:w="2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9"/>
              </w:rPr>
              <w:t>$  6,916</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7,326</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2,613</w:t>
            </w:r>
          </w:p>
        </w:tc>
        <w:tc>
          <w:tcPr>
            <w:tcW w:w="280" w:type="dxa"/>
            <w:vAlign w:val="bottom"/>
            <w:tcBorders>
              <w:top w:val="single" w:sz="8" w:color="CCEEFF"/>
              <w:right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ind w:left="140"/>
              <w:spacing w:after="0" w:line="133"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93"/>
              </w:rPr>
              <w:t>$  138</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139</w:t>
            </w:r>
          </w:p>
        </w:tc>
        <w:tc>
          <w:tcPr>
            <w:tcW w:w="40" w:type="dxa"/>
            <w:vAlign w:val="bottom"/>
            <w:tcBorders>
              <w:top w:val="single" w:sz="8" w:color="CCEEFF"/>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hanging="406"/>
        <w:spacing w:after="0"/>
        <w:tabs>
          <w:tab w:leader="none" w:pos="8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Net cash provided by (used in) investing activities includes purchases of property, equipment and other assets as follows:</w:t>
      </w:r>
    </w:p>
    <w:p>
      <w:pPr>
        <w:spacing w:after="0" w:line="238" w:lineRule="exact"/>
        <w:rPr>
          <w:sz w:val="20"/>
          <w:szCs w:val="20"/>
          <w:color w:val="auto"/>
        </w:rPr>
      </w:pPr>
    </w:p>
    <w:tbl>
      <w:tblPr>
        <w:tblLayout w:type="fixed"/>
        <w:tblInd w:w="44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5"/>
          </w:tcPr>
          <w:p>
            <w:pPr>
              <w:ind w:left="400"/>
              <w:spacing w:after="0"/>
              <w:rPr>
                <w:sz w:val="20"/>
                <w:szCs w:val="20"/>
                <w:color w:val="auto"/>
              </w:rPr>
            </w:pPr>
            <w:r>
              <w:rPr>
                <w:rFonts w:ascii="Arial" w:cs="Arial" w:eastAsia="Arial" w:hAnsi="Arial"/>
                <w:sz w:val="10"/>
                <w:szCs w:val="10"/>
                <w:b w:val="1"/>
                <w:bCs w:val="1"/>
                <w:color w:val="auto"/>
              </w:rPr>
              <w:t>Successor</w:t>
            </w: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w w:val="96"/>
              </w:rPr>
              <w:t>Predecessor</w:t>
            </w: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w w:val="96"/>
              </w:rPr>
              <w:t>Period</w:t>
            </w: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14"/>
        </w:trPr>
        <w:tc>
          <w:tcPr>
            <w:tcW w:w="2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9"/>
              </w:rPr>
              <w:t>Period</w:t>
            </w:r>
          </w:p>
        </w:tc>
        <w:tc>
          <w:tcPr>
            <w:tcW w:w="300" w:type="dxa"/>
            <w:vAlign w:val="bottom"/>
          </w:tcPr>
          <w:p>
            <w:pPr>
              <w:spacing w:after="0"/>
              <w:rPr>
                <w:sz w:val="9"/>
                <w:szCs w:val="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8"/>
              </w:rPr>
              <w:t>from</w:t>
            </w: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14"/>
        </w:trPr>
        <w:tc>
          <w:tcPr>
            <w:tcW w:w="2940" w:type="dxa"/>
            <w:vAlign w:val="bottom"/>
          </w:tcPr>
          <w:p>
            <w:pPr>
              <w:spacing w:after="0"/>
              <w:rPr>
                <w:sz w:val="9"/>
                <w:szCs w:val="9"/>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6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Three</w:t>
            </w:r>
          </w:p>
        </w:tc>
        <w:tc>
          <w:tcPr>
            <w:tcW w:w="12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9"/>
              </w:rPr>
              <w:t>from</w:t>
            </w:r>
          </w:p>
        </w:tc>
        <w:tc>
          <w:tcPr>
            <w:tcW w:w="300" w:type="dxa"/>
            <w:vAlign w:val="bottom"/>
          </w:tcPr>
          <w:p>
            <w:pPr>
              <w:spacing w:after="0"/>
              <w:rPr>
                <w:sz w:val="9"/>
                <w:szCs w:val="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6"/>
              </w:rPr>
              <w:t>July 1,</w:t>
            </w:r>
          </w:p>
        </w:tc>
        <w:tc>
          <w:tcPr>
            <w:tcW w:w="120" w:type="dxa"/>
            <w:vAlign w:val="bottom"/>
          </w:tcPr>
          <w:p>
            <w:pPr>
              <w:spacing w:after="0"/>
              <w:rPr>
                <w:sz w:val="9"/>
                <w:szCs w:val="9"/>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Three</w:t>
            </w:r>
          </w:p>
        </w:tc>
        <w:tc>
          <w:tcPr>
            <w:tcW w:w="60" w:type="dxa"/>
            <w:vAlign w:val="bottom"/>
          </w:tcPr>
          <w:p>
            <w:pPr>
              <w:spacing w:after="0"/>
              <w:rPr>
                <w:sz w:val="9"/>
                <w:szCs w:val="9"/>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5"/>
              </w:rPr>
              <w:t>Three</w:t>
            </w:r>
          </w:p>
        </w:tc>
      </w:tr>
      <w:tr>
        <w:trPr>
          <w:trHeight w:val="114"/>
        </w:trPr>
        <w:tc>
          <w:tcPr>
            <w:tcW w:w="294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Months</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5"/>
              </w:rPr>
              <w:t>Months</w:t>
            </w:r>
          </w:p>
        </w:tc>
        <w:tc>
          <w:tcPr>
            <w:tcW w:w="64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5"/>
              </w:rPr>
              <w:t>Months</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5"/>
              </w:rPr>
              <w:t>Months</w:t>
            </w:r>
          </w:p>
        </w:tc>
        <w:tc>
          <w:tcPr>
            <w:tcW w:w="88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0"/>
                <w:szCs w:val="10"/>
                <w:b w:val="1"/>
                <w:bCs w:val="1"/>
                <w:color w:val="auto"/>
                <w:w w:val="90"/>
              </w:rPr>
              <w:t>July 16, 2019</w:t>
            </w:r>
          </w:p>
        </w:tc>
        <w:tc>
          <w:tcPr>
            <w:tcW w:w="640" w:type="dxa"/>
            <w:vAlign w:val="bottom"/>
            <w:gridSpan w:val="2"/>
          </w:tcPr>
          <w:p>
            <w:pPr>
              <w:jc w:val="center"/>
              <w:ind w:left="249"/>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Months</w:t>
            </w:r>
          </w:p>
        </w:tc>
        <w:tc>
          <w:tcPr>
            <w:tcW w:w="480" w:type="dxa"/>
            <w:vAlign w:val="bottom"/>
            <w:gridSpan w:val="3"/>
          </w:tcPr>
          <w:p>
            <w:pPr>
              <w:jc w:val="center"/>
              <w:ind w:right="60"/>
              <w:spacing w:after="0"/>
              <w:rPr>
                <w:sz w:val="20"/>
                <w:szCs w:val="20"/>
                <w:color w:val="auto"/>
              </w:rPr>
            </w:pPr>
            <w:r>
              <w:rPr>
                <w:rFonts w:ascii="Arial" w:cs="Arial" w:eastAsia="Arial" w:hAnsi="Arial"/>
                <w:sz w:val="10"/>
                <w:szCs w:val="10"/>
                <w:b w:val="1"/>
                <w:bCs w:val="1"/>
                <w:color w:val="auto"/>
                <w:w w:val="95"/>
              </w:rPr>
              <w:t>Months</w:t>
            </w:r>
          </w:p>
        </w:tc>
      </w:tr>
      <w:tr>
        <w:trPr>
          <w:trHeight w:val="114"/>
        </w:trPr>
        <w:tc>
          <w:tcPr>
            <w:tcW w:w="294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Ended</w:t>
            </w:r>
          </w:p>
        </w:tc>
        <w:tc>
          <w:tcPr>
            <w:tcW w:w="100" w:type="dxa"/>
            <w:vAlign w:val="bottom"/>
          </w:tcPr>
          <w:p>
            <w:pPr>
              <w:spacing w:after="0"/>
              <w:rPr>
                <w:sz w:val="9"/>
                <w:szCs w:val="9"/>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1"/>
              </w:rPr>
              <w:t>Ended</w:t>
            </w:r>
          </w:p>
        </w:tc>
        <w:tc>
          <w:tcPr>
            <w:tcW w:w="80" w:type="dxa"/>
            <w:vAlign w:val="bottom"/>
          </w:tcPr>
          <w:p>
            <w:pPr>
              <w:spacing w:after="0"/>
              <w:rPr>
                <w:sz w:val="9"/>
                <w:szCs w:val="9"/>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80" w:type="dxa"/>
            <w:vAlign w:val="bottom"/>
          </w:tcPr>
          <w:p>
            <w:pPr>
              <w:spacing w:after="0"/>
              <w:rPr>
                <w:sz w:val="9"/>
                <w:szCs w:val="9"/>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8"/>
              </w:rPr>
              <w:t>Ended</w:t>
            </w:r>
          </w:p>
        </w:tc>
        <w:tc>
          <w:tcPr>
            <w:tcW w:w="120" w:type="dxa"/>
            <w:vAlign w:val="bottom"/>
          </w:tcPr>
          <w:p>
            <w:pPr>
              <w:spacing w:after="0"/>
              <w:rPr>
                <w:sz w:val="9"/>
                <w:szCs w:val="9"/>
                <w:color w:val="auto"/>
              </w:rPr>
            </w:pPr>
          </w:p>
        </w:tc>
        <w:tc>
          <w:tcPr>
            <w:tcW w:w="76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4"/>
              </w:rPr>
              <w:t>to</w:t>
            </w:r>
          </w:p>
        </w:tc>
        <w:tc>
          <w:tcPr>
            <w:tcW w:w="300" w:type="dxa"/>
            <w:vAlign w:val="bottom"/>
          </w:tcPr>
          <w:p>
            <w:pPr>
              <w:spacing w:after="0"/>
              <w:rPr>
                <w:sz w:val="9"/>
                <w:szCs w:val="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rPr>
              <w:t>to</w:t>
            </w:r>
          </w:p>
        </w:tc>
        <w:tc>
          <w:tcPr>
            <w:tcW w:w="120" w:type="dxa"/>
            <w:vAlign w:val="bottom"/>
          </w:tcPr>
          <w:p>
            <w:pPr>
              <w:spacing w:after="0"/>
              <w:rPr>
                <w:sz w:val="9"/>
                <w:szCs w:val="9"/>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Ended</w:t>
            </w:r>
          </w:p>
        </w:tc>
        <w:tc>
          <w:tcPr>
            <w:tcW w:w="60" w:type="dxa"/>
            <w:vAlign w:val="bottom"/>
          </w:tcPr>
          <w:p>
            <w:pPr>
              <w:spacing w:after="0"/>
              <w:rPr>
                <w:sz w:val="9"/>
                <w:szCs w:val="9"/>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1"/>
              </w:rPr>
              <w:t>Ended</w:t>
            </w:r>
          </w:p>
        </w:tc>
      </w:tr>
      <w:tr>
        <w:trPr>
          <w:trHeight w:val="114"/>
        </w:trPr>
        <w:tc>
          <w:tcPr>
            <w:tcW w:w="294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June 30,</w:t>
            </w:r>
          </w:p>
        </w:tc>
        <w:tc>
          <w:tcPr>
            <w:tcW w:w="6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March 31,</w:t>
            </w:r>
          </w:p>
        </w:tc>
        <w:tc>
          <w:tcPr>
            <w:tcW w:w="78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2"/>
              </w:rPr>
              <w:t>December 31,</w:t>
            </w:r>
          </w:p>
        </w:tc>
        <w:tc>
          <w:tcPr>
            <w:tcW w:w="72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w w:val="90"/>
              </w:rPr>
              <w:t>September 30,</w:t>
            </w:r>
          </w:p>
        </w:tc>
        <w:tc>
          <w:tcPr>
            <w:tcW w:w="80" w:type="dxa"/>
            <w:vAlign w:val="bottom"/>
          </w:tcPr>
          <w:p>
            <w:pPr>
              <w:spacing w:after="0"/>
              <w:rPr>
                <w:sz w:val="9"/>
                <w:szCs w:val="9"/>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June 30,</w:t>
            </w:r>
          </w:p>
        </w:tc>
        <w:tc>
          <w:tcPr>
            <w:tcW w:w="64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99"/>
              </w:rPr>
              <w:t>March 31,</w:t>
            </w:r>
          </w:p>
        </w:tc>
        <w:tc>
          <w:tcPr>
            <w:tcW w:w="760" w:type="dxa"/>
            <w:vAlign w:val="bottom"/>
            <w:gridSpan w:val="3"/>
          </w:tcPr>
          <w:p>
            <w:pPr>
              <w:jc w:val="center"/>
              <w:ind w:right="180"/>
              <w:spacing w:after="0"/>
              <w:rPr>
                <w:sz w:val="20"/>
                <w:szCs w:val="20"/>
                <w:color w:val="auto"/>
              </w:rPr>
            </w:pPr>
            <w:r>
              <w:rPr>
                <w:rFonts w:ascii="Arial" w:cs="Arial" w:eastAsia="Arial" w:hAnsi="Arial"/>
                <w:sz w:val="10"/>
                <w:szCs w:val="10"/>
                <w:b w:val="1"/>
                <w:bCs w:val="1"/>
                <w:color w:val="auto"/>
                <w:w w:val="89"/>
              </w:rPr>
              <w:t>December 31,</w:t>
            </w:r>
          </w:p>
        </w:tc>
        <w:tc>
          <w:tcPr>
            <w:tcW w:w="880" w:type="dxa"/>
            <w:vAlign w:val="bottom"/>
            <w:tcBorders>
              <w:right w:val="single" w:sz="8" w:color="auto"/>
            </w:tcBorders>
            <w:gridSpan w:val="3"/>
          </w:tcPr>
          <w:p>
            <w:pPr>
              <w:jc w:val="center"/>
              <w:ind w:right="260"/>
              <w:spacing w:after="0"/>
              <w:rPr>
                <w:sz w:val="20"/>
                <w:szCs w:val="20"/>
                <w:color w:val="auto"/>
              </w:rPr>
            </w:pPr>
            <w:r>
              <w:rPr>
                <w:rFonts w:ascii="Arial" w:cs="Arial" w:eastAsia="Arial" w:hAnsi="Arial"/>
                <w:sz w:val="10"/>
                <w:szCs w:val="10"/>
                <w:b w:val="1"/>
                <w:bCs w:val="1"/>
                <w:color w:val="auto"/>
                <w:w w:val="90"/>
              </w:rPr>
              <w:t>September 30,</w:t>
            </w:r>
          </w:p>
        </w:tc>
        <w:tc>
          <w:tcPr>
            <w:tcW w:w="300" w:type="dxa"/>
            <w:vAlign w:val="bottom"/>
          </w:tcPr>
          <w:p>
            <w:pPr>
              <w:spacing w:after="0"/>
              <w:rPr>
                <w:sz w:val="9"/>
                <w:szCs w:val="9"/>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July 15,</w:t>
            </w:r>
          </w:p>
        </w:tc>
        <w:tc>
          <w:tcPr>
            <w:tcW w:w="120" w:type="dxa"/>
            <w:vAlign w:val="bottom"/>
          </w:tcPr>
          <w:p>
            <w:pPr>
              <w:spacing w:after="0"/>
              <w:rPr>
                <w:sz w:val="9"/>
                <w:szCs w:val="9"/>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June 30,</w:t>
            </w:r>
          </w:p>
        </w:tc>
        <w:tc>
          <w:tcPr>
            <w:tcW w:w="480" w:type="dxa"/>
            <w:vAlign w:val="bottom"/>
            <w:gridSpan w:val="3"/>
          </w:tcPr>
          <w:p>
            <w:pPr>
              <w:jc w:val="center"/>
              <w:ind w:right="40"/>
              <w:spacing w:after="0"/>
              <w:rPr>
                <w:sz w:val="20"/>
                <w:szCs w:val="20"/>
                <w:color w:val="auto"/>
              </w:rPr>
            </w:pPr>
            <w:r>
              <w:rPr>
                <w:rFonts w:ascii="Arial" w:cs="Arial" w:eastAsia="Arial" w:hAnsi="Arial"/>
                <w:sz w:val="10"/>
                <w:szCs w:val="10"/>
                <w:b w:val="1"/>
                <w:bCs w:val="1"/>
                <w:color w:val="auto"/>
                <w:w w:val="95"/>
              </w:rPr>
              <w:t>March 31,</w:t>
            </w:r>
          </w:p>
        </w:tc>
      </w:tr>
      <w:tr>
        <w:trPr>
          <w:trHeight w:val="126"/>
        </w:trPr>
        <w:tc>
          <w:tcPr>
            <w:tcW w:w="2940" w:type="dxa"/>
            <w:vAlign w:val="bottom"/>
          </w:tcPr>
          <w:p>
            <w:pPr>
              <w:spacing w:after="0"/>
              <w:rPr>
                <w:sz w:val="10"/>
                <w:szCs w:val="10"/>
                <w:color w:val="auto"/>
              </w:rPr>
            </w:pPr>
          </w:p>
        </w:tc>
        <w:tc>
          <w:tcPr>
            <w:tcW w:w="360" w:type="dxa"/>
            <w:vAlign w:val="bottom"/>
          </w:tcPr>
          <w:p>
            <w:pPr>
              <w:jc w:val="center"/>
              <w:spacing w:after="0"/>
              <w:rPr>
                <w:sz w:val="20"/>
                <w:szCs w:val="20"/>
                <w:color w:val="auto"/>
              </w:rPr>
            </w:pPr>
            <w:r>
              <w:rPr>
                <w:rFonts w:ascii="Arial" w:cs="Arial" w:eastAsia="Arial" w:hAnsi="Arial"/>
                <w:sz w:val="10"/>
                <w:szCs w:val="10"/>
                <w:b w:val="1"/>
                <w:bCs w:val="1"/>
                <w:color w:val="auto"/>
                <w:w w:val="89"/>
              </w:rPr>
              <w:t>2021</w:t>
            </w:r>
          </w:p>
        </w:tc>
        <w:tc>
          <w:tcPr>
            <w:tcW w:w="180" w:type="dxa"/>
            <w:vAlign w:val="bottom"/>
          </w:tcPr>
          <w:p>
            <w:pPr>
              <w:spacing w:after="0"/>
              <w:rPr>
                <w:sz w:val="10"/>
                <w:szCs w:val="10"/>
                <w:color w:val="auto"/>
              </w:rPr>
            </w:pPr>
          </w:p>
        </w:tc>
        <w:tc>
          <w:tcPr>
            <w:tcW w:w="440" w:type="dxa"/>
            <w:vAlign w:val="bottom"/>
          </w:tcPr>
          <w:p>
            <w:pPr>
              <w:jc w:val="right"/>
              <w:ind w:right="67"/>
              <w:spacing w:after="0"/>
              <w:rPr>
                <w:sz w:val="20"/>
                <w:szCs w:val="20"/>
                <w:color w:val="auto"/>
              </w:rPr>
            </w:pPr>
            <w:r>
              <w:rPr>
                <w:rFonts w:ascii="Arial" w:cs="Arial" w:eastAsia="Arial" w:hAnsi="Arial"/>
                <w:sz w:val="10"/>
                <w:szCs w:val="10"/>
                <w:b w:val="1"/>
                <w:bCs w:val="1"/>
                <w:color w:val="auto"/>
              </w:rPr>
              <w:t>2021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ind w:right="47"/>
              <w:spacing w:after="0"/>
              <w:rPr>
                <w:sz w:val="20"/>
                <w:szCs w:val="20"/>
                <w:color w:val="auto"/>
              </w:rPr>
            </w:pPr>
            <w:r>
              <w:rPr>
                <w:rFonts w:ascii="Arial" w:cs="Arial" w:eastAsia="Arial" w:hAnsi="Arial"/>
                <w:sz w:val="10"/>
                <w:szCs w:val="10"/>
                <w:b w:val="1"/>
                <w:bCs w:val="1"/>
                <w:color w:val="auto"/>
                <w:w w:val="98"/>
              </w:rPr>
              <w:t>2020</w:t>
            </w:r>
          </w:p>
        </w:tc>
        <w:tc>
          <w:tcPr>
            <w:tcW w:w="100" w:type="dxa"/>
            <w:vAlign w:val="bottom"/>
          </w:tcPr>
          <w:p>
            <w:pPr>
              <w:spacing w:after="0"/>
              <w:rPr>
                <w:sz w:val="10"/>
                <w:szCs w:val="10"/>
                <w:color w:val="auto"/>
              </w:rPr>
            </w:pPr>
          </w:p>
        </w:tc>
        <w:tc>
          <w:tcPr>
            <w:tcW w:w="440" w:type="dxa"/>
            <w:vAlign w:val="bottom"/>
            <w:gridSpan w:val="2"/>
          </w:tcPr>
          <w:p>
            <w:pPr>
              <w:jc w:val="center"/>
              <w:ind w:left="29"/>
              <w:spacing w:after="0"/>
              <w:rPr>
                <w:sz w:val="20"/>
                <w:szCs w:val="20"/>
                <w:color w:val="auto"/>
              </w:rPr>
            </w:pPr>
            <w:r>
              <w:rPr>
                <w:rFonts w:ascii="Arial" w:cs="Arial" w:eastAsia="Arial" w:hAnsi="Arial"/>
                <w:sz w:val="10"/>
                <w:szCs w:val="10"/>
                <w:b w:val="1"/>
                <w:bCs w:val="1"/>
                <w:color w:val="auto"/>
                <w:w w:val="89"/>
              </w:rPr>
              <w:t>2020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center"/>
              <w:ind w:right="26"/>
              <w:spacing w:after="0"/>
              <w:rPr>
                <w:sz w:val="20"/>
                <w:szCs w:val="20"/>
                <w:color w:val="auto"/>
              </w:rPr>
            </w:pPr>
            <w:r>
              <w:rPr>
                <w:rFonts w:ascii="Arial" w:cs="Arial" w:eastAsia="Arial" w:hAnsi="Arial"/>
                <w:sz w:val="10"/>
                <w:szCs w:val="10"/>
                <w:b w:val="1"/>
                <w:bCs w:val="1"/>
                <w:color w:val="auto"/>
                <w:w w:val="98"/>
              </w:rPr>
              <w:t>2020</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center"/>
              <w:ind w:right="27"/>
              <w:spacing w:after="0"/>
              <w:rPr>
                <w:sz w:val="20"/>
                <w:szCs w:val="20"/>
                <w:color w:val="auto"/>
              </w:rPr>
            </w:pPr>
            <w:r>
              <w:rPr>
                <w:rFonts w:ascii="Arial" w:cs="Arial" w:eastAsia="Arial" w:hAnsi="Arial"/>
                <w:sz w:val="10"/>
                <w:szCs w:val="10"/>
                <w:b w:val="1"/>
                <w:bCs w:val="1"/>
                <w:color w:val="auto"/>
                <w:w w:val="98"/>
              </w:rPr>
              <w:t>2019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ind w:right="47"/>
              <w:spacing w:after="0"/>
              <w:rPr>
                <w:sz w:val="20"/>
                <w:szCs w:val="20"/>
                <w:color w:val="auto"/>
              </w:rPr>
            </w:pPr>
            <w:r>
              <w:rPr>
                <w:rFonts w:ascii="Arial" w:cs="Arial" w:eastAsia="Arial" w:hAnsi="Arial"/>
                <w:sz w:val="10"/>
                <w:szCs w:val="10"/>
                <w:b w:val="1"/>
                <w:bCs w:val="1"/>
                <w:color w:val="auto"/>
                <w:w w:val="89"/>
              </w:rPr>
              <w:t>2019</w:t>
            </w:r>
          </w:p>
        </w:tc>
        <w:tc>
          <w:tcPr>
            <w:tcW w:w="260" w:type="dxa"/>
            <w:vAlign w:val="bottom"/>
            <w:tcBorders>
              <w:right w:val="single" w:sz="8" w:color="auto"/>
            </w:tcBorders>
          </w:tcPr>
          <w:p>
            <w:pPr>
              <w:spacing w:after="0"/>
              <w:rPr>
                <w:sz w:val="10"/>
                <w:szCs w:val="10"/>
                <w:color w:val="auto"/>
              </w:rPr>
            </w:pPr>
          </w:p>
        </w:tc>
        <w:tc>
          <w:tcPr>
            <w:tcW w:w="640" w:type="dxa"/>
            <w:vAlign w:val="bottom"/>
            <w:gridSpan w:val="2"/>
          </w:tcPr>
          <w:p>
            <w:pPr>
              <w:jc w:val="center"/>
              <w:ind w:left="249"/>
              <w:spacing w:after="0"/>
              <w:rPr>
                <w:sz w:val="20"/>
                <w:szCs w:val="20"/>
                <w:color w:val="auto"/>
              </w:rPr>
            </w:pPr>
            <w:r>
              <w:rPr>
                <w:rFonts w:ascii="Arial" w:cs="Arial" w:eastAsia="Arial" w:hAnsi="Arial"/>
                <w:sz w:val="10"/>
                <w:szCs w:val="10"/>
                <w:b w:val="1"/>
                <w:bCs w:val="1"/>
                <w:color w:val="auto"/>
                <w:w w:val="98"/>
              </w:rPr>
              <w:t>2019</w:t>
            </w:r>
          </w:p>
        </w:tc>
        <w:tc>
          <w:tcPr>
            <w:tcW w:w="80" w:type="dxa"/>
            <w:vAlign w:val="bottom"/>
          </w:tcPr>
          <w:p>
            <w:pPr>
              <w:spacing w:after="0"/>
              <w:rPr>
                <w:sz w:val="10"/>
                <w:szCs w:val="10"/>
                <w:color w:val="auto"/>
              </w:rPr>
            </w:pPr>
          </w:p>
        </w:tc>
        <w:tc>
          <w:tcPr>
            <w:tcW w:w="480" w:type="dxa"/>
            <w:vAlign w:val="bottom"/>
            <w:gridSpan w:val="2"/>
          </w:tcPr>
          <w:p>
            <w:pPr>
              <w:jc w:val="center"/>
              <w:ind w:left="69"/>
              <w:spacing w:after="0"/>
              <w:rPr>
                <w:sz w:val="20"/>
                <w:szCs w:val="20"/>
                <w:color w:val="auto"/>
              </w:rPr>
            </w:pPr>
            <w:r>
              <w:rPr>
                <w:rFonts w:ascii="Arial" w:cs="Arial" w:eastAsia="Arial" w:hAnsi="Arial"/>
                <w:sz w:val="10"/>
                <w:szCs w:val="10"/>
                <w:b w:val="1"/>
                <w:bCs w:val="1"/>
                <w:color w:val="auto"/>
                <w:w w:val="89"/>
              </w:rPr>
              <w:t>2019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jc w:val="center"/>
              <w:ind w:right="6"/>
              <w:spacing w:after="0"/>
              <w:rPr>
                <w:sz w:val="20"/>
                <w:szCs w:val="20"/>
                <w:color w:val="auto"/>
              </w:rPr>
            </w:pPr>
            <w:r>
              <w:rPr>
                <w:rFonts w:ascii="Arial" w:cs="Arial" w:eastAsia="Arial" w:hAnsi="Arial"/>
                <w:sz w:val="10"/>
                <w:szCs w:val="10"/>
                <w:b w:val="1"/>
                <w:bCs w:val="1"/>
                <w:color w:val="auto"/>
                <w:w w:val="89"/>
              </w:rPr>
              <w:t>2019</w:t>
            </w:r>
          </w:p>
        </w:tc>
        <w:tc>
          <w:tcPr>
            <w:tcW w:w="40" w:type="dxa"/>
            <w:vAlign w:val="bottom"/>
          </w:tcPr>
          <w:p>
            <w:pPr>
              <w:spacing w:after="0"/>
              <w:rPr>
                <w:sz w:val="10"/>
                <w:szCs w:val="10"/>
                <w:color w:val="auto"/>
              </w:rPr>
            </w:pPr>
          </w:p>
        </w:tc>
      </w:tr>
      <w:tr>
        <w:trPr>
          <w:trHeight w:val="133"/>
        </w:trPr>
        <w:tc>
          <w:tcPr>
            <w:tcW w:w="29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3"/>
                <w:szCs w:val="13"/>
                <w:color w:val="auto"/>
                <w:w w:val="99"/>
              </w:rPr>
              <w:t>Purchases of property, equipment and other assets</w:t>
            </w:r>
          </w:p>
        </w:tc>
        <w:tc>
          <w:tcPr>
            <w:tcW w:w="3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82"/>
              </w:rPr>
              <w:t>$ 1,380</w:t>
            </w:r>
          </w:p>
        </w:tc>
        <w:tc>
          <w:tcPr>
            <w:tcW w:w="1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9"/>
              </w:rPr>
              <w:t>$  3,842</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334</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166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99"/>
              </w:rPr>
              <w:t>$  547</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348</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1,130</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41</w:t>
            </w:r>
          </w:p>
        </w:tc>
        <w:tc>
          <w:tcPr>
            <w:tcW w:w="260" w:type="dxa"/>
            <w:vAlign w:val="bottom"/>
            <w:tcBorders>
              <w:top w:val="single" w:sz="8" w:color="CCEEFF"/>
              <w:right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rPr>
              <w:t>$   11</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center"/>
              <w:spacing w:after="0" w:line="133" w:lineRule="exact"/>
              <w:rPr>
                <w:sz w:val="20"/>
                <w:szCs w:val="20"/>
                <w:color w:val="auto"/>
              </w:rPr>
            </w:pPr>
            <w:r>
              <w:rPr>
                <w:rFonts w:ascii="Arial" w:cs="Arial" w:eastAsia="Arial" w:hAnsi="Arial"/>
                <w:sz w:val="13"/>
                <w:szCs w:val="13"/>
                <w:color w:val="auto"/>
                <w:w w:val="99"/>
              </w:rPr>
              <w:t>$  539</w:t>
            </w: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3"/>
                <w:szCs w:val="13"/>
                <w:color w:val="auto"/>
              </w:rPr>
              <w:t>179</w:t>
            </w:r>
          </w:p>
        </w:tc>
        <w:tc>
          <w:tcPr>
            <w:tcW w:w="40" w:type="dxa"/>
            <w:vAlign w:val="bottom"/>
            <w:tcBorders>
              <w:top w:val="single" w:sz="8" w:color="CCEEFF"/>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560" w:hanging="406"/>
        <w:spacing w:after="0" w:line="273" w:lineRule="auto"/>
        <w:tabs>
          <w:tab w:leader="none" w:pos="8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Net cash (used in) investing activities for the period from July 16, 2019 to September 30, 2019 primarily includes cash paid for the Advent Acquisition.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Balance Sheet Items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43"/>
        </w:trPr>
        <w:tc>
          <w:tcPr>
            <w:tcW w:w="2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 in</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5"/>
          </w:tcPr>
          <w:p>
            <w:pPr>
              <w:jc w:val="right"/>
              <w:ind w:right="500"/>
              <w:spacing w:after="0"/>
              <w:rPr>
                <w:sz w:val="20"/>
                <w:szCs w:val="20"/>
                <w:color w:val="auto"/>
              </w:rPr>
            </w:pPr>
            <w:r>
              <w:rPr>
                <w:rFonts w:ascii="Arial" w:cs="Arial" w:eastAsia="Arial" w:hAnsi="Arial"/>
                <w:sz w:val="12"/>
                <w:szCs w:val="12"/>
                <w:b w:val="1"/>
                <w:bCs w:val="1"/>
                <w:color w:val="auto"/>
              </w:rPr>
              <w:t>Successor</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5"/>
          </w:tcPr>
          <w:p>
            <w:pPr>
              <w:ind w:left="260"/>
              <w:spacing w:after="0"/>
              <w:rPr>
                <w:sz w:val="20"/>
                <w:szCs w:val="20"/>
                <w:color w:val="auto"/>
              </w:rPr>
            </w:pPr>
            <w:r>
              <w:rPr>
                <w:rFonts w:ascii="Arial" w:cs="Arial" w:eastAsia="Arial" w:hAnsi="Arial"/>
                <w:sz w:val="12"/>
                <w:szCs w:val="12"/>
                <w:b w:val="1"/>
                <w:bCs w:val="1"/>
                <w:color w:val="auto"/>
              </w:rPr>
              <w:t>Predecessor</w:t>
            </w:r>
          </w:p>
        </w:tc>
        <w:tc>
          <w:tcPr>
            <w:tcW w:w="0" w:type="dxa"/>
            <w:vAlign w:val="bottom"/>
          </w:tcPr>
          <w:p>
            <w:pPr>
              <w:spacing w:after="0"/>
              <w:rPr>
                <w:sz w:val="1"/>
                <w:szCs w:val="1"/>
                <w:color w:val="auto"/>
              </w:rPr>
            </w:pPr>
          </w:p>
        </w:tc>
      </w:tr>
      <w:tr>
        <w:trPr>
          <w:trHeight w:val="94"/>
        </w:trPr>
        <w:tc>
          <w:tcPr>
            <w:tcW w:w="2700" w:type="dxa"/>
            <w:vAlign w:val="bottom"/>
            <w:gridSpan w:val="2"/>
            <w:vMerge w:val="continue"/>
          </w:tcPr>
          <w:p>
            <w:pPr>
              <w:spacing w:after="0"/>
              <w:rPr>
                <w:sz w:val="8"/>
                <w:szCs w:val="8"/>
                <w:color w:val="auto"/>
              </w:rPr>
            </w:pPr>
          </w:p>
        </w:tc>
        <w:tc>
          <w:tcPr>
            <w:tcW w:w="620" w:type="dxa"/>
            <w:vAlign w:val="bottom"/>
            <w:tcBorders>
              <w:top w:val="single" w:sz="8" w:color="auto"/>
            </w:tcBorders>
            <w:gridSpan w:val="2"/>
          </w:tcPr>
          <w:p>
            <w:pPr>
              <w:ind w:left="60"/>
              <w:spacing w:after="0" w:line="95" w:lineRule="exact"/>
              <w:rPr>
                <w:sz w:val="20"/>
                <w:szCs w:val="20"/>
                <w:color w:val="auto"/>
              </w:rPr>
            </w:pPr>
            <w:r>
              <w:rPr>
                <w:rFonts w:ascii="Arial" w:cs="Arial" w:eastAsia="Arial" w:hAnsi="Arial"/>
                <w:sz w:val="9"/>
                <w:szCs w:val="9"/>
                <w:b w:val="1"/>
                <w:bCs w:val="1"/>
                <w:color w:val="auto"/>
              </w:rPr>
              <w:t>June 30,</w:t>
            </w:r>
          </w:p>
        </w:tc>
        <w:tc>
          <w:tcPr>
            <w:tcW w:w="8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rPr>
              <w:t>March 31,</w:t>
            </w:r>
          </w:p>
        </w:tc>
        <w:tc>
          <w:tcPr>
            <w:tcW w:w="84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rPr>
              <w:t>December 31,</w:t>
            </w:r>
          </w:p>
        </w:tc>
        <w:tc>
          <w:tcPr>
            <w:tcW w:w="800" w:type="dxa"/>
            <w:vAlign w:val="bottom"/>
            <w:tcBorders>
              <w:top w:val="single" w:sz="8" w:color="auto"/>
            </w:tcBorders>
            <w:gridSpan w:val="3"/>
          </w:tcPr>
          <w:p>
            <w:pPr>
              <w:spacing w:after="0" w:line="95" w:lineRule="exact"/>
              <w:rPr>
                <w:sz w:val="20"/>
                <w:szCs w:val="20"/>
                <w:color w:val="auto"/>
              </w:rPr>
            </w:pPr>
            <w:r>
              <w:rPr>
                <w:rFonts w:ascii="Arial" w:cs="Arial" w:eastAsia="Arial" w:hAnsi="Arial"/>
                <w:sz w:val="9"/>
                <w:szCs w:val="9"/>
                <w:b w:val="1"/>
                <w:bCs w:val="1"/>
                <w:color w:val="auto"/>
              </w:rPr>
              <w:t>September 30,</w:t>
            </w:r>
          </w:p>
        </w:tc>
        <w:tc>
          <w:tcPr>
            <w:tcW w:w="60" w:type="dxa"/>
            <w:vAlign w:val="bottom"/>
            <w:tcBorders>
              <w:top w:val="single" w:sz="8" w:color="auto"/>
            </w:tcBorders>
          </w:tcPr>
          <w:p>
            <w:pPr>
              <w:spacing w:after="0"/>
              <w:rPr>
                <w:sz w:val="8"/>
                <w:szCs w:val="8"/>
                <w:color w:val="auto"/>
              </w:rPr>
            </w:pPr>
          </w:p>
        </w:tc>
        <w:tc>
          <w:tcPr>
            <w:tcW w:w="680" w:type="dxa"/>
            <w:vAlign w:val="bottom"/>
            <w:tcBorders>
              <w:top w:val="single" w:sz="8" w:color="auto"/>
            </w:tcBorders>
            <w:gridSpan w:val="2"/>
          </w:tcPr>
          <w:p>
            <w:pPr>
              <w:jc w:val="center"/>
              <w:ind w:right="140"/>
              <w:spacing w:after="0" w:line="95" w:lineRule="exact"/>
              <w:rPr>
                <w:sz w:val="20"/>
                <w:szCs w:val="20"/>
                <w:color w:val="auto"/>
              </w:rPr>
            </w:pPr>
            <w:r>
              <w:rPr>
                <w:rFonts w:ascii="Arial" w:cs="Arial" w:eastAsia="Arial" w:hAnsi="Arial"/>
                <w:sz w:val="9"/>
                <w:szCs w:val="9"/>
                <w:b w:val="1"/>
                <w:bCs w:val="1"/>
                <w:color w:val="auto"/>
              </w:rPr>
              <w:t>June 30,</w:t>
            </w:r>
          </w:p>
        </w:tc>
        <w:tc>
          <w:tcPr>
            <w:tcW w:w="700" w:type="dxa"/>
            <w:vAlign w:val="bottom"/>
            <w:tcBorders>
              <w:top w:val="single" w:sz="8" w:color="auto"/>
            </w:tcBorders>
            <w:gridSpan w:val="2"/>
          </w:tcPr>
          <w:p>
            <w:pPr>
              <w:ind w:left="20"/>
              <w:spacing w:after="0" w:line="95" w:lineRule="exact"/>
              <w:rPr>
                <w:sz w:val="20"/>
                <w:szCs w:val="20"/>
                <w:color w:val="auto"/>
              </w:rPr>
            </w:pPr>
            <w:r>
              <w:rPr>
                <w:rFonts w:ascii="Arial" w:cs="Arial" w:eastAsia="Arial" w:hAnsi="Arial"/>
                <w:sz w:val="9"/>
                <w:szCs w:val="9"/>
                <w:b w:val="1"/>
                <w:bCs w:val="1"/>
                <w:color w:val="auto"/>
              </w:rPr>
              <w:t>March 31,</w:t>
            </w:r>
          </w:p>
        </w:tc>
        <w:tc>
          <w:tcPr>
            <w:tcW w:w="84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rPr>
              <w:t>December 31,</w:t>
            </w:r>
          </w:p>
        </w:tc>
        <w:tc>
          <w:tcPr>
            <w:tcW w:w="720" w:type="dxa"/>
            <w:vAlign w:val="bottom"/>
            <w:tcBorders>
              <w:top w:val="single" w:sz="8" w:color="auto"/>
            </w:tcBorders>
            <w:gridSpan w:val="2"/>
          </w:tcPr>
          <w:p>
            <w:pPr>
              <w:spacing w:after="0" w:line="95" w:lineRule="exact"/>
              <w:rPr>
                <w:sz w:val="20"/>
                <w:szCs w:val="20"/>
                <w:color w:val="auto"/>
              </w:rPr>
            </w:pPr>
            <w:r>
              <w:rPr>
                <w:rFonts w:ascii="Arial" w:cs="Arial" w:eastAsia="Arial" w:hAnsi="Arial"/>
                <w:sz w:val="9"/>
                <w:szCs w:val="9"/>
                <w:b w:val="1"/>
                <w:bCs w:val="1"/>
                <w:color w:val="auto"/>
              </w:rPr>
              <w:t>September 30,</w:t>
            </w:r>
          </w:p>
        </w:tc>
        <w:tc>
          <w:tcPr>
            <w:tcW w:w="24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Borders>
              <w:top w:val="single" w:sz="8" w:color="auto"/>
            </w:tcBorders>
            <w:gridSpan w:val="2"/>
          </w:tcPr>
          <w:p>
            <w:pPr>
              <w:ind w:left="20"/>
              <w:spacing w:after="0" w:line="95" w:lineRule="exact"/>
              <w:rPr>
                <w:sz w:val="20"/>
                <w:szCs w:val="20"/>
                <w:color w:val="auto"/>
              </w:rPr>
            </w:pPr>
            <w:r>
              <w:rPr>
                <w:rFonts w:ascii="Arial" w:cs="Arial" w:eastAsia="Arial" w:hAnsi="Arial"/>
                <w:sz w:val="9"/>
                <w:szCs w:val="9"/>
                <w:b w:val="1"/>
                <w:bCs w:val="1"/>
                <w:color w:val="auto"/>
              </w:rPr>
              <w:t>June 30,</w:t>
            </w: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5" w:lineRule="exact"/>
              <w:rPr>
                <w:sz w:val="20"/>
                <w:szCs w:val="20"/>
                <w:color w:val="auto"/>
              </w:rPr>
            </w:pPr>
            <w:r>
              <w:rPr>
                <w:rFonts w:ascii="Arial" w:cs="Arial" w:eastAsia="Arial" w:hAnsi="Arial"/>
                <w:sz w:val="9"/>
                <w:szCs w:val="9"/>
                <w:b w:val="1"/>
                <w:bCs w:val="1"/>
                <w:color w:val="auto"/>
              </w:rPr>
              <w:t>March 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5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3"/>
              </w:rPr>
              <w:t>thousands)</w:t>
            </w:r>
          </w:p>
        </w:tc>
        <w:tc>
          <w:tcPr>
            <w:tcW w:w="2140" w:type="dxa"/>
            <w:vAlign w:val="bottom"/>
          </w:tcPr>
          <w:p>
            <w:pPr>
              <w:spacing w:after="0"/>
              <w:rPr>
                <w:sz w:val="13"/>
                <w:szCs w:val="13"/>
                <w:color w:val="auto"/>
              </w:rPr>
            </w:pPr>
          </w:p>
        </w:tc>
        <w:tc>
          <w:tcPr>
            <w:tcW w:w="560" w:type="dxa"/>
            <w:vAlign w:val="bottom"/>
          </w:tcPr>
          <w:p>
            <w:pPr>
              <w:jc w:val="right"/>
              <w:ind w:right="103"/>
              <w:spacing w:after="0"/>
              <w:rPr>
                <w:sz w:val="20"/>
                <w:szCs w:val="20"/>
                <w:color w:val="auto"/>
              </w:rPr>
            </w:pPr>
            <w:r>
              <w:rPr>
                <w:rFonts w:ascii="Arial" w:cs="Arial" w:eastAsia="Arial" w:hAnsi="Arial"/>
                <w:sz w:val="12"/>
                <w:szCs w:val="12"/>
                <w:b w:val="1"/>
                <w:bCs w:val="1"/>
                <w:color w:val="auto"/>
              </w:rPr>
              <w:t>2021</w:t>
            </w:r>
          </w:p>
        </w:tc>
        <w:tc>
          <w:tcPr>
            <w:tcW w:w="60" w:type="dxa"/>
            <w:vAlign w:val="bottom"/>
          </w:tcPr>
          <w:p>
            <w:pPr>
              <w:spacing w:after="0"/>
              <w:rPr>
                <w:sz w:val="13"/>
                <w:szCs w:val="13"/>
                <w:color w:val="auto"/>
              </w:rPr>
            </w:pPr>
          </w:p>
        </w:tc>
        <w:tc>
          <w:tcPr>
            <w:tcW w:w="620" w:type="dxa"/>
            <w:vAlign w:val="bottom"/>
            <w:gridSpan w:val="2"/>
          </w:tcPr>
          <w:p>
            <w:pPr>
              <w:jc w:val="right"/>
              <w:ind w:right="107"/>
              <w:spacing w:after="0"/>
              <w:rPr>
                <w:sz w:val="20"/>
                <w:szCs w:val="20"/>
                <w:color w:val="auto"/>
              </w:rPr>
            </w:pPr>
            <w:r>
              <w:rPr>
                <w:rFonts w:ascii="Arial" w:cs="Arial" w:eastAsia="Arial" w:hAnsi="Arial"/>
                <w:sz w:val="12"/>
                <w:szCs w:val="12"/>
                <w:b w:val="1"/>
                <w:bCs w:val="1"/>
                <w:color w:val="auto"/>
              </w:rPr>
              <w:t>2021</w:t>
            </w:r>
          </w:p>
        </w:tc>
        <w:tc>
          <w:tcPr>
            <w:tcW w:w="140" w:type="dxa"/>
            <w:vAlign w:val="bottom"/>
          </w:tcPr>
          <w:p>
            <w:pPr>
              <w:spacing w:after="0"/>
              <w:rPr>
                <w:sz w:val="13"/>
                <w:szCs w:val="13"/>
                <w:color w:val="auto"/>
              </w:rPr>
            </w:pPr>
          </w:p>
        </w:tc>
        <w:tc>
          <w:tcPr>
            <w:tcW w:w="700" w:type="dxa"/>
            <w:vAlign w:val="bottom"/>
          </w:tcPr>
          <w:p>
            <w:pPr>
              <w:jc w:val="right"/>
              <w:ind w:right="183"/>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81"/>
              <w:spacing w:after="0"/>
              <w:rPr>
                <w:sz w:val="20"/>
                <w:szCs w:val="20"/>
                <w:color w:val="auto"/>
              </w:rPr>
            </w:pPr>
            <w:r>
              <w:rPr>
                <w:rFonts w:ascii="Arial" w:cs="Arial" w:eastAsia="Arial" w:hAnsi="Arial"/>
                <w:sz w:val="12"/>
                <w:szCs w:val="12"/>
                <w:b w:val="1"/>
                <w:bCs w:val="1"/>
                <w:color w:val="auto"/>
              </w:rPr>
              <w:t>2020</w:t>
            </w:r>
          </w:p>
        </w:tc>
        <w:tc>
          <w:tcPr>
            <w:tcW w:w="80" w:type="dxa"/>
            <w:vAlign w:val="bottom"/>
          </w:tcPr>
          <w:p>
            <w:pPr>
              <w:spacing w:after="0"/>
              <w:rPr>
                <w:sz w:val="13"/>
                <w:szCs w:val="13"/>
                <w:color w:val="auto"/>
              </w:rPr>
            </w:pPr>
          </w:p>
        </w:tc>
        <w:tc>
          <w:tcPr>
            <w:tcW w:w="600" w:type="dxa"/>
            <w:vAlign w:val="bottom"/>
            <w:gridSpan w:val="2"/>
          </w:tcPr>
          <w:p>
            <w:pPr>
              <w:jc w:val="center"/>
              <w:ind w:left="21"/>
              <w:spacing w:after="0"/>
              <w:rPr>
                <w:sz w:val="20"/>
                <w:szCs w:val="20"/>
                <w:color w:val="auto"/>
              </w:rPr>
            </w:pPr>
            <w:r>
              <w:rPr>
                <w:rFonts w:ascii="Arial" w:cs="Arial" w:eastAsia="Arial" w:hAnsi="Arial"/>
                <w:sz w:val="12"/>
                <w:szCs w:val="12"/>
                <w:b w:val="1"/>
                <w:bCs w:val="1"/>
                <w:color w:val="auto"/>
                <w:w w:val="89"/>
              </w:rPr>
              <w:t>2020</w:t>
            </w:r>
          </w:p>
        </w:tc>
        <w:tc>
          <w:tcPr>
            <w:tcW w:w="140" w:type="dxa"/>
            <w:vAlign w:val="bottom"/>
          </w:tcPr>
          <w:p>
            <w:pPr>
              <w:spacing w:after="0"/>
              <w:rPr>
                <w:sz w:val="13"/>
                <w:szCs w:val="13"/>
                <w:color w:val="auto"/>
              </w:rPr>
            </w:pPr>
          </w:p>
        </w:tc>
        <w:tc>
          <w:tcPr>
            <w:tcW w:w="560" w:type="dxa"/>
            <w:vAlign w:val="bottom"/>
          </w:tcPr>
          <w:p>
            <w:pPr>
              <w:jc w:val="right"/>
              <w:ind w:right="103"/>
              <w:spacing w:after="0"/>
              <w:rPr>
                <w:sz w:val="20"/>
                <w:szCs w:val="20"/>
                <w:color w:val="auto"/>
              </w:rPr>
            </w:pPr>
            <w:r>
              <w:rPr>
                <w:rFonts w:ascii="Arial" w:cs="Arial" w:eastAsia="Arial" w:hAnsi="Arial"/>
                <w:sz w:val="12"/>
                <w:szCs w:val="12"/>
                <w:b w:val="1"/>
                <w:bCs w:val="1"/>
                <w:color w:val="auto"/>
              </w:rPr>
              <w:t>2020</w:t>
            </w:r>
          </w:p>
        </w:tc>
        <w:tc>
          <w:tcPr>
            <w:tcW w:w="140" w:type="dxa"/>
            <w:vAlign w:val="bottom"/>
          </w:tcPr>
          <w:p>
            <w:pPr>
              <w:spacing w:after="0"/>
              <w:rPr>
                <w:sz w:val="13"/>
                <w:szCs w:val="13"/>
                <w:color w:val="auto"/>
              </w:rPr>
            </w:pPr>
          </w:p>
        </w:tc>
        <w:tc>
          <w:tcPr>
            <w:tcW w:w="700" w:type="dxa"/>
            <w:vAlign w:val="bottom"/>
          </w:tcPr>
          <w:p>
            <w:pPr>
              <w:jc w:val="right"/>
              <w:ind w:right="183"/>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ind w:right="181"/>
              <w:spacing w:after="0"/>
              <w:rPr>
                <w:sz w:val="20"/>
                <w:szCs w:val="20"/>
                <w:color w:val="auto"/>
              </w:rPr>
            </w:pPr>
            <w:r>
              <w:rPr>
                <w:rFonts w:ascii="Arial" w:cs="Arial" w:eastAsia="Arial" w:hAnsi="Arial"/>
                <w:sz w:val="12"/>
                <w:szCs w:val="12"/>
                <w:b w:val="1"/>
                <w:bCs w:val="1"/>
                <w:color w:val="auto"/>
              </w:rPr>
              <w:t>2019</w:t>
            </w:r>
          </w:p>
        </w:tc>
        <w:tc>
          <w:tcPr>
            <w:tcW w:w="240" w:type="dxa"/>
            <w:vAlign w:val="bottom"/>
            <w:tcBorders>
              <w:right w:val="single" w:sz="8" w:color="auto"/>
            </w:tcBorders>
          </w:tcPr>
          <w:p>
            <w:pPr>
              <w:spacing w:after="0"/>
              <w:rPr>
                <w:sz w:val="13"/>
                <w:szCs w:val="13"/>
                <w:color w:val="auto"/>
              </w:rPr>
            </w:pPr>
          </w:p>
        </w:tc>
        <w:tc>
          <w:tcPr>
            <w:tcW w:w="720" w:type="dxa"/>
            <w:vAlign w:val="bottom"/>
            <w:gridSpan w:val="2"/>
          </w:tcPr>
          <w:p>
            <w:pPr>
              <w:jc w:val="right"/>
              <w:ind w:right="64"/>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3"/>
                <w:szCs w:val="13"/>
                <w:color w:val="auto"/>
              </w:rPr>
            </w:pPr>
          </w:p>
        </w:tc>
        <w:tc>
          <w:tcPr>
            <w:tcW w:w="600" w:type="dxa"/>
            <w:vAlign w:val="bottom"/>
            <w:gridSpan w:val="2"/>
          </w:tcPr>
          <w:p>
            <w:pPr>
              <w:jc w:val="right"/>
              <w:ind w:right="87"/>
              <w:spacing w:after="0"/>
              <w:rPr>
                <w:sz w:val="20"/>
                <w:szCs w:val="20"/>
                <w:color w:val="auto"/>
              </w:rPr>
            </w:pPr>
            <w:r>
              <w:rPr>
                <w:rFonts w:ascii="Arial" w:cs="Arial" w:eastAsia="Arial" w:hAnsi="Arial"/>
                <w:sz w:val="12"/>
                <w:szCs w:val="12"/>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700" w:type="dxa"/>
            <w:vAlign w:val="bottom"/>
            <w:tcBorders>
              <w:top w:val="single" w:sz="8" w:color="CCEEFF"/>
            </w:tcBorders>
            <w:gridSpan w:val="2"/>
            <w:shd w:val="clear" w:color="auto" w:fill="CCEEFF"/>
          </w:tcPr>
          <w:p>
            <w:pPr>
              <w:spacing w:after="0" w:line="113" w:lineRule="exact"/>
              <w:rPr>
                <w:sz w:val="20"/>
                <w:szCs w:val="20"/>
                <w:color w:val="auto"/>
              </w:rPr>
            </w:pPr>
            <w:r>
              <w:rPr>
                <w:rFonts w:ascii="Arial" w:cs="Arial" w:eastAsia="Arial" w:hAnsi="Arial"/>
                <w:sz w:val="12"/>
                <w:szCs w:val="12"/>
                <w:color w:val="auto"/>
              </w:rPr>
              <w:t>Total assets</w:t>
            </w: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5"/>
              </w:rPr>
              <w:t>$ 1,729,513</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1"/>
              </w:rPr>
              <w:t>$ 1,737,840</w:t>
            </w: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96"/>
              </w:rPr>
              <w:t>$   1,745,359</w:t>
            </w: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rPr>
              <w:t>1,702,689</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center"/>
              <w:spacing w:after="0" w:line="113" w:lineRule="exact"/>
              <w:rPr>
                <w:sz w:val="20"/>
                <w:szCs w:val="20"/>
                <w:color w:val="auto"/>
              </w:rPr>
            </w:pPr>
            <w:r>
              <w:rPr>
                <w:rFonts w:ascii="Arial" w:cs="Arial" w:eastAsia="Arial" w:hAnsi="Arial"/>
                <w:sz w:val="12"/>
                <w:szCs w:val="12"/>
                <w:color w:val="auto"/>
                <w:w w:val="85"/>
              </w:rPr>
              <w:t>$ 1,724,606</w:t>
            </w:r>
          </w:p>
        </w:tc>
        <w:tc>
          <w:tcPr>
            <w:tcW w:w="1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5"/>
              </w:rPr>
              <w:t>$ 1,735,228</w:t>
            </w:r>
          </w:p>
        </w:tc>
        <w:tc>
          <w:tcPr>
            <w:tcW w:w="1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96"/>
              </w:rPr>
              <w:t>$   1,721,154</w:t>
            </w:r>
          </w:p>
        </w:tc>
        <w:tc>
          <w:tcPr>
            <w:tcW w:w="1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line="113" w:lineRule="exact"/>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rPr>
              <w:t>1,727,382</w:t>
            </w:r>
          </w:p>
        </w:tc>
        <w:tc>
          <w:tcPr>
            <w:tcW w:w="240" w:type="dxa"/>
            <w:vAlign w:val="bottom"/>
            <w:tcBorders>
              <w:top w:val="single" w:sz="8" w:color="CCEEFF"/>
              <w:right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2"/>
              </w:rPr>
              <w:t>$ 139,976</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2"/>
                <w:szCs w:val="12"/>
                <w:color w:val="auto"/>
                <w:w w:val="88"/>
              </w:rPr>
              <w:t>$  139,984</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700" w:type="dxa"/>
            <w:vAlign w:val="bottom"/>
            <w:gridSpan w:val="2"/>
          </w:tcPr>
          <w:p>
            <w:pPr>
              <w:spacing w:after="0" w:line="128" w:lineRule="exact"/>
              <w:rPr>
                <w:sz w:val="20"/>
                <w:szCs w:val="20"/>
                <w:color w:val="auto"/>
              </w:rPr>
            </w:pPr>
            <w:r>
              <w:rPr>
                <w:rFonts w:ascii="Arial" w:cs="Arial" w:eastAsia="Arial" w:hAnsi="Arial"/>
                <w:sz w:val="12"/>
                <w:szCs w:val="12"/>
                <w:color w:val="auto"/>
              </w:rPr>
              <w:t>Long-term debt (including current portion)</w:t>
            </w:r>
          </w:p>
        </w:tc>
        <w:tc>
          <w:tcPr>
            <w:tcW w:w="6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460,518</w:t>
            </w:r>
          </w:p>
        </w:tc>
        <w:tc>
          <w:tcPr>
            <w:tcW w:w="76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461,197</w:t>
            </w: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461,877</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469,786</w:t>
            </w:r>
          </w:p>
        </w:tc>
        <w:tc>
          <w:tcPr>
            <w:tcW w:w="74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467,413</w:t>
            </w:r>
          </w:p>
        </w:tc>
        <w:tc>
          <w:tcPr>
            <w:tcW w:w="70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465,946</w:t>
            </w: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439,349</w:t>
            </w:r>
          </w:p>
        </w:tc>
        <w:tc>
          <w:tcPr>
            <w:tcW w:w="14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240"/>
              <w:spacing w:after="0" w:line="128" w:lineRule="exact"/>
              <w:rPr>
                <w:sz w:val="20"/>
                <w:szCs w:val="20"/>
                <w:color w:val="auto"/>
              </w:rPr>
            </w:pPr>
            <w:r>
              <w:rPr>
                <w:rFonts w:ascii="Arial" w:cs="Arial" w:eastAsia="Arial" w:hAnsi="Arial"/>
                <w:sz w:val="12"/>
                <w:szCs w:val="12"/>
                <w:color w:val="auto"/>
              </w:rPr>
              <w:t>437,073</w:t>
            </w:r>
          </w:p>
        </w:tc>
        <w:tc>
          <w:tcPr>
            <w:tcW w:w="260" w:type="dxa"/>
            <w:vAlign w:val="bottom"/>
          </w:tcPr>
          <w:p>
            <w:pPr>
              <w:spacing w:after="0"/>
              <w:rPr>
                <w:sz w:val="11"/>
                <w:szCs w:val="11"/>
                <w:color w:val="auto"/>
              </w:rPr>
            </w:pPr>
          </w:p>
        </w:tc>
        <w:tc>
          <w:tcPr>
            <w:tcW w:w="520" w:type="dxa"/>
            <w:vAlign w:val="bottom"/>
            <w:gridSpan w:val="2"/>
          </w:tcPr>
          <w:p>
            <w:pPr>
              <w:ind w:left="280"/>
              <w:spacing w:after="0" w:line="128" w:lineRule="exact"/>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40"/>
              <w:spacing w:after="0" w:line="128" w:lineRule="exact"/>
              <w:rPr>
                <w:sz w:val="20"/>
                <w:szCs w:val="20"/>
                <w:color w:val="auto"/>
              </w:rPr>
            </w:pPr>
            <w:r>
              <w:rPr>
                <w:rFonts w:ascii="Arial" w:cs="Arial" w:eastAsia="Arial" w:hAnsi="Arial"/>
                <w:sz w:val="12"/>
                <w:szCs w:val="12"/>
                <w:color w:val="auto"/>
              </w:rPr>
              <w:t>13,000</w:t>
            </w:r>
          </w:p>
        </w:tc>
        <w:tc>
          <w:tcPr>
            <w:tcW w:w="0" w:type="dxa"/>
            <w:vAlign w:val="bottom"/>
          </w:tcPr>
          <w:p>
            <w:pPr>
              <w:spacing w:after="0"/>
              <w:rPr>
                <w:sz w:val="1"/>
                <w:szCs w:val="1"/>
                <w:color w:val="auto"/>
              </w:rPr>
            </w:pPr>
          </w:p>
        </w:tc>
      </w:tr>
      <w:tr>
        <w:trPr>
          <w:trHeight w:val="127"/>
        </w:trPr>
        <w:tc>
          <w:tcPr>
            <w:tcW w:w="2700" w:type="dxa"/>
            <w:vAlign w:val="bottom"/>
            <w:gridSpan w:val="2"/>
            <w:shd w:val="clear" w:color="auto" w:fill="CCEEFF"/>
          </w:tcPr>
          <w:p>
            <w:pPr>
              <w:spacing w:after="0" w:line="128" w:lineRule="exact"/>
              <w:rPr>
                <w:sz w:val="20"/>
                <w:szCs w:val="20"/>
                <w:color w:val="auto"/>
              </w:rPr>
            </w:pPr>
            <w:r>
              <w:rPr>
                <w:rFonts w:ascii="Arial" w:cs="Arial" w:eastAsia="Arial" w:hAnsi="Arial"/>
                <w:sz w:val="12"/>
                <w:szCs w:val="12"/>
                <w:color w:val="auto"/>
              </w:rPr>
              <w:t>Unearned revenue (including current portion)</w:t>
            </w:r>
          </w:p>
        </w:tc>
        <w:tc>
          <w:tcPr>
            <w:tcW w:w="620" w:type="dxa"/>
            <w:vAlign w:val="bottom"/>
            <w:gridSpan w:val="2"/>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69,121</w:t>
            </w:r>
          </w:p>
        </w:tc>
        <w:tc>
          <w:tcPr>
            <w:tcW w:w="760" w:type="dxa"/>
            <w:vAlign w:val="bottom"/>
            <w:gridSpan w:val="3"/>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71,591</w:t>
            </w:r>
          </w:p>
        </w:tc>
        <w:tc>
          <w:tcPr>
            <w:tcW w:w="84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61,200</w:t>
            </w:r>
          </w:p>
        </w:tc>
        <w:tc>
          <w:tcPr>
            <w:tcW w:w="1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8" w:lineRule="exact"/>
              <w:rPr>
                <w:sz w:val="20"/>
                <w:szCs w:val="20"/>
                <w:color w:val="auto"/>
              </w:rPr>
            </w:pPr>
            <w:r>
              <w:rPr>
                <w:rFonts w:ascii="Arial" w:cs="Arial" w:eastAsia="Arial" w:hAnsi="Arial"/>
                <w:sz w:val="12"/>
                <w:szCs w:val="12"/>
                <w:color w:val="auto"/>
              </w:rPr>
              <w:t>47,517</w:t>
            </w:r>
          </w:p>
        </w:tc>
        <w:tc>
          <w:tcPr>
            <w:tcW w:w="740" w:type="dxa"/>
            <w:vAlign w:val="bottom"/>
            <w:gridSpan w:val="3"/>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49,963</w:t>
            </w:r>
          </w:p>
        </w:tc>
        <w:tc>
          <w:tcPr>
            <w:tcW w:w="70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51,047</w:t>
            </w:r>
          </w:p>
        </w:tc>
        <w:tc>
          <w:tcPr>
            <w:tcW w:w="84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2"/>
                <w:szCs w:val="12"/>
                <w:color w:val="auto"/>
              </w:rPr>
              <w:t>46,125</w:t>
            </w:r>
          </w:p>
        </w:tc>
        <w:tc>
          <w:tcPr>
            <w:tcW w:w="140" w:type="dxa"/>
            <w:vAlign w:val="bottom"/>
            <w:shd w:val="clear" w:color="auto" w:fill="CCEEFF"/>
          </w:tcPr>
          <w:p>
            <w:pPr>
              <w:spacing w:after="0"/>
              <w:rPr>
                <w:sz w:val="11"/>
                <w:szCs w:val="11"/>
                <w:color w:val="auto"/>
              </w:rPr>
            </w:pPr>
          </w:p>
        </w:tc>
        <w:tc>
          <w:tcPr>
            <w:tcW w:w="820" w:type="dxa"/>
            <w:vAlign w:val="bottom"/>
            <w:tcBorders>
              <w:right w:val="single" w:sz="8" w:color="auto"/>
            </w:tcBorders>
            <w:gridSpan w:val="2"/>
            <w:shd w:val="clear" w:color="auto" w:fill="CCEEFF"/>
          </w:tcPr>
          <w:p>
            <w:pPr>
              <w:jc w:val="right"/>
              <w:ind w:right="240"/>
              <w:spacing w:after="0" w:line="128" w:lineRule="exact"/>
              <w:rPr>
                <w:sz w:val="20"/>
                <w:szCs w:val="20"/>
                <w:color w:val="auto"/>
              </w:rPr>
            </w:pPr>
            <w:r>
              <w:rPr>
                <w:rFonts w:ascii="Arial" w:cs="Arial" w:eastAsia="Arial" w:hAnsi="Arial"/>
                <w:sz w:val="12"/>
                <w:szCs w:val="12"/>
                <w:color w:val="auto"/>
              </w:rPr>
              <w:t>36,182</w:t>
            </w:r>
          </w:p>
        </w:tc>
        <w:tc>
          <w:tcPr>
            <w:tcW w:w="780" w:type="dxa"/>
            <w:vAlign w:val="bottom"/>
            <w:gridSpan w:val="3"/>
            <w:shd w:val="clear" w:color="auto" w:fill="CCEEFF"/>
          </w:tcPr>
          <w:p>
            <w:pPr>
              <w:jc w:val="right"/>
              <w:ind w:right="60"/>
              <w:spacing w:after="0" w:line="128" w:lineRule="exact"/>
              <w:rPr>
                <w:sz w:val="20"/>
                <w:szCs w:val="20"/>
                <w:color w:val="auto"/>
              </w:rPr>
            </w:pPr>
            <w:r>
              <w:rPr>
                <w:rFonts w:ascii="Arial" w:cs="Arial" w:eastAsia="Arial" w:hAnsi="Arial"/>
                <w:sz w:val="12"/>
                <w:szCs w:val="12"/>
                <w:color w:val="auto"/>
              </w:rPr>
              <w:t>39,707</w:t>
            </w:r>
          </w:p>
        </w:tc>
        <w:tc>
          <w:tcPr>
            <w:tcW w:w="640" w:type="dxa"/>
            <w:vAlign w:val="bottom"/>
            <w:gridSpan w:val="3"/>
            <w:shd w:val="clear" w:color="auto" w:fill="CCEEFF"/>
          </w:tcPr>
          <w:p>
            <w:pPr>
              <w:jc w:val="right"/>
              <w:ind w:right="40"/>
              <w:spacing w:after="0" w:line="128" w:lineRule="exact"/>
              <w:rPr>
                <w:sz w:val="20"/>
                <w:szCs w:val="20"/>
                <w:color w:val="auto"/>
              </w:rPr>
            </w:pPr>
            <w:r>
              <w:rPr>
                <w:rFonts w:ascii="Arial" w:cs="Arial" w:eastAsia="Arial" w:hAnsi="Arial"/>
                <w:sz w:val="12"/>
                <w:szCs w:val="12"/>
                <w:color w:val="auto"/>
              </w:rPr>
              <w:t>36,809</w:t>
            </w:r>
          </w:p>
        </w:tc>
        <w:tc>
          <w:tcPr>
            <w:tcW w:w="0" w:type="dxa"/>
            <w:vAlign w:val="bottom"/>
          </w:tcPr>
          <w:p>
            <w:pPr>
              <w:spacing w:after="0"/>
              <w:rPr>
                <w:sz w:val="1"/>
                <w:szCs w:val="1"/>
                <w:color w:val="auto"/>
              </w:rPr>
            </w:pPr>
          </w:p>
        </w:tc>
      </w:tr>
      <w:tr>
        <w:trPr>
          <w:trHeight w:val="127"/>
        </w:trPr>
        <w:tc>
          <w:tcPr>
            <w:tcW w:w="2700" w:type="dxa"/>
            <w:vAlign w:val="bottom"/>
            <w:gridSpan w:val="2"/>
          </w:tcPr>
          <w:p>
            <w:pPr>
              <w:spacing w:after="0" w:line="128" w:lineRule="exact"/>
              <w:rPr>
                <w:sz w:val="20"/>
                <w:szCs w:val="20"/>
                <w:color w:val="auto"/>
              </w:rPr>
            </w:pPr>
            <w:r>
              <w:rPr>
                <w:rFonts w:ascii="Arial" w:cs="Arial" w:eastAsia="Arial" w:hAnsi="Arial"/>
                <w:sz w:val="12"/>
                <w:szCs w:val="12"/>
                <w:color w:val="auto"/>
              </w:rPr>
              <w:t>Total liabilities</w:t>
            </w:r>
          </w:p>
        </w:tc>
        <w:tc>
          <w:tcPr>
            <w:tcW w:w="620" w:type="dxa"/>
            <w:vAlign w:val="bottom"/>
            <w:gridSpan w:val="2"/>
          </w:tcPr>
          <w:p>
            <w:pPr>
              <w:jc w:val="right"/>
              <w:ind w:right="60"/>
              <w:spacing w:after="0" w:line="128" w:lineRule="exact"/>
              <w:rPr>
                <w:sz w:val="20"/>
                <w:szCs w:val="20"/>
                <w:color w:val="auto"/>
              </w:rPr>
            </w:pPr>
            <w:r>
              <w:rPr>
                <w:rFonts w:ascii="Arial" w:cs="Arial" w:eastAsia="Arial" w:hAnsi="Arial"/>
                <w:sz w:val="12"/>
                <w:szCs w:val="12"/>
                <w:color w:val="auto"/>
              </w:rPr>
              <w:t>555,140</w:t>
            </w:r>
          </w:p>
        </w:tc>
        <w:tc>
          <w:tcPr>
            <w:tcW w:w="76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552,196</w:t>
            </w: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549,796</w:t>
            </w:r>
          </w:p>
        </w:tc>
        <w:tc>
          <w:tcPr>
            <w:tcW w:w="140" w:type="dxa"/>
            <w:vAlign w:val="bottom"/>
          </w:tcPr>
          <w:p>
            <w:pPr>
              <w:spacing w:after="0"/>
              <w:rPr>
                <w:sz w:val="11"/>
                <w:szCs w:val="11"/>
                <w:color w:val="auto"/>
              </w:rPr>
            </w:pPr>
          </w:p>
        </w:tc>
        <w:tc>
          <w:tcPr>
            <w:tcW w:w="660" w:type="dxa"/>
            <w:vAlign w:val="bottom"/>
            <w:gridSpan w:val="2"/>
          </w:tcPr>
          <w:p>
            <w:pPr>
              <w:jc w:val="right"/>
              <w:ind w:right="80"/>
              <w:spacing w:after="0" w:line="128" w:lineRule="exact"/>
              <w:rPr>
                <w:sz w:val="20"/>
                <w:szCs w:val="20"/>
                <w:color w:val="auto"/>
              </w:rPr>
            </w:pPr>
            <w:r>
              <w:rPr>
                <w:rFonts w:ascii="Arial" w:cs="Arial" w:eastAsia="Arial" w:hAnsi="Arial"/>
                <w:sz w:val="12"/>
                <w:szCs w:val="12"/>
                <w:color w:val="auto"/>
              </w:rPr>
              <w:t>522,521</w:t>
            </w:r>
          </w:p>
        </w:tc>
        <w:tc>
          <w:tcPr>
            <w:tcW w:w="740" w:type="dxa"/>
            <w:vAlign w:val="bottom"/>
            <w:gridSpan w:val="3"/>
          </w:tcPr>
          <w:p>
            <w:pPr>
              <w:jc w:val="right"/>
              <w:ind w:right="140"/>
              <w:spacing w:after="0" w:line="128" w:lineRule="exact"/>
              <w:rPr>
                <w:sz w:val="20"/>
                <w:szCs w:val="20"/>
                <w:color w:val="auto"/>
              </w:rPr>
            </w:pPr>
            <w:r>
              <w:rPr>
                <w:rFonts w:ascii="Arial" w:cs="Arial" w:eastAsia="Arial" w:hAnsi="Arial"/>
                <w:sz w:val="12"/>
                <w:szCs w:val="12"/>
                <w:color w:val="auto"/>
              </w:rPr>
              <w:t>532,875</w:t>
            </w:r>
          </w:p>
        </w:tc>
        <w:tc>
          <w:tcPr>
            <w:tcW w:w="70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532,393</w:t>
            </w:r>
          </w:p>
        </w:tc>
        <w:tc>
          <w:tcPr>
            <w:tcW w:w="840" w:type="dxa"/>
            <w:vAlign w:val="bottom"/>
            <w:gridSpan w:val="2"/>
          </w:tcPr>
          <w:p>
            <w:pPr>
              <w:jc w:val="right"/>
              <w:ind w:right="140"/>
              <w:spacing w:after="0" w:line="128" w:lineRule="exact"/>
              <w:rPr>
                <w:sz w:val="20"/>
                <w:szCs w:val="20"/>
                <w:color w:val="auto"/>
              </w:rPr>
            </w:pPr>
            <w:r>
              <w:rPr>
                <w:rFonts w:ascii="Arial" w:cs="Arial" w:eastAsia="Arial" w:hAnsi="Arial"/>
                <w:sz w:val="12"/>
                <w:szCs w:val="12"/>
                <w:color w:val="auto"/>
              </w:rPr>
              <w:t>504,914</w:t>
            </w:r>
          </w:p>
        </w:tc>
        <w:tc>
          <w:tcPr>
            <w:tcW w:w="140" w:type="dxa"/>
            <w:vAlign w:val="bottom"/>
          </w:tcPr>
          <w:p>
            <w:pPr>
              <w:spacing w:after="0"/>
              <w:rPr>
                <w:sz w:val="11"/>
                <w:szCs w:val="11"/>
                <w:color w:val="auto"/>
              </w:rPr>
            </w:pPr>
          </w:p>
        </w:tc>
        <w:tc>
          <w:tcPr>
            <w:tcW w:w="820" w:type="dxa"/>
            <w:vAlign w:val="bottom"/>
            <w:tcBorders>
              <w:right w:val="single" w:sz="8" w:color="auto"/>
            </w:tcBorders>
            <w:gridSpan w:val="2"/>
          </w:tcPr>
          <w:p>
            <w:pPr>
              <w:jc w:val="right"/>
              <w:ind w:right="240"/>
              <w:spacing w:after="0" w:line="128" w:lineRule="exact"/>
              <w:rPr>
                <w:sz w:val="20"/>
                <w:szCs w:val="20"/>
                <w:color w:val="auto"/>
              </w:rPr>
            </w:pPr>
            <w:r>
              <w:rPr>
                <w:rFonts w:ascii="Arial" w:cs="Arial" w:eastAsia="Arial" w:hAnsi="Arial"/>
                <w:sz w:val="12"/>
                <w:szCs w:val="12"/>
                <w:color w:val="auto"/>
              </w:rPr>
              <w:t>490,579</w:t>
            </w:r>
          </w:p>
        </w:tc>
        <w:tc>
          <w:tcPr>
            <w:tcW w:w="780" w:type="dxa"/>
            <w:vAlign w:val="bottom"/>
            <w:gridSpan w:val="3"/>
          </w:tcPr>
          <w:p>
            <w:pPr>
              <w:jc w:val="right"/>
              <w:ind w:right="60"/>
              <w:spacing w:after="0" w:line="128" w:lineRule="exact"/>
              <w:rPr>
                <w:sz w:val="20"/>
                <w:szCs w:val="20"/>
                <w:color w:val="auto"/>
              </w:rPr>
            </w:pPr>
            <w:r>
              <w:rPr>
                <w:rFonts w:ascii="Arial" w:cs="Arial" w:eastAsia="Arial" w:hAnsi="Arial"/>
                <w:sz w:val="12"/>
                <w:szCs w:val="12"/>
                <w:color w:val="auto"/>
              </w:rPr>
              <w:t>44,291</w:t>
            </w:r>
          </w:p>
        </w:tc>
        <w:tc>
          <w:tcPr>
            <w:tcW w:w="640" w:type="dxa"/>
            <w:vAlign w:val="bottom"/>
            <w:gridSpan w:val="3"/>
          </w:tcPr>
          <w:p>
            <w:pPr>
              <w:jc w:val="right"/>
              <w:ind w:right="40"/>
              <w:spacing w:after="0" w:line="128" w:lineRule="exact"/>
              <w:rPr>
                <w:sz w:val="20"/>
                <w:szCs w:val="20"/>
                <w:color w:val="auto"/>
              </w:rPr>
            </w:pPr>
            <w:r>
              <w:rPr>
                <w:rFonts w:ascii="Arial" w:cs="Arial" w:eastAsia="Arial" w:hAnsi="Arial"/>
                <w:sz w:val="12"/>
                <w:szCs w:val="12"/>
                <w:color w:val="auto"/>
              </w:rPr>
              <w:t>53,696</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Liquidity and Capital Resources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Overview</w:t>
      </w:r>
    </w:p>
    <w:p>
      <w:pPr>
        <w:spacing w:after="0" w:line="110" w:lineRule="exact"/>
        <w:rPr>
          <w:sz w:val="20"/>
          <w:szCs w:val="20"/>
          <w:color w:val="auto"/>
        </w:rPr>
      </w:pPr>
    </w:p>
    <w:p>
      <w:pPr>
        <w:ind w:left="440" w:right="20" w:firstLine="415"/>
        <w:spacing w:after="0" w:line="302" w:lineRule="auto"/>
        <w:rPr>
          <w:sz w:val="20"/>
          <w:szCs w:val="20"/>
          <w:color w:val="auto"/>
        </w:rPr>
      </w:pPr>
      <w:r>
        <w:rPr>
          <w:rFonts w:ascii="Arial" w:cs="Arial" w:eastAsia="Arial" w:hAnsi="Arial"/>
          <w:sz w:val="15"/>
          <w:szCs w:val="15"/>
          <w:color w:val="auto"/>
        </w:rPr>
        <w:t>Our principal uses for liquidity have been working capital, capital expenditures to support the growth in our business, debt service, distributions to LLC members and acquisitions. Our capital expenditures were $1.4 million, $1.2 million and $0.7 million for the year ended December 31, 2020, for the period from July 16, 2019 to December 31, 2019 (Successor), and for the period from January 1, 2019 to July 15, 2019 (Predecessor), respectively. Our capital expenditures were $5.2 million and $0.9 million for the six months ended June 30, 2021 and 2020, respectively.</w:t>
      </w:r>
    </w:p>
    <w:p>
      <w:pPr>
        <w:spacing w:after="0" w:line="149"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We have historically funded our operations and growth primarily with cash flow from operations and borrowings under our Credit Agreement and equity contributions from LLC members. As of June 30, 2021 and December 31, 2020, we had unrestricted cash and cash equivalents of $38.4 million and $24.8 million, respectively. Our total indebtedness, net of unamortized discount, was $460.5 million and $461.9 million as of June 30, 2021 and December 31, 2020, respectively. See “—Debt Obligations” and Note 8 of our consolidated financial statements included elsewhere in this prospectus for additional information related to our debt obligations and debt repayments.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0820"/>
          </w:cols>
          <w:pgMar w:left="320" w:top="442" w:right="75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See Note 12 of our consolidated financial statements included elsewhere in this prospectus for additional information related to contributions and distributions from and to members of Definitive OpCo.</w:t>
      </w:r>
    </w:p>
    <w:p>
      <w:pPr>
        <w:spacing w:after="0" w:line="166" w:lineRule="exact"/>
        <w:rPr>
          <w:sz w:val="20"/>
          <w:szCs w:val="20"/>
          <w:color w:val="auto"/>
        </w:rPr>
      </w:pPr>
    </w:p>
    <w:p>
      <w:pPr>
        <w:ind w:left="440" w:right="20" w:firstLine="415"/>
        <w:spacing w:after="0" w:line="268" w:lineRule="auto"/>
        <w:rPr>
          <w:sz w:val="20"/>
          <w:szCs w:val="20"/>
          <w:color w:val="auto"/>
        </w:rPr>
      </w:pPr>
      <w:r>
        <w:rPr>
          <w:rFonts w:ascii="Arial" w:cs="Arial" w:eastAsia="Arial" w:hAnsi="Arial"/>
          <w:sz w:val="16"/>
          <w:szCs w:val="16"/>
          <w:color w:val="auto"/>
        </w:rPr>
        <w:t>Definitive Healthcare Corp. was formed for the purpose of this offering and has engaged to date only in activities in contemplation of this offering. Definitive Healthcare Corp. will be a holding company and its sole material asset will be its ownership interest in Definitive OpCo. For more information regarding our reorganization and holding company structure, see “Organizational Structure—The Reorganization Transactions.” Upon completion of this offering, all of our business will be conducted through Definitive OpCo and its consolidated subsidiaries and affiliates, and the financial results of Definitive OpCo and its consolidated subsidiaries will be included in the consolidated financial statements of Definitive Healthcare Corp. Definitive Healthcare Corp. has no independent means of generating revenue. The limited liability company agreement of Definitive OpCo provides that certain distributions to cover the taxes and Definitive Healthcare Corp.’s obligations under the Tax Receivable Agreement will be made.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See “Dividend Policy” and “Risk Factors—Risks Related to Our Organizational Structure— In certain circumstances, Definitive OpCo will be required to make distributions to us and the other holders of LLC Units, and the distributions that Definitive OpCo will be required to make may be substantial.”</w:t>
      </w:r>
    </w:p>
    <w:p>
      <w:pPr>
        <w:spacing w:after="0" w:line="171"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We believe that our cash flow from operations, availability under the Credit Agreement and available cash and cash equivalents will be sufficient to meet our liquidity needs for at least the next twelve months. We anticipate that to the extent that we require additional liquidity, it will be funded through the proceeds from this offering, the incurrence of additional indebtedness, the issuance of additional equity, or a combination thereof. We cannot assure you that we will be able to obtain this additional liquidity on reasonable terms, or at all. Additionally, our liquidity and our ability to meet our obligations and fund our capital requirements are also dependent on our future financial performance, which is subject to general economic, financial and other factors that are beyond our control. See “Risk Factors.” Accordingly, we cannot assure you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0800"/>
          </w:cols>
          <w:pgMar w:left="320" w:top="442" w:right="77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gridSpan w:val="4"/>
            <w:vMerge w:val="restart"/>
          </w:tcPr>
          <w:p>
            <w:pPr>
              <w:jc w:val="center"/>
              <w:ind w:right="920"/>
              <w:spacing w:after="0"/>
              <w:rPr>
                <w:sz w:val="20"/>
                <w:szCs w:val="20"/>
                <w:color w:val="auto"/>
              </w:rPr>
            </w:pPr>
            <w:r>
              <w:rPr>
                <w:rFonts w:ascii="Arial" w:cs="Arial" w:eastAsia="Arial" w:hAnsi="Arial"/>
                <w:sz w:val="14"/>
                <w:szCs w:val="14"/>
                <w:b w:val="1"/>
                <w:bCs w:val="1"/>
                <w:color w:val="auto"/>
                <w:w w:val="89"/>
              </w:rPr>
              <w:t>Definitive OpCo</w:t>
            </w: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Definitive OpCo</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40" w:type="dxa"/>
            <w:vAlign w:val="bottom"/>
            <w:gridSpan w:val="5"/>
          </w:tcPr>
          <w:p>
            <w:pPr>
              <w:jc w:val="center"/>
              <w:ind w:right="820"/>
              <w:spacing w:after="0" w:line="140" w:lineRule="exact"/>
              <w:rPr>
                <w:sz w:val="20"/>
                <w:szCs w:val="20"/>
                <w:color w:val="auto"/>
              </w:rPr>
            </w:pPr>
            <w:r>
              <w:rPr>
                <w:rFonts w:ascii="Arial" w:cs="Arial" w:eastAsia="Arial" w:hAnsi="Arial"/>
                <w:sz w:val="14"/>
                <w:szCs w:val="14"/>
                <w:b w:val="1"/>
                <w:bCs w:val="1"/>
                <w:color w:val="auto"/>
                <w:w w:val="96"/>
              </w:rPr>
              <w:t>(AIDH TopCo, LLC)</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94"/>
              </w:rPr>
              <w:t>(AIDH TopCo, LLC)</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4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83"/>
              </w:rPr>
              <w:t>Successor Company</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Predecessor 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80" w:type="dxa"/>
            <w:vAlign w:val="bottom"/>
            <w:tcBorders>
              <w:top w:val="single" w:sz="8" w:color="auto"/>
            </w:tcBorders>
            <w:gridSpan w:val="5"/>
            <w:vMerge w:val="restart"/>
          </w:tcPr>
          <w:p>
            <w:pPr>
              <w:jc w:val="right"/>
              <w:ind w:right="192"/>
              <w:spacing w:after="0"/>
              <w:rPr>
                <w:sz w:val="20"/>
                <w:szCs w:val="20"/>
                <w:color w:val="auto"/>
              </w:rPr>
            </w:pPr>
            <w:r>
              <w:rPr>
                <w:rFonts w:ascii="Arial" w:cs="Arial" w:eastAsia="Arial" w:hAnsi="Arial"/>
                <w:sz w:val="14"/>
                <w:szCs w:val="14"/>
                <w:b w:val="1"/>
                <w:bCs w:val="1"/>
                <w:color w:val="auto"/>
                <w:w w:val="88"/>
              </w:rPr>
              <w:t>Six Months Ended June 30,</w:t>
            </w: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jc w:val="right"/>
              <w:ind w:right="122"/>
              <w:spacing w:after="0" w:line="113" w:lineRule="exact"/>
              <w:rPr>
                <w:sz w:val="20"/>
                <w:szCs w:val="20"/>
                <w:color w:val="auto"/>
              </w:rPr>
            </w:pPr>
            <w:r>
              <w:rPr>
                <w:rFonts w:ascii="Arial" w:cs="Arial" w:eastAsia="Arial" w:hAnsi="Arial"/>
                <w:sz w:val="12"/>
                <w:szCs w:val="12"/>
                <w:b w:val="1"/>
                <w:bCs w:val="1"/>
                <w:color w:val="auto"/>
              </w:rPr>
              <w:t>Period from</w:t>
            </w:r>
          </w:p>
        </w:tc>
        <w:tc>
          <w:tcPr>
            <w:tcW w:w="580" w:type="dxa"/>
            <w:vAlign w:val="bottom"/>
            <w:tcBorders>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jc w:val="center"/>
              <w:ind w:right="24"/>
              <w:spacing w:after="0" w:line="113"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tcPr>
          <w:p>
            <w:pPr>
              <w:jc w:val="right"/>
              <w:ind w:right="700"/>
              <w:spacing w:after="0" w:line="147" w:lineRule="exact"/>
              <w:rPr>
                <w:sz w:val="20"/>
                <w:szCs w:val="20"/>
                <w:color w:val="auto"/>
              </w:rPr>
            </w:pPr>
            <w:r>
              <w:rPr>
                <w:rFonts w:ascii="Arial" w:cs="Arial" w:eastAsia="Arial" w:hAnsi="Arial"/>
                <w:sz w:val="14"/>
                <w:szCs w:val="14"/>
                <w:b w:val="1"/>
                <w:bCs w:val="1"/>
                <w:color w:val="auto"/>
                <w:w w:val="92"/>
              </w:rPr>
              <w:t>Year ended</w:t>
            </w:r>
          </w:p>
        </w:tc>
        <w:tc>
          <w:tcPr>
            <w:tcW w:w="80" w:type="dxa"/>
            <w:vAlign w:val="bottom"/>
          </w:tcPr>
          <w:p>
            <w:pPr>
              <w:spacing w:after="0"/>
              <w:rPr>
                <w:sz w:val="12"/>
                <w:szCs w:val="12"/>
                <w:color w:val="auto"/>
              </w:rPr>
            </w:pPr>
          </w:p>
        </w:tc>
        <w:tc>
          <w:tcPr>
            <w:tcW w:w="1600" w:type="dxa"/>
            <w:vAlign w:val="bottom"/>
            <w:tcBorders>
              <w:right w:val="single" w:sz="8" w:color="auto"/>
            </w:tcBorders>
            <w:gridSpan w:val="2"/>
          </w:tcPr>
          <w:p>
            <w:pPr>
              <w:jc w:val="right"/>
              <w:ind w:right="680"/>
              <w:spacing w:after="0" w:line="147" w:lineRule="exact"/>
              <w:rPr>
                <w:sz w:val="20"/>
                <w:szCs w:val="20"/>
                <w:color w:val="auto"/>
              </w:rPr>
            </w:pPr>
            <w:r>
              <w:rPr>
                <w:rFonts w:ascii="Arial" w:cs="Arial" w:eastAsia="Arial" w:hAnsi="Arial"/>
                <w:sz w:val="14"/>
                <w:szCs w:val="14"/>
                <w:b w:val="1"/>
                <w:bCs w:val="1"/>
                <w:color w:val="auto"/>
                <w:w w:val="86"/>
              </w:rPr>
              <w:t>July 16, 2019 to</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88"/>
              </w:rPr>
              <w:t>January 1, 2019 to</w:t>
            </w:r>
          </w:p>
        </w:tc>
        <w:tc>
          <w:tcPr>
            <w:tcW w:w="0" w:type="dxa"/>
            <w:vAlign w:val="bottom"/>
          </w:tcPr>
          <w:p>
            <w:pPr>
              <w:spacing w:after="0"/>
              <w:rPr>
                <w:sz w:val="1"/>
                <w:szCs w:val="1"/>
                <w:color w:val="auto"/>
              </w:rPr>
            </w:pPr>
          </w:p>
        </w:tc>
      </w:tr>
      <w:tr>
        <w:trPr>
          <w:trHeight w:val="133"/>
        </w:trPr>
        <w:tc>
          <w:tcPr>
            <w:tcW w:w="3000" w:type="dxa"/>
            <w:vAlign w:val="bottom"/>
            <w:gridSpan w:val="2"/>
          </w:tcPr>
          <w:p>
            <w:pPr>
              <w:spacing w:after="0" w:line="133" w:lineRule="exact"/>
              <w:rPr>
                <w:sz w:val="20"/>
                <w:szCs w:val="20"/>
                <w:color w:val="auto"/>
              </w:rPr>
            </w:pPr>
            <w:r>
              <w:rPr>
                <w:rFonts w:ascii="Arial" w:cs="Arial" w:eastAsia="Arial" w:hAnsi="Arial"/>
                <w:sz w:val="14"/>
                <w:szCs w:val="14"/>
                <w:color w:val="auto"/>
              </w:rPr>
              <w:t>($ in thousands)</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41"/>
              <w:spacing w:after="0" w:line="133"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39"/>
              <w:spacing w:after="0" w:line="133"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6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December 31, 2020</w:t>
            </w:r>
          </w:p>
        </w:tc>
        <w:tc>
          <w:tcPr>
            <w:tcW w:w="1680" w:type="dxa"/>
            <w:vAlign w:val="bottom"/>
            <w:tcBorders>
              <w:right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December 31, 2019</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9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Cash provided by (used in):</w:t>
            </w: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right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80" w:type="dxa"/>
            <w:vAlign w:val="bottom"/>
          </w:tcPr>
          <w:p>
            <w:pPr>
              <w:ind w:left="320"/>
              <w:spacing w:after="0"/>
              <w:rPr>
                <w:sz w:val="20"/>
                <w:szCs w:val="20"/>
                <w:color w:val="auto"/>
              </w:rPr>
            </w:pPr>
            <w:r>
              <w:rPr>
                <w:rFonts w:ascii="Arial" w:cs="Arial" w:eastAsia="Arial" w:hAnsi="Arial"/>
                <w:sz w:val="17"/>
                <w:szCs w:val="17"/>
                <w:color w:val="auto"/>
              </w:rPr>
              <w:t>Operating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80"/>
              <w:spacing w:after="0"/>
              <w:rPr>
                <w:sz w:val="20"/>
                <w:szCs w:val="20"/>
                <w:color w:val="auto"/>
              </w:rPr>
            </w:pPr>
            <w:r>
              <w:rPr>
                <w:rFonts w:ascii="Arial" w:cs="Arial" w:eastAsia="Arial" w:hAnsi="Arial"/>
                <w:sz w:val="17"/>
                <w:szCs w:val="17"/>
                <w:color w:val="auto"/>
              </w:rPr>
              <w:t>21,941</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32"/>
              <w:spacing w:after="0"/>
              <w:rPr>
                <w:sz w:val="20"/>
                <w:szCs w:val="20"/>
                <w:color w:val="auto"/>
              </w:rPr>
            </w:pPr>
            <w:r>
              <w:rPr>
                <w:rFonts w:ascii="Arial" w:cs="Arial" w:eastAsia="Arial" w:hAnsi="Arial"/>
                <w:sz w:val="17"/>
                <w:szCs w:val="17"/>
                <w:color w:val="auto"/>
              </w:rPr>
              <w:t>13,749</w:t>
            </w:r>
          </w:p>
        </w:tc>
        <w:tc>
          <w:tcPr>
            <w:tcW w:w="52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480"/>
              <w:spacing w:after="0"/>
              <w:rPr>
                <w:sz w:val="20"/>
                <w:szCs w:val="20"/>
                <w:color w:val="auto"/>
              </w:rPr>
            </w:pPr>
            <w:r>
              <w:rPr>
                <w:rFonts w:ascii="Arial" w:cs="Arial" w:eastAsia="Arial" w:hAnsi="Arial"/>
                <w:sz w:val="17"/>
                <w:szCs w:val="17"/>
                <w:color w:val="auto"/>
              </w:rPr>
              <w:t>23,217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7"/>
                <w:szCs w:val="17"/>
                <w:color w:val="auto"/>
              </w:rPr>
              <w:t>(7,133)</w:t>
            </w: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7"/>
                <w:szCs w:val="17"/>
                <w:color w:val="auto"/>
              </w:rPr>
              <w:t>28,727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9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Investing activities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(5,222)</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(23,862)</w:t>
            </w:r>
          </w:p>
        </w:tc>
        <w:tc>
          <w:tcPr>
            <w:tcW w:w="80" w:type="dxa"/>
            <w:vAlign w:val="bottom"/>
            <w:shd w:val="clear" w:color="auto" w:fill="CCEEFF"/>
          </w:tcPr>
          <w:p>
            <w:pPr>
              <w:spacing w:after="0"/>
              <w:rPr>
                <w:sz w:val="17"/>
                <w:szCs w:val="17"/>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(1,109,368)</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80" w:type="dxa"/>
            <w:vAlign w:val="bottom"/>
          </w:tcPr>
          <w:p>
            <w:pPr>
              <w:ind w:left="320"/>
              <w:spacing w:after="0"/>
              <w:rPr>
                <w:sz w:val="20"/>
                <w:szCs w:val="20"/>
                <w:color w:val="auto"/>
              </w:rPr>
            </w:pPr>
            <w:r>
              <w:rPr>
                <w:rFonts w:ascii="Arial" w:cs="Arial" w:eastAsia="Arial" w:hAnsi="Arial"/>
                <w:sz w:val="17"/>
                <w:szCs w:val="17"/>
                <w:color w:val="auto"/>
              </w:rPr>
              <w:t>Financing activities</w:t>
            </w:r>
          </w:p>
        </w:tc>
        <w:tc>
          <w:tcPr>
            <w:tcW w:w="12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color w:val="auto"/>
              </w:rPr>
              <w:t>(3,062)</w:t>
            </w:r>
          </w:p>
        </w:tc>
        <w:tc>
          <w:tcPr>
            <w:tcW w:w="160" w:type="dxa"/>
            <w:vAlign w:val="bottom"/>
          </w:tcPr>
          <w:p>
            <w:pPr>
              <w:spacing w:after="0"/>
              <w:rPr>
                <w:sz w:val="18"/>
                <w:szCs w:val="18"/>
                <w:color w:val="auto"/>
              </w:rPr>
            </w:pPr>
          </w:p>
        </w:tc>
        <w:tc>
          <w:tcPr>
            <w:tcW w:w="660" w:type="dxa"/>
            <w:vAlign w:val="bottom"/>
            <w:gridSpan w:val="2"/>
          </w:tcPr>
          <w:p>
            <w:pPr>
              <w:jc w:val="right"/>
              <w:ind w:right="32"/>
              <w:spacing w:after="0"/>
              <w:rPr>
                <w:sz w:val="20"/>
                <w:szCs w:val="20"/>
                <w:color w:val="auto"/>
              </w:rPr>
            </w:pPr>
            <w:r>
              <w:rPr>
                <w:rFonts w:ascii="Arial" w:cs="Arial" w:eastAsia="Arial" w:hAnsi="Arial"/>
                <w:sz w:val="17"/>
                <w:szCs w:val="17"/>
                <w:color w:val="auto"/>
              </w:rPr>
              <w:t>22,702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7"/>
                <w:szCs w:val="17"/>
                <w:color w:val="auto"/>
              </w:rPr>
              <w:t>16,655</w:t>
            </w:r>
          </w:p>
        </w:tc>
        <w:tc>
          <w:tcPr>
            <w:tcW w:w="8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7"/>
                <w:szCs w:val="17"/>
                <w:color w:val="auto"/>
              </w:rPr>
              <w:t>1,125,119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98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rPr>
              <w:t>Change in cash and cash equivalents</w:t>
            </w: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580" w:type="dxa"/>
            <w:vAlign w:val="bottom"/>
            <w:tcBorders>
              <w:right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(excluding exchange rate changes)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13,657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2"/>
              <w:spacing w:after="0"/>
              <w:rPr>
                <w:sz w:val="20"/>
                <w:szCs w:val="20"/>
                <w:color w:val="auto"/>
              </w:rPr>
            </w:pPr>
            <w:r>
              <w:rPr>
                <w:rFonts w:ascii="Arial" w:cs="Arial" w:eastAsia="Arial" w:hAnsi="Arial"/>
                <w:sz w:val="17"/>
                <w:szCs w:val="17"/>
                <w:color w:val="auto"/>
              </w:rPr>
              <w:t>35,556</w:t>
            </w: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16,010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6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8,618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 provided by (used in) Operating Activities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Net cash provided by operations was $21.9 million during the six months ended June 30, 2021, representing an increase of $8.2 million from</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$13.7 million during the six months ended June 30, 2020, as a result of a net loss of $25.5 million, which was offset by non-cash charges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$37.8 million and a change of $9.6 million in our operating assets and liabilities. The non-cash charges were primarily comprised of amortization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intangible assets of $28.9 million, an increase in the earnout liability related to the Monocl acquisition, amortization of deferred contract costs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$1.9 million, equity compensation costs of $2.0 million and amortization of debt issuance costs of $1.0 million. The change in operating assets and</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liabilities was primarily the result of a decrease in accounts receivable of $10.5 million and an increase in deferred revenue of $7.9 million due to the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timing of billings and cash received in advance of revenue recognition for subscription services, partially offset by an increase in deferred contact costs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of $6.0 million and a net decrease in accounts payable, accrued expenses and other liabilities of $2.1 million, as well as an increase in prepaid expenses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and other current assets of $0.6 million.</w:t>
      </w:r>
    </w:p>
    <w:p>
      <w:pPr>
        <w:spacing w:after="0" w:line="200" w:lineRule="exact"/>
        <w:rPr>
          <w:sz w:val="20"/>
          <w:szCs w:val="20"/>
          <w:color w:val="auto"/>
        </w:rPr>
      </w:pPr>
    </w:p>
    <w:p>
      <w:pPr>
        <w:ind w:left="440" w:right="20" w:firstLine="415"/>
        <w:spacing w:after="0" w:line="285" w:lineRule="auto"/>
        <w:rPr>
          <w:sz w:val="20"/>
          <w:szCs w:val="20"/>
          <w:color w:val="auto"/>
        </w:rPr>
      </w:pPr>
      <w:r>
        <w:rPr>
          <w:rFonts w:ascii="Arial" w:cs="Arial" w:eastAsia="Arial" w:hAnsi="Arial"/>
          <w:sz w:val="15"/>
          <w:szCs w:val="15"/>
          <w:color w:val="auto"/>
        </w:rPr>
        <w:t>Net cash provided by operations was $13.7 million during the six months ended June 30, 2020, as a result of a net loss of $25.3 million, which was offset by non-cash charges of $36.6 million and a change of $2.5 million in our operating assets and liabilities. The non-cash charges were primarily comprised of amortization of intangible assets of $28.9 million, non-cash paid-in-kind interest expense of $4.4 million and amortization of debt issuance costs of $1.0 million. The change in operating assets and liabilities was primarily the result of a decrease in accounts receivable of $5.1 million and an increase in deferred revenue of $3.8 million due to the timing of billings and cash received in advance of revenue recognition for subscription services, partially offset by higher accounts payable, accrued expenses and other liabilities of $3.9 million and an increase in deferred contract costs of</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$2.6 million.</w:t>
      </w:r>
    </w:p>
    <w:p>
      <w:pPr>
        <w:spacing w:after="0" w:line="200" w:lineRule="exact"/>
        <w:rPr>
          <w:sz w:val="20"/>
          <w:szCs w:val="20"/>
          <w:color w:val="auto"/>
        </w:rPr>
      </w:pPr>
    </w:p>
    <w:p>
      <w:pPr>
        <w:ind w:left="440" w:right="280" w:firstLine="415"/>
        <w:spacing w:after="0" w:line="279" w:lineRule="auto"/>
        <w:rPr>
          <w:sz w:val="20"/>
          <w:szCs w:val="20"/>
          <w:color w:val="auto"/>
        </w:rPr>
      </w:pPr>
      <w:r>
        <w:rPr>
          <w:rFonts w:ascii="Arial" w:cs="Arial" w:eastAsia="Arial" w:hAnsi="Arial"/>
          <w:sz w:val="16"/>
          <w:szCs w:val="16"/>
          <w:color w:val="auto"/>
        </w:rPr>
        <w:t>Net cash provided by operations was $23.2 million for the year ended December 31, 2020 as a result of a net loss of $51.2 million, which was offset by non-cash charges of $76.0 million, and a change of $1.6 million in our operating assets and liabilities. The non-cash charges were primarily comprised of amortization of intangible assets of $58.4 million, non-cash paid in kind interest expense of $7.4 million, changes in fair value of contingent consideration of $2.6 million and amortization of debt issuance costs of $2.1 million. The change in operating</w:t>
      </w:r>
    </w:p>
    <w:p>
      <w:pPr>
        <w:spacing w:after="0" w:line="9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0820"/>
          </w:cols>
          <w:pgMar w:left="320" w:top="442" w:right="75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40"/>
        <w:spacing w:after="0" w:line="261" w:lineRule="auto"/>
        <w:rPr>
          <w:sz w:val="20"/>
          <w:szCs w:val="20"/>
          <w:color w:val="auto"/>
        </w:rPr>
      </w:pPr>
      <w:r>
        <w:rPr>
          <w:rFonts w:ascii="Arial" w:cs="Arial" w:eastAsia="Arial" w:hAnsi="Arial"/>
          <w:sz w:val="17"/>
          <w:szCs w:val="17"/>
          <w:color w:val="auto"/>
        </w:rPr>
        <w:t>assets and liabilities was primarily the result of increases in accounts receivable of $8.3 million and deferred contract costs of $7.7 million, partially offset by an increase in deferred revenue of $12.1 million due to the timing of billings and cash received in advance of revenue recognition for subscription services.</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Net cash used in operations was $7.1 million for the period from July 16, 2019 to December 31, 2019 (Successor), as a result of a net loss of</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$49.3 million, adjusted by non-cash charges of $36.5 million and a change of $5.7 million in our operating assets and liabilities. The non-cash charges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were primarily comprised of amortization of intangible assets of $30.6 million, non-cash paid in kind interest expense of $3.0 million and amortization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of debt issuance costs of $1.1 million. The change in operating assets and liabilities was primarily the result of an increase in deferred revenue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$13.8 million and higher accounts payable, accrued expenses and other current liabilities of $7.4 million, partially offset by an increase in accounts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receivable of $12.5 million and in deferred contract costs of $3.1 million.</w:t>
      </w:r>
    </w:p>
    <w:p>
      <w:pPr>
        <w:spacing w:after="0" w:line="20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Net cash provided by operations was $28.7 million for the period from January 1, 2019 to July 15, 2019 (Predecessor), as a result of a net income of $12.9 million, adjusted by non-cash charges of $9.1 million and a change of $6.8 million in our operating assets and liabilities. The non-cash charges were primarily comprised of equity-based compensation expense of $5.8 million and amortization of intangible assets of $2.0 million. The change in operating assets and liabilities was primarily the result of an increase in deferred revenue of $4.8 million and lower accounts receivable of $3.9 million, partially offset by an increase in deferred contract costs of $2.2 million.</w:t>
      </w:r>
    </w:p>
    <w:p>
      <w:pPr>
        <w:spacing w:after="0" w:line="183"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Net cash from operations increased by $1.6 million in the year ended December 31, 2020 relative to the year ended December 31, 2019. The increase in cash flows from operations comprised increases in cash outflows related to cash interest expense, which increased by $15.7 million from the year ended December 31, 2019 compared to the year ended December 31, 2020. The increase in cash outflows was offset by a decrease in acquisition-related expenses, which decreased by $12.1 million from the year ended December 31, 2019 to the year ended December 31, 2020.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will have future impacts on our liquidity that may differ from historical trends as described below:</w:t>
      </w:r>
    </w:p>
    <w:p>
      <w:pPr>
        <w:spacing w:after="0" w:line="65" w:lineRule="exact"/>
        <w:rPr>
          <w:sz w:val="20"/>
          <w:szCs w:val="20"/>
          <w:color w:val="auto"/>
        </w:rPr>
      </w:pPr>
    </w:p>
    <w:p>
      <w:pPr>
        <w:ind w:left="1360" w:right="180" w:hanging="519"/>
        <w:spacing w:after="0" w:line="257" w:lineRule="auto"/>
        <w:tabs>
          <w:tab w:leader="none" w:pos="13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Interest paid in cash increased significantly from the year ended December 31, 2019 to the year ended December 31, 2020. This increase primarily related to the additional debt that we incurred to fund the Advent acquisition on July 16, 2019. We plan to use a portion of the proceeds from this offering to repay a portion of our indebtedness, which would result in our future liquidity increasing due to decreased debt service commitments. See “Use of Proceeds.”</w:t>
      </w:r>
    </w:p>
    <w:p>
      <w:pPr>
        <w:spacing w:after="0" w:line="91" w:lineRule="exact"/>
        <w:rPr>
          <w:rFonts w:ascii="Arial" w:cs="Arial" w:eastAsia="Arial" w:hAnsi="Arial"/>
          <w:sz w:val="17"/>
          <w:szCs w:val="17"/>
          <w:color w:val="auto"/>
        </w:rPr>
      </w:pPr>
    </w:p>
    <w:p>
      <w:pPr>
        <w:ind w:left="1360" w:right="140" w:hanging="519"/>
        <w:spacing w:after="0" w:line="261" w:lineRule="auto"/>
        <w:tabs>
          <w:tab w:leader="none" w:pos="13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Transaction expenses, excluding the fair value adjustment of contingent consideration, decreased significantly from the year ended December 31, 2019 to the year ended December 31, 2020. This decrease primarily related to the costs incurred in the Advent acquisition, which did not recur in 2020.</w:t>
      </w:r>
    </w:p>
    <w:p>
      <w:pPr>
        <w:spacing w:after="0" w:line="87" w:lineRule="exact"/>
        <w:rPr>
          <w:rFonts w:ascii="Arial" w:cs="Arial" w:eastAsia="Arial" w:hAnsi="Arial"/>
          <w:sz w:val="17"/>
          <w:szCs w:val="17"/>
          <w:color w:val="auto"/>
        </w:rPr>
      </w:pPr>
    </w:p>
    <w:p>
      <w:pPr>
        <w:ind w:left="1360" w:right="120" w:hanging="519"/>
        <w:spacing w:after="0" w:line="261" w:lineRule="auto"/>
        <w:tabs>
          <w:tab w:leader="none" w:pos="13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Non-recurring expenses decreased significantly from the year ended December 31, 2019 to the year ended December 31, 2020. This decrease was primarily driven by one-time expenses made in the year ended December 31, 2019 relating to initiatives for compliance and acquisition.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 used in Investing Activities</w:t>
      </w:r>
    </w:p>
    <w:p>
      <w:pPr>
        <w:spacing w:after="0" w:line="110"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Cash used in investing activities during the six months ended June 30, 2021 was $5.2 million, primarily as a result of purchases of property, equipment and data of $5.2 million.</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Cash used in investing activities during the six months ended June 30, 2020 was $0.9 million, as a result of purchases of property, equipment and</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data.</w:t>
      </w:r>
    </w:p>
    <w:p>
      <w:pPr>
        <w:spacing w:after="0" w:line="200" w:lineRule="exact"/>
        <w:rPr>
          <w:sz w:val="20"/>
          <w:szCs w:val="20"/>
          <w:color w:val="auto"/>
        </w:rPr>
      </w:pPr>
    </w:p>
    <w:p>
      <w:pPr>
        <w:ind w:left="440" w:right="460" w:firstLine="415"/>
        <w:spacing w:after="0" w:line="273" w:lineRule="auto"/>
        <w:rPr>
          <w:sz w:val="20"/>
          <w:szCs w:val="20"/>
          <w:color w:val="auto"/>
        </w:rPr>
      </w:pPr>
      <w:r>
        <w:rPr>
          <w:rFonts w:ascii="Arial" w:cs="Arial" w:eastAsia="Arial" w:hAnsi="Arial"/>
          <w:sz w:val="17"/>
          <w:szCs w:val="17"/>
          <w:color w:val="auto"/>
        </w:rPr>
        <w:t>Cash used in investing activities during the year ended December 31, 2020 was $23.9 million, primarily as a result of cash payments for the acquisition of Monocl of $15.5 million, and $6.9 million paid to former members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0800"/>
          </w:cols>
          <w:pgMar w:left="320" w:top="442" w:right="77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for the Advent acquisition, which was included in accrued expenses at December 31, 2019, and purchases of property and equipment of $1.4 million.</w:t>
      </w:r>
    </w:p>
    <w:p>
      <w:pPr>
        <w:spacing w:after="0" w:line="235" w:lineRule="exact"/>
        <w:rPr>
          <w:sz w:val="20"/>
          <w:szCs w:val="20"/>
          <w:color w:val="auto"/>
        </w:rPr>
      </w:pPr>
    </w:p>
    <w:p>
      <w:pPr>
        <w:ind w:left="440" w:firstLine="415"/>
        <w:spacing w:after="0" w:line="342" w:lineRule="auto"/>
        <w:rPr>
          <w:sz w:val="20"/>
          <w:szCs w:val="20"/>
          <w:color w:val="auto"/>
        </w:rPr>
      </w:pPr>
      <w:r>
        <w:rPr>
          <w:rFonts w:ascii="Arial" w:cs="Arial" w:eastAsia="Arial" w:hAnsi="Arial"/>
          <w:sz w:val="15"/>
          <w:szCs w:val="15"/>
          <w:color w:val="auto"/>
        </w:rPr>
        <w:t>Cash used in investing activities for the period from July 16, 2019 to December 31, 2019 (Successor) was $1,109.4 million, primarily as a result of cash payments for the Advent acquisition of $1,105.4 million, and HSE of $2.8 million, as well as purchases of property and equipment of $1.2 million.</w:t>
      </w:r>
    </w:p>
    <w:p>
      <w:pPr>
        <w:spacing w:after="0" w:line="119"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Cash used in investing activities for the period from January 1, 2019 to July 15, 2019 (Predecessor) was $30.6 million, primarily as a result of cash payments for the acquisition of HIMSS of $29.8 million and purchases of property and equipment of $0.7 million.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Cash Flows provided by (used in) Financing Activities</w:t>
      </w:r>
    </w:p>
    <w:p>
      <w:pPr>
        <w:spacing w:after="0" w:line="110" w:lineRule="exact"/>
        <w:rPr>
          <w:sz w:val="20"/>
          <w:szCs w:val="20"/>
          <w:color w:val="auto"/>
        </w:rPr>
      </w:pPr>
    </w:p>
    <w:p>
      <w:pPr>
        <w:ind w:left="440" w:right="200" w:firstLine="415"/>
        <w:spacing w:after="0" w:line="261" w:lineRule="auto"/>
        <w:rPr>
          <w:sz w:val="20"/>
          <w:szCs w:val="20"/>
          <w:color w:val="auto"/>
        </w:rPr>
      </w:pPr>
      <w:r>
        <w:rPr>
          <w:rFonts w:ascii="Arial" w:cs="Arial" w:eastAsia="Arial" w:hAnsi="Arial"/>
          <w:sz w:val="17"/>
          <w:szCs w:val="17"/>
          <w:color w:val="auto"/>
        </w:rPr>
        <w:t>Cash used in financing activities during the six months ended June 30, 2021 was $3.1 million, primarily due to distributions paid to members of $3.3 million, repayments on the Term Loan of $2.3 million, a $1.5 million earnout payment related to the Monocl acquisition, and payments of $1.4 million in preparation for our IPO, partially offset by member contributions of $5.5 million.</w:t>
      </w:r>
    </w:p>
    <w:p>
      <w:pPr>
        <w:spacing w:after="0" w:line="176"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Cash provided by financing activities during the six months ended June 30, 2020 was $22.7 million, primarily as a result of proceeds from the Revolving Line of Credit of $25.0 million, partially offset by repayments on the Term loan of $2.3 million.</w:t>
      </w:r>
    </w:p>
    <w:p>
      <w:pPr>
        <w:spacing w:after="0" w:line="166"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Cash provided from financing activities during the year ended December 31, 2020 was $16.7 million, primarily as a result of proceeds from the Delayed Draw Term Loan of $18.0 million and contributions from members of $6.4 million, partially offset by distributions to members of $2.9 million and repayments on the Term Loan and debt issuance costs of $4.7 million.</w:t>
      </w:r>
    </w:p>
    <w:p>
      <w:pPr>
        <w:spacing w:after="0" w:line="176" w:lineRule="exact"/>
        <w:rPr>
          <w:sz w:val="20"/>
          <w:szCs w:val="20"/>
          <w:color w:val="auto"/>
        </w:rPr>
      </w:pPr>
    </w:p>
    <w:p>
      <w:pPr>
        <w:ind w:left="440" w:right="80" w:firstLine="415"/>
        <w:spacing w:after="0" w:line="312" w:lineRule="auto"/>
        <w:rPr>
          <w:sz w:val="20"/>
          <w:szCs w:val="20"/>
          <w:color w:val="auto"/>
        </w:rPr>
      </w:pPr>
      <w:r>
        <w:rPr>
          <w:rFonts w:ascii="Arial" w:cs="Arial" w:eastAsia="Arial" w:hAnsi="Arial"/>
          <w:sz w:val="15"/>
          <w:szCs w:val="15"/>
          <w:color w:val="auto"/>
        </w:rPr>
        <w:t>Cash provided from financing activities for the period from July 16, 2019 to December 31, 2019 (Successor) was $1,125.1 million, primarily as a result of a capital contribution of $697.0 million in connection with the Advent acquisition, proceeds from the Term loan of $450.0 million, partially offset by distributions to members of $6.5 million, payments of debt issuance costs of $14.3 million and repayments on the Term Loan of $1.1 million.</w:t>
      </w:r>
    </w:p>
    <w:p>
      <w:pPr>
        <w:spacing w:after="0" w:line="141" w:lineRule="exact"/>
        <w:rPr>
          <w:sz w:val="20"/>
          <w:szCs w:val="20"/>
          <w:color w:val="auto"/>
        </w:rPr>
      </w:pPr>
    </w:p>
    <w:p>
      <w:pPr>
        <w:ind w:left="440" w:right="400" w:firstLine="415"/>
        <w:spacing w:after="0" w:line="273" w:lineRule="auto"/>
        <w:rPr>
          <w:sz w:val="20"/>
          <w:szCs w:val="20"/>
          <w:color w:val="auto"/>
        </w:rPr>
      </w:pPr>
      <w:r>
        <w:rPr>
          <w:rFonts w:ascii="Arial" w:cs="Arial" w:eastAsia="Arial" w:hAnsi="Arial"/>
          <w:sz w:val="17"/>
          <w:szCs w:val="17"/>
          <w:color w:val="auto"/>
        </w:rPr>
        <w:t>Cash used in financing activities for the period from January 1, 2019 to July 15, 2019 (Predecessor) was $0.5 million, primarily as a result of distributions to members of $0.5 million.</w:t>
      </w:r>
    </w:p>
    <w:p>
      <w:pPr>
        <w:spacing w:after="0" w:line="166" w:lineRule="exact"/>
        <w:rPr>
          <w:sz w:val="20"/>
          <w:szCs w:val="20"/>
          <w:color w:val="auto"/>
        </w:rPr>
      </w:pPr>
    </w:p>
    <w:p>
      <w:pPr>
        <w:ind w:left="440" w:right="200" w:firstLine="415"/>
        <w:spacing w:after="0" w:line="306" w:lineRule="auto"/>
        <w:rPr>
          <w:sz w:val="20"/>
          <w:szCs w:val="20"/>
          <w:color w:val="auto"/>
        </w:rPr>
      </w:pPr>
      <w:r>
        <w:rPr>
          <w:rFonts w:ascii="Arial" w:cs="Arial" w:eastAsia="Arial" w:hAnsi="Arial"/>
          <w:sz w:val="16"/>
          <w:szCs w:val="16"/>
          <w:color w:val="auto"/>
        </w:rPr>
        <w:t>Refer to “Debt Obligations” for additional information related to our debt obligations. Refer to Note 12 of our consolidated financial statements included elsewhere in this prospectus for additional information related to contributions and distributions from and to members.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Debt Obligations</w:t>
      </w:r>
    </w:p>
    <w:p>
      <w:pPr>
        <w:spacing w:after="0" w:line="110"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On July 16, 2019, we entered into the Credit Agreement pursuant to which the lenders thereunder agreed to provide the Initial Term Loan Facility, the Initial Delayed Draw Term Facility and the Revolving Credit Facility (each as defined herein). The Credit Agreement includes certain financial covenants and our obligations thereunder are collateralized by first priority security interests on substantially all of our assets.</w:t>
      </w:r>
    </w:p>
    <w:p>
      <w:pPr>
        <w:spacing w:after="0" w:line="159" w:lineRule="exact"/>
        <w:rPr>
          <w:sz w:val="20"/>
          <w:szCs w:val="20"/>
          <w:color w:val="auto"/>
        </w:rPr>
      </w:pPr>
    </w:p>
    <w:p>
      <w:pPr>
        <w:jc w:val="both"/>
        <w:ind w:left="440" w:right="20" w:firstLine="415"/>
        <w:spacing w:after="0" w:line="279" w:lineRule="auto"/>
        <w:rPr>
          <w:sz w:val="20"/>
          <w:szCs w:val="20"/>
          <w:color w:val="auto"/>
        </w:rPr>
      </w:pPr>
      <w:r>
        <w:rPr>
          <w:rFonts w:ascii="Arial" w:cs="Arial" w:eastAsia="Arial" w:hAnsi="Arial"/>
          <w:sz w:val="16"/>
          <w:szCs w:val="16"/>
          <w:color w:val="auto"/>
        </w:rPr>
        <w:t>The Initial Term Loan Facility is for $450.0 million, which has a maturity date of July 16, 2026. The Initial Term Loan Facility was issued with an original issue discount of $11.3 million. This discount is amortized to interest expense over the term of the Initial Term Loan Facility using the effective interest method. Interest on a portion of the Initial Term Loan Facility consisting of $100.0 million of the $450.0 million principal amount is not paid in cash but is instead treated as paid in kind and is added to the principal balance to be paid off at maturity.</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0800"/>
          </w:cols>
          <w:pgMar w:left="320" w:top="442" w:right="77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80" w:firstLine="415"/>
        <w:spacing w:after="0" w:line="275" w:lineRule="auto"/>
        <w:rPr>
          <w:sz w:val="20"/>
          <w:szCs w:val="20"/>
          <w:color w:val="auto"/>
        </w:rPr>
      </w:pPr>
      <w:r>
        <w:rPr>
          <w:rFonts w:ascii="Arial" w:cs="Arial" w:eastAsia="Arial" w:hAnsi="Arial"/>
          <w:sz w:val="16"/>
          <w:szCs w:val="16"/>
          <w:color w:val="auto"/>
        </w:rPr>
        <w:t>Quarterly principal payments of the Initial Term Loan Facility of $1.1 million began in December 2019 and are required through the Initial Term Loan Facility’s maturity, at which time a balloon payment of $419.6 million, excluding the paid in kind interest portion, is due. The paid in kind interest portion is also due on the maturity date. The Initial Term Loan Facility is subject to excess cash flow payments annually beginning in the fiscal year ended December 31, 2020 based on the total leverage ratio. There was $454.8 million and $451.9 million outstanding on the Initial Term Loan Facility at December 31, 2020 and 2019, respectively, including $10.4 million and $3.0 million of paid in kind interest, respectively.</w:t>
      </w:r>
    </w:p>
    <w:p>
      <w:pPr>
        <w:spacing w:after="0" w:line="167"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The Initial Delayed Draw Term Facility is committed in an original committed amount of $100.0 million. Undrawn commitments under the Initial Delayed Draw Term Facility terminated on July 16, 2021 and outstanding loans drawn under the Initial Delayed Draw Term Facility have a maturity date of July 16, 2026. Commitments under the Initial Delayed Draw Term Facility terminate on a dollar-for-dollar basis upon the funding of the Initial Delayed Draw Term Loans. The Initial Delayed Draw Term Facility was issued with an original issue discount of $1.3 million. The outstanding balance on the Initial Delayed Draw Term Facility was $17.9 million and $18.0 million at June 30, 2021 and December 31, 2020, respectively. There was no outstanding balance at December 31, 2019.</w:t>
      </w:r>
    </w:p>
    <w:p>
      <w:pPr>
        <w:spacing w:after="0" w:line="183"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The Revolving Credit Facility is committed for $25.0 million and has a maturity date of July 16, 2024. There was no outstanding balance on the Revolving Credit Facility as of June 30, 2021, December 31, 2020 or December 31, 2019.</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Company was compliant with its financial covenants at June 30, 2021, December 31, 2020 and December 31, 2019.</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Capital Expenditures</w:t>
      </w:r>
    </w:p>
    <w:p>
      <w:pPr>
        <w:spacing w:after="0" w:line="114" w:lineRule="exact"/>
        <w:rPr>
          <w:sz w:val="20"/>
          <w:szCs w:val="20"/>
          <w:color w:val="auto"/>
        </w:rPr>
      </w:pPr>
    </w:p>
    <w:p>
      <w:pPr>
        <w:ind w:left="440" w:right="420" w:firstLine="415"/>
        <w:spacing w:after="0" w:line="273" w:lineRule="auto"/>
        <w:rPr>
          <w:sz w:val="20"/>
          <w:szCs w:val="20"/>
          <w:color w:val="auto"/>
        </w:rPr>
      </w:pPr>
      <w:r>
        <w:rPr>
          <w:rFonts w:ascii="Arial" w:cs="Arial" w:eastAsia="Arial" w:hAnsi="Arial"/>
          <w:sz w:val="17"/>
          <w:szCs w:val="17"/>
          <w:color w:val="auto"/>
        </w:rPr>
        <w:t>Capital expenditures increased by $4.3 million to $5.2 million for the six months ended June 30, 2021 compared to $0.9 million for the same period in the prior year, primarily due to higher expenditures for property, equipment and data in support of our growth.</w:t>
      </w:r>
    </w:p>
    <w:p>
      <w:pPr>
        <w:spacing w:after="0" w:line="166"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Capital expenditures decreased by $0.5 million, or 26%, to $1.4 million for the twelve months ended December 31, 2020 compared to $1.9 million in 2019 for the combined Predecessor Company and Successor Company period. The decrease was due to higher expenditures in 2019 due to office leasehold improvements made in 2019.</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Contractual Obligations and Commitments</w:t>
      </w:r>
    </w:p>
    <w:p>
      <w:pPr>
        <w:spacing w:after="0" w:line="110" w:lineRule="exact"/>
        <w:rPr>
          <w:sz w:val="20"/>
          <w:szCs w:val="20"/>
          <w:color w:val="auto"/>
        </w:rPr>
      </w:pPr>
    </w:p>
    <w:p>
      <w:pPr>
        <w:ind w:left="440" w:right="340" w:firstLine="415"/>
        <w:spacing w:after="0" w:line="273" w:lineRule="auto"/>
        <w:rPr>
          <w:sz w:val="20"/>
          <w:szCs w:val="20"/>
          <w:color w:val="auto"/>
        </w:rPr>
      </w:pPr>
      <w:r>
        <w:rPr>
          <w:rFonts w:ascii="Arial" w:cs="Arial" w:eastAsia="Arial" w:hAnsi="Arial"/>
          <w:sz w:val="17"/>
          <w:szCs w:val="17"/>
          <w:color w:val="auto"/>
        </w:rPr>
        <w:t>The following table sets forth certain contractual obligations, debt obligations and commitments as of June 30, 2021, and December 31, 2020, respectively: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June 30, 2021</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780" w:type="dxa"/>
            <w:vAlign w:val="bottom"/>
            <w:vMerge w:val="restart"/>
          </w:tcPr>
          <w:p>
            <w:pPr>
              <w:spacing w:after="0"/>
              <w:rPr>
                <w:sz w:val="20"/>
                <w:szCs w:val="20"/>
                <w:color w:val="auto"/>
              </w:rPr>
            </w:pPr>
            <w:r>
              <w:rPr>
                <w:rFonts w:ascii="Arial" w:cs="Arial" w:eastAsia="Arial" w:hAnsi="Arial"/>
                <w:sz w:val="14"/>
                <w:szCs w:val="14"/>
                <w:color w:val="auto"/>
                <w:w w:val="85"/>
              </w:rPr>
              <w:t>(in thousands)</w:t>
            </w:r>
          </w:p>
        </w:tc>
        <w:tc>
          <w:tcPr>
            <w:tcW w:w="28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3"/>
          </w:tcPr>
          <w:p>
            <w:pPr>
              <w:spacing w:after="0" w:line="113" w:lineRule="exact"/>
              <w:rPr>
                <w:sz w:val="20"/>
                <w:szCs w:val="20"/>
                <w:color w:val="auto"/>
              </w:rPr>
            </w:pPr>
            <w:r>
              <w:rPr>
                <w:rFonts w:ascii="Arial" w:cs="Arial" w:eastAsia="Arial" w:hAnsi="Arial"/>
                <w:sz w:val="12"/>
                <w:szCs w:val="12"/>
                <w:b w:val="1"/>
                <w:bCs w:val="1"/>
                <w:color w:val="auto"/>
              </w:rPr>
              <w:t>Less Than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2620" w:type="dxa"/>
            <w:vAlign w:val="bottom"/>
          </w:tcPr>
          <w:p>
            <w:pPr>
              <w:spacing w:after="0"/>
              <w:rPr>
                <w:sz w:val="14"/>
                <w:szCs w:val="14"/>
                <w:color w:val="auto"/>
              </w:rPr>
            </w:pPr>
          </w:p>
        </w:tc>
        <w:tc>
          <w:tcPr>
            <w:tcW w:w="78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860" w:type="dxa"/>
            <w:vAlign w:val="bottom"/>
            <w:gridSpan w:val="3"/>
          </w:tcPr>
          <w:p>
            <w:pPr>
              <w:jc w:val="right"/>
              <w:ind w:right="280"/>
              <w:spacing w:after="0" w:line="147" w:lineRule="exact"/>
              <w:rPr>
                <w:sz w:val="20"/>
                <w:szCs w:val="20"/>
                <w:color w:val="auto"/>
              </w:rPr>
            </w:pPr>
            <w:r>
              <w:rPr>
                <w:rFonts w:ascii="Arial" w:cs="Arial" w:eastAsia="Arial" w:hAnsi="Arial"/>
                <w:sz w:val="14"/>
                <w:szCs w:val="14"/>
                <w:b w:val="1"/>
                <w:bCs w:val="1"/>
                <w:color w:val="auto"/>
                <w:w w:val="91"/>
              </w:rPr>
              <w:t>One Year</w:t>
            </w:r>
          </w:p>
        </w:tc>
        <w:tc>
          <w:tcPr>
            <w:tcW w:w="8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1-3 Years</w:t>
            </w:r>
          </w:p>
        </w:tc>
        <w:tc>
          <w:tcPr>
            <w:tcW w:w="8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3-5 Years</w:t>
            </w:r>
          </w:p>
        </w:tc>
        <w:tc>
          <w:tcPr>
            <w:tcW w:w="7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5"/>
              </w:rPr>
              <w:t>Five Years</w:t>
            </w: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Long-term Debt Obligations</w:t>
            </w:r>
          </w:p>
        </w:tc>
        <w:tc>
          <w:tcPr>
            <w:tcW w:w="26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$470,402</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4,680</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9,360</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9,360</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$ 447,002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600" w:type="dxa"/>
            <w:vAlign w:val="bottom"/>
            <w:gridSpan w:val="2"/>
          </w:tcPr>
          <w:p>
            <w:pPr>
              <w:spacing w:after="0"/>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14"/>
                <w:szCs w:val="14"/>
                <w:color w:val="auto"/>
              </w:rPr>
              <w:t>(1)</w:t>
            </w:r>
          </w:p>
        </w:tc>
        <w:tc>
          <w:tcPr>
            <w:tcW w:w="3400" w:type="dxa"/>
            <w:vAlign w:val="bottom"/>
            <w:gridSpan w:val="3"/>
          </w:tcPr>
          <w:p>
            <w:pPr>
              <w:jc w:val="right"/>
              <w:ind w:right="140"/>
              <w:spacing w:after="0"/>
              <w:rPr>
                <w:sz w:val="20"/>
                <w:szCs w:val="20"/>
                <w:color w:val="auto"/>
              </w:rPr>
            </w:pPr>
            <w:r>
              <w:rPr>
                <w:rFonts w:ascii="Arial" w:cs="Arial" w:eastAsia="Arial" w:hAnsi="Arial"/>
                <w:sz w:val="17"/>
                <w:szCs w:val="17"/>
                <w:color w:val="auto"/>
              </w:rPr>
              <w:t>15,988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3,213</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4,694</w:t>
            </w: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4,366</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3,715</w:t>
            </w:r>
          </w:p>
        </w:tc>
        <w:tc>
          <w:tcPr>
            <w:tcW w:w="0" w:type="dxa"/>
            <w:vAlign w:val="bottom"/>
          </w:tcPr>
          <w:p>
            <w:pPr>
              <w:spacing w:after="0"/>
              <w:rPr>
                <w:sz w:val="1"/>
                <w:szCs w:val="1"/>
                <w:color w:val="auto"/>
              </w:rPr>
            </w:pPr>
          </w:p>
        </w:tc>
      </w:tr>
      <w:tr>
        <w:trPr>
          <w:trHeight w:val="204"/>
        </w:trPr>
        <w:tc>
          <w:tcPr>
            <w:tcW w:w="3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14"/>
                <w:szCs w:val="14"/>
                <w:color w:val="auto"/>
              </w:rPr>
              <w:t>(2)</w:t>
            </w:r>
          </w:p>
        </w:tc>
        <w:tc>
          <w:tcPr>
            <w:tcW w:w="26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5,564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12,386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5,786</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2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00" w:type="dxa"/>
            <w:vAlign w:val="bottom"/>
            <w:gridSpan w:val="2"/>
            <w:vMerge w:val="continue"/>
          </w:tcPr>
          <w:p>
            <w:pPr>
              <w:spacing w:after="0"/>
              <w:rPr>
                <w:sz w:val="18"/>
                <w:szCs w:val="18"/>
                <w:color w:val="auto"/>
              </w:rPr>
            </w:pPr>
          </w:p>
        </w:tc>
        <w:tc>
          <w:tcPr>
            <w:tcW w:w="3400" w:type="dxa"/>
            <w:vAlign w:val="bottom"/>
            <w:gridSpan w:val="3"/>
          </w:tcPr>
          <w:p>
            <w:pPr>
              <w:jc w:val="right"/>
              <w:ind w:right="14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510,126</w:t>
            </w:r>
          </w:p>
        </w:tc>
        <w:tc>
          <w:tcPr>
            <w:tcW w:w="24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13,457</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26,440</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19,512</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$ 450,717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20" w:type="dxa"/>
            <w:vAlign w:val="bottom"/>
            <w:vMerge w:val="restart"/>
          </w:tcPr>
          <w:p>
            <w:pPr>
              <w:jc w:val="right"/>
              <w:ind w:right="835"/>
              <w:spacing w:after="0"/>
              <w:rPr>
                <w:sz w:val="20"/>
                <w:szCs w:val="20"/>
                <w:color w:val="auto"/>
              </w:rPr>
            </w:pPr>
            <w:r>
              <w:rPr>
                <w:rFonts w:ascii="Arial" w:cs="Arial" w:eastAsia="Arial" w:hAnsi="Arial"/>
                <w:sz w:val="17"/>
                <w:szCs w:val="17"/>
                <w:color w:val="auto"/>
              </w:rPr>
              <w:t>116</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7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December 31, 2020</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780" w:type="dxa"/>
            <w:vAlign w:val="bottom"/>
            <w:vMerge w:val="restart"/>
          </w:tcPr>
          <w:p>
            <w:pPr>
              <w:spacing w:after="0"/>
              <w:rPr>
                <w:sz w:val="20"/>
                <w:szCs w:val="20"/>
                <w:color w:val="auto"/>
              </w:rPr>
            </w:pPr>
            <w:r>
              <w:rPr>
                <w:rFonts w:ascii="Arial" w:cs="Arial" w:eastAsia="Arial" w:hAnsi="Arial"/>
                <w:sz w:val="14"/>
                <w:szCs w:val="14"/>
                <w:color w:val="auto"/>
                <w:w w:val="85"/>
              </w:rPr>
              <w:t>(in thousands)</w:t>
            </w:r>
          </w:p>
        </w:tc>
        <w:tc>
          <w:tcPr>
            <w:tcW w:w="544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3"/>
          </w:tcPr>
          <w:p>
            <w:pPr>
              <w:spacing w:after="0" w:line="113" w:lineRule="exact"/>
              <w:rPr>
                <w:sz w:val="20"/>
                <w:szCs w:val="20"/>
                <w:color w:val="auto"/>
              </w:rPr>
            </w:pPr>
            <w:r>
              <w:rPr>
                <w:rFonts w:ascii="Arial" w:cs="Arial" w:eastAsia="Arial" w:hAnsi="Arial"/>
                <w:sz w:val="12"/>
                <w:szCs w:val="12"/>
                <w:b w:val="1"/>
                <w:bCs w:val="1"/>
                <w:color w:val="auto"/>
              </w:rPr>
              <w:t>Less Than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rPr>
              <w:t>More Than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780" w:type="dxa"/>
            <w:vAlign w:val="bottom"/>
            <w:tcBorders>
              <w:bottom w:val="single" w:sz="8" w:color="auto"/>
            </w:tcBorders>
            <w:vMerge w:val="continue"/>
          </w:tcPr>
          <w:p>
            <w:pPr>
              <w:spacing w:after="0"/>
              <w:rPr>
                <w:sz w:val="14"/>
                <w:szCs w:val="14"/>
                <w:color w:val="auto"/>
              </w:rPr>
            </w:pPr>
          </w:p>
        </w:tc>
        <w:tc>
          <w:tcPr>
            <w:tcW w:w="5440" w:type="dxa"/>
            <w:vAlign w:val="bottom"/>
            <w:vMerge w:val="continue"/>
          </w:tcPr>
          <w:p>
            <w:pPr>
              <w:spacing w:after="0"/>
              <w:rPr>
                <w:sz w:val="14"/>
                <w:szCs w:val="14"/>
                <w:color w:val="auto"/>
              </w:rPr>
            </w:pPr>
          </w:p>
        </w:tc>
        <w:tc>
          <w:tcPr>
            <w:tcW w:w="66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860" w:type="dxa"/>
            <w:vAlign w:val="bottom"/>
            <w:gridSpan w:val="3"/>
          </w:tcPr>
          <w:p>
            <w:pPr>
              <w:jc w:val="right"/>
              <w:ind w:right="280"/>
              <w:spacing w:after="0" w:line="147" w:lineRule="exact"/>
              <w:rPr>
                <w:sz w:val="20"/>
                <w:szCs w:val="20"/>
                <w:color w:val="auto"/>
              </w:rPr>
            </w:pPr>
            <w:r>
              <w:rPr>
                <w:rFonts w:ascii="Arial" w:cs="Arial" w:eastAsia="Arial" w:hAnsi="Arial"/>
                <w:sz w:val="14"/>
                <w:szCs w:val="14"/>
                <w:b w:val="1"/>
                <w:bCs w:val="1"/>
                <w:color w:val="auto"/>
                <w:w w:val="91"/>
              </w:rPr>
              <w:t>One Year</w:t>
            </w:r>
          </w:p>
        </w:tc>
        <w:tc>
          <w:tcPr>
            <w:tcW w:w="82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1-3 Years</w:t>
            </w:r>
          </w:p>
        </w:tc>
        <w:tc>
          <w:tcPr>
            <w:tcW w:w="8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3-5 Years</w:t>
            </w:r>
          </w:p>
        </w:tc>
        <w:tc>
          <w:tcPr>
            <w:tcW w:w="7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5"/>
              </w:rPr>
              <w:t>Five Years</w:t>
            </w:r>
          </w:p>
        </w:tc>
        <w:tc>
          <w:tcPr>
            <w:tcW w:w="0" w:type="dxa"/>
            <w:vAlign w:val="bottom"/>
          </w:tcPr>
          <w:p>
            <w:pPr>
              <w:spacing w:after="0"/>
              <w:rPr>
                <w:sz w:val="1"/>
                <w:szCs w:val="1"/>
                <w:color w:val="auto"/>
              </w:rPr>
            </w:pPr>
          </w:p>
        </w:tc>
      </w:tr>
      <w:tr>
        <w:trPr>
          <w:trHeight w:val="189"/>
        </w:trPr>
        <w:tc>
          <w:tcPr>
            <w:tcW w:w="6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Long-term Debt Obligations</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$472,742</w:t>
            </w: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4,680</w:t>
            </w: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9,360</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9,360</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$ 449,342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220" w:type="dxa"/>
            <w:vAlign w:val="bottom"/>
            <w:gridSpan w:val="2"/>
          </w:tcPr>
          <w:p>
            <w:pPr>
              <w:spacing w:after="0"/>
              <w:rPr>
                <w:sz w:val="20"/>
                <w:szCs w:val="20"/>
                <w:color w:val="auto"/>
              </w:rPr>
            </w:pPr>
            <w:r>
              <w:rPr>
                <w:rFonts w:ascii="Arial" w:cs="Arial" w:eastAsia="Arial" w:hAnsi="Arial"/>
                <w:sz w:val="17"/>
                <w:szCs w:val="17"/>
                <w:color w:val="auto"/>
              </w:rPr>
              <w:t>Operating Lease Obligations</w:t>
            </w:r>
            <w:r>
              <w:rPr>
                <w:rFonts w:ascii="Arial" w:cs="Arial" w:eastAsia="Arial" w:hAnsi="Arial"/>
                <w:sz w:val="14"/>
                <w:szCs w:val="14"/>
                <w:color w:val="auto"/>
              </w:rPr>
              <w:t>(1)</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17,072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3,035</w:t>
            </w:r>
          </w:p>
        </w:tc>
        <w:tc>
          <w:tcPr>
            <w:tcW w:w="100" w:type="dxa"/>
            <w:vAlign w:val="bottom"/>
          </w:tcPr>
          <w:p>
            <w:pPr>
              <w:spacing w:after="0"/>
              <w:rPr>
                <w:sz w:val="17"/>
                <w:szCs w:val="17"/>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4,716</w:t>
            </w:r>
          </w:p>
        </w:tc>
        <w:tc>
          <w:tcPr>
            <w:tcW w:w="10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rPr>
              <w:t>4,531</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4,790</w:t>
            </w:r>
          </w:p>
        </w:tc>
        <w:tc>
          <w:tcPr>
            <w:tcW w:w="0" w:type="dxa"/>
            <w:vAlign w:val="bottom"/>
          </w:tcPr>
          <w:p>
            <w:pPr>
              <w:spacing w:after="0"/>
              <w:rPr>
                <w:sz w:val="1"/>
                <w:szCs w:val="1"/>
                <w:color w:val="auto"/>
              </w:rPr>
            </w:pPr>
          </w:p>
        </w:tc>
      </w:tr>
      <w:tr>
        <w:trPr>
          <w:trHeight w:val="204"/>
        </w:trPr>
        <w:tc>
          <w:tcPr>
            <w:tcW w:w="6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14"/>
                <w:szCs w:val="14"/>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22,046</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5,396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10,355</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6,295</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u w:val="single" w:color="auto"/>
                <w:color w:val="auto"/>
                <w:w w:val="81"/>
              </w:rPr>
              <w:t>$</w:t>
            </w:r>
            <w:r>
              <w:rPr>
                <w:rFonts w:ascii="Arial" w:cs="Arial" w:eastAsia="Arial" w:hAnsi="Arial"/>
                <w:sz w:val="17"/>
                <w:szCs w:val="17"/>
                <w:color w:val="auto"/>
                <w:w w:val="81"/>
              </w:rPr>
              <w:t xml:space="preserve"> 511,860</w:t>
            </w:r>
          </w:p>
        </w:tc>
        <w:tc>
          <w:tcPr>
            <w:tcW w:w="2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13,111</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w w:val="88"/>
              </w:rPr>
              <w:t>24,431</w:t>
            </w:r>
          </w:p>
        </w:tc>
        <w:tc>
          <w:tcPr>
            <w:tcW w:w="100" w:type="dxa"/>
            <w:vAlign w:val="bottom"/>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tcPr>
          <w:p>
            <w:pPr>
              <w:jc w:val="right"/>
              <w:ind w:right="260"/>
              <w:spacing w:after="0"/>
              <w:rPr>
                <w:sz w:val="20"/>
                <w:szCs w:val="20"/>
                <w:color w:val="auto"/>
              </w:rPr>
            </w:pPr>
            <w:r>
              <w:rPr>
                <w:rFonts w:ascii="Arial" w:cs="Arial" w:eastAsia="Arial" w:hAnsi="Arial"/>
                <w:sz w:val="17"/>
                <w:szCs w:val="17"/>
                <w:color w:val="auto"/>
                <w:w w:val="88"/>
              </w:rPr>
              <w:t>20,186</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$ 454,132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840" w:right="540" w:hanging="406"/>
        <w:spacing w:after="0" w:line="291" w:lineRule="auto"/>
        <w:tabs>
          <w:tab w:leader="none" w:pos="8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Operating lease obligations consist of minimum rental payments under noncancelable operating leases of office space as shown in Note 11. Commitments and Contingencies to the audited consolidated financial statements are included elsewhere in this prospectus.</w:t>
      </w:r>
    </w:p>
    <w:p>
      <w:pPr>
        <w:ind w:left="840" w:hanging="406"/>
        <w:spacing w:after="0"/>
        <w:tabs>
          <w:tab w:leader="none" w:pos="8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Minimum purchase obligations are legally binding agreements entered into in the normal course of business.</w:t>
      </w:r>
    </w:p>
    <w:p>
      <w:pPr>
        <w:spacing w:after="0" w:line="200" w:lineRule="exact"/>
        <w:rPr>
          <w:sz w:val="20"/>
          <w:szCs w:val="20"/>
          <w:color w:val="auto"/>
        </w:rPr>
      </w:pPr>
    </w:p>
    <w:p>
      <w:pPr>
        <w:ind w:left="440" w:right="40" w:firstLine="415"/>
        <w:spacing w:after="0" w:line="291" w:lineRule="auto"/>
        <w:rPr>
          <w:sz w:val="20"/>
          <w:szCs w:val="20"/>
          <w:color w:val="auto"/>
        </w:rPr>
      </w:pPr>
      <w:r>
        <w:rPr>
          <w:rFonts w:ascii="Arial" w:cs="Arial" w:eastAsia="Arial" w:hAnsi="Arial"/>
          <w:sz w:val="15"/>
          <w:szCs w:val="15"/>
          <w:color w:val="auto"/>
        </w:rPr>
        <w:t>Other contractual obligations recorded on the balance sheet include the Monocl acquisition earn-out liability of $7.1 million and $5.2 million as of June 30, 2021 and December 31, 2020, respectively. The Company had the potential to make a maximum of $13.5 million and a minimum of</w:t>
      </w:r>
    </w:p>
    <w:p>
      <w:pPr>
        <w:ind w:left="440" w:right="60"/>
        <w:spacing w:after="0" w:line="290" w:lineRule="auto"/>
        <w:rPr>
          <w:sz w:val="20"/>
          <w:szCs w:val="20"/>
          <w:color w:val="auto"/>
        </w:rPr>
      </w:pPr>
      <w:r>
        <w:rPr>
          <w:rFonts w:ascii="Arial" w:cs="Arial" w:eastAsia="Arial" w:hAnsi="Arial"/>
          <w:sz w:val="16"/>
          <w:szCs w:val="16"/>
          <w:color w:val="auto"/>
        </w:rPr>
        <w:t>$0.0 million (undiscounted) in earn-out payments at June 30, 2021. In April 2021, a first payment of $1.5 million was made. Assuming the achievement of the applicable performance criteria, the second and last earn-out payment of $10 million or less will be made in April 2022.</w:t>
      </w:r>
    </w:p>
    <w:p>
      <w:pPr>
        <w:spacing w:after="0" w:line="154" w:lineRule="exact"/>
        <w:rPr>
          <w:sz w:val="20"/>
          <w:szCs w:val="20"/>
          <w:color w:val="auto"/>
        </w:rPr>
      </w:pPr>
    </w:p>
    <w:p>
      <w:pPr>
        <w:ind w:left="440" w:right="20" w:firstLine="415"/>
        <w:spacing w:after="0" w:line="312" w:lineRule="auto"/>
        <w:rPr>
          <w:sz w:val="20"/>
          <w:szCs w:val="20"/>
          <w:color w:val="auto"/>
        </w:rPr>
      </w:pPr>
      <w:r>
        <w:rPr>
          <w:rFonts w:ascii="Arial" w:cs="Arial" w:eastAsia="Arial" w:hAnsi="Arial"/>
          <w:sz w:val="15"/>
          <w:szCs w:val="15"/>
          <w:color w:val="auto"/>
        </w:rPr>
        <w:t>The payments we may be required to make under the Tax Receivable Agreement that we will enter into upon completion of this offering may be significant and are not reflected in the contractual obligations tables set forth above, as we are currently unable to estimate the amounts and timing of the payments that may be due thereunder. See “Organizational Structure—Holding Company Structure and the Tax Receivable Agreement.”</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As of June 30, 2021 and December 31, 2020, we had no off-balance sheet arrangements.</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4"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We prepare our consolidated financial statements in accordance with GAAP in the U.S. While the majority of our revenue, expenses, assets and liabilities are not based on estimates, there are certain accounting principles that requires management to make judgement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may be affected.</w:t>
      </w:r>
    </w:p>
    <w:p>
      <w:pPr>
        <w:spacing w:after="0" w:line="159"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Our significant accounting policies are discussed in Note 2. Summary of Significant Accounting Policies to our consolidated financial statements included elsewhere in this prospectus;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0820"/>
          </w:cols>
          <w:pgMar w:left="320" w:top="442" w:right="75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1"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We recognize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6"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176" w:lineRule="exact"/>
        <w:rPr>
          <w:sz w:val="20"/>
          <w:szCs w:val="20"/>
          <w:color w:val="auto"/>
        </w:rPr>
      </w:pPr>
    </w:p>
    <w:p>
      <w:pPr>
        <w:ind w:left="440" w:right="240" w:firstLine="415"/>
        <w:spacing w:after="0" w:line="257" w:lineRule="auto"/>
        <w:rPr>
          <w:sz w:val="20"/>
          <w:szCs w:val="20"/>
          <w:color w:val="auto"/>
        </w:rPr>
      </w:pPr>
      <w:r>
        <w:rPr>
          <w:rFonts w:ascii="Arial" w:cs="Arial" w:eastAsia="Arial" w:hAnsi="Arial"/>
          <w:sz w:val="17"/>
          <w:szCs w:val="17"/>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0"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0" w:lineRule="exact"/>
        <w:rPr>
          <w:sz w:val="20"/>
          <w:szCs w:val="20"/>
          <w:color w:val="auto"/>
        </w:rPr>
      </w:pPr>
    </w:p>
    <w:p>
      <w:pPr>
        <w:ind w:left="440" w:right="100" w:firstLine="415"/>
        <w:spacing w:after="0" w:line="291" w:lineRule="auto"/>
        <w:rPr>
          <w:sz w:val="20"/>
          <w:szCs w:val="20"/>
          <w:color w:val="auto"/>
        </w:rPr>
      </w:pPr>
      <w:r>
        <w:rPr>
          <w:rFonts w:ascii="Arial" w:cs="Arial" w:eastAsia="Arial" w:hAnsi="Arial"/>
          <w:sz w:val="15"/>
          <w:szCs w:val="15"/>
          <w:color w:val="auto"/>
        </w:rPr>
        <w:t>We account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59"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540" w:firstLine="415"/>
        <w:spacing w:after="0" w:line="273" w:lineRule="auto"/>
        <w:rPr>
          <w:sz w:val="20"/>
          <w:szCs w:val="20"/>
          <w:color w:val="auto"/>
        </w:rPr>
      </w:pPr>
      <w:r>
        <w:rPr>
          <w:rFonts w:ascii="Arial" w:cs="Arial" w:eastAsia="Arial" w:hAnsi="Arial"/>
          <w:sz w:val="17"/>
          <w:szCs w:val="17"/>
          <w:color w:val="auto"/>
        </w:rPr>
        <w:t>We account for business combinations using the acquisition method in accordance with ASC 805—</w:t>
      </w:r>
      <w:r>
        <w:rPr>
          <w:rFonts w:ascii="Arial" w:cs="Arial" w:eastAsia="Arial" w:hAnsi="Arial"/>
          <w:sz w:val="17"/>
          <w:szCs w:val="17"/>
          <w:i w:val="1"/>
          <w:iCs w:val="1"/>
          <w:color w:val="auto"/>
        </w:rPr>
        <w:t>Business Combinations</w:t>
      </w:r>
      <w:r>
        <w:rPr>
          <w:rFonts w:ascii="Arial" w:cs="Arial" w:eastAsia="Arial" w:hAnsi="Arial"/>
          <w:sz w:val="17"/>
          <w:szCs w:val="17"/>
          <w:color w:val="auto"/>
        </w:rPr>
        <w:t>. Each acquired company’s results of operations are included in our consolidated financial</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0780"/>
          </w:cols>
          <w:pgMar w:left="320" w:top="442" w:right="79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71" w:lineRule="auto"/>
        <w:rPr>
          <w:sz w:val="20"/>
          <w:szCs w:val="20"/>
          <w:color w:val="auto"/>
        </w:rPr>
      </w:pPr>
      <w:r>
        <w:rPr>
          <w:rFonts w:ascii="Arial" w:cs="Arial" w:eastAsia="Arial" w:hAnsi="Arial"/>
          <w:sz w:val="16"/>
          <w:szCs w:val="16"/>
          <w:color w:val="auto"/>
        </w:rPr>
        <w:t>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7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3"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62"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Impairment of Goodwill</w:t>
      </w:r>
    </w:p>
    <w:p>
      <w:pPr>
        <w:spacing w:after="0" w:line="110" w:lineRule="exact"/>
        <w:rPr>
          <w:sz w:val="20"/>
          <w:szCs w:val="20"/>
          <w:color w:val="auto"/>
        </w:rPr>
      </w:pPr>
    </w:p>
    <w:p>
      <w:pPr>
        <w:ind w:left="440" w:right="40" w:firstLine="415"/>
        <w:spacing w:after="0" w:line="252" w:lineRule="auto"/>
        <w:rPr>
          <w:sz w:val="20"/>
          <w:szCs w:val="20"/>
          <w:color w:val="auto"/>
        </w:rPr>
      </w:pPr>
      <w:r>
        <w:rPr>
          <w:rFonts w:ascii="Arial" w:cs="Arial" w:eastAsia="Arial" w:hAnsi="Arial"/>
          <w:sz w:val="17"/>
          <w:szCs w:val="17"/>
          <w:color w:val="auto"/>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0800"/>
          </w:cols>
          <w:pgMar w:left="320" w:top="442" w:right="77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160" w:firstLine="415"/>
        <w:spacing w:after="0" w:line="312" w:lineRule="auto"/>
        <w:rPr>
          <w:sz w:val="20"/>
          <w:szCs w:val="20"/>
          <w:color w:val="auto"/>
        </w:rPr>
      </w:pPr>
      <w:r>
        <w:rPr>
          <w:rFonts w:ascii="Arial" w:cs="Arial" w:eastAsia="Arial" w:hAnsi="Arial"/>
          <w:sz w:val="15"/>
          <w:szCs w:val="15"/>
          <w:color w:val="auto"/>
        </w:rPr>
        <w:t>We periodically grant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1"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In June 2018, the FASB issued ASU No. 2018-07—</w:t>
      </w:r>
      <w:r>
        <w:rPr>
          <w:rFonts w:ascii="Arial" w:cs="Arial" w:eastAsia="Arial" w:hAnsi="Arial"/>
          <w:sz w:val="15"/>
          <w:szCs w:val="15"/>
          <w:i w:val="1"/>
          <w:iCs w:val="1"/>
          <w:color w:val="auto"/>
        </w:rPr>
        <w:t>Compensation—Stock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which is required to be applied prospectively for fiscal years beginning after December 15, 2019 and interim periods within fiscal</w:t>
      </w:r>
      <w:r>
        <w:rPr>
          <w:rFonts w:ascii="Arial" w:cs="Arial" w:eastAsia="Arial" w:hAnsi="Arial"/>
          <w:sz w:val="15"/>
          <w:szCs w:val="15"/>
          <w:i w:val="1"/>
          <w:iCs w:val="1"/>
          <w:color w:val="auto"/>
        </w:rPr>
        <w:t xml:space="preserve"> </w:t>
      </w:r>
      <w:r>
        <w:rPr>
          <w:rFonts w:ascii="Arial" w:cs="Arial" w:eastAsia="Arial" w:hAnsi="Arial"/>
          <w:sz w:val="15"/>
          <w:szCs w:val="15"/>
          <w:color w:val="auto"/>
        </w:rPr>
        <w:t>years beginning after December 15, 2020, with early adoption permitted, and aligns most of the guidance on share-based payments to nonemployees with share-based payments to employees. Effective January 1, 2020, we adopted the guidance in its 2020 consolidated financial statements with</w:t>
      </w:r>
    </w:p>
    <w:p>
      <w:pPr>
        <w:spacing w:after="0" w:line="1" w:lineRule="exact"/>
        <w:rPr>
          <w:sz w:val="20"/>
          <w:szCs w:val="20"/>
          <w:color w:val="auto"/>
        </w:rPr>
      </w:pPr>
    </w:p>
    <w:p>
      <w:pPr>
        <w:ind w:left="440" w:right="40"/>
        <w:spacing w:after="0" w:line="271" w:lineRule="auto"/>
        <w:rPr>
          <w:sz w:val="20"/>
          <w:szCs w:val="20"/>
          <w:color w:val="auto"/>
        </w:rPr>
      </w:pPr>
      <w:r>
        <w:rPr>
          <w:rFonts w:ascii="Arial" w:cs="Arial" w:eastAsia="Arial" w:hAnsi="Arial"/>
          <w:sz w:val="16"/>
          <w:szCs w:val="16"/>
          <w:color w:val="auto"/>
        </w:rPr>
        <w:t>no impact. We account for these profit interest units in accordance with ASC 718—</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Equity-based compensation is recognized on a straight-line basis over the requisite service period of the award, which is generally the vesting period of the respective award, based on their grant-date fair value. For the units which have a performance condition, we recognize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1" w:lineRule="exact"/>
        <w:rPr>
          <w:sz w:val="20"/>
          <w:szCs w:val="20"/>
          <w:color w:val="auto"/>
        </w:rPr>
      </w:pPr>
    </w:p>
    <w:p>
      <w:pPr>
        <w:ind w:left="440" w:right="140" w:firstLine="415"/>
        <w:spacing w:after="0" w:line="295" w:lineRule="auto"/>
        <w:rPr>
          <w:sz w:val="20"/>
          <w:szCs w:val="20"/>
          <w:color w:val="auto"/>
        </w:rPr>
      </w:pPr>
      <w:r>
        <w:rPr>
          <w:rFonts w:ascii="Arial" w:cs="Arial" w:eastAsia="Arial" w:hAnsi="Arial"/>
          <w:sz w:val="15"/>
          <w:szCs w:val="15"/>
          <w:color w:val="auto"/>
        </w:rPr>
        <w:t>We assess the fair value of the awards as of the grant date. The fair value of the units is estimated using a two-step process. First, our enterprise value is established using generally accepted valuation methodologies, including discounted cash flow analysis, guideline comparable public company analysis, and comparable transaction method. Second, the enterprise value is then allocated among the securities that comprise our capital structure using an option-pricing method based on the Black-Scholes model. For performance-based units, we used a Monte Carlo simulation analysis, which captures the impact of the performance vesting conditions to value the performance-based units. The use of the Black-Scholes model and the Monte Carlo simulation requires us to make estimates and assumptions, such as expected volatility, expected term and expected risk-free interest rate.</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Accounting for Income Taxes</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Definitive OpCo is taxed as a partnership. DH Holdings is a wholly owned subsidiary of Definitive OpCo and is treated as a disregarded entity for income tax purposes. Accordingly, for federal and state income tax purposes, income, losses, and other tax attributes not generated by the HSE or Monocl subsidiaries pass through to the Definitive OpCo members’ individual income tax returns. Definitive OpCo may be subject to certain taxes on behalf of its members in certain states. Definitive Healthcare Corp. was not subject to any federal income taxes for the six months ended June 30, 2021, or the tax years ended December 31, 2020 and 2019, nor was it subject to state income taxes in certain jurisdictions for the tax years ended December 31, 2020 and 2019.</w:t>
      </w:r>
    </w:p>
    <w:p>
      <w:pPr>
        <w:spacing w:after="0" w:line="183" w:lineRule="exact"/>
        <w:rPr>
          <w:sz w:val="20"/>
          <w:szCs w:val="20"/>
          <w:color w:val="auto"/>
        </w:rPr>
      </w:pPr>
    </w:p>
    <w:p>
      <w:pPr>
        <w:ind w:left="440" w:right="40" w:firstLine="415"/>
        <w:spacing w:after="0" w:line="272"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We have provided for these taxes. The aggregate of such taxes is not material and is included in general and administrative expenses in the accompanied statement of operations.</w:t>
      </w:r>
    </w:p>
    <w:p>
      <w:pPr>
        <w:spacing w:after="0" w:line="169"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7"/>
          <w:szCs w:val="17"/>
          <w:color w:val="auto"/>
        </w:rPr>
        <w:t>After the Reorganization Transactions and the consummation of this offering, Definitive OpCo will continue to be treated as a pass-through entity partnership. Definitive Healthcare Corp. will become subject to</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0800"/>
          </w:cols>
          <w:pgMar w:left="320" w:top="442" w:right="77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40"/>
        <w:spacing w:after="0" w:line="255" w:lineRule="auto"/>
        <w:rPr>
          <w:sz w:val="20"/>
          <w:szCs w:val="20"/>
          <w:color w:val="auto"/>
        </w:rPr>
      </w:pPr>
      <w:r>
        <w:rPr>
          <w:rFonts w:ascii="Arial" w:cs="Arial" w:eastAsia="Arial" w:hAnsi="Arial"/>
          <w:sz w:val="17"/>
          <w:szCs w:val="17"/>
          <w:color w:val="auto"/>
        </w:rPr>
        <w:t>U.S. federal, state and local income taxes with respect to our allocable share of any taxable income of Definitive OpCo and will be taxed at the prevailing corporate tax rates. In addition to tax expenses, we will also make payments under the Tax Receivable Agreement, which we expect to be significant. We anticipate that we will account for the income tax effects and corresponding Tax Receivable Agreement’s effects resulting from future taxable exchanges of LLC Units of Continuing Pre-IPO LLC Members by us or Definitive OpCo by recognizing an increase in our deferred tax assets, based on enacted tax rates at the date of the purchase or exchange.</w:t>
      </w:r>
    </w:p>
    <w:p>
      <w:pPr>
        <w:spacing w:after="0" w:line="183" w:lineRule="exact"/>
        <w:rPr>
          <w:sz w:val="20"/>
          <w:szCs w:val="20"/>
          <w:color w:val="auto"/>
        </w:rPr>
      </w:pPr>
    </w:p>
    <w:p>
      <w:pPr>
        <w:ind w:left="440" w:firstLine="415"/>
        <w:spacing w:after="0" w:line="290" w:lineRule="auto"/>
        <w:rPr>
          <w:sz w:val="20"/>
          <w:szCs w:val="20"/>
          <w:color w:val="auto"/>
        </w:rPr>
      </w:pPr>
      <w:r>
        <w:rPr>
          <w:rFonts w:ascii="Arial" w:cs="Arial" w:eastAsia="Arial" w:hAnsi="Arial"/>
          <w:sz w:val="15"/>
          <w:szCs w:val="15"/>
          <w:color w:val="auto"/>
        </w:rPr>
        <w:t>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exchange as a reduction to shareholders’ equity, and the effects of changes in any of our estimates after this date will be included in net income (loss). Similarly, the effect of subsequent changes in the enacted tax rates will be included in net income.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159" w:lineRule="exact"/>
        <w:rPr>
          <w:sz w:val="20"/>
          <w:szCs w:val="20"/>
          <w:color w:val="auto"/>
        </w:rPr>
      </w:pPr>
    </w:p>
    <w:p>
      <w:pPr>
        <w:jc w:val="both"/>
        <w:ind w:left="440" w:right="100" w:firstLine="415"/>
        <w:spacing w:after="0" w:line="257"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Income Taxes</w:t>
      </w:r>
      <w:r>
        <w:rPr>
          <w:rFonts w:ascii="Arial" w:cs="Arial" w:eastAsia="Arial" w:hAnsi="Arial"/>
          <w:sz w:val="17"/>
          <w:szCs w:val="17"/>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we did not have any uncertain tax positions.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JOBS Act Accounting Election</w:t>
      </w:r>
    </w:p>
    <w:p>
      <w:pPr>
        <w:spacing w:after="0" w:line="11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110"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For a summary of recent accounting pronouncements applicable to our consolidated financial statements, see Note 2 to our historical consolidated financial statements included elsewhere in this prospectus.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14" w:lineRule="exact"/>
        <w:rPr>
          <w:sz w:val="20"/>
          <w:szCs w:val="20"/>
          <w:color w:val="auto"/>
        </w:rPr>
      </w:pPr>
    </w:p>
    <w:p>
      <w:pPr>
        <w:ind w:left="440" w:right="300" w:firstLine="415"/>
        <w:spacing w:after="0" w:line="306" w:lineRule="auto"/>
        <w:rPr>
          <w:sz w:val="20"/>
          <w:szCs w:val="20"/>
          <w:color w:val="auto"/>
        </w:rPr>
      </w:pPr>
      <w:r>
        <w:rPr>
          <w:rFonts w:ascii="Arial" w:cs="Arial" w:eastAsia="Arial" w:hAnsi="Arial"/>
          <w:sz w:val="16"/>
          <w:szCs w:val="16"/>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1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Our cash, cash equivalents, and marketable securities primarily consist of cash on hand and highly liquid investments in money market funds and U.S. government securities. As of June 30, 2021 and December 31, 2020 we had cash and cash equivalents of $38.4 million and $24.8 million, respectively.</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0800"/>
          </w:cols>
          <w:pgMar w:left="320" w:top="442" w:right="77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Our operating results are subject to market risk from interest rate fluctuations on our Term Loans, which bears a variable interest rate based on the Eurodollar Rate. As of December 31, 2020, the total principal balance outstanding was $472.7 million. At June 30, 2021, the total principal balance outstanding was $470.4 million. A hypothetical 1.0% increase or decrease in the interest rate associated with borrowings under the Credit Agreement would have resulted in a $4.8 million impact to interest expense for the year ended December 31, 2020, and a $2.9 million impact for the six months ended June 30, 2021.</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Foreign Currency Exchange Risk</w:t>
      </w:r>
    </w:p>
    <w:p>
      <w:pPr>
        <w:spacing w:after="0" w:line="110"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To date, our sales contracts have been denominated in U.S. dollars. We have one foreign entity established in Sweden. The functional currency of this foreign subsidiary is the Swedish Krona.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Impact of Inflation</w:t>
      </w:r>
    </w:p>
    <w:p>
      <w:pPr>
        <w:spacing w:after="0" w:line="110"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Credit Risk</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0800"/>
          </w:cols>
          <w:pgMar w:left="320" w:top="442" w:right="77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193040</wp:posOffset>
            </wp:positionV>
            <wp:extent cx="4911090" cy="635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11090" cy="635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0139"/>
          </w:cols>
          <w:pgMar w:left="320" w:top="442" w:right="1440"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 Letter from Jason Krantz, CEO and Founder</w:t>
      </w:r>
    </w:p>
    <w:p>
      <w:pPr>
        <w:spacing w:after="0" w:line="114" w:lineRule="exact"/>
        <w:rPr>
          <w:sz w:val="20"/>
          <w:szCs w:val="20"/>
          <w:color w:val="auto"/>
        </w:rPr>
      </w:pPr>
    </w:p>
    <w:p>
      <w:pPr>
        <w:jc w:val="both"/>
        <w:ind w:left="440" w:right="180" w:firstLine="415"/>
        <w:spacing w:after="0" w:line="261" w:lineRule="auto"/>
        <w:rPr>
          <w:sz w:val="20"/>
          <w:szCs w:val="20"/>
          <w:color w:val="auto"/>
        </w:rPr>
      </w:pPr>
      <w:r>
        <w:rPr>
          <w:rFonts w:ascii="Arial" w:cs="Arial" w:eastAsia="Arial" w:hAnsi="Arial"/>
          <w:sz w:val="17"/>
          <w:szCs w:val="17"/>
          <w:color w:val="auto"/>
        </w:rPr>
        <w:t>At Definitive Healthcare, our passion is to transform data, analytics and expertise into healthcare commercial intelligence. For me, that journey started long before Definitive Healthcare. Turning data into intelligence to drive strategic and tactical decisions is at the heart of everything that I have done over the course of my 25-year career.</w:t>
      </w:r>
    </w:p>
    <w:p>
      <w:pPr>
        <w:spacing w:after="0" w:line="176"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My obsession with data and analytics started when I was an analyst at McKinsey &amp; Company, where we helped our clients collect and analyze their internal data to identify their biggest and best opportunities. After witnessing the power of data and analytics first-hand, I saw a huge opportunity to industrialize information.</w:t>
      </w:r>
    </w:p>
    <w:p>
      <w:pPr>
        <w:spacing w:after="0" w:line="176"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In 2000, during the dot-com boom, I started my first SaaS data and analytics software business. I was in my second year at Harvard Business School and everyone in my class was looking to join the next hot start-up. But I kept thinking about the opportunity to industrialize information, so I took a slightly different path by starting my own business – Infinata, a software company to help biotechnology and pharmaceutical companies research, analyze and develop investigational drug pipelines.</w:t>
      </w:r>
    </w:p>
    <w:p>
      <w:pPr>
        <w:spacing w:after="0" w:line="180" w:lineRule="exact"/>
        <w:rPr>
          <w:sz w:val="20"/>
          <w:szCs w:val="20"/>
          <w:color w:val="auto"/>
        </w:rPr>
      </w:pPr>
    </w:p>
    <w:p>
      <w:pPr>
        <w:ind w:left="440" w:right="80" w:firstLine="415"/>
        <w:spacing w:after="0" w:line="302" w:lineRule="auto"/>
        <w:rPr>
          <w:sz w:val="20"/>
          <w:szCs w:val="20"/>
          <w:color w:val="auto"/>
        </w:rPr>
      </w:pPr>
      <w:r>
        <w:rPr>
          <w:rFonts w:ascii="Arial" w:cs="Arial" w:eastAsia="Arial" w:hAnsi="Arial"/>
          <w:sz w:val="15"/>
          <w:szCs w:val="15"/>
          <w:color w:val="auto"/>
        </w:rPr>
        <w:t>Between course work, I raised a small seed round of financing and landed a six-figure client before graduation. Things got a bit rocky when the Internet bubble burst, but those were the years when I learned the most. I learned how to be capital-efficient and how important it is to measure every aspect of your business. But the biggest lesson that I learned was the importance of surrounding yourself with amazing, mission-driven people. We built a great team and a great platform at Infinata over the next seven years and successfully sold the company to the Financial Times Group in 2007.</w:t>
      </w:r>
    </w:p>
    <w:p>
      <w:pPr>
        <w:spacing w:after="0" w:line="149"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After the sale of Infinata, I wanted to start something that could have a bigger impact on the world. I knew a lot about healthcare already and spent the next few years workshopping ideas, reading a lot and talking to hundreds of people in different roles across the healthcare industry. I kept hearing the same things over and over:</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amount of data in healthcare is exploding due to electronic health records.”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“Precision medicine is going to change the way pharmaceutical companies interact with providers and patients.”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“Constant regulatory changes make it very hard to sell into healthcare.”</w:t>
      </w:r>
    </w:p>
    <w:p>
      <w:pPr>
        <w:spacing w:after="0" w:line="212"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Healthcare was, and is, a huge and growing market — making up nearly a fifth of the US GDP. At the time, healthcare was rapidly digitizing all aspects of the industry, leading to new complexity and vast amounts of unconnected raw data, sitting in online and offline locations. For companies who wanted to sell into the healthcare market, it was increasingly difficult to navigate this landscape and identify the relevant information, much less extract any meaningful insights. Companies were making critical investment decisions around research and development, strategy, and the allocation of sales and marketing resources with little to no intelligence. As a result, organizations were misallocating significant investment dollars and making sub-optimal decisions.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Launching Definitive Healthcare</w:t>
      </w:r>
    </w:p>
    <w:p>
      <w:pPr>
        <w:spacing w:after="0" w:line="114" w:lineRule="exact"/>
        <w:rPr>
          <w:sz w:val="20"/>
          <w:szCs w:val="20"/>
          <w:color w:val="auto"/>
        </w:rPr>
      </w:pPr>
    </w:p>
    <w:p>
      <w:pPr>
        <w:ind w:left="440" w:right="140" w:firstLine="415"/>
        <w:spacing w:after="0" w:line="298" w:lineRule="auto"/>
        <w:rPr>
          <w:sz w:val="20"/>
          <w:szCs w:val="20"/>
          <w:color w:val="auto"/>
        </w:rPr>
      </w:pPr>
      <w:r>
        <w:rPr>
          <w:rFonts w:ascii="Arial" w:cs="Arial" w:eastAsia="Arial" w:hAnsi="Arial"/>
          <w:sz w:val="15"/>
          <w:szCs w:val="15"/>
          <w:color w:val="auto"/>
        </w:rPr>
        <w:t>I launched Definitive Healthcare with a simple vision – to provide companies with an intelligence platform that helps them compete and sell into the healthcare ecosystem. Over the past 10 years, we have done just that. We have built a longitudinal set of intelligence through proprietary research technologies, powerful data science and healthcare subject matter expertise that we do not see elsewhere. We deliver this intelligence through an intuitive SaaS platform that provides our customers with access to data, analytics and expertise in real-time to answer their most pressing commercial questions. With Definitive Healthcare, our customers create new paths to commercial success in the healthcare market.</w:t>
      </w:r>
    </w:p>
    <w:p>
      <w:pPr>
        <w:spacing w:after="0" w:line="8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0820"/>
          </w:cols>
          <w:pgMar w:left="320" w:top="442" w:right="75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420" w:firstLine="415"/>
        <w:spacing w:after="0" w:line="261" w:lineRule="auto"/>
        <w:rPr>
          <w:sz w:val="20"/>
          <w:szCs w:val="20"/>
          <w:color w:val="auto"/>
        </w:rPr>
      </w:pPr>
      <w:r>
        <w:rPr>
          <w:rFonts w:ascii="Arial" w:cs="Arial" w:eastAsia="Arial" w:hAnsi="Arial"/>
          <w:sz w:val="17"/>
          <w:szCs w:val="17"/>
          <w:color w:val="auto"/>
        </w:rPr>
        <w:t>One of the keys to our success at Definitive Healthcare is our mission-driven culture. It is a culture of innovation and execution. A culture of fairness and equity. A culture of giving back to the community. People join Definitive Healthcare because they want to help solve big problems in healthcare and they want to be part of something larger than themselves.</w:t>
      </w:r>
    </w:p>
    <w:p>
      <w:pPr>
        <w:spacing w:after="0" w:line="176"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Our focus on culture is paying off. Our team – now more than 550 people strong – has taken the original idea that I had for Definitive Healthcare way beyond anything that I could have imagined ten years ago. That is what happens when you hire the best and the brightest and give them the freedom to innovate, create and collaborate. We are a decisive group and we are not afraid to take risks. Every idea is considered, debated and then we pick the best ones to help our clients. We are a meritocracy in every sense of the word. This culture not only makes us successful; but it also makes Definitive Healthcare a place where people want to come to work and where they enjoy their time – a fact supported by our multiple Best Place to Work awards.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Journey Is Just Starting</w:t>
      </w:r>
    </w:p>
    <w:p>
      <w:pPr>
        <w:spacing w:after="0" w:line="114" w:lineRule="exact"/>
        <w:rPr>
          <w:sz w:val="20"/>
          <w:szCs w:val="20"/>
          <w:color w:val="auto"/>
        </w:rPr>
      </w:pPr>
    </w:p>
    <w:p>
      <w:pPr>
        <w:ind w:left="440" w:right="40" w:firstLine="415"/>
        <w:spacing w:after="0" w:line="279" w:lineRule="auto"/>
        <w:rPr>
          <w:sz w:val="20"/>
          <w:szCs w:val="20"/>
          <w:color w:val="auto"/>
        </w:rPr>
      </w:pPr>
      <w:r>
        <w:rPr>
          <w:rFonts w:ascii="Arial" w:cs="Arial" w:eastAsia="Arial" w:hAnsi="Arial"/>
          <w:sz w:val="16"/>
          <w:szCs w:val="16"/>
          <w:color w:val="auto"/>
        </w:rPr>
        <w:t>Definitive Healthcare has come a long way in our first decade of existence, but we have just scratched the surface of what we can achieve. By our estimates, we have only reached 3% of our potential customers. While our platform today can already do so much to help our customers achieve commercial success, they continue to tell us how many new problems that we can help them solve. So, we are constantly investing in new software, new data, new algorithms and new markets to help our clients grow their business, which in turn grows our business.</w:t>
      </w:r>
    </w:p>
    <w:p>
      <w:pPr>
        <w:spacing w:after="0" w:line="162"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We are in the early innings in the growth of the healthcare commercial intelligence market, as healthcare continues to play a critical role in our economy and our personal lives. And as the pace of change in healthcare accelerates, Definitive Healthcare stands ready to help our clients understand, navigate, compete and sell into the healthcare market.</w:t>
      </w:r>
    </w:p>
    <w:p>
      <w:pPr>
        <w:spacing w:after="0" w:line="176"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I could not be more excited about the team we have built and their ability to continue to take on new challenges to solve increasingly complex problems for our customers. The team is not only talented, but feels a sense of responsibility to our customers, to creating a great business and to making an impact on the world. And each day, this team is inspired by what our more than 2,600 customers can accomplish with our suite of solutions. Our customers identify their significant market opportunities, find underdiagnosed patients, create viable go-to-market strategies and use evidence-based intelligence to create new paths to commercial success. Our clients are shaping the healthcare industry of tomorrow, and we could not be more proud to be a part of their success.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 invite you to join us on the next phase of the Definitive Healthcare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158115</wp:posOffset>
            </wp:positionV>
            <wp:extent cx="3424555" cy="5816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4555" cy="58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Jason Krantz</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CEO and Founder</w:t>
      </w:r>
    </w:p>
    <w:p>
      <w:pPr>
        <w:spacing w:after="0" w:line="13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0820"/>
          </w:cols>
          <w:pgMar w:left="320" w:top="442" w:right="75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BUSINESS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Mission</w:t>
      </w:r>
    </w:p>
    <w:p>
      <w:pPr>
        <w:spacing w:after="0" w:line="114"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7"/>
          <w:szCs w:val="17"/>
          <w:color w:val="auto"/>
        </w:rPr>
        <w:t>Our mission is to make the complex healthcare ecosystem easier to analyze, navigate and sell into by providing a comprehensive, cloud-based healthcare commercial intelligence platform.</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jc w:val="both"/>
        <w:ind w:left="440" w:right="40" w:firstLine="415"/>
        <w:spacing w:after="0" w:line="257" w:lineRule="auto"/>
        <w:rPr>
          <w:sz w:val="20"/>
          <w:szCs w:val="20"/>
          <w:color w:val="auto"/>
        </w:rPr>
      </w:pPr>
      <w:r>
        <w:rPr>
          <w:rFonts w:ascii="Arial" w:cs="Arial" w:eastAsia="Arial" w:hAnsi="Arial"/>
          <w:sz w:val="17"/>
          <w:szCs w:val="17"/>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critical to the commercial success of our over 2,600 customers as of June 30, 2021.</w:t>
      </w:r>
    </w:p>
    <w:p>
      <w:pPr>
        <w:spacing w:after="0" w:line="180"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53" w:lineRule="exact"/>
        <w:rPr>
          <w:sz w:val="20"/>
          <w:szCs w:val="20"/>
          <w:color w:val="auto"/>
        </w:rPr>
      </w:pPr>
    </w:p>
    <w:p>
      <w:pPr>
        <w:ind w:left="440" w:right="180" w:firstLine="415"/>
        <w:spacing w:after="0" w:line="257" w:lineRule="auto"/>
        <w:rPr>
          <w:sz w:val="20"/>
          <w:szCs w:val="20"/>
          <w:color w:val="auto"/>
        </w:rPr>
      </w:pPr>
      <w:r>
        <w:rPr>
          <w:rFonts w:ascii="Arial" w:cs="Arial" w:eastAsia="Arial" w:hAnsi="Arial"/>
          <w:sz w:val="17"/>
          <w:szCs w:val="17"/>
          <w:color w:val="auto"/>
        </w:rPr>
        <w:t>Our customers include Life Sciences companies,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customers use the Definitive Healthcare platform in many ways to drive commercial success, including:</w:t>
      </w:r>
    </w:p>
    <w:p>
      <w:pPr>
        <w:spacing w:after="0" w:line="123" w:lineRule="exact"/>
        <w:rPr>
          <w:sz w:val="20"/>
          <w:szCs w:val="20"/>
          <w:color w:val="auto"/>
        </w:rPr>
      </w:pPr>
    </w:p>
    <w:p>
      <w:pPr>
        <w:ind w:left="840" w:hanging="304"/>
        <w:spacing w:after="0"/>
        <w:tabs>
          <w:tab w:leader="none" w:pos="84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Sales: </w:t>
      </w:r>
      <w:r>
        <w:rPr>
          <w:rFonts w:ascii="Arial" w:cs="Arial" w:eastAsia="Arial" w:hAnsi="Arial"/>
          <w:sz w:val="15"/>
          <w:szCs w:val="15"/>
          <w:color w:val="auto"/>
        </w:rPr>
        <w:t>Size markets, build efficient go-to-market strategies and generate actionable intelligence including prospect and decision maker intelligence</w:t>
      </w:r>
    </w:p>
    <w:p>
      <w:pPr>
        <w:spacing w:after="0" w:line="145" w:lineRule="exact"/>
        <w:rPr>
          <w:rFonts w:ascii="Arial" w:cs="Arial" w:eastAsia="Arial" w:hAnsi="Arial"/>
          <w:sz w:val="15"/>
          <w:szCs w:val="15"/>
          <w:color w:val="auto"/>
        </w:rPr>
      </w:pPr>
    </w:p>
    <w:p>
      <w:pPr>
        <w:ind w:left="840" w:hanging="304"/>
        <w:spacing w:after="0"/>
        <w:tabs>
          <w:tab w:leader="none" w:pos="840" w:val="left"/>
        </w:tabs>
        <w:numPr>
          <w:ilvl w:val="0"/>
          <w:numId w:val="10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Marketing: </w:t>
      </w:r>
      <w:r>
        <w:rPr>
          <w:rFonts w:ascii="Arial" w:cs="Arial" w:eastAsia="Arial" w:hAnsi="Arial"/>
          <w:sz w:val="16"/>
          <w:szCs w:val="16"/>
          <w:color w:val="auto"/>
        </w:rPr>
        <w:t>Develop highly targeted marketing campaigns and gain contextual intelligence to quantify ROI for their products and services</w:t>
      </w:r>
    </w:p>
    <w:p>
      <w:pPr>
        <w:spacing w:after="0" w:line="134" w:lineRule="exact"/>
        <w:rPr>
          <w:rFonts w:ascii="Arial" w:cs="Arial" w:eastAsia="Arial" w:hAnsi="Arial"/>
          <w:sz w:val="16"/>
          <w:szCs w:val="16"/>
          <w:color w:val="auto"/>
        </w:rPr>
      </w:pPr>
    </w:p>
    <w:p>
      <w:pPr>
        <w:ind w:left="840" w:right="20" w:hanging="304"/>
        <w:spacing w:after="0" w:line="273" w:lineRule="auto"/>
        <w:tabs>
          <w:tab w:leader="none" w:pos="84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Clinical Research &amp; Product Development: </w:t>
      </w:r>
      <w:r>
        <w:rPr>
          <w:rFonts w:ascii="Arial" w:cs="Arial" w:eastAsia="Arial" w:hAnsi="Arial"/>
          <w:sz w:val="17"/>
          <w:szCs w:val="17"/>
          <w:color w:val="auto"/>
        </w:rPr>
        <w:t>Identify experts within a specific disease area to find important sites for clinical trials and make data-driven investment decisions</w:t>
      </w:r>
    </w:p>
    <w:p>
      <w:pPr>
        <w:spacing w:after="0" w:line="76" w:lineRule="exact"/>
        <w:rPr>
          <w:rFonts w:ascii="Arial" w:cs="Arial" w:eastAsia="Arial" w:hAnsi="Arial"/>
          <w:sz w:val="17"/>
          <w:szCs w:val="17"/>
          <w:color w:val="auto"/>
        </w:rPr>
      </w:pPr>
    </w:p>
    <w:p>
      <w:pPr>
        <w:ind w:left="840" w:hanging="304"/>
        <w:spacing w:after="0"/>
        <w:tabs>
          <w:tab w:leader="none" w:pos="84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Strategy: </w:t>
      </w:r>
      <w:r>
        <w:rPr>
          <w:rFonts w:ascii="Arial" w:cs="Arial" w:eastAsia="Arial" w:hAnsi="Arial"/>
          <w:sz w:val="17"/>
          <w:szCs w:val="17"/>
          <w:color w:val="auto"/>
        </w:rPr>
        <w:t>Size patient populations and identify market opportunities for new therapeutics, diagnostics and medical devices</w:t>
      </w:r>
    </w:p>
    <w:p>
      <w:pPr>
        <w:spacing w:after="0" w:line="122" w:lineRule="exact"/>
        <w:rPr>
          <w:rFonts w:ascii="Arial" w:cs="Arial" w:eastAsia="Arial" w:hAnsi="Arial"/>
          <w:sz w:val="17"/>
          <w:szCs w:val="17"/>
          <w:color w:val="auto"/>
        </w:rPr>
      </w:pPr>
    </w:p>
    <w:p>
      <w:pPr>
        <w:ind w:left="840" w:hanging="304"/>
        <w:spacing w:after="0"/>
        <w:tabs>
          <w:tab w:leader="none" w:pos="840" w:val="left"/>
        </w:tabs>
        <w:numPr>
          <w:ilvl w:val="0"/>
          <w:numId w:val="10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Talent Acquisition: </w:t>
      </w:r>
      <w:r>
        <w:rPr>
          <w:rFonts w:ascii="Arial" w:cs="Arial" w:eastAsia="Arial" w:hAnsi="Arial"/>
          <w:sz w:val="15"/>
          <w:szCs w:val="15"/>
          <w:color w:val="auto"/>
        </w:rPr>
        <w:t>Identify and conduct outreach to candidates for healthcare-specific roles including physicians, nurses and hospital executives</w:t>
      </w:r>
    </w:p>
    <w:p>
      <w:pPr>
        <w:spacing w:after="0" w:line="145" w:lineRule="exact"/>
        <w:rPr>
          <w:rFonts w:ascii="Arial" w:cs="Arial" w:eastAsia="Arial" w:hAnsi="Arial"/>
          <w:sz w:val="15"/>
          <w:szCs w:val="15"/>
          <w:color w:val="auto"/>
        </w:rPr>
      </w:pPr>
    </w:p>
    <w:p>
      <w:pPr>
        <w:ind w:left="840" w:right="380" w:hanging="304"/>
        <w:spacing w:after="0" w:line="273" w:lineRule="auto"/>
        <w:tabs>
          <w:tab w:leader="none" w:pos="840" w:val="left"/>
        </w:tabs>
        <w:numPr>
          <w:ilvl w:val="0"/>
          <w:numId w:val="10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Physician Network Management: </w:t>
      </w:r>
      <w:r>
        <w:rPr>
          <w:rFonts w:ascii="Arial" w:cs="Arial" w:eastAsia="Arial" w:hAnsi="Arial"/>
          <w:sz w:val="17"/>
          <w:szCs w:val="17"/>
          <w:color w:val="auto"/>
        </w:rPr>
        <w:t>Analyze opportunities to keep patients within a healthcare network and identify attractive physicians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whom to source patient referrals</w:t>
      </w:r>
    </w:p>
    <w:p>
      <w:pPr>
        <w:spacing w:after="0" w:line="166"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Our healthcare commercial intelligence platform brings together three powerful elements, which have been built, modified and improved upon over the last 11 years, to create a highly differentiated offering.</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These three elements are:</w:t>
      </w:r>
    </w:p>
    <w:p>
      <w:pPr>
        <w:spacing w:after="0" w:line="123" w:lineRule="exact"/>
        <w:rPr>
          <w:sz w:val="20"/>
          <w:szCs w:val="20"/>
          <w:color w:val="auto"/>
        </w:rPr>
      </w:pPr>
    </w:p>
    <w:p>
      <w:pPr>
        <w:ind w:left="5500" w:right="2820" w:hanging="4659"/>
        <w:spacing w:after="0" w:line="445" w:lineRule="auto"/>
        <w:tabs>
          <w:tab w:leader="none" w:pos="1353" w:val="left"/>
        </w:tabs>
        <w:numPr>
          <w:ilvl w:val="0"/>
          <w:numId w:val="1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Comprehensive, In-depth and High-quality Intelligence </w:t>
      </w:r>
      <w:r>
        <w:rPr>
          <w:rFonts w:ascii="Arial" w:cs="Arial" w:eastAsia="Arial" w:hAnsi="Arial"/>
          <w:sz w:val="17"/>
          <w:szCs w:val="17"/>
          <w:color w:val="auto"/>
        </w:rPr>
        <w:t>on healthcare providers across the 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126</w:t>
      </w:r>
    </w:p>
    <w:p>
      <w:pPr>
        <w:sectPr>
          <w:pgSz w:w="11900" w:h="16838" w:orient="portrait"/>
          <w:cols w:equalWidth="0" w:num="1">
            <w:col w:w="10800"/>
          </w:cols>
          <w:pgMar w:left="320" w:top="442" w:right="77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hanging="519"/>
        <w:spacing w:after="0"/>
        <w:tabs>
          <w:tab w:leader="none" w:pos="136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A.I. Engine, </w:t>
      </w:r>
      <w:r>
        <w:rPr>
          <w:rFonts w:ascii="Arial" w:cs="Arial" w:eastAsia="Arial" w:hAnsi="Arial"/>
          <w:sz w:val="17"/>
          <w:szCs w:val="17"/>
          <w:color w:val="auto"/>
        </w:rPr>
        <w:t>built by our team of data scientists, that cleanses, links and creates new information and intelligence; and</w:t>
      </w:r>
    </w:p>
    <w:p>
      <w:pPr>
        <w:spacing w:after="0" w:line="122" w:lineRule="exact"/>
        <w:rPr>
          <w:rFonts w:ascii="Arial" w:cs="Arial" w:eastAsia="Arial" w:hAnsi="Arial"/>
          <w:sz w:val="17"/>
          <w:szCs w:val="17"/>
          <w:color w:val="auto"/>
        </w:rPr>
      </w:pPr>
    </w:p>
    <w:p>
      <w:pPr>
        <w:ind w:left="1360" w:right="200" w:hanging="519"/>
        <w:spacing w:after="0" w:line="273" w:lineRule="auto"/>
        <w:tabs>
          <w:tab w:leader="none" w:pos="1360" w:val="left"/>
        </w:tabs>
        <w:numPr>
          <w:ilvl w:val="0"/>
          <w:numId w:val="10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Intuitive Front-end SaaS Platform </w:t>
      </w:r>
      <w:r>
        <w:rPr>
          <w:rFonts w:ascii="Arial" w:cs="Arial" w:eastAsia="Arial" w:hAnsi="Arial"/>
          <w:sz w:val="17"/>
          <w:szCs w:val="17"/>
          <w:color w:val="auto"/>
        </w:rPr>
        <w:t>that provides customers with the ability to analyze the healthcare ecosystem, generate actionable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insights and create a path to commercial success.</w:t>
      </w:r>
    </w:p>
    <w:p>
      <w:pPr>
        <w:spacing w:after="0" w:line="166"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Any company selling or competing within the healthcare ecosystem is a potential customer for us and contributes to our estimated current TAM of over $10 billion. In total, we have identified over 100,000 companies in our primary target markets - a number that continues to grow as more companies seek to compete within the attractive healthcare ecosystem and we develop new and innovative analytics that appeal to a broader number of companies and use cases.</w:t>
      </w:r>
    </w:p>
    <w:p>
      <w:pPr>
        <w:spacing w:after="0" w:line="180"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We reach these customers through a highly efficient sales and marketing engine as demonstrated by our 2020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76"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87" w:lineRule="exact"/>
        <w:rPr>
          <w:sz w:val="20"/>
          <w:szCs w:val="20"/>
          <w:color w:val="auto"/>
        </w:rPr>
      </w:pPr>
    </w:p>
    <w:p>
      <w:pPr>
        <w:ind w:left="1360" w:right="320" w:hanging="519"/>
        <w:spacing w:after="0" w:line="285" w:lineRule="auto"/>
        <w:tabs>
          <w:tab w:leader="none" w:pos="136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Significant Revenue Growth at Scale. </w:t>
      </w:r>
      <w:r>
        <w:rPr>
          <w:rFonts w:ascii="Arial" w:cs="Arial" w:eastAsia="Arial" w:hAnsi="Arial"/>
          <w:sz w:val="16"/>
          <w:szCs w:val="16"/>
          <w:color w:val="auto"/>
        </w:rPr>
        <w:t>We generated revenue of $118.3 million and $85.5 million in the years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31, 2020 and December 31, 2019, respectively, representing 38% growth. We generated revenue of $76.8 million and $54.6 million in the six months ended June 30, 2021 and 2020, respectively, representing 41% growth.</w:t>
      </w:r>
    </w:p>
    <w:p>
      <w:pPr>
        <w:spacing w:after="0" w:line="69" w:lineRule="exact"/>
        <w:rPr>
          <w:rFonts w:ascii="Arial" w:cs="Arial" w:eastAsia="Arial" w:hAnsi="Arial"/>
          <w:sz w:val="16"/>
          <w:szCs w:val="16"/>
          <w:color w:val="auto"/>
        </w:rPr>
      </w:pPr>
    </w:p>
    <w:p>
      <w:pPr>
        <w:ind w:left="1360" w:right="40" w:hanging="519"/>
        <w:spacing w:after="0" w:line="306" w:lineRule="auto"/>
        <w:tabs>
          <w:tab w:leader="none" w:pos="136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Subscription-based Business Model with Significant Visibility. </w:t>
      </w:r>
      <w:r>
        <w:rPr>
          <w:rFonts w:ascii="Arial" w:cs="Arial" w:eastAsia="Arial" w:hAnsi="Arial"/>
          <w:sz w:val="16"/>
          <w:szCs w:val="16"/>
          <w:color w:val="auto"/>
        </w:rPr>
        <w:t>We generate substantially all of our revenue from subscription fees,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accounted for 99% of our revenue for the year ended December 31, 2020 and the six months ended June 30, 2021.</w:t>
      </w:r>
    </w:p>
    <w:p>
      <w:pPr>
        <w:spacing w:after="0" w:line="48" w:lineRule="exact"/>
        <w:rPr>
          <w:rFonts w:ascii="Arial" w:cs="Arial" w:eastAsia="Arial" w:hAnsi="Arial"/>
          <w:sz w:val="16"/>
          <w:szCs w:val="16"/>
          <w:color w:val="auto"/>
        </w:rPr>
      </w:pPr>
    </w:p>
    <w:p>
      <w:pPr>
        <w:ind w:left="1360" w:right="20" w:hanging="519"/>
        <w:spacing w:after="0" w:line="264" w:lineRule="auto"/>
        <w:tabs>
          <w:tab w:leader="none" w:pos="136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Diversified Customer Base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2,600 companies use our platform to help sell into or compete in the healthcare ecosystem as of June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No single customer made up more than 2% of our revenue for the six months ended June 30, 2021 or the year ended December 31, 2020.</w:t>
      </w:r>
    </w:p>
    <w:p>
      <w:pPr>
        <w:spacing w:after="0" w:line="83" w:lineRule="exact"/>
        <w:rPr>
          <w:rFonts w:ascii="Arial" w:cs="Arial" w:eastAsia="Arial" w:hAnsi="Arial"/>
          <w:sz w:val="17"/>
          <w:szCs w:val="17"/>
          <w:color w:val="auto"/>
        </w:rPr>
      </w:pPr>
    </w:p>
    <w:p>
      <w:pPr>
        <w:ind w:left="1360" w:right="300" w:hanging="519"/>
        <w:spacing w:after="0" w:line="279" w:lineRule="auto"/>
        <w:tabs>
          <w:tab w:leader="none" w:pos="136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Strong Retention and Growth of Existing Customers</w:t>
      </w:r>
      <w:r>
        <w:rPr>
          <w:rFonts w:ascii="Arial" w:cs="Arial" w:eastAsia="Arial" w:hAnsi="Arial"/>
          <w:sz w:val="16"/>
          <w:szCs w:val="16"/>
          <w:color w:val="auto"/>
        </w:rPr>
        <w:t>. Our ability to retain and grow existing customer relationships is reflected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growing number of Enterprise Customers, of which we had 292 for the year ended December 31, 2020 and 349 for the trailing twelve months ended June 30, 2021. Our NDR for these Enterprise Customers was 124% for the year ended December 31, 2020 and for the trailing 12 months ended June 30, 2021, our NDR for Enterprise Customers was 125%.</w:t>
      </w:r>
    </w:p>
    <w:p>
      <w:pPr>
        <w:spacing w:after="0" w:line="73" w:lineRule="exact"/>
        <w:rPr>
          <w:rFonts w:ascii="Arial" w:cs="Arial" w:eastAsia="Arial" w:hAnsi="Arial"/>
          <w:sz w:val="16"/>
          <w:szCs w:val="16"/>
          <w:color w:val="auto"/>
        </w:rPr>
      </w:pPr>
    </w:p>
    <w:p>
      <w:pPr>
        <w:ind w:left="1360" w:hanging="519"/>
        <w:spacing w:after="0" w:line="285" w:lineRule="auto"/>
        <w:tabs>
          <w:tab w:leader="none" w:pos="1360" w:val="left"/>
        </w:tabs>
        <w:numPr>
          <w:ilvl w:val="0"/>
          <w:numId w:val="10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History of Strong Financial Performance. </w:t>
      </w:r>
      <w:r>
        <w:rPr>
          <w:rFonts w:ascii="Arial" w:cs="Arial" w:eastAsia="Arial" w:hAnsi="Arial"/>
          <w:sz w:val="15"/>
          <w:szCs w:val="15"/>
          <w:color w:val="auto"/>
        </w:rPr>
        <w:t>Our net loss was $51.2 million for the year ended December 31, 2020 as compared to a net loss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$49.3 million for the period from July 16, 2019 to December 31, 2019 and net income of $12.9 million for the period from January 1, 2019 to July 15, 2019. Our net loss was $25.5 million and $25.3 million for the six months ended June 30, 2021 and 2020, respectively. Our business model generates strong financial performance and cash flows. For the year ended December 31, 2020, our Net Loss Margin was (43)% and our Gross Margin was 74%. For the six months ended June 30, 2021, our Net Loss Margin was (46)% and our Gross Margin was 73%. For the year ended December 31, 2020, our Adjusted Gross Margin was 91% and our Adjusted EBITDA was</w:t>
      </w:r>
    </w:p>
    <w:p>
      <w:pPr>
        <w:spacing w:after="0" w:line="3" w:lineRule="exact"/>
        <w:rPr>
          <w:rFonts w:ascii="Arial" w:cs="Arial" w:eastAsia="Arial" w:hAnsi="Arial"/>
          <w:sz w:val="15"/>
          <w:szCs w:val="15"/>
          <w:color w:val="auto"/>
        </w:rPr>
      </w:pPr>
    </w:p>
    <w:p>
      <w:pPr>
        <w:ind w:left="1360"/>
        <w:spacing w:after="0" w:line="297" w:lineRule="auto"/>
        <w:rPr>
          <w:rFonts w:ascii="Arial" w:cs="Arial" w:eastAsia="Arial" w:hAnsi="Arial"/>
          <w:sz w:val="15"/>
          <w:szCs w:val="15"/>
          <w:color w:val="auto"/>
        </w:rPr>
      </w:pPr>
      <w:r>
        <w:rPr>
          <w:rFonts w:ascii="Arial" w:cs="Arial" w:eastAsia="Arial" w:hAnsi="Arial"/>
          <w:sz w:val="15"/>
          <w:szCs w:val="15"/>
          <w:color w:val="auto"/>
        </w:rPr>
        <w:t>$53.5 million reflecting Adjusted EBITDA Margins of 45%. For the six months ended June 30, 2021, our Adjusted Gross Margin was 88% and our Adjusted EBITDA was $28.5 million, reflecting an Adjusted EBITDA Margin of 37%.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0800"/>
          </w:cols>
          <w:pgMar w:left="320" w:top="442" w:right="77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Industry Background</w:t>
      </w:r>
    </w:p>
    <w:p>
      <w:pPr>
        <w:spacing w:after="0" w:line="114"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Commercializing and selling solutions in healthcare is difficult</w:t>
      </w:r>
    </w:p>
    <w:p>
      <w:pPr>
        <w:spacing w:after="0" w:line="110"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While healthcare presents a large opportunity, developing products for and selling into this industry is meaningfully more complex than other industries for a variety of reasons, including:</w:t>
      </w:r>
    </w:p>
    <w:p>
      <w:pPr>
        <w:spacing w:after="0" w:line="77" w:lineRule="exact"/>
        <w:rPr>
          <w:sz w:val="20"/>
          <w:szCs w:val="20"/>
          <w:color w:val="auto"/>
        </w:rPr>
      </w:pPr>
    </w:p>
    <w:p>
      <w:pPr>
        <w:ind w:left="1360" w:hanging="519"/>
        <w:spacing w:after="0" w:line="312" w:lineRule="auto"/>
        <w:tabs>
          <w:tab w:leader="none" w:pos="1360" w:val="left"/>
        </w:tabs>
        <w:numPr>
          <w:ilvl w:val="0"/>
          <w:numId w:val="10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Companies are selling to an entire ecosystem, not a single company. </w:t>
      </w:r>
      <w:r>
        <w:rPr>
          <w:rFonts w:ascii="Arial" w:cs="Arial" w:eastAsia="Arial" w:hAnsi="Arial"/>
          <w:sz w:val="15"/>
          <w:szCs w:val="15"/>
          <w:color w:val="auto"/>
        </w:rPr>
        <w:t>There are a large number of stakeholders including providers,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payers, government agencies and regulators that are intermingled in meeting the needs of over 300 million potential patients in the U.S. as of May 1, 2021. These stakeholders often have different goals and incentives, which further complicates the sales and commercial process.</w:t>
      </w:r>
    </w:p>
    <w:p>
      <w:pPr>
        <w:spacing w:after="0" w:line="52" w:lineRule="exact"/>
        <w:rPr>
          <w:rFonts w:ascii="Arial" w:cs="Arial" w:eastAsia="Arial" w:hAnsi="Arial"/>
          <w:sz w:val="15"/>
          <w:szCs w:val="15"/>
          <w:color w:val="auto"/>
        </w:rPr>
      </w:pPr>
    </w:p>
    <w:p>
      <w:pPr>
        <w:ind w:left="1360" w:right="80" w:hanging="519"/>
        <w:spacing w:after="0" w:line="257" w:lineRule="auto"/>
        <w:tabs>
          <w:tab w:leader="none" w:pos="1360"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It is challenging to identify the true decision maker. </w:t>
      </w:r>
      <w:r>
        <w:rPr>
          <w:rFonts w:ascii="Arial" w:cs="Arial" w:eastAsia="Arial" w:hAnsi="Arial"/>
          <w:sz w:val="17"/>
          <w:szCs w:val="17"/>
          <w:color w:val="auto"/>
        </w:rPr>
        <w:t>The healthcare ecosystem is highly interconnected, and a patient undergoing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treatment may receive care from multiple facilities or physicians. For example, a cancer patient will likely interact with a primary care physician, multiple oncologists, a surgeon and multiple facilities over the course of his or her care. Understanding how these stakeholders are affiliated and related is critical to properly identifying true decision makers.</w:t>
      </w:r>
    </w:p>
    <w:p>
      <w:pPr>
        <w:spacing w:after="0" w:line="91" w:lineRule="exact"/>
        <w:rPr>
          <w:rFonts w:ascii="Arial" w:cs="Arial" w:eastAsia="Arial" w:hAnsi="Arial"/>
          <w:sz w:val="17"/>
          <w:szCs w:val="17"/>
          <w:color w:val="auto"/>
        </w:rPr>
      </w:pPr>
    </w:p>
    <w:p>
      <w:pPr>
        <w:ind w:left="1360" w:right="60" w:hanging="519"/>
        <w:spacing w:after="0" w:line="279" w:lineRule="auto"/>
        <w:tabs>
          <w:tab w:leader="none" w:pos="1360"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To differentiate, companies need to tailor their product or service to specific pain points. </w:t>
      </w:r>
      <w:r>
        <w:rPr>
          <w:rFonts w:ascii="Arial" w:cs="Arial" w:eastAsia="Arial" w:hAnsi="Arial"/>
          <w:sz w:val="16"/>
          <w:szCs w:val="16"/>
          <w:color w:val="auto"/>
        </w:rPr>
        <w:t>Healthcare providers have a wide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pain points to address. For example, one healthcare provider may have a readmission problem, another provider may have a problem with low quality of care and a third may have operational inefficiencies. Understanding these pain points can help companies selling into healthcare target these pain points and allow them to derive value from our platform.</w:t>
      </w:r>
    </w:p>
    <w:p>
      <w:pPr>
        <w:spacing w:after="0" w:line="73" w:lineRule="exact"/>
        <w:rPr>
          <w:rFonts w:ascii="Arial" w:cs="Arial" w:eastAsia="Arial" w:hAnsi="Arial"/>
          <w:sz w:val="16"/>
          <w:szCs w:val="16"/>
          <w:color w:val="auto"/>
        </w:rPr>
      </w:pPr>
    </w:p>
    <w:p>
      <w:pPr>
        <w:ind w:left="1360" w:right="260" w:hanging="519"/>
        <w:spacing w:after="0" w:line="312" w:lineRule="auto"/>
        <w:tabs>
          <w:tab w:leader="none" w:pos="1360" w:val="left"/>
        </w:tabs>
        <w:numPr>
          <w:ilvl w:val="0"/>
          <w:numId w:val="10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Constant change. </w:t>
      </w:r>
      <w:r>
        <w:rPr>
          <w:rFonts w:ascii="Arial" w:cs="Arial" w:eastAsia="Arial" w:hAnsi="Arial"/>
          <w:sz w:val="15"/>
          <w:szCs w:val="15"/>
          <w:color w:val="auto"/>
        </w:rPr>
        <w:t>The healthcare industry is in a constant state of change, including continuously increasing and changing regulations,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adoption of new patient care technologies such as telemedicine, and clinical advancement such as precision medicine. These changes require companies who compete in the space to be nimble and able to adjust their strategies and tactics with real time intelligence.</w:t>
      </w:r>
    </w:p>
    <w:p>
      <w:pPr>
        <w:spacing w:after="0" w:line="52" w:lineRule="exact"/>
        <w:rPr>
          <w:rFonts w:ascii="Arial" w:cs="Arial" w:eastAsia="Arial" w:hAnsi="Arial"/>
          <w:sz w:val="15"/>
          <w:szCs w:val="15"/>
          <w:color w:val="auto"/>
        </w:rPr>
      </w:pPr>
    </w:p>
    <w:p>
      <w:pPr>
        <w:ind w:left="1360" w:right="100" w:hanging="519"/>
        <w:spacing w:after="0" w:line="257" w:lineRule="auto"/>
        <w:tabs>
          <w:tab w:leader="none" w:pos="1360" w:val="left"/>
        </w:tabs>
        <w:numPr>
          <w:ilvl w:val="0"/>
          <w:numId w:val="1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is a high-stakes industry where success is difficult to achieve. </w:t>
      </w:r>
      <w:r>
        <w:rPr>
          <w:rFonts w:ascii="Arial" w:cs="Arial" w:eastAsia="Arial" w:hAnsi="Arial"/>
          <w:sz w:val="17"/>
          <w:szCs w:val="17"/>
          <w:color w:val="auto"/>
        </w:rPr>
        <w:t>New therapeutics can require substantial investment, and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can be costly and difficult to roll-out in healthcare due to privacy and the complex health system network. Approximately 50% of drug launches underperform expectations. The high-stakes of the industry puts a premium on any product or service that can increase the likelihood of success.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Alternative solutions do not provide the intelligence customers most benefit from</w:t>
      </w:r>
    </w:p>
    <w:p>
      <w:pPr>
        <w:spacing w:after="0" w:line="110" w:lineRule="exact"/>
        <w:rPr>
          <w:sz w:val="20"/>
          <w:szCs w:val="20"/>
          <w:color w:val="auto"/>
        </w:rPr>
      </w:pPr>
    </w:p>
    <w:p>
      <w:pPr>
        <w:ind w:left="440" w:right="80" w:firstLine="415"/>
        <w:spacing w:after="0" w:line="285" w:lineRule="auto"/>
        <w:rPr>
          <w:sz w:val="20"/>
          <w:szCs w:val="20"/>
          <w:color w:val="auto"/>
        </w:rPr>
      </w:pPr>
      <w:r>
        <w:rPr>
          <w:rFonts w:ascii="Arial" w:cs="Arial" w:eastAsia="Arial" w:hAnsi="Arial"/>
          <w:sz w:val="16"/>
          <w:szCs w:val="16"/>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Alternative solutions available today fall short in three ways:</w:t>
      </w:r>
    </w:p>
    <w:p>
      <w:pPr>
        <w:spacing w:after="0" w:line="119" w:lineRule="exact"/>
        <w:rPr>
          <w:sz w:val="20"/>
          <w:szCs w:val="20"/>
          <w:color w:val="auto"/>
        </w:rPr>
      </w:pPr>
    </w:p>
    <w:p>
      <w:pPr>
        <w:ind w:left="1360" w:right="20" w:hanging="519"/>
        <w:spacing w:after="0" w:line="278" w:lineRule="auto"/>
        <w:tabs>
          <w:tab w:leader="none" w:pos="136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Lack of Healthcare Depth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Generalized Sales and Marketing intelligence providers do not provide the healthcare specific intelligence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critical to success in the healthcare industry. This healthcare</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0760"/>
          </w:cols>
          <w:pgMar w:left="320" w:top="442" w:right="81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120"/>
        <w:spacing w:after="0" w:line="261" w:lineRule="auto"/>
        <w:rPr>
          <w:sz w:val="20"/>
          <w:szCs w:val="20"/>
          <w:color w:val="auto"/>
        </w:rPr>
      </w:pPr>
      <w:r>
        <w:rPr>
          <w:rFonts w:ascii="Arial" w:cs="Arial" w:eastAsia="Arial" w:hAnsi="Arial"/>
          <w:sz w:val="17"/>
          <w:szCs w:val="17"/>
          <w:color w:val="auto"/>
        </w:rPr>
        <w:t>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83" w:lineRule="exact"/>
        <w:rPr>
          <w:sz w:val="20"/>
          <w:szCs w:val="20"/>
          <w:color w:val="auto"/>
        </w:rPr>
      </w:pPr>
    </w:p>
    <w:p>
      <w:pPr>
        <w:ind w:left="1360" w:right="80" w:hanging="519"/>
        <w:spacing w:after="0" w:line="259" w:lineRule="auto"/>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No Comprehensive and Integrated View of the Entire Healthcare Ecosystem</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Existing solutions typically provide only certain elements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4" w:lineRule="exact"/>
        <w:rPr>
          <w:rFonts w:ascii="Arial" w:cs="Arial" w:eastAsia="Arial" w:hAnsi="Arial"/>
          <w:sz w:val="17"/>
          <w:szCs w:val="17"/>
          <w:color w:val="auto"/>
        </w:rPr>
      </w:pPr>
    </w:p>
    <w:p>
      <w:pPr>
        <w:ind w:left="1360" w:hanging="519"/>
        <w:spacing w:after="0" w:line="257" w:lineRule="auto"/>
        <w:tabs>
          <w:tab w:leader="none" w:pos="136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Manual and Not Real-time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Third party consultants are often used to pull together various data sources and compile a view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healthcare 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7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The Definitive Healthcare Platform</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Industry Leading SaaS-based Healthcare Commercial Intelligence</w:t>
      </w:r>
    </w:p>
    <w:p>
      <w:pPr>
        <w:spacing w:after="0" w:line="110" w:lineRule="exact"/>
        <w:rPr>
          <w:sz w:val="20"/>
          <w:szCs w:val="20"/>
          <w:color w:val="auto"/>
        </w:rPr>
      </w:pPr>
    </w:p>
    <w:p>
      <w:pPr>
        <w:ind w:left="440" w:right="200" w:firstLine="415"/>
        <w:spacing w:after="0" w:line="279" w:lineRule="auto"/>
        <w:rPr>
          <w:sz w:val="20"/>
          <w:szCs w:val="20"/>
          <w:color w:val="auto"/>
        </w:rPr>
      </w:pPr>
      <w:r>
        <w:rPr>
          <w:rFonts w:ascii="Arial" w:cs="Arial" w:eastAsia="Arial" w:hAnsi="Arial"/>
          <w:sz w:val="16"/>
          <w:szCs w:val="16"/>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platform provides the following benefits to customers:</w:t>
      </w:r>
    </w:p>
    <w:p>
      <w:pPr>
        <w:spacing w:after="0" w:line="123" w:lineRule="exact"/>
        <w:rPr>
          <w:sz w:val="20"/>
          <w:szCs w:val="20"/>
          <w:color w:val="auto"/>
        </w:rPr>
      </w:pPr>
    </w:p>
    <w:p>
      <w:pPr>
        <w:ind w:left="1360" w:right="460" w:hanging="519"/>
        <w:spacing w:after="0" w:line="342" w:lineRule="auto"/>
        <w:tabs>
          <w:tab w:leader="none" w:pos="1360" w:val="left"/>
        </w:tabs>
        <w:numPr>
          <w:ilvl w:val="0"/>
          <w:numId w:val="10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 comprehensive view of the entire healthcare ecosystem, </w:t>
      </w:r>
      <w:r>
        <w:rPr>
          <w:rFonts w:ascii="Arial" w:cs="Arial" w:eastAsia="Arial" w:hAnsi="Arial"/>
          <w:sz w:val="15"/>
          <w:szCs w:val="15"/>
          <w:color w:val="auto"/>
        </w:rPr>
        <w:t>including intelligence on hospitals, physicians, physician groups, clinics,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imaging centers, long-term care facilities, ambulatory surgery centers, payers, virtual care providers, GPOs and others.</w:t>
      </w:r>
    </w:p>
    <w:p>
      <w:pPr>
        <w:spacing w:after="0" w:line="29" w:lineRule="exact"/>
        <w:rPr>
          <w:rFonts w:ascii="Arial" w:cs="Arial" w:eastAsia="Arial" w:hAnsi="Arial"/>
          <w:sz w:val="15"/>
          <w:szCs w:val="15"/>
          <w:color w:val="auto"/>
        </w:rPr>
      </w:pPr>
    </w:p>
    <w:p>
      <w:pPr>
        <w:ind w:left="1360" w:right="440" w:hanging="519"/>
        <w:spacing w:after="0" w:line="273" w:lineRule="auto"/>
        <w:tabs>
          <w:tab w:leader="none" w:pos="1360"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Detailed analytics and insight on how these companies and physicians are interconnected </w:t>
      </w:r>
      <w:r>
        <w:rPr>
          <w:rFonts w:ascii="Arial" w:cs="Arial" w:eastAsia="Arial" w:hAnsi="Arial"/>
          <w:sz w:val="17"/>
          <w:szCs w:val="17"/>
          <w:color w:val="auto"/>
        </w:rPr>
        <w:t>through affiliations, referrals and shared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analytics all linked together through the proprietary Definitive ID.</w:t>
      </w:r>
    </w:p>
    <w:p>
      <w:pPr>
        <w:spacing w:after="0" w:line="76" w:lineRule="exact"/>
        <w:rPr>
          <w:rFonts w:ascii="Arial" w:cs="Arial" w:eastAsia="Arial" w:hAnsi="Arial"/>
          <w:sz w:val="17"/>
          <w:szCs w:val="17"/>
          <w:color w:val="auto"/>
        </w:rPr>
      </w:pPr>
    </w:p>
    <w:p>
      <w:pPr>
        <w:ind w:left="1360" w:right="160" w:hanging="519"/>
        <w:spacing w:after="0" w:line="261" w:lineRule="auto"/>
        <w:tabs>
          <w:tab w:leader="none" w:pos="1360"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Healthcare-specific intelligence </w:t>
      </w:r>
      <w:r>
        <w:rPr>
          <w:rFonts w:ascii="Arial" w:cs="Arial" w:eastAsia="Arial" w:hAnsi="Arial"/>
          <w:sz w:val="17"/>
          <w:szCs w:val="17"/>
          <w:color w:val="auto"/>
        </w:rPr>
        <w:t>including daily opportunities such as new patient starts and RFPs, procedure and diagnosis volumes,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leakage, quality of care analytics, financial metrics, technology infrastructure of providers and healthcare stakeholder intelligence with detailed contact information.</w:t>
      </w:r>
    </w:p>
    <w:p>
      <w:pPr>
        <w:spacing w:after="0" w:line="87" w:lineRule="exact"/>
        <w:rPr>
          <w:rFonts w:ascii="Arial" w:cs="Arial" w:eastAsia="Arial" w:hAnsi="Arial"/>
          <w:sz w:val="17"/>
          <w:szCs w:val="17"/>
          <w:color w:val="auto"/>
        </w:rPr>
      </w:pPr>
    </w:p>
    <w:p>
      <w:pPr>
        <w:ind w:left="1360" w:hanging="519"/>
        <w:spacing w:after="0"/>
        <w:tabs>
          <w:tab w:leader="none" w:pos="1360" w:val="left"/>
        </w:tabs>
        <w:numPr>
          <w:ilvl w:val="0"/>
          <w:numId w:val="10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Answers, not just raw data </w:t>
      </w:r>
      <w:r>
        <w:rPr>
          <w:rFonts w:ascii="Arial" w:cs="Arial" w:eastAsia="Arial" w:hAnsi="Arial"/>
          <w:sz w:val="15"/>
          <w:szCs w:val="15"/>
          <w:color w:val="auto"/>
        </w:rPr>
        <w:t>to ensure our customers spend their time developing and executing on their vision rather than analyzing data.</w:t>
      </w:r>
    </w:p>
    <w:p>
      <w:pPr>
        <w:spacing w:after="0" w:line="23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Commercial success using the Definitive Healthcare platform can be demonstrated through the following hypothetical examples:</w:t>
      </w:r>
    </w:p>
    <w:p>
      <w:pPr>
        <w:spacing w:after="0" w:line="123" w:lineRule="exact"/>
        <w:rPr>
          <w:sz w:val="20"/>
          <w:szCs w:val="20"/>
          <w:color w:val="auto"/>
        </w:rPr>
      </w:pPr>
    </w:p>
    <w:p>
      <w:pPr>
        <w:ind w:left="1360" w:right="1020" w:hanging="519"/>
        <w:spacing w:after="0" w:line="273" w:lineRule="auto"/>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pharmaceutical giant introducing a new drug could utilize the Definitive Healthcare platform to find physicians caring for underdiagnosed patients with a rare disease.</w:t>
      </w:r>
    </w:p>
    <w:p>
      <w:pPr>
        <w:spacing w:after="0" w:line="76" w:lineRule="exact"/>
        <w:rPr>
          <w:rFonts w:ascii="Arial" w:cs="Arial" w:eastAsia="Arial" w:hAnsi="Arial"/>
          <w:sz w:val="17"/>
          <w:szCs w:val="17"/>
          <w:color w:val="auto"/>
        </w:rPr>
      </w:pPr>
    </w:p>
    <w:p>
      <w:pPr>
        <w:ind w:left="1360" w:right="100" w:hanging="519"/>
        <w:spacing w:after="0" w:line="273" w:lineRule="auto"/>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fast-growing HCIT company could utilize the Definitive Healthcare platform to demonstrate the efficacy of their product by comparing knee replacement readmission rates for their hospital customers versus non-customers.</w:t>
      </w:r>
    </w:p>
    <w:p>
      <w:pPr>
        <w:spacing w:after="0" w:line="76"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One of the world’s largest medical device companies could leverage our healthcare commercial intelligence to identify physicians referring patients with acute cardiovascular disease.</w:t>
      </w:r>
    </w:p>
    <w:p>
      <w:pPr>
        <w:spacing w:after="0" w:line="76" w:lineRule="exact"/>
        <w:rPr>
          <w:rFonts w:ascii="Arial" w:cs="Arial" w:eastAsia="Arial" w:hAnsi="Arial"/>
          <w:sz w:val="17"/>
          <w:szCs w:val="17"/>
          <w:color w:val="auto"/>
        </w:rPr>
      </w:pPr>
    </w:p>
    <w:p>
      <w:pPr>
        <w:ind w:left="1360" w:right="640" w:hanging="519"/>
        <w:spacing w:after="0" w:line="273" w:lineRule="auto"/>
        <w:tabs>
          <w:tab w:leader="none" w:pos="13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 commercial real estate firm could use the Definitive Healthcare platform to help its health system customers build a geographic expansion strategy based on patient flow and affiliation data.</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0800"/>
          </w:cols>
          <w:pgMar w:left="320" w:top="442" w:right="77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560" w:hanging="519"/>
        <w:spacing w:after="0" w:line="273" w:lineRule="auto"/>
        <w:tabs>
          <w:tab w:leader="none" w:pos="13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waste management company could price its solutions based on an estimate of the volume of hazardous waste compiled using the Definitive Healthcare platform.</w:t>
      </w:r>
    </w:p>
    <w:p>
      <w:pPr>
        <w:spacing w:after="0" w:line="76" w:lineRule="exact"/>
        <w:rPr>
          <w:rFonts w:ascii="Arial" w:cs="Arial" w:eastAsia="Arial" w:hAnsi="Arial"/>
          <w:sz w:val="17"/>
          <w:szCs w:val="17"/>
          <w:color w:val="auto"/>
        </w:rPr>
      </w:pPr>
    </w:p>
    <w:p>
      <w:pPr>
        <w:ind w:left="1360" w:right="100" w:hanging="519"/>
        <w:spacing w:after="0" w:line="273" w:lineRule="auto"/>
        <w:tabs>
          <w:tab w:leader="none" w:pos="13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A public biotechnology company could utilize the Definitive Healthcare platform to identify experts in a specific disease mutation to help recruit patients and influence the market through speaking engagements.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Our Data Sources and Data Engine</w:t>
      </w:r>
    </w:p>
    <w:p>
      <w:pPr>
        <w:spacing w:after="0" w:line="114"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Our comprehensive, high-quality intelligence is made up of thousands of data sources and billions of data points that enrich and power our platform. We transform this data into intelligence through A.I. and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57" w:lineRule="exact"/>
        <w:rPr>
          <w:sz w:val="20"/>
          <w:szCs w:val="20"/>
          <w:color w:val="auto"/>
        </w:rPr>
      </w:pPr>
    </w:p>
    <w:p>
      <w:pPr>
        <w:ind w:left="1360" w:hanging="519"/>
        <w:spacing w:after="0"/>
        <w:tabs>
          <w:tab w:leader="none" w:pos="13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First party research</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team conducts primary research via 650,000 annual research calls and 3.7 million e-mail outreaches per year.</w:t>
      </w:r>
    </w:p>
    <w:p>
      <w:pPr>
        <w:spacing w:after="0" w:line="145" w:lineRule="exact"/>
        <w:rPr>
          <w:rFonts w:ascii="Arial" w:cs="Arial" w:eastAsia="Arial" w:hAnsi="Arial"/>
          <w:sz w:val="15"/>
          <w:szCs w:val="15"/>
          <w:color w:val="auto"/>
        </w:rPr>
      </w:pPr>
    </w:p>
    <w:p>
      <w:pPr>
        <w:ind w:left="1360" w:right="100" w:hanging="519"/>
        <w:spacing w:after="0" w:line="278" w:lineRule="auto"/>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Unstructured public information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have developed proprietary technologies to extract unstructured information found in over 250,000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websites, journals, publications, news articles, job postings and other public information.</w:t>
      </w:r>
    </w:p>
    <w:p>
      <w:pPr>
        <w:spacing w:after="0" w:line="68" w:lineRule="exact"/>
        <w:rPr>
          <w:rFonts w:ascii="Arial" w:cs="Arial" w:eastAsia="Arial" w:hAnsi="Arial"/>
          <w:sz w:val="17"/>
          <w:szCs w:val="17"/>
          <w:color w:val="auto"/>
        </w:rPr>
      </w:pPr>
    </w:p>
    <w:p>
      <w:pPr>
        <w:ind w:left="1360" w:right="140" w:hanging="519"/>
        <w:spacing w:after="0" w:line="348" w:lineRule="auto"/>
        <w:tabs>
          <w:tab w:leader="none" w:pos="1360" w:val="left"/>
        </w:tabs>
        <w:numPr>
          <w:ilvl w:val="0"/>
          <w:numId w:val="111"/>
        </w:numPr>
        <w:rPr>
          <w:rFonts w:ascii="Arial" w:cs="Arial" w:eastAsia="Arial" w:hAnsi="Arial"/>
          <w:sz w:val="15"/>
          <w:szCs w:val="15"/>
          <w:color w:val="auto"/>
        </w:rPr>
      </w:pPr>
      <w:r>
        <w:rPr>
          <w:rFonts w:ascii="Arial" w:cs="Arial" w:eastAsia="Arial" w:hAnsi="Arial"/>
          <w:sz w:val="15"/>
          <w:szCs w:val="15"/>
          <w:b w:val="1"/>
          <w:bCs w:val="1"/>
          <w:i w:val="1"/>
          <w:iCs w:val="1"/>
          <w:color w:val="auto"/>
        </w:rPr>
        <w:t>Government and regulatory sources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developed automated processes for ingesting, updating and linking information from over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20,000 governmental and regulatory sources, including the federal government, states, towns and municipalities across the U.S.</w:t>
      </w:r>
    </w:p>
    <w:p>
      <w:pPr>
        <w:spacing w:after="0" w:line="21" w:lineRule="exact"/>
        <w:rPr>
          <w:rFonts w:ascii="Arial" w:cs="Arial" w:eastAsia="Arial" w:hAnsi="Arial"/>
          <w:sz w:val="15"/>
          <w:szCs w:val="15"/>
          <w:color w:val="auto"/>
        </w:rPr>
      </w:pPr>
    </w:p>
    <w:p>
      <w:pPr>
        <w:ind w:left="1360" w:right="240" w:hanging="519"/>
        <w:spacing w:after="0" w:line="278" w:lineRule="auto"/>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Third-party data</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integrate, cleanse and link raw claims data and other information from third-party vendors, which provide us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over 17 billion claims covering over 250 million patients as of May 2021.</w:t>
      </w:r>
    </w:p>
    <w:p>
      <w:pPr>
        <w:spacing w:after="0" w:line="68" w:lineRule="exact"/>
        <w:rPr>
          <w:rFonts w:ascii="Arial" w:cs="Arial" w:eastAsia="Arial" w:hAnsi="Arial"/>
          <w:sz w:val="17"/>
          <w:szCs w:val="17"/>
          <w:color w:val="auto"/>
        </w:rPr>
      </w:pPr>
    </w:p>
    <w:p>
      <w:pPr>
        <w:ind w:left="1360" w:right="360" w:hanging="519"/>
        <w:spacing w:after="0" w:line="278" w:lineRule="auto"/>
        <w:tabs>
          <w:tab w:leader="none" w:pos="1360" w:val="left"/>
        </w:tabs>
        <w:numPr>
          <w:ilvl w:val="0"/>
          <w:numId w:val="111"/>
        </w:numPr>
        <w:rPr>
          <w:rFonts w:ascii="Arial" w:cs="Arial" w:eastAsia="Arial" w:hAnsi="Arial"/>
          <w:sz w:val="17"/>
          <w:szCs w:val="17"/>
          <w:color w:val="auto"/>
        </w:rPr>
      </w:pPr>
      <w:r>
        <w:rPr>
          <w:rFonts w:ascii="Arial" w:cs="Arial" w:eastAsia="Arial" w:hAnsi="Arial"/>
          <w:sz w:val="17"/>
          <w:szCs w:val="17"/>
          <w:b w:val="1"/>
          <w:bCs w:val="1"/>
          <w:i w:val="1"/>
          <w:iCs w:val="1"/>
          <w:color w:val="auto"/>
        </w:rPr>
        <w:t>Data science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create new intelligence that is proprietary to us, which includes buyer intent, market extrapolations, cost and 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analytics and other intelligence.</w:t>
      </w:r>
    </w:p>
    <w:p>
      <w:pPr>
        <w:spacing w:after="0" w:line="162"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As we continue to pull in new data sources and assets, we transform this raw information into highly integrated, high-quality intelligence by leveraging an A.I. and M.L. powered engine that cleans and standardizes raw data, then links the processed data within the platform to generate insights. Each new data source and each new algorithm created by our data science team makes our entire platform and the intelligence contained within more valuable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138430</wp:posOffset>
            </wp:positionV>
            <wp:extent cx="4644390" cy="19869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644390"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0800"/>
          </w:cols>
          <w:pgMar w:left="320" w:top="442" w:right="779" w:bottom="1440" w:gutter="0" w:footer="0" w:header="0"/>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Delivery through a Cutting-edge SaaS Platform</w:t>
      </w:r>
    </w:p>
    <w:p>
      <w:pPr>
        <w:spacing w:after="0" w:line="110" w:lineRule="exact"/>
        <w:rPr>
          <w:sz w:val="20"/>
          <w:szCs w:val="20"/>
          <w:color w:val="auto"/>
        </w:rPr>
      </w:pPr>
    </w:p>
    <w:p>
      <w:pPr>
        <w:jc w:val="both"/>
        <w:ind w:left="440" w:right="520" w:firstLine="415"/>
        <w:spacing w:after="0" w:line="285" w:lineRule="auto"/>
        <w:rPr>
          <w:sz w:val="20"/>
          <w:szCs w:val="20"/>
          <w:color w:val="auto"/>
        </w:rPr>
      </w:pPr>
      <w:r>
        <w:rPr>
          <w:rFonts w:ascii="Arial" w:cs="Arial" w:eastAsia="Arial" w:hAnsi="Arial"/>
          <w:sz w:val="16"/>
          <w:szCs w:val="16"/>
          <w:color w:val="auto"/>
        </w:rPr>
        <w:t>Our healthcare commercial intelligence is delivered through a SaaS platform that combines our comprehensive intelligence with analytical capabilities. The platform helps our customers uncover actionable insights, makes decision making easier and simplifies trend identification. The integration of this intelligence into our customers’ daily workflow is demonstrated by the following statistics:</w:t>
      </w:r>
    </w:p>
    <w:p>
      <w:pPr>
        <w:spacing w:after="0" w:line="70" w:lineRule="exact"/>
        <w:rPr>
          <w:sz w:val="20"/>
          <w:szCs w:val="20"/>
          <w:color w:val="auto"/>
        </w:rPr>
      </w:pPr>
    </w:p>
    <w:p>
      <w:pPr>
        <w:ind w:left="1360" w:hanging="519"/>
        <w:spacing w:after="0"/>
        <w:tabs>
          <w:tab w:leader="none" w:pos="1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Over 1.5 million reports are run every month by our customers.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Over 34,000 users actively utilize the platform. We define active utilization as accessing the platform directly in the last quarter.</w:t>
      </w:r>
    </w:p>
    <w:p>
      <w:pPr>
        <w:spacing w:after="0" w:line="134" w:lineRule="exact"/>
        <w:rPr>
          <w:rFonts w:ascii="Arial" w:cs="Arial" w:eastAsia="Arial" w:hAnsi="Arial"/>
          <w:sz w:val="16"/>
          <w:szCs w:val="16"/>
          <w:color w:val="auto"/>
        </w:rPr>
      </w:pPr>
    </w:p>
    <w:p>
      <w:pPr>
        <w:ind w:left="1360" w:right="100" w:hanging="519"/>
        <w:spacing w:after="0" w:line="261" w:lineRule="auto"/>
        <w:tabs>
          <w:tab w:leader="none" w:pos="13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Over 50% of our overall customers and approximately 70% of our Enterprise Customers measured by ARR integrate our intelligence into their internal systems. Such customer relationship management software includes Salesforce.com</w:t>
      </w:r>
      <w:r>
        <w:rPr>
          <w:rFonts w:ascii="Arial" w:cs="Arial" w:eastAsia="Arial" w:hAnsi="Arial"/>
          <w:sz w:val="14"/>
          <w:szCs w:val="14"/>
          <w:color w:val="auto"/>
        </w:rPr>
        <w:t>®</w:t>
      </w:r>
      <w:r>
        <w:rPr>
          <w:rFonts w:ascii="Arial" w:cs="Arial" w:eastAsia="Arial" w:hAnsi="Arial"/>
          <w:sz w:val="17"/>
          <w:szCs w:val="17"/>
          <w:color w:val="auto"/>
        </w:rPr>
        <w:t xml:space="preserve"> and Veeva</w:t>
      </w:r>
      <w:r>
        <w:rPr>
          <w:rFonts w:ascii="Arial" w:cs="Arial" w:eastAsia="Arial" w:hAnsi="Arial"/>
          <w:sz w:val="14"/>
          <w:szCs w:val="14"/>
          <w:color w:val="auto"/>
        </w:rPr>
        <w:t>®</w:t>
      </w:r>
      <w:r>
        <w:rPr>
          <w:rFonts w:ascii="Arial" w:cs="Arial" w:eastAsia="Arial" w:hAnsi="Arial"/>
          <w:sz w:val="17"/>
          <w:szCs w:val="17"/>
          <w:color w:val="auto"/>
        </w:rPr>
        <w:t>, sales as well as other Marketing Automation and Business Intelligence platforms.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Competitive Strengths</w:t>
      </w:r>
    </w:p>
    <w:p>
      <w:pPr>
        <w:spacing w:after="0" w:line="127" w:lineRule="exact"/>
        <w:rPr>
          <w:sz w:val="20"/>
          <w:szCs w:val="20"/>
          <w:color w:val="auto"/>
        </w:rPr>
      </w:pPr>
    </w:p>
    <w:p>
      <w:pPr>
        <w:ind w:left="1360" w:right="60" w:hanging="519"/>
        <w:spacing w:after="0" w:line="275" w:lineRule="auto"/>
        <w:tabs>
          <w:tab w:leader="none" w:pos="136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Proprietary Healthcare-specific Intelligence. </w:t>
      </w:r>
      <w:r>
        <w:rPr>
          <w:rFonts w:ascii="Arial" w:cs="Arial" w:eastAsia="Arial" w:hAnsi="Arial"/>
          <w:sz w:val="16"/>
          <w:szCs w:val="16"/>
          <w:color w:val="auto"/>
        </w:rPr>
        <w:t>Over the last 11 years, we have built proprietary intelligence via first party research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a highly comprehensive healthcare commercial intelligence platform. During this time, we have sourced, aggregated, linked, cleansed and inferred information from thousands of data sources, and tied billions of data points together into a single longitudinal view of the entire healthcare ecosystem. Our data science team has continuously evolved and enhanced our A.I. and M.L. data engines based on customer feedback and iterated in an effort to provide accurate and insightful intelligence.</w:t>
      </w:r>
    </w:p>
    <w:p>
      <w:pPr>
        <w:spacing w:after="0" w:line="77" w:lineRule="exact"/>
        <w:rPr>
          <w:rFonts w:ascii="Arial" w:cs="Arial" w:eastAsia="Arial" w:hAnsi="Arial"/>
          <w:sz w:val="16"/>
          <w:szCs w:val="16"/>
          <w:color w:val="auto"/>
        </w:rPr>
      </w:pPr>
    </w:p>
    <w:p>
      <w:pPr>
        <w:ind w:left="1360" w:right="100" w:hanging="519"/>
        <w:spacing w:after="0" w:line="254" w:lineRule="auto"/>
        <w:tabs>
          <w:tab w:leader="none" w:pos="136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An Integrated Data and Technology Foundation that Creates a Flywheel of Innovation. </w:t>
      </w:r>
      <w:r>
        <w:rPr>
          <w:rFonts w:ascii="Arial" w:cs="Arial" w:eastAsia="Arial" w:hAnsi="Arial"/>
          <w:sz w:val="17"/>
          <w:szCs w:val="17"/>
          <w:color w:val="auto"/>
        </w:rPr>
        <w:t>Our technology platform provides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foundation for rapid product development and innovation by leveraging our existing data assets to produce new modules and features that solve a growing number of our customers’ business problems. As our data sets expand each year, the ability for us to introduce increasingly sophisticated features, analytics and tools continues to accelerate. Since our inception, we have developed and launched 13 intelligence modules, each of which creates opportunities to deepen our relationships with existing customers, increase deal velocity and expand our end-markets.</w:t>
      </w:r>
    </w:p>
    <w:p>
      <w:pPr>
        <w:spacing w:after="0" w:line="94" w:lineRule="exact"/>
        <w:rPr>
          <w:rFonts w:ascii="Arial" w:cs="Arial" w:eastAsia="Arial" w:hAnsi="Arial"/>
          <w:sz w:val="17"/>
          <w:szCs w:val="17"/>
          <w:color w:val="auto"/>
        </w:rPr>
      </w:pPr>
    </w:p>
    <w:p>
      <w:pPr>
        <w:ind w:left="1360" w:right="100" w:hanging="519"/>
        <w:spacing w:after="0" w:line="257" w:lineRule="auto"/>
        <w:tabs>
          <w:tab w:leader="none" w:pos="136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Powerful Go-to-Market Engine. </w:t>
      </w:r>
      <w:r>
        <w:rPr>
          <w:rFonts w:ascii="Arial" w:cs="Arial" w:eastAsia="Arial" w:hAnsi="Arial"/>
          <w:sz w:val="17"/>
          <w:szCs w:val="17"/>
          <w:color w:val="auto"/>
        </w:rPr>
        <w:t>We have a highly efficient and effective go-to-market engine that combines effective marketing with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inside sales force comprised of highly trained, vertically focused SEs. The efficiency of our model is demonstrated through our 2020 LTV to CAC ratio of over 10x. This metric highlights the effectiveness of our commercial team as well as the strong value proposition of our platform and solutions for our customers.</w:t>
      </w:r>
    </w:p>
    <w:p>
      <w:pPr>
        <w:spacing w:after="0" w:line="91" w:lineRule="exact"/>
        <w:rPr>
          <w:rFonts w:ascii="Arial" w:cs="Arial" w:eastAsia="Arial" w:hAnsi="Arial"/>
          <w:sz w:val="17"/>
          <w:szCs w:val="17"/>
          <w:color w:val="auto"/>
        </w:rPr>
      </w:pPr>
    </w:p>
    <w:p>
      <w:pPr>
        <w:ind w:left="1360" w:right="20" w:hanging="519"/>
        <w:spacing w:after="0" w:line="254" w:lineRule="auto"/>
        <w:tabs>
          <w:tab w:leader="none" w:pos="1360" w:val="left"/>
        </w:tabs>
        <w:numPr>
          <w:ilvl w:val="0"/>
          <w:numId w:val="11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Visionary, Founder-Led Management Team with a Track Record of Execution. </w:t>
      </w:r>
      <w:r>
        <w:rPr>
          <w:rFonts w:ascii="Arial" w:cs="Arial" w:eastAsia="Arial" w:hAnsi="Arial"/>
          <w:sz w:val="17"/>
          <w:szCs w:val="17"/>
          <w:color w:val="auto"/>
        </w:rPr>
        <w:t>Our founder-led management team has a strong track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record of exceptional financial performance and of building an award-winning culture to attract and retain highly talented individuals. We seek to attract, hire, retain and develop the very best by creating an environment that fosters a culture of collaboration, innovation, decisiveness and community-minded values. This effort has been recognized as we have been named a Best Place to Work in each of the last five years in Massachusetts and were named the #1 Best Place to Work in Massachusetts, in the category of “Large” companies, by the Boston Business Journal in 2019.</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Market Opportunity</w:t>
      </w:r>
    </w:p>
    <w:p>
      <w:pPr>
        <w:spacing w:after="0" w:line="11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With the proliferation in types and availability of healthcare data, companies competing in the nearly $4 trillion healthcare ecosystem are investing heavily in data and analytics. According to BIS Research, the global healthcare analytics market is expected to reach $69 billion by 2025, with a compound annual growth rate of 22% since 2017. Given the breadth and diverse applicability of our platform and intelligence, we are uniquely positioned to take advantage of this growth.</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0800"/>
          </w:cols>
          <w:pgMar w:left="320" w:top="442" w:right="77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Our TAM is $10 billion and growing</w:t>
      </w:r>
    </w:p>
    <w:p>
      <w:pPr>
        <w:spacing w:after="0" w:line="110" w:lineRule="exact"/>
        <w:rPr>
          <w:sz w:val="20"/>
          <w:szCs w:val="20"/>
          <w:color w:val="auto"/>
        </w:rPr>
      </w:pPr>
    </w:p>
    <w:p>
      <w:pPr>
        <w:ind w:left="440" w:right="80" w:firstLine="415"/>
        <w:spacing w:after="0" w:line="253" w:lineRule="auto"/>
        <w:rPr>
          <w:sz w:val="20"/>
          <w:szCs w:val="20"/>
          <w:color w:val="auto"/>
        </w:rPr>
      </w:pPr>
      <w:r>
        <w:rPr>
          <w:rFonts w:ascii="Arial" w:cs="Arial" w:eastAsia="Arial" w:hAnsi="Arial"/>
          <w:sz w:val="17"/>
          <w:szCs w:val="17"/>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period ending March 31, 2021.</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Our TAM continues to expand each year in the following ways:</w:t>
      </w:r>
    </w:p>
    <w:p>
      <w:pPr>
        <w:spacing w:after="0" w:line="123" w:lineRule="exact"/>
        <w:rPr>
          <w:sz w:val="20"/>
          <w:szCs w:val="20"/>
          <w:color w:val="auto"/>
        </w:rPr>
      </w:pPr>
    </w:p>
    <w:p>
      <w:pPr>
        <w:ind w:left="1360" w:hanging="519"/>
        <w:spacing w:after="0"/>
        <w:tabs>
          <w:tab w:leader="none" w:pos="1360" w:val="left"/>
        </w:tabs>
        <w:numPr>
          <w:ilvl w:val="0"/>
          <w:numId w:val="114"/>
        </w:numPr>
        <w:rPr>
          <w:rFonts w:ascii="Arial" w:cs="Arial" w:eastAsia="Arial" w:hAnsi="Arial"/>
          <w:sz w:val="15"/>
          <w:szCs w:val="15"/>
          <w:color w:val="auto"/>
        </w:rPr>
      </w:pPr>
      <w:r>
        <w:rPr>
          <w:rFonts w:ascii="Arial" w:cs="Arial" w:eastAsia="Arial" w:hAnsi="Arial"/>
          <w:sz w:val="15"/>
          <w:szCs w:val="15"/>
          <w:color w:val="auto"/>
        </w:rPr>
        <w:t>The healthcare industry is growing fast and becoming increasingly complex, driving further demand for healthcare business intelligence.</w:t>
      </w:r>
    </w:p>
    <w:p>
      <w:pPr>
        <w:spacing w:after="0" w:line="145" w:lineRule="exact"/>
        <w:rPr>
          <w:rFonts w:ascii="Arial" w:cs="Arial" w:eastAsia="Arial" w:hAnsi="Arial"/>
          <w:sz w:val="15"/>
          <w:szCs w:val="15"/>
          <w:color w:val="auto"/>
        </w:rPr>
      </w:pPr>
    </w:p>
    <w:p>
      <w:pPr>
        <w:ind w:left="1360" w:hanging="519"/>
        <w:spacing w:after="0"/>
        <w:tabs>
          <w:tab w:leader="none" w:pos="13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Attractive market dynamics are luring more companies into the healthcare ecosystem.</w:t>
      </w:r>
    </w:p>
    <w:p>
      <w:pPr>
        <w:spacing w:after="0" w:line="212"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We continue to broaden our use cases, further expanding our potential customer base and creating additional opportunity with our existing customers.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The dynamics of the Healthcare industry create tailwinds for Definitive Healthcare</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Healthcare is a growing market undergoing a period of rapid changes that will likely continue. These rapid changes create significant opportunities for us as our customers seek to navigate the impacts of change on their prospects and markets. The Definitive Healthcare platform helps our customers define strategies to navigate change. A few examples of the dynamics of the healthcare industry that create significant tailwinds for us include:</w:t>
      </w:r>
    </w:p>
    <w:p>
      <w:pPr>
        <w:spacing w:after="0" w:line="52" w:lineRule="exact"/>
        <w:rPr>
          <w:sz w:val="20"/>
          <w:szCs w:val="20"/>
          <w:color w:val="auto"/>
        </w:rPr>
      </w:pPr>
    </w:p>
    <w:p>
      <w:pPr>
        <w:ind w:left="1360" w:right="60" w:hanging="519"/>
        <w:spacing w:after="0" w:line="261" w:lineRule="auto"/>
        <w:tabs>
          <w:tab w:leader="none" w:pos="136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Growth in Overall U.S. Healthcare Spending. </w:t>
      </w:r>
      <w:r>
        <w:rPr>
          <w:rFonts w:ascii="Arial" w:cs="Arial" w:eastAsia="Arial" w:hAnsi="Arial"/>
          <w:sz w:val="17"/>
          <w:szCs w:val="17"/>
          <w:color w:val="auto"/>
        </w:rPr>
        <w:t>According to the Center for Medicare and Medicaid Services, healthcare spending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to grow rapidly. Research suggests that growth will be driven in large part by an aging population and the emphasis on healthcare spurred by the COVID-19 pandemic.</w:t>
      </w:r>
    </w:p>
    <w:p>
      <w:pPr>
        <w:spacing w:after="0" w:line="87" w:lineRule="exact"/>
        <w:rPr>
          <w:rFonts w:ascii="Arial" w:cs="Arial" w:eastAsia="Arial" w:hAnsi="Arial"/>
          <w:sz w:val="17"/>
          <w:szCs w:val="17"/>
          <w:color w:val="auto"/>
        </w:rPr>
      </w:pPr>
    </w:p>
    <w:p>
      <w:pPr>
        <w:ind w:left="1360" w:right="20" w:hanging="519"/>
        <w:spacing w:after="0" w:line="261" w:lineRule="auto"/>
        <w:tabs>
          <w:tab w:leader="none" w:pos="136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Shift to Value-based Care. </w:t>
      </w:r>
      <w:r>
        <w:rPr>
          <w:rFonts w:ascii="Arial" w:cs="Arial" w:eastAsia="Arial" w:hAnsi="Arial"/>
          <w:sz w:val="17"/>
          <w:szCs w:val="17"/>
          <w:color w:val="auto"/>
        </w:rPr>
        <w:t>Stakeholders in the healthcare system are focused on measuring outcomes of care delivery within the context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We believe value-based care is pushing fundamental changes in healthcare companies’ economics and is reliant on data-driven analytics as stakeholders reward positive health outcomes and cost efficiencies.</w:t>
      </w:r>
    </w:p>
    <w:p>
      <w:pPr>
        <w:spacing w:after="0" w:line="87" w:lineRule="exact"/>
        <w:rPr>
          <w:rFonts w:ascii="Arial" w:cs="Arial" w:eastAsia="Arial" w:hAnsi="Arial"/>
          <w:sz w:val="17"/>
          <w:szCs w:val="17"/>
          <w:color w:val="auto"/>
        </w:rPr>
      </w:pPr>
    </w:p>
    <w:p>
      <w:pPr>
        <w:ind w:left="1360" w:right="420" w:hanging="519"/>
        <w:spacing w:after="0" w:line="285" w:lineRule="auto"/>
        <w:tabs>
          <w:tab w:leader="none" w:pos="1360" w:val="left"/>
        </w:tabs>
        <w:numPr>
          <w:ilvl w:val="0"/>
          <w:numId w:val="1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Shift to Ambulatory Care and Telemedicine. </w:t>
      </w:r>
      <w:r>
        <w:rPr>
          <w:rFonts w:ascii="Arial" w:cs="Arial" w:eastAsia="Arial" w:hAnsi="Arial"/>
          <w:sz w:val="16"/>
          <w:szCs w:val="16"/>
          <w:color w:val="auto"/>
        </w:rPr>
        <w:t>The continued shift to ambulatory care, telemedicine and other outpatient care channels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creates further fragmentation in the healthcare ecosystem. Additionally, the COVID-19 pandemic has accelerated the adoption of telemedicine, further decentralizing the delivery of healthcare and cementing the importance of data analytics.</w:t>
      </w:r>
    </w:p>
    <w:p>
      <w:pPr>
        <w:spacing w:after="0" w:line="69" w:lineRule="exact"/>
        <w:rPr>
          <w:rFonts w:ascii="Arial" w:cs="Arial" w:eastAsia="Arial" w:hAnsi="Arial"/>
          <w:sz w:val="16"/>
          <w:szCs w:val="16"/>
          <w:color w:val="auto"/>
        </w:rPr>
      </w:pPr>
    </w:p>
    <w:p>
      <w:pPr>
        <w:jc w:val="both"/>
        <w:ind w:left="1360" w:right="60" w:hanging="519"/>
        <w:spacing w:after="0" w:line="261" w:lineRule="auto"/>
        <w:tabs>
          <w:tab w:leader="none" w:pos="136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Exponential Growth of Complex Data. </w:t>
      </w:r>
      <w:r>
        <w:rPr>
          <w:rFonts w:ascii="Arial" w:cs="Arial" w:eastAsia="Arial" w:hAnsi="Arial"/>
          <w:sz w:val="17"/>
          <w:szCs w:val="17"/>
          <w:color w:val="auto"/>
        </w:rPr>
        <w:t>Electronic health records and other systems have created a proliferation of healthcare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successful companies in the healthcare industry will leverage advanced analytics and A.I. engines in order to manage data that is too complex for traditional technologies.</w:t>
      </w:r>
    </w:p>
    <w:p>
      <w:pPr>
        <w:spacing w:after="0" w:line="87" w:lineRule="exact"/>
        <w:rPr>
          <w:rFonts w:ascii="Arial" w:cs="Arial" w:eastAsia="Arial" w:hAnsi="Arial"/>
          <w:sz w:val="17"/>
          <w:szCs w:val="17"/>
          <w:color w:val="auto"/>
        </w:rPr>
      </w:pPr>
    </w:p>
    <w:p>
      <w:pPr>
        <w:ind w:left="1360" w:right="200" w:hanging="519"/>
        <w:spacing w:after="0" w:line="306" w:lineRule="auto"/>
        <w:tabs>
          <w:tab w:leader="none" w:pos="1360" w:val="left"/>
        </w:tabs>
        <w:numPr>
          <w:ilvl w:val="0"/>
          <w:numId w:val="115"/>
        </w:numPr>
        <w:rPr>
          <w:rFonts w:ascii="Arial" w:cs="Arial" w:eastAsia="Arial" w:hAnsi="Arial"/>
          <w:sz w:val="16"/>
          <w:szCs w:val="16"/>
          <w:color w:val="auto"/>
        </w:rPr>
      </w:pPr>
      <w:r>
        <w:rPr>
          <w:rFonts w:ascii="Arial" w:cs="Arial" w:eastAsia="Arial" w:hAnsi="Arial"/>
          <w:sz w:val="16"/>
          <w:szCs w:val="16"/>
          <w:i w:val="1"/>
          <w:iCs w:val="1"/>
          <w:color w:val="auto"/>
        </w:rPr>
        <w:t>I</w:t>
      </w:r>
      <w:r>
        <w:rPr>
          <w:rFonts w:ascii="Arial" w:cs="Arial" w:eastAsia="Arial" w:hAnsi="Arial"/>
          <w:sz w:val="16"/>
          <w:szCs w:val="16"/>
          <w:b w:val="1"/>
          <w:bCs w:val="1"/>
          <w:i w:val="1"/>
          <w:iCs w:val="1"/>
          <w:color w:val="auto"/>
        </w:rPr>
        <w:t>ncreased Regulation in Healthcare.</w:t>
      </w:r>
      <w:r>
        <w:rPr>
          <w:rFonts w:ascii="Arial" w:cs="Arial" w:eastAsia="Arial" w:hAnsi="Arial"/>
          <w:sz w:val="16"/>
          <w:szCs w:val="16"/>
          <w:i w:val="1"/>
          <w:iCs w:val="1"/>
          <w:color w:val="auto"/>
        </w:rPr>
        <w:t xml:space="preserve"> </w:t>
      </w:r>
      <w:r>
        <w:rPr>
          <w:rFonts w:ascii="Arial" w:cs="Arial" w:eastAsia="Arial" w:hAnsi="Arial"/>
          <w:sz w:val="16"/>
          <w:szCs w:val="16"/>
          <w:color w:val="auto"/>
        </w:rPr>
        <w:t>New presidential administrations bring in new ideas and changes. We believe we will benefit from</w:t>
      </w:r>
      <w:r>
        <w:rPr>
          <w:rFonts w:ascii="Arial" w:cs="Arial" w:eastAsia="Arial" w:hAnsi="Arial"/>
          <w:sz w:val="16"/>
          <w:szCs w:val="16"/>
          <w:i w:val="1"/>
          <w:iCs w:val="1"/>
          <w:color w:val="auto"/>
        </w:rPr>
        <w:t xml:space="preserve"> </w:t>
      </w:r>
      <w:r>
        <w:rPr>
          <w:rFonts w:ascii="Arial" w:cs="Arial" w:eastAsia="Arial" w:hAnsi="Arial"/>
          <w:sz w:val="16"/>
          <w:szCs w:val="16"/>
          <w:color w:val="auto"/>
        </w:rPr>
        <w:t>recent increases in healthcare regulation as customers require deeper insight to navigate through these changes.</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0820"/>
          </w:cols>
          <w:pgMar w:left="320" w:top="442" w:right="75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Growth Strategies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intend to drive growth through the following strategies:</w:t>
      </w:r>
    </w:p>
    <w:p>
      <w:pPr>
        <w:spacing w:after="0" w:line="123" w:lineRule="exact"/>
        <w:rPr>
          <w:sz w:val="20"/>
          <w:szCs w:val="20"/>
          <w:color w:val="auto"/>
        </w:rPr>
      </w:pPr>
    </w:p>
    <w:p>
      <w:pPr>
        <w:ind w:left="1360" w:right="180" w:hanging="519"/>
        <w:spacing w:after="0" w:line="288" w:lineRule="auto"/>
        <w:tabs>
          <w:tab w:leader="none" w:pos="1360" w:val="left"/>
        </w:tabs>
        <w:numPr>
          <w:ilvl w:val="0"/>
          <w:numId w:val="11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Acquire New Customers. </w:t>
      </w:r>
      <w:r>
        <w:rPr>
          <w:rFonts w:ascii="Arial" w:cs="Arial" w:eastAsia="Arial" w:hAnsi="Arial"/>
          <w:sz w:val="15"/>
          <w:szCs w:val="15"/>
          <w:color w:val="auto"/>
        </w:rPr>
        <w:t>We believe we have a significant opportunity to continue to expand our market presence through our efficient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go-to-market engine. We have identified 100,000 potential customers across the healthcare ecosystem that we believe could benefit from our platform, a number that continues to grow. Our current customer base of over 2,600 customers implies penetration of less than 3%.</w:t>
      </w:r>
    </w:p>
    <w:p>
      <w:pPr>
        <w:spacing w:after="0" w:line="1" w:lineRule="exact"/>
        <w:rPr>
          <w:rFonts w:ascii="Arial" w:cs="Arial" w:eastAsia="Arial" w:hAnsi="Arial"/>
          <w:sz w:val="15"/>
          <w:szCs w:val="15"/>
          <w:color w:val="auto"/>
        </w:rPr>
      </w:pPr>
    </w:p>
    <w:p>
      <w:pPr>
        <w:ind w:left="1360"/>
        <w:spacing w:after="0" w:line="259" w:lineRule="auto"/>
        <w:rPr>
          <w:rFonts w:ascii="Arial" w:cs="Arial" w:eastAsia="Arial" w:hAnsi="Arial"/>
          <w:sz w:val="15"/>
          <w:szCs w:val="15"/>
          <w:color w:val="auto"/>
        </w:rPr>
      </w:pPr>
      <w:r>
        <w:rPr>
          <w:rFonts w:ascii="Arial" w:cs="Arial" w:eastAsia="Arial" w:hAnsi="Arial"/>
          <w:sz w:val="17"/>
          <w:szCs w:val="17"/>
          <w:color w:val="auto"/>
        </w:rPr>
        <w:t>Since June 30, 2020, we added more than 750 new customers and increased our investment in new logo sales capacity by 20% as measured by the number of directors and sales executives.</w:t>
      </w:r>
    </w:p>
    <w:p>
      <w:pPr>
        <w:spacing w:after="0" w:line="88" w:lineRule="exact"/>
        <w:rPr>
          <w:rFonts w:ascii="Arial" w:cs="Arial" w:eastAsia="Arial" w:hAnsi="Arial"/>
          <w:sz w:val="15"/>
          <w:szCs w:val="15"/>
          <w:color w:val="auto"/>
        </w:rPr>
      </w:pPr>
    </w:p>
    <w:p>
      <w:pPr>
        <w:ind w:left="1360" w:right="40" w:hanging="519"/>
        <w:spacing w:after="0" w:line="257" w:lineRule="auto"/>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Relationships with Existing Customers. </w:t>
      </w:r>
      <w:r>
        <w:rPr>
          <w:rFonts w:ascii="Arial" w:cs="Arial" w:eastAsia="Arial" w:hAnsi="Arial"/>
          <w:sz w:val="17"/>
          <w:szCs w:val="17"/>
          <w:color w:val="auto"/>
        </w:rPr>
        <w:t>We have significant opportunity to generate additional revenue from our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relationships by selling additional modules, functionality and features in addition to increasing the number of users at a customer by expanding into new teams and departments. As of June 30, 2021, 78% of our customers subscribe to fewer than four of our modules, highlighting the opportunity to expand the usage of our platform.</w:t>
      </w:r>
    </w:p>
    <w:p>
      <w:pPr>
        <w:spacing w:after="0" w:line="91" w:lineRule="exact"/>
        <w:rPr>
          <w:rFonts w:ascii="Arial" w:cs="Arial" w:eastAsia="Arial" w:hAnsi="Arial"/>
          <w:sz w:val="17"/>
          <w:szCs w:val="17"/>
          <w:color w:val="auto"/>
        </w:rPr>
      </w:pPr>
    </w:p>
    <w:p>
      <w:pPr>
        <w:jc w:val="both"/>
        <w:ind w:left="1360" w:right="140" w:hanging="519"/>
        <w:spacing w:after="0" w:line="257" w:lineRule="auto"/>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Innovate to Strengthen our Platform and Market Leadership Position. </w:t>
      </w:r>
      <w:r>
        <w:rPr>
          <w:rFonts w:ascii="Arial" w:cs="Arial" w:eastAsia="Arial" w:hAnsi="Arial"/>
          <w:sz w:val="17"/>
          <w:szCs w:val="17"/>
          <w:color w:val="auto"/>
        </w:rPr>
        <w:t>We have been highly innovative since our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2011, and we continue to disrupt the healthcare ecosystem with new data sources, analytics, data science and workflow products. New innovations allow us to increase new deal velocity, deepen our relationships with existing customers and demand higher prices. We have and will continue to innovate in the following ways:</w:t>
      </w:r>
    </w:p>
    <w:p>
      <w:pPr>
        <w:spacing w:after="0" w:line="91" w:lineRule="exact"/>
        <w:rPr>
          <w:rFonts w:ascii="Arial" w:cs="Arial" w:eastAsia="Arial" w:hAnsi="Arial"/>
          <w:sz w:val="17"/>
          <w:szCs w:val="17"/>
          <w:color w:val="auto"/>
        </w:rPr>
      </w:pPr>
    </w:p>
    <w:p>
      <w:pPr>
        <w:ind w:left="1760" w:right="400" w:hanging="397"/>
        <w:spacing w:after="0" w:line="273" w:lineRule="auto"/>
        <w:tabs>
          <w:tab w:leader="none" w:pos="1760"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New data sources: </w:t>
      </w:r>
      <w:r>
        <w:rPr>
          <w:rFonts w:ascii="Arial" w:cs="Arial" w:eastAsia="Arial" w:hAnsi="Arial"/>
          <w:sz w:val="17"/>
          <w:szCs w:val="17"/>
          <w:color w:val="auto"/>
        </w:rPr>
        <w:t>To date, we have launched 13 highly integrated intelligence modules that make up the Definitive Healthcare</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including our most recent addition of a prescription drug claims source of data.</w:t>
      </w:r>
    </w:p>
    <w:p>
      <w:pPr>
        <w:spacing w:after="0" w:line="76" w:lineRule="exact"/>
        <w:rPr>
          <w:rFonts w:ascii="Arial" w:cs="Arial" w:eastAsia="Arial" w:hAnsi="Arial"/>
          <w:sz w:val="17"/>
          <w:szCs w:val="17"/>
          <w:color w:val="auto"/>
        </w:rPr>
      </w:pPr>
    </w:p>
    <w:p>
      <w:pPr>
        <w:ind w:left="1760" w:right="240" w:hanging="397"/>
        <w:spacing w:after="0" w:line="261" w:lineRule="auto"/>
        <w:tabs>
          <w:tab w:leader="none" w:pos="1760"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Analytics: </w:t>
      </w:r>
      <w:r>
        <w:rPr>
          <w:rFonts w:ascii="Arial" w:cs="Arial" w:eastAsia="Arial" w:hAnsi="Arial"/>
          <w:sz w:val="17"/>
          <w:szCs w:val="17"/>
          <w:color w:val="auto"/>
        </w:rPr>
        <w:t>We are continuously updating our platform to include new features and updates to our intelligence modules. These</w:t>
      </w:r>
      <w:r>
        <w:rPr>
          <w:rFonts w:ascii="Arial" w:cs="Arial" w:eastAsia="Arial" w:hAnsi="Arial"/>
          <w:sz w:val="17"/>
          <w:szCs w:val="17"/>
          <w:i w:val="1"/>
          <w:iCs w:val="1"/>
          <w:color w:val="auto"/>
        </w:rPr>
        <w:t xml:space="preserve"> </w:t>
      </w:r>
      <w:r>
        <w:rPr>
          <w:rFonts w:ascii="Arial" w:cs="Arial" w:eastAsia="Arial" w:hAnsi="Arial"/>
          <w:sz w:val="17"/>
          <w:szCs w:val="17"/>
          <w:color w:val="auto"/>
        </w:rPr>
        <w:t>enhancements drive customer renewals, average price and deal velocity. For example, our historical affiliation trends and updated diagnosis includes ICD-10 designations from medical billing and coding.</w:t>
      </w:r>
    </w:p>
    <w:p>
      <w:pPr>
        <w:spacing w:after="0" w:line="87" w:lineRule="exact"/>
        <w:rPr>
          <w:rFonts w:ascii="Arial" w:cs="Arial" w:eastAsia="Arial" w:hAnsi="Arial"/>
          <w:sz w:val="17"/>
          <w:szCs w:val="17"/>
          <w:color w:val="auto"/>
        </w:rPr>
      </w:pPr>
    </w:p>
    <w:p>
      <w:pPr>
        <w:ind w:left="1760" w:right="120" w:hanging="397"/>
        <w:spacing w:after="0" w:line="255" w:lineRule="auto"/>
        <w:tabs>
          <w:tab w:leader="none" w:pos="1760"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Data science: </w:t>
      </w:r>
      <w:r>
        <w:rPr>
          <w:rFonts w:ascii="Arial" w:cs="Arial" w:eastAsia="Arial" w:hAnsi="Arial"/>
          <w:sz w:val="17"/>
          <w:szCs w:val="17"/>
          <w:color w:val="auto"/>
        </w:rPr>
        <w:t>We continue to add skilled data scientists to our growing team to focus on building out new linkages and intelligence</w:t>
      </w:r>
      <w:r>
        <w:rPr>
          <w:rFonts w:ascii="Arial" w:cs="Arial" w:eastAsia="Arial" w:hAnsi="Arial"/>
          <w:sz w:val="17"/>
          <w:szCs w:val="17"/>
          <w:i w:val="1"/>
          <w:iCs w:val="1"/>
          <w:color w:val="auto"/>
        </w:rPr>
        <w:t xml:space="preserve"> </w:t>
      </w:r>
      <w:r>
        <w:rPr>
          <w:rFonts w:ascii="Arial" w:cs="Arial" w:eastAsia="Arial" w:hAnsi="Arial"/>
          <w:sz w:val="17"/>
          <w:szCs w:val="17"/>
          <w:color w:val="auto"/>
        </w:rPr>
        <w:t>using AI. Our data scientists are important to our growth and we are always working to develop new algorithms to better link, cleanse and ingest information from multiple disparate sources and also generate new intelligence to be added to the platform. Our telemedicine propensity score and our strength of affiliation metrics demonstrate that data science is an important driver of our growth.</w:t>
      </w:r>
    </w:p>
    <w:p>
      <w:pPr>
        <w:spacing w:after="0" w:line="93" w:lineRule="exact"/>
        <w:rPr>
          <w:rFonts w:ascii="Arial" w:cs="Arial" w:eastAsia="Arial" w:hAnsi="Arial"/>
          <w:sz w:val="17"/>
          <w:szCs w:val="17"/>
          <w:color w:val="auto"/>
        </w:rPr>
      </w:pPr>
    </w:p>
    <w:p>
      <w:pPr>
        <w:ind w:left="1760" w:right="80" w:hanging="397"/>
        <w:spacing w:after="0" w:line="257" w:lineRule="auto"/>
        <w:tabs>
          <w:tab w:leader="none" w:pos="1760"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t xml:space="preserve">Workflow products: </w:t>
      </w:r>
      <w:r>
        <w:rPr>
          <w:rFonts w:ascii="Arial" w:cs="Arial" w:eastAsia="Arial" w:hAnsi="Arial"/>
          <w:sz w:val="17"/>
          <w:szCs w:val="17"/>
          <w:color w:val="auto"/>
        </w:rPr>
        <w:t>We continue to build solutions to our customers’ important problems and seamlessly embed our platform into</w:t>
      </w:r>
      <w:r>
        <w:rPr>
          <w:rFonts w:ascii="Arial" w:cs="Arial" w:eastAsia="Arial" w:hAnsi="Arial"/>
          <w:sz w:val="17"/>
          <w:szCs w:val="17"/>
          <w:i w:val="1"/>
          <w:iCs w:val="1"/>
          <w:color w:val="auto"/>
        </w:rPr>
        <w:t xml:space="preserve"> </w:t>
      </w:r>
      <w:r>
        <w:rPr>
          <w:rFonts w:ascii="Arial" w:cs="Arial" w:eastAsia="Arial" w:hAnsi="Arial"/>
          <w:sz w:val="17"/>
          <w:szCs w:val="17"/>
          <w:color w:val="auto"/>
        </w:rPr>
        <w:t>our customers’ workflow. For example, our Latitude module allows customers to not only identify valuable patient cohorts, but also provides customers with a workflow product for Life Sciences sales representatives to build deep relationships with targeted physicians.</w:t>
      </w:r>
    </w:p>
    <w:p>
      <w:pPr>
        <w:spacing w:after="0" w:line="91" w:lineRule="exact"/>
        <w:rPr>
          <w:rFonts w:ascii="Arial" w:cs="Arial" w:eastAsia="Arial" w:hAnsi="Arial"/>
          <w:sz w:val="17"/>
          <w:szCs w:val="17"/>
          <w:color w:val="auto"/>
        </w:rPr>
      </w:pPr>
    </w:p>
    <w:p>
      <w:pPr>
        <w:ind w:left="1360" w:right="100" w:hanging="519"/>
        <w:spacing w:after="0" w:line="255" w:lineRule="auto"/>
        <w:tabs>
          <w:tab w:leader="none" w:pos="1360" w:val="left"/>
        </w:tabs>
        <w:numPr>
          <w:ilvl w:val="0"/>
          <w:numId w:val="1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Make Selective Strategic Acquisitions. </w:t>
      </w:r>
      <w:r>
        <w:rPr>
          <w:rFonts w:ascii="Arial" w:cs="Arial" w:eastAsia="Arial" w:hAnsi="Arial"/>
          <w:sz w:val="17"/>
          <w:szCs w:val="17"/>
          <w:color w:val="auto"/>
        </w:rPr>
        <w:t>We will continue to consider acquisitions that we believe would enhance our capabilities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the scope of our platform, including new data assets, new analytics to deliver value from our intelligence or new paths to further integrate our platform into customer workflows. We have a successful track record of M&amp;A execution and integration, with five acquisitions over the last several years. While we expect organic expansion to continue to be the primary driver of our growth, we believe acquisitions can be a meaningful driver of incremental growth.</w:t>
      </w:r>
    </w:p>
    <w:p>
      <w:pPr>
        <w:spacing w:after="0" w:line="183" w:lineRule="exact"/>
        <w:rPr>
          <w:sz w:val="20"/>
          <w:szCs w:val="20"/>
          <w:color w:val="auto"/>
        </w:rPr>
      </w:pPr>
    </w:p>
    <w:p>
      <w:pPr>
        <w:ind w:left="440" w:right="260" w:firstLine="415"/>
        <w:spacing w:after="0" w:line="261" w:lineRule="auto"/>
        <w:rPr>
          <w:sz w:val="20"/>
          <w:szCs w:val="20"/>
          <w:color w:val="auto"/>
        </w:rPr>
      </w:pPr>
      <w:r>
        <w:rPr>
          <w:rFonts w:ascii="Arial" w:cs="Arial" w:eastAsia="Arial" w:hAnsi="Arial"/>
          <w:sz w:val="17"/>
          <w:szCs w:val="17"/>
          <w:color w:val="auto"/>
        </w:rPr>
        <w:t>We also regularly assess investment opportunities that will further our continued growth. We are currently targeting three key areas for investments: the expansion of our sales capacity and marketing capabilities, innovation and product development to expand our platform and general and administrative investments to support our operations as a public company.</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Platform Modules</w:t>
      </w:r>
    </w:p>
    <w:p>
      <w:pPr>
        <w:spacing w:after="0" w:line="114" w:lineRule="exact"/>
        <w:rPr>
          <w:sz w:val="20"/>
          <w:szCs w:val="20"/>
          <w:color w:val="auto"/>
        </w:rPr>
      </w:pPr>
    </w:p>
    <w:p>
      <w:pPr>
        <w:ind w:left="440" w:right="180" w:firstLine="415"/>
        <w:spacing w:after="0" w:line="342" w:lineRule="auto"/>
        <w:rPr>
          <w:sz w:val="20"/>
          <w:szCs w:val="20"/>
          <w:color w:val="auto"/>
        </w:rPr>
      </w:pPr>
      <w:r>
        <w:rPr>
          <w:rFonts w:ascii="Arial" w:cs="Arial" w:eastAsia="Arial" w:hAnsi="Arial"/>
          <w:sz w:val="15"/>
          <w:szCs w:val="15"/>
          <w:color w:val="auto"/>
        </w:rPr>
        <w:t>Our platform is comprised of comprehensive intelligence and analytics on healthcare providers across the U.S. healthcare ecosystem. Integrated together through data science and our SaaS platform, we deliver in-depth commercial intelligence to help our customers succeed in healthcare.</w:t>
      </w:r>
    </w:p>
    <w:p>
      <w:pPr>
        <w:spacing w:after="0" w:line="5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0800"/>
          </w:cols>
          <w:pgMar w:left="320" w:top="442" w:right="77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Our platform includes integrated intelligence modules and workflow products that provide customers access to intelligence and tools at all levels of the healthcare ecosystem.</w:t>
      </w:r>
    </w:p>
    <w:p>
      <w:pPr>
        <w:spacing w:after="0" w:line="77" w:lineRule="exact"/>
        <w:rPr>
          <w:sz w:val="20"/>
          <w:szCs w:val="20"/>
          <w:color w:val="auto"/>
        </w:rPr>
      </w:pPr>
    </w:p>
    <w:p>
      <w:pPr>
        <w:ind w:left="1360" w:right="160" w:hanging="519"/>
        <w:spacing w:after="0" w:line="257" w:lineRule="auto"/>
        <w:tabs>
          <w:tab w:leader="none" w:pos="136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Integrated Intelligence Modules: </w:t>
      </w:r>
      <w:r>
        <w:rPr>
          <w:rFonts w:ascii="Arial" w:cs="Arial" w:eastAsia="Arial" w:hAnsi="Arial"/>
          <w:sz w:val="17"/>
          <w:szCs w:val="17"/>
          <w:color w:val="auto"/>
        </w:rPr>
        <w:t>Customers may purchase any of 13 different intelligence modules providing access to intelligence on</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different segments of the healthcare ecosystem. These modules include ClaimsMx, ClaimsRx, ConnectedCareView, ClinicView, HospitalView, ImagingView, LongTermCareView, PhysicianGroupView, PhysicianView, SpecialtyRxView, SurgeryCenterView, Monocl ExpertInsight and Monocl ClaimsMx.</w:t>
      </w:r>
    </w:p>
    <w:p>
      <w:pPr>
        <w:spacing w:after="0" w:line="91" w:lineRule="exact"/>
        <w:rPr>
          <w:rFonts w:ascii="Arial" w:cs="Arial" w:eastAsia="Arial" w:hAnsi="Arial"/>
          <w:sz w:val="17"/>
          <w:szCs w:val="17"/>
          <w:color w:val="auto"/>
        </w:rPr>
      </w:pPr>
    </w:p>
    <w:p>
      <w:pPr>
        <w:ind w:left="1360" w:right="40" w:hanging="519"/>
        <w:spacing w:after="0" w:line="261" w:lineRule="auto"/>
        <w:tabs>
          <w:tab w:leader="none" w:pos="136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 xml:space="preserve">Workflow products: </w:t>
      </w:r>
      <w:r>
        <w:rPr>
          <w:rFonts w:ascii="Arial" w:cs="Arial" w:eastAsia="Arial" w:hAnsi="Arial"/>
          <w:sz w:val="17"/>
          <w:szCs w:val="17"/>
          <w:color w:val="auto"/>
        </w:rPr>
        <w:t>Customers can add additional workflow tools to power deeper analytics or to connect our intelligence deeper into their</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These modules include Definitive Healthcare Data Integration Package, Definitive Healthcare Mobile, Latitude Reporting, PatientFinder, Definitive Healthcare Connect, Monocl Engage and Monocl Connect.</w:t>
      </w:r>
    </w:p>
    <w:p>
      <w:pPr>
        <w:spacing w:after="0" w:line="176"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Each of the providers in our integrated platform is tied together with a universal identifier called the Definitive Healthcare ID. The Definitive Healthcare ID has become the standard for many of our customers and allows them to understand the linkages between providers as well as to connect the intelligence from the Definitive Healthcare platform to both internal and third-party information.</w:t>
      </w:r>
    </w:p>
    <w:p>
      <w:pPr>
        <w:spacing w:after="0" w:line="176"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Customers often purchase multiple modules in bundles to help develop products for or compete in the healthcare ecosystem. Within each of our modules, we provide in-depth intelligence and analytical features that help our customers segment the provider universe, perform deep research on each provider and identify decision makers.</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Examples of important intelligence provided within the modules include the following:</w:t>
      </w:r>
    </w:p>
    <w:p>
      <w:pPr>
        <w:spacing w:after="0" w:line="123" w:lineRule="exact"/>
        <w:rPr>
          <w:sz w:val="20"/>
          <w:szCs w:val="20"/>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Affiliations and relationships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Referral patterns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Procedure and diagnosis volumes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Financial metrics and technology installs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Executive and physician decision makers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Dashboards that provide insight not data</w:t>
      </w:r>
    </w:p>
    <w:p>
      <w:pPr>
        <w:spacing w:after="0" w:line="212"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Customers utilize the Definitive Healthcare platform broadly throughout their organization to solve a variety of large, high-stakes problems as demonstrated by the following examples.</w:t>
      </w:r>
    </w:p>
    <w:p>
      <w:pPr>
        <w:spacing w:after="0" w:line="73" w:lineRule="exact"/>
        <w:rPr>
          <w:sz w:val="20"/>
          <w:szCs w:val="20"/>
          <w:color w:val="auto"/>
        </w:rPr>
      </w:pPr>
    </w:p>
    <w:p>
      <w:pPr>
        <w:ind w:left="1360" w:hanging="519"/>
        <w:spacing w:after="0"/>
        <w:tabs>
          <w:tab w:leader="none" w:pos="1360" w:val="left"/>
        </w:tabs>
        <w:numPr>
          <w:ilvl w:val="0"/>
          <w:numId w:val="119"/>
        </w:numPr>
        <w:rPr>
          <w:rFonts w:ascii="Arial" w:cs="Arial" w:eastAsia="Arial" w:hAnsi="Arial"/>
          <w:sz w:val="17"/>
          <w:szCs w:val="17"/>
          <w:color w:val="auto"/>
        </w:rPr>
      </w:pPr>
      <w:r>
        <w:rPr>
          <w:rFonts w:ascii="Arial" w:cs="Arial" w:eastAsia="Arial" w:hAnsi="Arial"/>
          <w:sz w:val="17"/>
          <w:szCs w:val="17"/>
          <w:b w:val="1"/>
          <w:bCs w:val="1"/>
          <w:color w:val="auto"/>
        </w:rPr>
        <w:t xml:space="preserve">Sales: </w:t>
      </w:r>
      <w:r>
        <w:rPr>
          <w:rFonts w:ascii="Arial" w:cs="Arial" w:eastAsia="Arial" w:hAnsi="Arial"/>
          <w:sz w:val="17"/>
          <w:szCs w:val="17"/>
          <w:color w:val="auto"/>
        </w:rPr>
        <w:t>Identifying the Right Prospects</w:t>
      </w:r>
    </w:p>
    <w:p>
      <w:pPr>
        <w:spacing w:after="0" w:line="126" w:lineRule="exact"/>
        <w:rPr>
          <w:rFonts w:ascii="Arial" w:cs="Arial" w:eastAsia="Arial" w:hAnsi="Arial"/>
          <w:sz w:val="17"/>
          <w:szCs w:val="17"/>
          <w:color w:val="auto"/>
        </w:rPr>
      </w:pPr>
    </w:p>
    <w:p>
      <w:pPr>
        <w:ind w:left="1760" w:hanging="397"/>
        <w:spacing w:after="0" w:line="255" w:lineRule="auto"/>
        <w:tabs>
          <w:tab w:leader="none" w:pos="1760" w:val="left"/>
        </w:tabs>
        <w:numPr>
          <w:ilvl w:val="1"/>
          <w:numId w:val="119"/>
        </w:numPr>
        <w:rPr>
          <w:rFonts w:ascii="Arial" w:cs="Arial" w:eastAsia="Arial" w:hAnsi="Arial"/>
          <w:sz w:val="14"/>
          <w:szCs w:val="14"/>
          <w:color w:val="auto"/>
        </w:rPr>
      </w:pPr>
      <w:r>
        <w:rPr>
          <w:rFonts w:ascii="Arial" w:cs="Arial" w:eastAsia="Arial" w:hAnsi="Arial"/>
          <w:sz w:val="17"/>
          <w:szCs w:val="17"/>
          <w:i w:val="1"/>
          <w:iCs w:val="1"/>
          <w:color w:val="auto"/>
        </w:rPr>
        <w:t>A HCIT company wanted to identify health systems and physician groups that were most likely to engage with their new telemedicine technology. Utilizing the Definitive Healthcare platform, the company was able to understand adoption of telemedicine at the provider level and combine that with details on the existing electronic health record (“EHR”) system to identify provider prospects that not only would be interested in the new technology, but also would have an ease of implementation given the EHR linkages that had already been built.</w:t>
      </w:r>
    </w:p>
    <w:p>
      <w:pPr>
        <w:spacing w:after="0" w:line="93" w:lineRule="exact"/>
        <w:rPr>
          <w:rFonts w:ascii="Arial" w:cs="Arial" w:eastAsia="Arial" w:hAnsi="Arial"/>
          <w:sz w:val="14"/>
          <w:szCs w:val="14"/>
          <w:color w:val="auto"/>
        </w:rPr>
      </w:pPr>
    </w:p>
    <w:p>
      <w:pPr>
        <w:ind w:left="1760" w:hanging="397"/>
        <w:spacing w:after="0" w:line="275" w:lineRule="auto"/>
        <w:tabs>
          <w:tab w:leader="none" w:pos="1760" w:val="left"/>
        </w:tabs>
        <w:numPr>
          <w:ilvl w:val="1"/>
          <w:numId w:val="119"/>
        </w:numPr>
        <w:rPr>
          <w:rFonts w:ascii="Arial" w:cs="Arial" w:eastAsia="Arial" w:hAnsi="Arial"/>
          <w:sz w:val="13"/>
          <w:szCs w:val="13"/>
          <w:color w:val="auto"/>
        </w:rPr>
      </w:pPr>
      <w:r>
        <w:rPr>
          <w:rFonts w:ascii="Arial" w:cs="Arial" w:eastAsia="Arial" w:hAnsi="Arial"/>
          <w:sz w:val="16"/>
          <w:szCs w:val="16"/>
          <w:i w:val="1"/>
          <w:iCs w:val="1"/>
          <w:color w:val="auto"/>
        </w:rPr>
        <w:t>A HCIT company makes a solution that streamlines the patient waiting room experience and optimizes healthcare practices’ operations. The company was bringing a new product to market that integrates with a specific EMR system and needed to identify physician groups that utilized this EMR to increase their conversion rate. Using Definitive Healthcare data, the company was able to effectively segment their market by physician group and compatible technology criteria and identify the right decision makers at each organization. In doing so, the company increased its conversion rate from 4% to 19%.</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0800"/>
          </w:cols>
          <w:pgMar w:left="320" w:top="442" w:right="77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3780"/>
        <w:spacing w:after="0"/>
        <w:rPr>
          <w:sz w:val="20"/>
          <w:szCs w:val="20"/>
          <w:color w:val="auto"/>
        </w:rPr>
      </w:pPr>
      <w:r>
        <w:rPr>
          <w:rFonts w:ascii="Arial" w:cs="Arial" w:eastAsia="Arial" w:hAnsi="Arial"/>
          <w:sz w:val="17"/>
          <w:szCs w:val="17"/>
          <w:b w:val="1"/>
          <w:bCs w:val="1"/>
          <w:i w:val="1"/>
          <w:iCs w:val="1"/>
          <w:color w:val="auto"/>
        </w:rPr>
        <w:t>Map Technology Implementations Used by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1156335</wp:posOffset>
            </wp:positionH>
            <wp:positionV relativeFrom="paragraph">
              <wp:posOffset>158115</wp:posOffset>
            </wp:positionV>
            <wp:extent cx="4830445" cy="2059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30445" cy="205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60" w:hanging="519"/>
        <w:spacing w:after="0"/>
        <w:tabs>
          <w:tab w:leader="none" w:pos="1360" w:val="left"/>
        </w:tabs>
        <w:numPr>
          <w:ilvl w:val="0"/>
          <w:numId w:val="120"/>
        </w:numPr>
        <w:rPr>
          <w:rFonts w:ascii="Arial" w:cs="Arial" w:eastAsia="Arial" w:hAnsi="Arial"/>
          <w:sz w:val="17"/>
          <w:szCs w:val="17"/>
          <w:color w:val="auto"/>
        </w:rPr>
      </w:pPr>
      <w:r>
        <w:rPr>
          <w:rFonts w:ascii="Arial" w:cs="Arial" w:eastAsia="Arial" w:hAnsi="Arial"/>
          <w:sz w:val="17"/>
          <w:szCs w:val="17"/>
          <w:b w:val="1"/>
          <w:bCs w:val="1"/>
          <w:color w:val="auto"/>
        </w:rPr>
        <w:t xml:space="preserve">Marketing: </w:t>
      </w:r>
      <w:r>
        <w:rPr>
          <w:rFonts w:ascii="Arial" w:cs="Arial" w:eastAsia="Arial" w:hAnsi="Arial"/>
          <w:sz w:val="17"/>
          <w:szCs w:val="17"/>
          <w:color w:val="auto"/>
        </w:rPr>
        <w:t>Demonstrating a Quantifiable ROI</w:t>
      </w:r>
    </w:p>
    <w:p>
      <w:pPr>
        <w:spacing w:after="0" w:line="126" w:lineRule="exact"/>
        <w:rPr>
          <w:rFonts w:ascii="Arial" w:cs="Arial" w:eastAsia="Arial" w:hAnsi="Arial"/>
          <w:sz w:val="17"/>
          <w:szCs w:val="17"/>
          <w:color w:val="auto"/>
        </w:rPr>
      </w:pPr>
    </w:p>
    <w:p>
      <w:pPr>
        <w:ind w:left="1760" w:hanging="397"/>
        <w:spacing w:after="0" w:line="253" w:lineRule="auto"/>
        <w:tabs>
          <w:tab w:leader="none" w:pos="1760" w:val="left"/>
        </w:tabs>
        <w:numPr>
          <w:ilvl w:val="1"/>
          <w:numId w:val="120"/>
        </w:numPr>
        <w:rPr>
          <w:rFonts w:ascii="Arial" w:cs="Arial" w:eastAsia="Arial" w:hAnsi="Arial"/>
          <w:sz w:val="14"/>
          <w:szCs w:val="14"/>
          <w:color w:val="auto"/>
        </w:rPr>
      </w:pPr>
      <w:r>
        <w:rPr>
          <w:rFonts w:ascii="Arial" w:cs="Arial" w:eastAsia="Arial" w:hAnsi="Arial"/>
          <w:sz w:val="17"/>
          <w:szCs w:val="17"/>
          <w:i w:val="1"/>
          <w:iCs w:val="1"/>
          <w:color w:val="auto"/>
        </w:rPr>
        <w:t>A medical device company was launching a product that minimizes the risk of acute kidney injury and wanted a way to educate their buyers on how this novel approach could benefit at-risk patient populations. The company leveraged the Definitive Healthcare platform to (i) identify the providers and their referrers with the at-risk patients, (ii) quantify the ROI by demonstrating the value of reducing acute kidney injury based on the number of patients impacted for each provider, and (iii) execute the campaign utilizing our deep executive and physician decision maker intelligence. The company ultimately increased its booked meetings by nearly 70% in the four months following implementing the Definitive Healthcare platform when compared against the four months prior to its implementation.</w:t>
      </w:r>
    </w:p>
    <w:p>
      <w:pPr>
        <w:spacing w:after="0" w:line="389" w:lineRule="exact"/>
        <w:rPr>
          <w:sz w:val="20"/>
          <w:szCs w:val="20"/>
          <w:color w:val="auto"/>
        </w:rPr>
      </w:pPr>
    </w:p>
    <w:p>
      <w:pPr>
        <w:ind w:left="3680"/>
        <w:spacing w:after="0"/>
        <w:rPr>
          <w:sz w:val="20"/>
          <w:szCs w:val="20"/>
          <w:color w:val="auto"/>
        </w:rPr>
      </w:pPr>
      <w:r>
        <w:rPr>
          <w:rFonts w:ascii="Arial" w:cs="Arial" w:eastAsia="Arial" w:hAnsi="Arial"/>
          <w:sz w:val="17"/>
          <w:szCs w:val="17"/>
          <w:b w:val="1"/>
          <w:bCs w:val="1"/>
          <w:i w:val="1"/>
          <w:iCs w:val="1"/>
          <w:color w:val="auto"/>
        </w:rPr>
        <w:t>View Referral Patterns to Identify Key Decision 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158115</wp:posOffset>
            </wp:positionV>
            <wp:extent cx="4660265" cy="19869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66026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360" w:hanging="519"/>
        <w:spacing w:after="0"/>
        <w:tabs>
          <w:tab w:leader="none" w:pos="1360"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 xml:space="preserve">Clinical Research &amp; Product Development: </w:t>
      </w:r>
      <w:r>
        <w:rPr>
          <w:rFonts w:ascii="Arial" w:cs="Arial" w:eastAsia="Arial" w:hAnsi="Arial"/>
          <w:sz w:val="17"/>
          <w:szCs w:val="17"/>
          <w:color w:val="auto"/>
        </w:rPr>
        <w:t>Disease and Commercial Market Targeting</w:t>
      </w:r>
    </w:p>
    <w:p>
      <w:pPr>
        <w:spacing w:after="0" w:line="126" w:lineRule="exact"/>
        <w:rPr>
          <w:rFonts w:ascii="Arial" w:cs="Arial" w:eastAsia="Arial" w:hAnsi="Arial"/>
          <w:sz w:val="17"/>
          <w:szCs w:val="17"/>
          <w:color w:val="auto"/>
        </w:rPr>
      </w:pPr>
    </w:p>
    <w:p>
      <w:pPr>
        <w:ind w:left="1760" w:right="100" w:hanging="397"/>
        <w:spacing w:after="0" w:line="273" w:lineRule="auto"/>
        <w:tabs>
          <w:tab w:leader="none" w:pos="1760" w:val="left"/>
        </w:tabs>
        <w:numPr>
          <w:ilvl w:val="1"/>
          <w:numId w:val="121"/>
        </w:numPr>
        <w:rPr>
          <w:rFonts w:ascii="Arial" w:cs="Arial" w:eastAsia="Arial" w:hAnsi="Arial"/>
          <w:sz w:val="14"/>
          <w:szCs w:val="14"/>
          <w:color w:val="auto"/>
        </w:rPr>
      </w:pPr>
      <w:r>
        <w:rPr>
          <w:rFonts w:ascii="Arial" w:cs="Arial" w:eastAsia="Arial" w:hAnsi="Arial"/>
          <w:sz w:val="17"/>
          <w:szCs w:val="17"/>
          <w:i w:val="1"/>
          <w:iCs w:val="1"/>
          <w:color w:val="auto"/>
        </w:rPr>
        <w:t>The Medical Affairs department within the rare disease division of a mid-sized international biotech company had a 20-person field team of medical science liaisons (”MSLs”). This</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0820"/>
          </w:cols>
          <w:pgMar w:left="320" w:top="442" w:right="75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780" w:right="100"/>
        <w:spacing w:after="0" w:line="279" w:lineRule="auto"/>
        <w:rPr>
          <w:sz w:val="20"/>
          <w:szCs w:val="20"/>
          <w:color w:val="auto"/>
        </w:rPr>
      </w:pPr>
      <w:r>
        <w:rPr>
          <w:rFonts w:ascii="Arial" w:cs="Arial" w:eastAsia="Arial" w:hAnsi="Arial"/>
          <w:sz w:val="16"/>
          <w:szCs w:val="16"/>
          <w:i w:val="1"/>
          <w:iCs w:val="1"/>
          <w:color w:val="auto"/>
        </w:rPr>
        <w:t>organization had a list of external experts for the MSLs to target, the list was created via a one-time project with no real time updates. The company utilized the Definitive Healthcare platform to identify experts globally within their field and stay updated on new research, clinical trials and speaking engagements for those experts. This real-time access ensured the company was at the forefront of cutting-edge research and was able to identify new emerging experts across the globe.</w:t>
      </w:r>
    </w:p>
    <w:p>
      <w:pPr>
        <w:spacing w:after="0" w:line="366" w:lineRule="exact"/>
        <w:rPr>
          <w:sz w:val="20"/>
          <w:szCs w:val="20"/>
          <w:color w:val="auto"/>
        </w:rPr>
      </w:pPr>
    </w:p>
    <w:p>
      <w:pPr>
        <w:ind w:left="2900"/>
        <w:spacing w:after="0"/>
        <w:rPr>
          <w:sz w:val="20"/>
          <w:szCs w:val="20"/>
          <w:color w:val="auto"/>
        </w:rPr>
      </w:pPr>
      <w:r>
        <w:rPr>
          <w:rFonts w:ascii="Arial" w:cs="Arial" w:eastAsia="Arial" w:hAnsi="Arial"/>
          <w:sz w:val="17"/>
          <w:szCs w:val="17"/>
          <w:b w:val="1"/>
          <w:bCs w:val="1"/>
          <w:i w:val="1"/>
          <w:iCs w:val="1"/>
          <w:color w:val="auto"/>
        </w:rPr>
        <w:t>Size Markets and Commit Investment Resources Based on Sound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158115</wp:posOffset>
            </wp:positionV>
            <wp:extent cx="4660265" cy="19869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66026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60" w:hanging="519"/>
        <w:spacing w:after="0"/>
        <w:tabs>
          <w:tab w:leader="none" w:pos="136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 xml:space="preserve">Strategy: </w:t>
      </w:r>
      <w:r>
        <w:rPr>
          <w:rFonts w:ascii="Arial" w:cs="Arial" w:eastAsia="Arial" w:hAnsi="Arial"/>
          <w:sz w:val="17"/>
          <w:szCs w:val="17"/>
          <w:color w:val="auto"/>
        </w:rPr>
        <w:t>Locating Adjacent Markets and Underdiagnosed Patients</w:t>
      </w:r>
    </w:p>
    <w:p>
      <w:pPr>
        <w:spacing w:after="0" w:line="126" w:lineRule="exact"/>
        <w:rPr>
          <w:rFonts w:ascii="Arial" w:cs="Arial" w:eastAsia="Arial" w:hAnsi="Arial"/>
          <w:sz w:val="17"/>
          <w:szCs w:val="17"/>
          <w:color w:val="auto"/>
        </w:rPr>
      </w:pPr>
    </w:p>
    <w:p>
      <w:pPr>
        <w:ind w:left="1760" w:hanging="397"/>
        <w:spacing w:after="0" w:line="279" w:lineRule="auto"/>
        <w:tabs>
          <w:tab w:leader="none" w:pos="1760" w:val="left"/>
        </w:tabs>
        <w:numPr>
          <w:ilvl w:val="1"/>
          <w:numId w:val="122"/>
        </w:numPr>
        <w:rPr>
          <w:rFonts w:ascii="Arial" w:cs="Arial" w:eastAsia="Arial" w:hAnsi="Arial"/>
          <w:sz w:val="13"/>
          <w:szCs w:val="13"/>
          <w:color w:val="auto"/>
        </w:rPr>
      </w:pPr>
      <w:r>
        <w:rPr>
          <w:rFonts w:ascii="Arial" w:cs="Arial" w:eastAsia="Arial" w:hAnsi="Arial"/>
          <w:sz w:val="16"/>
          <w:szCs w:val="16"/>
          <w:i w:val="1"/>
          <w:iCs w:val="1"/>
          <w:color w:val="auto"/>
        </w:rPr>
        <w:t>The oncology division of an international biopharmaceutical company faced difficulties finding physicians who treated an ultra-rare disease. Using the Definitive Healthcare claims analytics modules, the company was able to search for patients with co-morbidities that potentially indicated the presence of a more severe, rare disease. By educating the identified physicians treating these patients, the company was able to yield 15 net new physicians that were not previously on their radar.</w:t>
      </w:r>
    </w:p>
    <w:p>
      <w:pPr>
        <w:spacing w:after="0" w:line="366" w:lineRule="exact"/>
        <w:rPr>
          <w:sz w:val="20"/>
          <w:szCs w:val="20"/>
          <w:color w:val="auto"/>
        </w:rPr>
      </w:pPr>
    </w:p>
    <w:p>
      <w:pPr>
        <w:ind w:left="3100"/>
        <w:spacing w:after="0"/>
        <w:rPr>
          <w:sz w:val="20"/>
          <w:szCs w:val="20"/>
          <w:color w:val="auto"/>
        </w:rPr>
      </w:pPr>
      <w:r>
        <w:rPr>
          <w:rFonts w:ascii="Arial" w:cs="Arial" w:eastAsia="Arial" w:hAnsi="Arial"/>
          <w:sz w:val="17"/>
          <w:szCs w:val="17"/>
          <w:b w:val="1"/>
          <w:bCs w:val="1"/>
          <w:i w:val="1"/>
          <w:iCs w:val="1"/>
          <w:color w:val="auto"/>
        </w:rPr>
        <w:t>Find Patient Populations for More Informed Practitioner Conversations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158115</wp:posOffset>
            </wp:positionV>
            <wp:extent cx="4636135" cy="19786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636135"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0780"/>
          </w:cols>
          <w:pgMar w:left="320" w:top="442" w:right="79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360" w:hanging="519"/>
        <w:spacing w:after="0"/>
        <w:tabs>
          <w:tab w:leader="none" w:pos="1360" w:val="left"/>
        </w:tabs>
        <w:numPr>
          <w:ilvl w:val="0"/>
          <w:numId w:val="123"/>
        </w:numPr>
        <w:rPr>
          <w:rFonts w:ascii="Arial" w:cs="Arial" w:eastAsia="Arial" w:hAnsi="Arial"/>
          <w:sz w:val="17"/>
          <w:szCs w:val="17"/>
          <w:color w:val="auto"/>
        </w:rPr>
      </w:pPr>
      <w:r>
        <w:rPr>
          <w:rFonts w:ascii="Arial" w:cs="Arial" w:eastAsia="Arial" w:hAnsi="Arial"/>
          <w:sz w:val="17"/>
          <w:szCs w:val="17"/>
          <w:b w:val="1"/>
          <w:bCs w:val="1"/>
          <w:color w:val="auto"/>
        </w:rPr>
        <w:t xml:space="preserve">Talent Acquisition: </w:t>
      </w:r>
      <w:r>
        <w:rPr>
          <w:rFonts w:ascii="Arial" w:cs="Arial" w:eastAsia="Arial" w:hAnsi="Arial"/>
          <w:sz w:val="17"/>
          <w:szCs w:val="17"/>
          <w:color w:val="auto"/>
        </w:rPr>
        <w:t>Addressing Turnover in Critical Healthcare Positions</w:t>
      </w:r>
    </w:p>
    <w:p>
      <w:pPr>
        <w:spacing w:after="0" w:line="126" w:lineRule="exact"/>
        <w:rPr>
          <w:rFonts w:ascii="Arial" w:cs="Arial" w:eastAsia="Arial" w:hAnsi="Arial"/>
          <w:sz w:val="17"/>
          <w:szCs w:val="17"/>
          <w:color w:val="auto"/>
        </w:rPr>
      </w:pPr>
    </w:p>
    <w:p>
      <w:pPr>
        <w:ind w:left="1760" w:right="180" w:hanging="397"/>
        <w:spacing w:after="0" w:line="275" w:lineRule="auto"/>
        <w:tabs>
          <w:tab w:leader="none" w:pos="1760" w:val="left"/>
        </w:tabs>
        <w:numPr>
          <w:ilvl w:val="1"/>
          <w:numId w:val="123"/>
        </w:numPr>
        <w:rPr>
          <w:rFonts w:ascii="Arial" w:cs="Arial" w:eastAsia="Arial" w:hAnsi="Arial"/>
          <w:sz w:val="13"/>
          <w:szCs w:val="13"/>
          <w:color w:val="auto"/>
        </w:rPr>
      </w:pPr>
      <w:r>
        <w:rPr>
          <w:rFonts w:ascii="Arial" w:cs="Arial" w:eastAsia="Arial" w:hAnsi="Arial"/>
          <w:sz w:val="16"/>
          <w:szCs w:val="16"/>
          <w:i w:val="1"/>
          <w:iCs w:val="1"/>
          <w:color w:val="auto"/>
        </w:rPr>
        <w:t>A leading staffing firm struggled to quickly and accurately identify hospitals most understaffed, indicating the need for an agency. Additionally, identifying substitute physician status to accurately capture physicians most likely to work with an agency was a challenge. Utilizing the Definitive Healthcare Platform the client analyzed bed utilization rate and contract labor spend to identify the hospitals with the largest need. Once these hospitals and systems were identified, the agency analyzed individual physician behavior at the hospital level to understand potential physician availability.</w:t>
      </w:r>
    </w:p>
    <w:p>
      <w:pPr>
        <w:spacing w:after="0" w:line="371" w:lineRule="exact"/>
        <w:rPr>
          <w:sz w:val="20"/>
          <w:szCs w:val="20"/>
          <w:color w:val="auto"/>
        </w:rPr>
      </w:pPr>
    </w:p>
    <w:p>
      <w:pPr>
        <w:ind w:left="2520"/>
        <w:spacing w:after="0"/>
        <w:rPr>
          <w:sz w:val="20"/>
          <w:szCs w:val="20"/>
          <w:color w:val="auto"/>
        </w:rPr>
      </w:pPr>
      <w:r>
        <w:rPr>
          <w:rFonts w:ascii="Arial" w:cs="Arial" w:eastAsia="Arial" w:hAnsi="Arial"/>
          <w:sz w:val="17"/>
          <w:szCs w:val="17"/>
          <w:b w:val="1"/>
          <w:bCs w:val="1"/>
          <w:i w:val="1"/>
          <w:iCs w:val="1"/>
          <w:color w:val="auto"/>
        </w:rPr>
        <w:t>Track Ongoing Activity in the Healthcare Ecosystem through Daily-updated News Feeds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1252855</wp:posOffset>
            </wp:positionH>
            <wp:positionV relativeFrom="paragraph">
              <wp:posOffset>158115</wp:posOffset>
            </wp:positionV>
            <wp:extent cx="4636135" cy="19786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636135"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360" w:hanging="519"/>
        <w:spacing w:after="0"/>
        <w:tabs>
          <w:tab w:leader="none" w:pos="1360"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 xml:space="preserve">Physician Network Management: </w:t>
      </w:r>
      <w:r>
        <w:rPr>
          <w:rFonts w:ascii="Arial" w:cs="Arial" w:eastAsia="Arial" w:hAnsi="Arial"/>
          <w:sz w:val="17"/>
          <w:szCs w:val="17"/>
          <w:color w:val="auto"/>
        </w:rPr>
        <w:t>Entering New Healthcare End-Markets</w:t>
      </w:r>
    </w:p>
    <w:p>
      <w:pPr>
        <w:spacing w:after="0" w:line="126" w:lineRule="exact"/>
        <w:rPr>
          <w:rFonts w:ascii="Arial" w:cs="Arial" w:eastAsia="Arial" w:hAnsi="Arial"/>
          <w:sz w:val="17"/>
          <w:szCs w:val="17"/>
          <w:color w:val="auto"/>
        </w:rPr>
      </w:pPr>
    </w:p>
    <w:p>
      <w:pPr>
        <w:ind w:left="1760" w:hanging="397"/>
        <w:spacing w:after="0" w:line="298" w:lineRule="auto"/>
        <w:tabs>
          <w:tab w:leader="none" w:pos="1760" w:val="left"/>
        </w:tabs>
        <w:numPr>
          <w:ilvl w:val="1"/>
          <w:numId w:val="124"/>
        </w:numPr>
        <w:rPr>
          <w:rFonts w:ascii="Arial" w:cs="Arial" w:eastAsia="Arial" w:hAnsi="Arial"/>
          <w:sz w:val="12"/>
          <w:szCs w:val="12"/>
          <w:color w:val="auto"/>
        </w:rPr>
      </w:pPr>
      <w:r>
        <w:rPr>
          <w:rFonts w:ascii="Arial" w:cs="Arial" w:eastAsia="Arial" w:hAnsi="Arial"/>
          <w:sz w:val="15"/>
          <w:szCs w:val="15"/>
          <w:color w:val="auto"/>
        </w:rPr>
        <w:t>A healthcare provider specializing in behavioral health looking to penetrate new markets relied on time-consuming and cumbersome methods of gathering data and evaluating opportunities. Using the Definitive Healthcare platform, the marketing and business development teams were able to analyze markets much more broadly and quickly to determine market saturation and opportunities where healthcare care access in certain key service lines was limited. As a result, the healthcare provider entered a new market where there was previously limited penetration and is seeking to build out or acquire new facilities in the geographic region.</w:t>
      </w:r>
    </w:p>
    <w:p>
      <w:pPr>
        <w:spacing w:after="0" w:line="8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0820"/>
          </w:cols>
          <w:pgMar w:left="320" w:top="442" w:right="759" w:bottom="1440" w:gutter="0" w:footer="0" w:header="0"/>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2880"/>
        <w:spacing w:after="0"/>
        <w:rPr>
          <w:sz w:val="20"/>
          <w:szCs w:val="20"/>
          <w:color w:val="auto"/>
        </w:rPr>
      </w:pPr>
      <w:r>
        <w:rPr>
          <w:rFonts w:ascii="Arial" w:cs="Arial" w:eastAsia="Arial" w:hAnsi="Arial"/>
          <w:sz w:val="17"/>
          <w:szCs w:val="17"/>
          <w:b w:val="1"/>
          <w:bCs w:val="1"/>
          <w:i w:val="1"/>
          <w:iCs w:val="1"/>
          <w:color w:val="auto"/>
        </w:rPr>
        <w:t>Analyze Market Data to Create Opportunities that Convert to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1245235</wp:posOffset>
            </wp:positionH>
            <wp:positionV relativeFrom="paragraph">
              <wp:posOffset>158115</wp:posOffset>
            </wp:positionV>
            <wp:extent cx="4660265" cy="19869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660265" cy="1986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Innovation of our Platform</w:t>
      </w:r>
    </w:p>
    <w:p>
      <w:pPr>
        <w:spacing w:after="0" w:line="114" w:lineRule="exact"/>
        <w:rPr>
          <w:sz w:val="20"/>
          <w:szCs w:val="20"/>
          <w:color w:val="auto"/>
        </w:rPr>
      </w:pPr>
    </w:p>
    <w:p>
      <w:pPr>
        <w:ind w:left="440" w:right="200" w:firstLine="415"/>
        <w:spacing w:after="0" w:line="312" w:lineRule="auto"/>
        <w:rPr>
          <w:sz w:val="20"/>
          <w:szCs w:val="20"/>
          <w:color w:val="auto"/>
        </w:rPr>
      </w:pPr>
      <w:r>
        <w:rPr>
          <w:rFonts w:ascii="Arial" w:cs="Arial" w:eastAsia="Arial" w:hAnsi="Arial"/>
          <w:sz w:val="15"/>
          <w:szCs w:val="15"/>
          <w:color w:val="auto"/>
        </w:rPr>
        <w:t>We are constantly innovating, evolving and improving our platform in order to adapt to the rapidly changing dynamics of the healthcare ecosystem, as well as to expand the number and sophistication of business problems that we help our customers solve. This innovation translates into increased value for our customers, as well as deal velocity and creates opportunities to increase sales into our broad existing customer base.</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innovate through a combination of the following key activities:</w:t>
      </w:r>
    </w:p>
    <w:p>
      <w:pPr>
        <w:spacing w:after="0" w:line="123" w:lineRule="exact"/>
        <w:rPr>
          <w:sz w:val="20"/>
          <w:szCs w:val="20"/>
          <w:color w:val="auto"/>
        </w:rPr>
      </w:pPr>
    </w:p>
    <w:p>
      <w:pPr>
        <w:jc w:val="both"/>
        <w:ind w:left="1360" w:hanging="519"/>
        <w:spacing w:after="0" w:line="261" w:lineRule="auto"/>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Adding New Data Sources. </w:t>
      </w:r>
      <w:r>
        <w:rPr>
          <w:rFonts w:ascii="Arial" w:cs="Arial" w:eastAsia="Arial" w:hAnsi="Arial"/>
          <w:sz w:val="17"/>
          <w:szCs w:val="17"/>
          <w:color w:val="auto"/>
        </w:rPr>
        <w:t>We are constantly identifying new data sources, big and small, which add to the depth of intelligence we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provider in our platform. A few examples of recent additions include intelligence on updated Medicare incentives and information on over 5 billion prescription drugs claims.</w:t>
      </w:r>
    </w:p>
    <w:p>
      <w:pPr>
        <w:spacing w:after="0" w:line="87" w:lineRule="exact"/>
        <w:rPr>
          <w:rFonts w:ascii="Arial" w:cs="Arial" w:eastAsia="Arial" w:hAnsi="Arial"/>
          <w:sz w:val="17"/>
          <w:szCs w:val="17"/>
          <w:color w:val="auto"/>
        </w:rPr>
      </w:pPr>
    </w:p>
    <w:p>
      <w:pPr>
        <w:ind w:left="1360" w:right="220" w:hanging="519"/>
        <w:spacing w:after="0" w:line="257" w:lineRule="auto"/>
        <w:tabs>
          <w:tab w:leader="none" w:pos="1360" w:val="left"/>
        </w:tabs>
        <w:numPr>
          <w:ilvl w:val="0"/>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Building New Capabilities and Analytics. </w:t>
      </w:r>
      <w:r>
        <w:rPr>
          <w:rFonts w:ascii="Arial" w:cs="Arial" w:eastAsia="Arial" w:hAnsi="Arial"/>
          <w:sz w:val="17"/>
          <w:szCs w:val="17"/>
          <w:color w:val="auto"/>
        </w:rPr>
        <w:t>Giving our customers answers, not data, is at the core of our platform. To do this, we seek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 new analytical capabilities to provide our users with an intuitive platform that gets them to the intelligence they need quickly and effectively. Recently, we added a visual journey of physician affiliations over time and have continued to enhance our report builder capability to allow for increased customization.</w:t>
      </w:r>
    </w:p>
    <w:p>
      <w:pPr>
        <w:spacing w:after="0" w:line="91" w:lineRule="exact"/>
        <w:rPr>
          <w:rFonts w:ascii="Arial" w:cs="Arial" w:eastAsia="Arial" w:hAnsi="Arial"/>
          <w:sz w:val="17"/>
          <w:szCs w:val="17"/>
          <w:color w:val="auto"/>
        </w:rPr>
      </w:pPr>
    </w:p>
    <w:p>
      <w:pPr>
        <w:ind w:left="1360" w:right="40" w:hanging="519"/>
        <w:spacing w:after="0" w:line="312" w:lineRule="auto"/>
        <w:tabs>
          <w:tab w:leader="none" w:pos="1360" w:val="left"/>
        </w:tabs>
        <w:numPr>
          <w:ilvl w:val="0"/>
          <w:numId w:val="1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Creating New Data Science. </w:t>
      </w:r>
      <w:r>
        <w:rPr>
          <w:rFonts w:ascii="Arial" w:cs="Arial" w:eastAsia="Arial" w:hAnsi="Arial"/>
          <w:sz w:val="15"/>
          <w:szCs w:val="15"/>
          <w:color w:val="auto"/>
        </w:rPr>
        <w:t>Our data science team is constantly refining our data and creating new algorithms that generate tangible new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intelligence for our customers. Examples include our recently added telemedicine propensity metric as well as our medical claims extrapolations that provide a complete view of procedure and diagnosis volumes across the entire physician universe.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The Flywheel Effect of our Growing Platform</w:t>
      </w:r>
    </w:p>
    <w:p>
      <w:pPr>
        <w:spacing w:after="0" w:line="114"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As our intelligence platform continues to expand, each new data source, analytic and algorithm we create has a compounding impact on the overall value of our platform, thereby further increasing our competitive advantage.</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0760"/>
          </w:cols>
          <w:pgMar w:left="320" w:top="442" w:right="81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Examples of how this works include:</w:t>
      </w:r>
    </w:p>
    <w:p>
      <w:pPr>
        <w:spacing w:after="0" w:line="123" w:lineRule="exact"/>
        <w:rPr>
          <w:sz w:val="20"/>
          <w:szCs w:val="20"/>
          <w:color w:val="auto"/>
        </w:rPr>
      </w:pPr>
    </w:p>
    <w:p>
      <w:pPr>
        <w:ind w:left="1360" w:right="540" w:hanging="519"/>
        <w:spacing w:after="0" w:line="273" w:lineRule="auto"/>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By integrating in scientific research publications, our algorithms are able to identify additional affiliations and increase precision of existing affiliation information;</w:t>
      </w:r>
    </w:p>
    <w:p>
      <w:pPr>
        <w:spacing w:after="0" w:line="76" w:lineRule="exact"/>
        <w:rPr>
          <w:rFonts w:ascii="Arial" w:cs="Arial" w:eastAsia="Arial" w:hAnsi="Arial"/>
          <w:sz w:val="17"/>
          <w:szCs w:val="17"/>
          <w:color w:val="auto"/>
        </w:rPr>
      </w:pPr>
    </w:p>
    <w:p>
      <w:pPr>
        <w:ind w:left="1360" w:right="700" w:hanging="519"/>
        <w:spacing w:after="0" w:line="273" w:lineRule="auto"/>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With the addition of historical claims data to our platform, we can use our affiliations information to understand and map referral relationships as they change over time;</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By pulling in new information on job postings, we can enhance our view on new technology implementations across a health system;</w:t>
      </w:r>
    </w:p>
    <w:p>
      <w:pPr>
        <w:spacing w:after="0" w:line="134" w:lineRule="exact"/>
        <w:rPr>
          <w:rFonts w:ascii="Arial" w:cs="Arial" w:eastAsia="Arial" w:hAnsi="Arial"/>
          <w:sz w:val="16"/>
          <w:szCs w:val="16"/>
          <w:color w:val="auto"/>
        </w:rPr>
      </w:pPr>
    </w:p>
    <w:p>
      <w:pPr>
        <w:ind w:left="1360" w:right="360" w:hanging="519"/>
        <w:spacing w:after="0" w:line="273" w:lineRule="auto"/>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As a result of comparing procedure data at the physician level to that at the physician group and health system level we can determine where decision making power exists; and</w:t>
      </w:r>
    </w:p>
    <w:p>
      <w:pPr>
        <w:spacing w:after="0" w:line="76" w:lineRule="exact"/>
        <w:rPr>
          <w:rFonts w:ascii="Arial" w:cs="Arial" w:eastAsia="Arial" w:hAnsi="Arial"/>
          <w:sz w:val="17"/>
          <w:szCs w:val="17"/>
          <w:color w:val="auto"/>
        </w:rPr>
      </w:pPr>
    </w:p>
    <w:p>
      <w:pPr>
        <w:ind w:left="1360" w:right="520" w:hanging="519"/>
        <w:spacing w:after="0" w:line="273" w:lineRule="auto"/>
        <w:tabs>
          <w:tab w:leader="none" w:pos="13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Through collecting physician address information for individual physicians from numerous locations, we can triangulate the data to determine primary practice locations with a high degree of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2626360</wp:posOffset>
            </wp:positionH>
            <wp:positionV relativeFrom="paragraph">
              <wp:posOffset>129540</wp:posOffset>
            </wp:positionV>
            <wp:extent cx="1889760" cy="18821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89760" cy="188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Technology</w:t>
      </w:r>
    </w:p>
    <w:p>
      <w:pPr>
        <w:spacing w:after="0" w:line="114" w:lineRule="exact"/>
        <w:rPr>
          <w:sz w:val="20"/>
          <w:szCs w:val="20"/>
          <w:color w:val="auto"/>
        </w:rPr>
      </w:pPr>
    </w:p>
    <w:p>
      <w:pPr>
        <w:ind w:left="440" w:right="60" w:firstLine="415"/>
        <w:spacing w:after="0" w:line="285" w:lineRule="auto"/>
        <w:rPr>
          <w:sz w:val="20"/>
          <w:szCs w:val="20"/>
          <w:color w:val="auto"/>
        </w:rPr>
      </w:pPr>
      <w:r>
        <w:rPr>
          <w:rFonts w:ascii="Arial" w:cs="Arial" w:eastAsia="Arial" w:hAnsi="Arial"/>
          <w:sz w:val="16"/>
          <w:szCs w:val="16"/>
          <w:color w:val="auto"/>
        </w:rPr>
        <w:t>The Definitive Healthcare platform is built upon an innovative data-driven, multi-tenant architecture that delivers a secure and reliable solution to our customers. The solution is designed to deeply integrate into customer workflows and channels via Internet browsers, mobile devices, consumable application program interfaces and a variety of other integrations and data exchange mechanisms.</w:t>
      </w:r>
    </w:p>
    <w:p>
      <w:pPr>
        <w:spacing w:after="0" w:line="159" w:lineRule="exact"/>
        <w:rPr>
          <w:sz w:val="20"/>
          <w:szCs w:val="20"/>
          <w:color w:val="auto"/>
        </w:rPr>
      </w:pPr>
    </w:p>
    <w:p>
      <w:pPr>
        <w:ind w:left="440" w:firstLine="415"/>
        <w:spacing w:after="0" w:line="285" w:lineRule="auto"/>
        <w:rPr>
          <w:sz w:val="20"/>
          <w:szCs w:val="20"/>
          <w:color w:val="auto"/>
        </w:rPr>
      </w:pPr>
      <w:r>
        <w:rPr>
          <w:rFonts w:ascii="Arial" w:cs="Arial" w:eastAsia="Arial" w:hAnsi="Arial"/>
          <w:sz w:val="16"/>
          <w:szCs w:val="16"/>
          <w:color w:val="auto"/>
        </w:rPr>
        <w:t>The platform utilizes a multi-tenant, geographically redundant, hybrid solution to leverage innovative technologies offered by cloud leaders. Using M.L. and deep learning capabilities, proprietary data science models are integrated seamlessly into the data processing pipeline, along with traditional data cleansing and normalization routines, to quickly and efficiently deliver mission critical analytics and insights to market.</w:t>
      </w:r>
    </w:p>
    <w:p>
      <w:pPr>
        <w:spacing w:after="0" w:line="159" w:lineRule="exact"/>
        <w:rPr>
          <w:sz w:val="20"/>
          <w:szCs w:val="20"/>
          <w:color w:val="auto"/>
        </w:rPr>
      </w:pPr>
    </w:p>
    <w:p>
      <w:pPr>
        <w:ind w:left="440" w:right="160" w:firstLine="415"/>
        <w:spacing w:after="0" w:line="306" w:lineRule="auto"/>
        <w:rPr>
          <w:sz w:val="20"/>
          <w:szCs w:val="20"/>
          <w:color w:val="auto"/>
        </w:rPr>
      </w:pPr>
      <w:r>
        <w:rPr>
          <w:rFonts w:ascii="Arial" w:cs="Arial" w:eastAsia="Arial" w:hAnsi="Arial"/>
          <w:sz w:val="16"/>
          <w:szCs w:val="16"/>
          <w:color w:val="auto"/>
        </w:rPr>
        <w:t>Through our continuous integration and delivery model, we can deliver new use cases and workflows quickly and efficiently. New data domains and elements, new analytics, reports and visualizations are consistently being added to the platform to drive additional customer value.</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Customers</w:t>
      </w:r>
    </w:p>
    <w:p>
      <w:pPr>
        <w:spacing w:after="0" w:line="114"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As of June 30, 2021, we have a large and diverse base of over 2,600 customers that sell into or compete in the healthcare ecosystem. Our customers range across include healthcare focused companies such as Life Sciences, HCIT and Healthcare Providers as well as other diversified companies, such as financial institutions, health insurance and medical insurance companies, staffing firms and consultants that are looking to sell into the</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139</w:t>
      </w:r>
    </w:p>
    <w:p>
      <w:pPr>
        <w:sectPr>
          <w:pgSz w:w="11900" w:h="16838" w:orient="portrait"/>
          <w:cols w:equalWidth="0" w:num="1">
            <w:col w:w="10800"/>
          </w:cols>
          <w:pgMar w:left="320" w:top="442" w:right="77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54" w:lineRule="auto"/>
        <w:rPr>
          <w:sz w:val="20"/>
          <w:szCs w:val="20"/>
          <w:color w:val="auto"/>
        </w:rPr>
      </w:pPr>
      <w:r>
        <w:rPr>
          <w:rFonts w:ascii="Arial" w:cs="Arial" w:eastAsia="Arial" w:hAnsi="Arial"/>
          <w:sz w:val="17"/>
          <w:szCs w:val="17"/>
          <w:color w:val="auto"/>
        </w:rPr>
        <w:t>large healthcare market. Our customer contracts are generally one to three years in term, and typically automatically renew unless terminated. We had 292 Enterprise Customers with over $100,000 in ARR at year end 2020, compared to 221 Enterprise Customers for the year ended December 31, 2019 and our NDR for Enterprise Customers for the year ended December 31, 2020 was 124%. For 2020, our NDR for all customers over $17,500 in ARR was 108%. For the trailing twelve months ended June 30, 2021, our NDR for our 349 Enterprise Customers was 125% and our NDR for all customers over $17,500 in ARR was 111%. No single customer accounted for more than 2% of revenue for the year ended December 31, 2020 or the six months ended June 30, 2021.</w:t>
      </w:r>
    </w:p>
    <w:p>
      <w:pPr>
        <w:spacing w:after="0" w:line="183"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Our integrated platform is designed to drive commercial success for companies that sell into or competes in the healthcare ecosystem, creating a large end-market for us. Significant end markets include:</w:t>
      </w:r>
    </w:p>
    <w:p>
      <w:pPr>
        <w:spacing w:after="0" w:line="77" w:lineRule="exact"/>
        <w:rPr>
          <w:sz w:val="20"/>
          <w:szCs w:val="20"/>
          <w:color w:val="auto"/>
        </w:rPr>
      </w:pPr>
    </w:p>
    <w:p>
      <w:pPr>
        <w:ind w:left="1360" w:right="200" w:hanging="519"/>
        <w:spacing w:after="0" w:line="306" w:lineRule="auto"/>
        <w:tabs>
          <w:tab w:leader="none" w:pos="1360" w:val="left"/>
        </w:tabs>
        <w:numPr>
          <w:ilvl w:val="0"/>
          <w:numId w:val="1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Life Sciences, </w:t>
      </w:r>
      <w:r>
        <w:rPr>
          <w:rFonts w:ascii="Arial" w:cs="Arial" w:eastAsia="Arial" w:hAnsi="Arial"/>
          <w:sz w:val="16"/>
          <w:szCs w:val="16"/>
          <w:color w:val="auto"/>
        </w:rPr>
        <w:t>including biopharmaceutical, medical device and biotechnology companies who utilize the Definitive platform to analyze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patient populations, identify experts for clinical trials, develop go-to-market strategies and measure their success.</w:t>
      </w:r>
    </w:p>
    <w:p>
      <w:pPr>
        <w:spacing w:after="0" w:line="52" w:lineRule="exact"/>
        <w:rPr>
          <w:rFonts w:ascii="Arial" w:cs="Arial" w:eastAsia="Arial" w:hAnsi="Arial"/>
          <w:sz w:val="16"/>
          <w:szCs w:val="16"/>
          <w:color w:val="auto"/>
        </w:rPr>
      </w:pPr>
    </w:p>
    <w:p>
      <w:pPr>
        <w:ind w:left="1360" w:right="120" w:hanging="519"/>
        <w:spacing w:after="0" w:line="261" w:lineRule="auto"/>
        <w:tabs>
          <w:tab w:leader="none" w:pos="136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Information Technology (HCIT), </w:t>
      </w:r>
      <w:r>
        <w:rPr>
          <w:rFonts w:ascii="Arial" w:cs="Arial" w:eastAsia="Arial" w:hAnsi="Arial"/>
          <w:sz w:val="17"/>
          <w:szCs w:val="17"/>
          <w:color w:val="auto"/>
        </w:rPr>
        <w:t>including companies that develop software or related services for the healthcare ecosystem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utilize the Definitive Healthcare platform to target and segment providers based on need such as high readmission rates, growing service lines (e.g. cardiovascular) or new locations.</w:t>
      </w:r>
    </w:p>
    <w:p>
      <w:pPr>
        <w:spacing w:after="0" w:line="87" w:lineRule="exact"/>
        <w:rPr>
          <w:rFonts w:ascii="Arial" w:cs="Arial" w:eastAsia="Arial" w:hAnsi="Arial"/>
          <w:sz w:val="17"/>
          <w:szCs w:val="17"/>
          <w:color w:val="auto"/>
        </w:rPr>
      </w:pPr>
    </w:p>
    <w:p>
      <w:pPr>
        <w:ind w:left="1360" w:right="500" w:hanging="519"/>
        <w:spacing w:after="0" w:line="261" w:lineRule="auto"/>
        <w:tabs>
          <w:tab w:leader="none" w:pos="1360" w:val="left"/>
        </w:tabs>
        <w:numPr>
          <w:ilvl w:val="0"/>
          <w:numId w:val="1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Healthcare Providers, </w:t>
      </w:r>
      <w:r>
        <w:rPr>
          <w:rFonts w:ascii="Arial" w:cs="Arial" w:eastAsia="Arial" w:hAnsi="Arial"/>
          <w:sz w:val="17"/>
          <w:szCs w:val="17"/>
          <w:color w:val="auto"/>
        </w:rPr>
        <w:t>including hospitals, accountable care organizations, long-term care facilities and other healthcare providers,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leverage the Definitive Healthcare platform to identify and build relationships with referring physicians and facilities and to identify opportunities to keep patients in their provider network.</w:t>
      </w:r>
    </w:p>
    <w:p>
      <w:pPr>
        <w:spacing w:after="0" w:line="87" w:lineRule="exact"/>
        <w:rPr>
          <w:rFonts w:ascii="Arial" w:cs="Arial" w:eastAsia="Arial" w:hAnsi="Arial"/>
          <w:sz w:val="17"/>
          <w:szCs w:val="17"/>
          <w:color w:val="auto"/>
        </w:rPr>
      </w:pPr>
    </w:p>
    <w:p>
      <w:pPr>
        <w:jc w:val="both"/>
        <w:ind w:left="1360" w:right="80" w:hanging="519"/>
        <w:spacing w:after="0" w:line="285" w:lineRule="auto"/>
        <w:tabs>
          <w:tab w:leader="none" w:pos="1360" w:val="left"/>
        </w:tabs>
        <w:numPr>
          <w:ilvl w:val="0"/>
          <w:numId w:val="1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Diversified Companies, </w:t>
      </w:r>
      <w:r>
        <w:rPr>
          <w:rFonts w:ascii="Arial" w:cs="Arial" w:eastAsia="Arial" w:hAnsi="Arial"/>
          <w:sz w:val="16"/>
          <w:szCs w:val="16"/>
          <w:color w:val="auto"/>
        </w:rPr>
        <w:t>including professional services, financial services, staffing, waste management and other companies that sell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compete in the healthcare ecosystem, access the Definitive Healthcare platform for pricing, targeting and segmentation and for building an ROI case for their products and services based on deep contextual information found in the platform.</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Customer case studies include:</w:t>
      </w:r>
    </w:p>
    <w:p>
      <w:pPr>
        <w:spacing w:after="0" w:line="123" w:lineRule="exact"/>
        <w:rPr>
          <w:sz w:val="20"/>
          <w:szCs w:val="20"/>
          <w:color w:val="auto"/>
        </w:rPr>
      </w:pPr>
    </w:p>
    <w:p>
      <w:pPr>
        <w:ind w:left="1360" w:right="60" w:hanging="519"/>
        <w:spacing w:after="0" w:line="254" w:lineRule="auto"/>
        <w:tabs>
          <w:tab w:leader="none" w:pos="1360" w:val="left"/>
        </w:tabs>
        <w:numPr>
          <w:ilvl w:val="0"/>
          <w:numId w:val="1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 multinational, biotechnology company </w:t>
      </w:r>
      <w:r>
        <w:rPr>
          <w:rFonts w:ascii="Arial" w:cs="Arial" w:eastAsia="Arial" w:hAnsi="Arial"/>
          <w:sz w:val="17"/>
          <w:szCs w:val="17"/>
          <w:color w:val="auto"/>
        </w:rPr>
        <w:t>first subscribed to the Definitive Healthcare platform in January 2019 at $500,000 ARR in order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enhance their sales strategy with one of their franchises which focuses in rare disease. Given the difficulties of the rare disease space, coupled with being a relatively new drug to market, the customer needed help reaching, communicating with and educating a hard-to-find patient and provider community. Data from Definitive Healthcare’s PhysicianView, HospitalView, ClaimsMx, ClaimsRx and LongTermCareView enabled them to position themselves as a trusted partner and the #1 experts in their space, translating into more of the correct patients on therapy.</w:t>
      </w:r>
    </w:p>
    <w:p>
      <w:pPr>
        <w:spacing w:after="0" w:line="81" w:lineRule="exact"/>
        <w:rPr>
          <w:rFonts w:ascii="Arial" w:cs="Arial" w:eastAsia="Arial" w:hAnsi="Arial"/>
          <w:sz w:val="17"/>
          <w:szCs w:val="17"/>
          <w:color w:val="auto"/>
        </w:rPr>
      </w:pPr>
    </w:p>
    <w:p>
      <w:pPr>
        <w:ind w:left="1360"/>
        <w:spacing w:after="0" w:line="273" w:lineRule="auto"/>
        <w:rPr>
          <w:rFonts w:ascii="Arial" w:cs="Arial" w:eastAsia="Arial" w:hAnsi="Arial"/>
          <w:sz w:val="17"/>
          <w:szCs w:val="17"/>
          <w:color w:val="auto"/>
        </w:rPr>
      </w:pPr>
      <w:r>
        <w:rPr>
          <w:rFonts w:ascii="Arial" w:cs="Arial" w:eastAsia="Arial" w:hAnsi="Arial"/>
          <w:sz w:val="16"/>
          <w:szCs w:val="16"/>
          <w:color w:val="auto"/>
        </w:rPr>
        <w:t>The customer started by leveraging a custom report from Definitive Healthcare to show them exactly how care is delivered in this rare therapy area. It enabled them to provide education to 3 new providers who had not previously known how to diagnose this condition. In this rare disease space, every net new physician had sizable opportunity potential, and this discovery led to getting new patients on therapy. In April 2019, the company expanded on their initial success by purchasing additional Definitive Healthcare data, increasing ARR from $500,000 to $600,000. The additional data supported several outreach campaigns and to design 2 additional custom reports throughout 2019 which resulted in finding 16 more opportunities to provide correct care to this rare community.</w:t>
      </w:r>
    </w:p>
    <w:p>
      <w:pPr>
        <w:spacing w:after="0" w:line="67" w:lineRule="exact"/>
        <w:rPr>
          <w:rFonts w:ascii="Arial" w:cs="Arial" w:eastAsia="Arial" w:hAnsi="Arial"/>
          <w:sz w:val="17"/>
          <w:szCs w:val="17"/>
          <w:color w:val="auto"/>
        </w:rPr>
      </w:pPr>
    </w:p>
    <w:p>
      <w:pPr>
        <w:jc w:val="both"/>
        <w:ind w:left="1360" w:right="400"/>
        <w:spacing w:after="0" w:line="302" w:lineRule="auto"/>
        <w:rPr>
          <w:rFonts w:ascii="Arial" w:cs="Arial" w:eastAsia="Arial" w:hAnsi="Arial"/>
          <w:sz w:val="17"/>
          <w:szCs w:val="17"/>
          <w:color w:val="auto"/>
        </w:rPr>
      </w:pPr>
      <w:r>
        <w:rPr>
          <w:rFonts w:ascii="Arial" w:cs="Arial" w:eastAsia="Arial" w:hAnsi="Arial"/>
          <w:sz w:val="15"/>
          <w:szCs w:val="15"/>
          <w:color w:val="auto"/>
        </w:rPr>
        <w:t>Based on the success with the rare disease franchise, the customer decided to also rely on Definitive Healthcare in another franchise, focused on launching a new candidate for a CNS chronic disease. They purchased additional Definitive Healthcare data and access in March 2020 for $480,000, bringing the total ARR to over $1,000,000 across two major franchises. By May 2020, the chronic disease franchise decided to expand so that 2 additional teams could use Definitive Healthcare. The teams used</w:t>
      </w:r>
    </w:p>
    <w:p>
      <w:pPr>
        <w:spacing w:after="0" w:line="8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140</w:t>
      </w:r>
    </w:p>
    <w:p>
      <w:pPr>
        <w:sectPr>
          <w:pgSz w:w="11900" w:h="16838" w:orient="portrait"/>
          <w:cols w:equalWidth="0" w:num="1">
            <w:col w:w="10820"/>
          </w:cols>
          <w:pgMar w:left="320" w:top="442" w:right="75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160"/>
        <w:spacing w:after="0" w:line="302" w:lineRule="auto"/>
        <w:rPr>
          <w:sz w:val="20"/>
          <w:szCs w:val="20"/>
          <w:color w:val="auto"/>
        </w:rPr>
      </w:pPr>
      <w:r>
        <w:rPr>
          <w:rFonts w:ascii="Arial" w:cs="Arial" w:eastAsia="Arial" w:hAnsi="Arial"/>
          <w:sz w:val="15"/>
          <w:szCs w:val="15"/>
          <w:color w:val="auto"/>
        </w:rPr>
        <w:t>Definitive Healthcare to completely map their field teams and hiring plans, and to prioritize which hospitals, physician groups and healthcare professionals to support, saving time and improving efficiencies across the franchise. Based on this success, the customer decided to expand to yet another team and to add ImagingCenterView between November and December of 2020. Over the course of the relationship, the customer has built their Definitive Healthcare investment from an ARR of $500,000 to over $1,500,000.</w:t>
      </w:r>
    </w:p>
    <w:p>
      <w:pPr>
        <w:spacing w:after="0" w:line="60" w:lineRule="exact"/>
        <w:rPr>
          <w:sz w:val="20"/>
          <w:szCs w:val="20"/>
          <w:color w:val="auto"/>
        </w:rPr>
      </w:pPr>
    </w:p>
    <w:p>
      <w:pPr>
        <w:ind w:left="1360" w:right="100" w:hanging="519"/>
        <w:spacing w:after="0" w:line="289" w:lineRule="auto"/>
        <w:tabs>
          <w:tab w:leader="none" w:pos="1360" w:val="left"/>
        </w:tabs>
        <w:numPr>
          <w:ilvl w:val="0"/>
          <w:numId w:val="12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A leading medical technology company </w:t>
      </w:r>
      <w:r>
        <w:rPr>
          <w:rFonts w:ascii="Arial" w:cs="Arial" w:eastAsia="Arial" w:hAnsi="Arial"/>
          <w:sz w:val="15"/>
          <w:szCs w:val="15"/>
          <w:color w:val="auto"/>
        </w:rPr>
        <w:t>that helps healthcare providers prevent illnesses and correctly diagnose and treat patients chose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Definitive Healthcare to prove the value of its clinical precision support tool, which uses tests to help determine the right care for pulmonary embolisms. To grow its market share, the company needed to segment the market by hospitals and oncology practices that saw high volumes of patients receiving radiation equipment. It then needed to target organizations that would benefit from its technology. The company used Definitive Healthcare’s platform to map the target market and identify hospitals that over-utilize costly scans when testing for pulmonary embolisms. Through Definitive Healthcare’s affiliations data, the customer identified linkages across the target market and health systems impacted. The customer also used affiliations data to access key decision makers, including contacts at health insurance companies and Chief Quality Officers, that are impacted by costly pulmonary embolism scans. The customer aggregated this data to build ROI specific to each health system. Definitive Healthcare enabled the company to prove the value-add of its product by demonstrating the over-utilization of scans to prospective customers.</w:t>
      </w:r>
    </w:p>
    <w:p>
      <w:pPr>
        <w:spacing w:after="0" w:line="161" w:lineRule="exact"/>
        <w:rPr>
          <w:rFonts w:ascii="Arial" w:cs="Arial" w:eastAsia="Arial" w:hAnsi="Arial"/>
          <w:sz w:val="15"/>
          <w:szCs w:val="15"/>
          <w:color w:val="auto"/>
        </w:rPr>
      </w:pPr>
    </w:p>
    <w:p>
      <w:pPr>
        <w:ind w:left="1360" w:right="20"/>
        <w:spacing w:after="0" w:line="257" w:lineRule="auto"/>
        <w:rPr>
          <w:rFonts w:ascii="Arial" w:cs="Arial" w:eastAsia="Arial" w:hAnsi="Arial"/>
          <w:sz w:val="15"/>
          <w:szCs w:val="15"/>
          <w:color w:val="auto"/>
        </w:rPr>
      </w:pPr>
      <w:r>
        <w:rPr>
          <w:rFonts w:ascii="Arial" w:cs="Arial" w:eastAsia="Arial" w:hAnsi="Arial"/>
          <w:sz w:val="17"/>
          <w:szCs w:val="17"/>
          <w:color w:val="auto"/>
        </w:rPr>
        <w:t>Based on the success with this division, the customer decided to purchase ClaimsMx hospital data for $250,000 in 2020. It used ClaimsMx to gain enhanced market insight into scan volumes and other diagnostic procedures in additional therapeutic areas. For example, the customer identified physicians performing specific procedures and billing specific codes on a national level, which was critical market intelligence to drive development of its go-to-market strategy.</w:t>
      </w:r>
    </w:p>
    <w:p>
      <w:pPr>
        <w:spacing w:after="0" w:line="180" w:lineRule="exact"/>
        <w:rPr>
          <w:rFonts w:ascii="Arial" w:cs="Arial" w:eastAsia="Arial" w:hAnsi="Arial"/>
          <w:sz w:val="15"/>
          <w:szCs w:val="15"/>
          <w:color w:val="auto"/>
        </w:rPr>
      </w:pPr>
    </w:p>
    <w:p>
      <w:pPr>
        <w:ind w:left="1360" w:right="60"/>
        <w:spacing w:after="0" w:line="273" w:lineRule="auto"/>
        <w:rPr>
          <w:rFonts w:ascii="Arial" w:cs="Arial" w:eastAsia="Arial" w:hAnsi="Arial"/>
          <w:sz w:val="15"/>
          <w:szCs w:val="15"/>
          <w:color w:val="auto"/>
        </w:rPr>
      </w:pPr>
      <w:r>
        <w:rPr>
          <w:rFonts w:ascii="Arial" w:cs="Arial" w:eastAsia="Arial" w:hAnsi="Arial"/>
          <w:sz w:val="17"/>
          <w:szCs w:val="17"/>
          <w:color w:val="auto"/>
        </w:rPr>
        <w:t>Due to the continued success from using Definitive Healthcare’s data, the company increased its Definitive Healthcare investment from an ARR of $40,000 to over $600,000 in 6 years.</w:t>
      </w:r>
    </w:p>
    <w:p>
      <w:pPr>
        <w:spacing w:after="0" w:line="191" w:lineRule="exact"/>
        <w:rPr>
          <w:rFonts w:ascii="Arial" w:cs="Arial" w:eastAsia="Arial" w:hAnsi="Arial"/>
          <w:sz w:val="15"/>
          <w:szCs w:val="15"/>
          <w:color w:val="auto"/>
        </w:rPr>
      </w:pPr>
    </w:p>
    <w:p>
      <w:pPr>
        <w:ind w:left="1360" w:hanging="519"/>
        <w:spacing w:after="0" w:line="271" w:lineRule="auto"/>
        <w:tabs>
          <w:tab w:leader="none" w:pos="1360" w:val="left"/>
        </w:tabs>
        <w:numPr>
          <w:ilvl w:val="0"/>
          <w:numId w:val="1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major healthcare technology company </w:t>
      </w:r>
      <w:r>
        <w:rPr>
          <w:rFonts w:ascii="Arial" w:cs="Arial" w:eastAsia="Arial" w:hAnsi="Arial"/>
          <w:sz w:val="16"/>
          <w:szCs w:val="16"/>
          <w:color w:val="auto"/>
        </w:rPr>
        <w:t>that improves patient care with their clinical collaboration and information sharing solutions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chose Definitive Healthcare to size their market, develop an annual sales strategy and enable their sales force with detailed account-specific intelligence. Definitive Healthcare provided the customer with key healthcare commercial intelligence including technology, affiliations, quality metrics and executive contact information. By using Definitive Healthcare’s platform, the customer used intelligence from Hospital Search, Technology Search, Technology Vendor Market Share and financial metrics to gain a complete picture of their TAM. To power their sales strategy, they leveraged Medicare quality performance information to identify and target underperforming hospitals. The quality metrics analysis yielded great results for the sales team and helped them identify an additional 140 hospitals that were struggling in quality metrics that the customer’s software solution could improve.</w:t>
      </w:r>
    </w:p>
    <w:p>
      <w:pPr>
        <w:spacing w:after="0" w:line="67" w:lineRule="exact"/>
        <w:rPr>
          <w:rFonts w:ascii="Arial" w:cs="Arial" w:eastAsia="Arial" w:hAnsi="Arial"/>
          <w:sz w:val="16"/>
          <w:szCs w:val="16"/>
          <w:color w:val="auto"/>
        </w:rPr>
      </w:pPr>
    </w:p>
    <w:p>
      <w:pPr>
        <w:ind w:left="1360" w:right="180"/>
        <w:spacing w:after="0" w:line="273" w:lineRule="auto"/>
        <w:rPr>
          <w:rFonts w:ascii="Arial" w:cs="Arial" w:eastAsia="Arial" w:hAnsi="Arial"/>
          <w:sz w:val="16"/>
          <w:szCs w:val="16"/>
          <w:color w:val="auto"/>
        </w:rPr>
      </w:pPr>
      <w:r>
        <w:rPr>
          <w:rFonts w:ascii="Arial" w:cs="Arial" w:eastAsia="Arial" w:hAnsi="Arial"/>
          <w:sz w:val="17"/>
          <w:szCs w:val="17"/>
          <w:color w:val="auto"/>
        </w:rPr>
        <w:t>This commercial intelligence allowed the customer to quantify ROI for their product and find optimal targets, proving to their customers that implementing their platform drives down Medicare incentive program penalties.</w:t>
      </w:r>
    </w:p>
    <w:p>
      <w:pPr>
        <w:spacing w:after="0" w:line="64" w:lineRule="exact"/>
        <w:rPr>
          <w:rFonts w:ascii="Arial" w:cs="Arial" w:eastAsia="Arial" w:hAnsi="Arial"/>
          <w:sz w:val="16"/>
          <w:szCs w:val="16"/>
          <w:color w:val="auto"/>
        </w:rPr>
      </w:pPr>
    </w:p>
    <w:p>
      <w:pPr>
        <w:ind w:left="1360" w:right="560"/>
        <w:spacing w:after="0" w:line="273" w:lineRule="auto"/>
        <w:rPr>
          <w:rFonts w:ascii="Arial" w:cs="Arial" w:eastAsia="Arial" w:hAnsi="Arial"/>
          <w:sz w:val="16"/>
          <w:szCs w:val="16"/>
          <w:color w:val="auto"/>
        </w:rPr>
      </w:pPr>
      <w:r>
        <w:rPr>
          <w:rFonts w:ascii="Arial" w:cs="Arial" w:eastAsia="Arial" w:hAnsi="Arial"/>
          <w:sz w:val="17"/>
          <w:szCs w:val="17"/>
          <w:color w:val="auto"/>
        </w:rPr>
        <w:t>This customer continues to use Definitive Healthcare to drive a sophisticated sales engine by identifying the right customer targets, identifying which organizations have purchasing power and accessing decision makers.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Go-to-Market Strategy</w:t>
      </w:r>
    </w:p>
    <w:p>
      <w:pPr>
        <w:spacing w:after="0" w:line="114" w:lineRule="exact"/>
        <w:rPr>
          <w:sz w:val="20"/>
          <w:szCs w:val="20"/>
          <w:color w:val="auto"/>
        </w:rPr>
      </w:pPr>
    </w:p>
    <w:p>
      <w:pPr>
        <w:ind w:left="440" w:right="420" w:firstLine="415"/>
        <w:spacing w:after="0" w:line="273" w:lineRule="auto"/>
        <w:rPr>
          <w:sz w:val="20"/>
          <w:szCs w:val="20"/>
          <w:color w:val="auto"/>
        </w:rPr>
      </w:pPr>
      <w:r>
        <w:rPr>
          <w:rFonts w:ascii="Arial" w:cs="Arial" w:eastAsia="Arial" w:hAnsi="Arial"/>
          <w:sz w:val="17"/>
          <w:szCs w:val="17"/>
          <w:color w:val="auto"/>
        </w:rPr>
        <w:t>We have a very efficient go-to-market model, driven by a high-velocity inside sales and marketing team, experienced SEs and a well-defined verticalized sales strategy.</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141</w:t>
      </w:r>
    </w:p>
    <w:p>
      <w:pPr>
        <w:sectPr>
          <w:pgSz w:w="11900" w:h="16838" w:orient="portrait"/>
          <w:cols w:equalWidth="0" w:num="1">
            <w:col w:w="10820"/>
          </w:cols>
          <w:pgMar w:left="320" w:top="442" w:right="75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Our go-to-market strategy begins with a high-velocity marketing engine that generates over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online-demo to the exact intelligence that will be most impactful to their business. As our brand presence continues to grow, we have seen a significant increase in the number of inbound MQLs received.</w:t>
      </w:r>
    </w:p>
    <w:p>
      <w:pPr>
        <w:spacing w:after="0" w:line="183" w:lineRule="exact"/>
        <w:rPr>
          <w:sz w:val="20"/>
          <w:szCs w:val="20"/>
          <w:color w:val="auto"/>
        </w:rPr>
      </w:pPr>
    </w:p>
    <w:p>
      <w:pPr>
        <w:ind w:left="440" w:right="280" w:firstLine="415"/>
        <w:spacing w:after="0" w:line="342" w:lineRule="auto"/>
        <w:rPr>
          <w:sz w:val="20"/>
          <w:szCs w:val="20"/>
          <w:color w:val="auto"/>
        </w:rPr>
      </w:pPr>
      <w:r>
        <w:rPr>
          <w:rFonts w:ascii="Arial" w:cs="Arial" w:eastAsia="Arial" w:hAnsi="Arial"/>
          <w:sz w:val="15"/>
          <w:szCs w:val="15"/>
          <w:color w:val="auto"/>
        </w:rPr>
        <w:t>We complement our marketing efforts with a highly targeted outbound effort focused on important prospects across our target universe of over 100,000 companies. These companies are prioritized and targeted with a measurable outbound effort led by our inside sales representative team.</w:t>
      </w:r>
    </w:p>
    <w:p>
      <w:pPr>
        <w:spacing w:after="0" w:line="119"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Once a new company signs up as a subscriber, they are transferred to our Customer Experience managers (“Cx”) who assist with onboarding and training, answering questions and maintaining a “health score,” a predictive metric used to determine whether customers are likely to renew their subscription. In addition, an SE is typically assigned to each customer, with a focus on deepening the relationship and identifying opportunities to expand the relationship to new departments and sell additional intelligence modules and workflow products. The Cx and SE teams are also organized by vertical segment to ensure subject matter expertise.</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People, Culture and Values</w:t>
      </w:r>
    </w:p>
    <w:p>
      <w:pPr>
        <w:spacing w:after="0" w:line="114"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Our success is built upon an award-winning culture that is designed to ensure we can attract, develop and retain premier talent. Our guiding principles include:</w:t>
      </w:r>
    </w:p>
    <w:p>
      <w:pPr>
        <w:spacing w:after="0" w:line="77" w:lineRule="exact"/>
        <w:rPr>
          <w:sz w:val="20"/>
          <w:szCs w:val="20"/>
          <w:color w:val="auto"/>
        </w:rPr>
      </w:pPr>
    </w:p>
    <w:p>
      <w:pPr>
        <w:ind w:left="1360" w:right="460" w:hanging="519"/>
        <w:spacing w:after="0" w:line="273" w:lineRule="auto"/>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Want to Be the Very Best. </w:t>
      </w:r>
      <w:r>
        <w:rPr>
          <w:rFonts w:ascii="Arial" w:cs="Arial" w:eastAsia="Arial" w:hAnsi="Arial"/>
          <w:sz w:val="17"/>
          <w:szCs w:val="17"/>
          <w:color w:val="auto"/>
        </w:rPr>
        <w:t>We focus on hiring motivated employees who are focused on delivering a high-quality platform to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w:t>
      </w:r>
    </w:p>
    <w:p>
      <w:pPr>
        <w:spacing w:after="0" w:line="76" w:lineRule="exact"/>
        <w:rPr>
          <w:rFonts w:ascii="Arial" w:cs="Arial" w:eastAsia="Arial" w:hAnsi="Arial"/>
          <w:sz w:val="17"/>
          <w:szCs w:val="17"/>
          <w:color w:val="auto"/>
        </w:rPr>
      </w:pPr>
    </w:p>
    <w:p>
      <w:pPr>
        <w:jc w:val="both"/>
        <w:ind w:left="1360" w:right="400" w:hanging="519"/>
        <w:spacing w:after="0" w:line="261" w:lineRule="auto"/>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Innovation is at Our Core. </w:t>
      </w:r>
      <w:r>
        <w:rPr>
          <w:rFonts w:ascii="Arial" w:cs="Arial" w:eastAsia="Arial" w:hAnsi="Arial"/>
          <w:sz w:val="17"/>
          <w:szCs w:val="17"/>
          <w:color w:val="auto"/>
        </w:rPr>
        <w:t>We are constantly disrupting the status quo. We deliver solutions to customers that can have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impact on their workflow and decision making. We welcome new challenges and are not afraid to push ourselves beyond our comfort zones</w:t>
      </w:r>
    </w:p>
    <w:p>
      <w:pPr>
        <w:spacing w:after="0" w:line="87"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Decisive. </w:t>
      </w:r>
      <w:r>
        <w:rPr>
          <w:rFonts w:ascii="Arial" w:cs="Arial" w:eastAsia="Arial" w:hAnsi="Arial"/>
          <w:sz w:val="17"/>
          <w:szCs w:val="17"/>
          <w:color w:val="auto"/>
        </w:rPr>
        <w:t>Healthcare is evolving rapidly and we meet these changes head on through decisive decision making. If we need to pivot,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do so in a quick and timely manner</w:t>
      </w:r>
    </w:p>
    <w:p>
      <w:pPr>
        <w:spacing w:after="0" w:line="76" w:lineRule="exact"/>
        <w:rPr>
          <w:rFonts w:ascii="Arial" w:cs="Arial" w:eastAsia="Arial" w:hAnsi="Arial"/>
          <w:sz w:val="17"/>
          <w:szCs w:val="17"/>
          <w:color w:val="auto"/>
        </w:rPr>
      </w:pPr>
    </w:p>
    <w:p>
      <w:pPr>
        <w:ind w:left="1360" w:right="180" w:hanging="519"/>
        <w:spacing w:after="0" w:line="306" w:lineRule="auto"/>
        <w:tabs>
          <w:tab w:leader="none" w:pos="1360" w:val="left"/>
        </w:tabs>
        <w:numPr>
          <w:ilvl w:val="0"/>
          <w:numId w:val="1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Measure Everything. </w:t>
      </w:r>
      <w:r>
        <w:rPr>
          <w:rFonts w:ascii="Arial" w:cs="Arial" w:eastAsia="Arial" w:hAnsi="Arial"/>
          <w:sz w:val="16"/>
          <w:szCs w:val="16"/>
          <w:color w:val="auto"/>
        </w:rPr>
        <w:t>In order to continuously improve, we track our progress. We measure everything from sales productivity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yield of our latest A.I. algorithm. This constant benchmarking ensures we optimize the way we deploy our resources.</w:t>
      </w:r>
    </w:p>
    <w:p>
      <w:pPr>
        <w:spacing w:after="0" w:line="52" w:lineRule="exact"/>
        <w:rPr>
          <w:rFonts w:ascii="Arial" w:cs="Arial" w:eastAsia="Arial" w:hAnsi="Arial"/>
          <w:sz w:val="16"/>
          <w:szCs w:val="16"/>
          <w:color w:val="auto"/>
        </w:rPr>
      </w:pPr>
    </w:p>
    <w:p>
      <w:pPr>
        <w:ind w:left="1360" w:right="60" w:hanging="519"/>
        <w:spacing w:after="0" w:line="257" w:lineRule="auto"/>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Are Proud. </w:t>
      </w:r>
      <w:r>
        <w:rPr>
          <w:rFonts w:ascii="Arial" w:cs="Arial" w:eastAsia="Arial" w:hAnsi="Arial"/>
          <w:sz w:val="17"/>
          <w:szCs w:val="17"/>
          <w:color w:val="auto"/>
        </w:rPr>
        <w:t>We have won numerous workplace awards, including Inc. 5000’s Fastest Growing Companies, Stevie Awards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Achievement in Customer Satisfaction, CODiE Award for Best Big Data Reporting &amp; Analytics Solution as well as culture awards including being named the #1 Best Place to Work in Massachusetts, in the category of “Large” companies, by the Boston Business Journal in 2019.</w:t>
      </w:r>
    </w:p>
    <w:p>
      <w:pPr>
        <w:spacing w:after="0" w:line="91" w:lineRule="exact"/>
        <w:rPr>
          <w:rFonts w:ascii="Arial" w:cs="Arial" w:eastAsia="Arial" w:hAnsi="Arial"/>
          <w:sz w:val="17"/>
          <w:szCs w:val="17"/>
          <w:color w:val="auto"/>
        </w:rPr>
      </w:pPr>
    </w:p>
    <w:p>
      <w:pPr>
        <w:ind w:left="1360" w:right="160" w:hanging="519"/>
        <w:spacing w:after="0" w:line="279" w:lineRule="auto"/>
        <w:tabs>
          <w:tab w:leader="none" w:pos="1360" w:val="left"/>
        </w:tabs>
        <w:numPr>
          <w:ilvl w:val="0"/>
          <w:numId w:val="1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We Give Back. </w:t>
      </w:r>
      <w:r>
        <w:rPr>
          <w:rFonts w:ascii="Arial" w:cs="Arial" w:eastAsia="Arial" w:hAnsi="Arial"/>
          <w:sz w:val="16"/>
          <w:szCs w:val="16"/>
          <w:color w:val="auto"/>
        </w:rPr>
        <w:t>We are committed to putting our community first and have developed a culture centered around collaboration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community engagement. Our DefinitiveCares program is an employee-directed charitable organization with a mission to give back to the community through volunteer initiatives. DefinitiveCares provides support to the community through volunteer hours and charitable donations and has 100% employee participation and has accumulated more than 7,000 volunteer hours since 2018.</w:t>
      </w:r>
    </w:p>
    <w:p>
      <w:pPr>
        <w:spacing w:after="0" w:line="73" w:lineRule="exact"/>
        <w:rPr>
          <w:rFonts w:ascii="Arial" w:cs="Arial" w:eastAsia="Arial" w:hAnsi="Arial"/>
          <w:sz w:val="16"/>
          <w:szCs w:val="16"/>
          <w:color w:val="auto"/>
        </w:rPr>
      </w:pPr>
    </w:p>
    <w:p>
      <w:pPr>
        <w:ind w:left="1360" w:right="160" w:hanging="519"/>
        <w:spacing w:after="0" w:line="255" w:lineRule="auto"/>
        <w:tabs>
          <w:tab w:leader="none" w:pos="136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Support Diversity. </w:t>
      </w:r>
      <w:r>
        <w:rPr>
          <w:rFonts w:ascii="Arial" w:cs="Arial" w:eastAsia="Arial" w:hAnsi="Arial"/>
          <w:sz w:val="17"/>
          <w:szCs w:val="17"/>
          <w:color w:val="auto"/>
        </w:rPr>
        <w:t>We are dedicated to supporting diversity and inclusion both inside and outside of the office. We provide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opportunities for our employees to grow and develop awareness around diversity, equity and inclusion through company-sponsored speakers and presentations. In addition, we promote diversity and inclusion in our hiring processes by training our hiring managers on unconscious bias, engaging with diverse student groups at college fairs, increasing our work visa sponsorship program and incorporating inclusive, gender-neutral language into our job descriptions.</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0800"/>
          </w:cols>
          <w:pgMar w:left="320" w:top="442" w:right="77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40" w:firstLine="415"/>
        <w:spacing w:after="0" w:line="342" w:lineRule="auto"/>
        <w:rPr>
          <w:sz w:val="20"/>
          <w:szCs w:val="20"/>
          <w:color w:val="auto"/>
        </w:rPr>
      </w:pPr>
      <w:r>
        <w:rPr>
          <w:rFonts w:ascii="Arial" w:cs="Arial" w:eastAsia="Arial" w:hAnsi="Arial"/>
          <w:sz w:val="15"/>
          <w:szCs w:val="15"/>
          <w:color w:val="auto"/>
        </w:rPr>
        <w:t>As of June 30, 2021, we had 625 employees, including 379 in Sales and Marketing, 57 in Research and Development, 77 in Product and Data Science, 52 in Software Development and 60 in Administrative and Other functions. We consider our employee relations to be in good standing.</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Competition</w:t>
      </w:r>
    </w:p>
    <w:p>
      <w:pPr>
        <w:spacing w:after="0" w:line="114" w:lineRule="exact"/>
        <w:rPr>
          <w:sz w:val="20"/>
          <w:szCs w:val="20"/>
          <w:color w:val="auto"/>
        </w:rPr>
      </w:pPr>
    </w:p>
    <w:p>
      <w:pPr>
        <w:ind w:left="440" w:right="200" w:firstLine="415"/>
        <w:spacing w:after="0" w:line="257" w:lineRule="auto"/>
        <w:rPr>
          <w:sz w:val="20"/>
          <w:szCs w:val="20"/>
          <w:color w:val="auto"/>
        </w:rPr>
      </w:pPr>
      <w:r>
        <w:rPr>
          <w:rFonts w:ascii="Arial" w:cs="Arial" w:eastAsia="Arial" w:hAnsi="Arial"/>
          <w:sz w:val="17"/>
          <w:szCs w:val="17"/>
          <w:color w:val="auto"/>
        </w:rPr>
        <w:t>We operate in a highly fragmented market. We have a competitive advantage that is based on our comprehensive dataset built up over 11 years, our application of the data science, which has created proprietary intelligence and linkages that we do not see elsewhere, and a user interface that provides customers access to answers, not data, in an integrated manner. While we believe no competitor matches our breadth of data and intelligence solutions, we compete either directly or indirectly with:</w:t>
      </w:r>
    </w:p>
    <w:p>
      <w:pPr>
        <w:spacing w:after="0" w:line="91" w:lineRule="exact"/>
        <w:rPr>
          <w:sz w:val="20"/>
          <w:szCs w:val="20"/>
          <w:color w:val="auto"/>
        </w:rPr>
      </w:pPr>
    </w:p>
    <w:p>
      <w:pPr>
        <w:ind w:left="1360" w:hanging="519"/>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Legacy raw claims data providers, such as Clarivate, IQVIA and Symphony Health;</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Niche healthcare specialists, such as Komodo Health, H1 Healthcare, Marketware, Trella Health and Trilliant Health;</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Ecosystem players that may house or analyze similar intelligence, such as SG2, and Veeva;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Horizontal go-to-market intelligence platforms, such as ZoomInfo, LinkedIn and Dun &amp; Bradstreet.</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believe the principal competitive factors in our markets are:</w:t>
      </w:r>
    </w:p>
    <w:p>
      <w:pPr>
        <w:spacing w:after="0" w:line="123" w:lineRule="exact"/>
        <w:rPr>
          <w:sz w:val="20"/>
          <w:szCs w:val="20"/>
          <w:color w:val="auto"/>
        </w:rPr>
      </w:pPr>
    </w:p>
    <w:p>
      <w:pPr>
        <w:ind w:left="1360" w:hanging="519"/>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Depth, breadth and accuracy of healthcare-specific intelligence;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Healthcare subject matter expertise;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A.I. and data science capabilities;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Ease of use and deployment;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Data privacy and security.</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Intellectual Property</w:t>
      </w:r>
    </w:p>
    <w:p>
      <w:pPr>
        <w:spacing w:after="0" w:line="114"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Our data driven platform and our approach to keeping it up to date is our defensive moat and protecting our intellectual property is a crucial aspect of our business. While we have not pursued any patents or other registered intellectual property assets other than a few registered trademarks, we secure and protect our intellectual property rights in material non-registered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167" w:lineRule="exact"/>
        <w:rPr>
          <w:sz w:val="20"/>
          <w:szCs w:val="20"/>
          <w:color w:val="auto"/>
        </w:rPr>
      </w:pPr>
    </w:p>
    <w:p>
      <w:pPr>
        <w:ind w:left="440" w:right="780" w:firstLine="415"/>
        <w:spacing w:after="0" w:line="306" w:lineRule="auto"/>
        <w:rPr>
          <w:sz w:val="20"/>
          <w:szCs w:val="20"/>
          <w:color w:val="auto"/>
        </w:rPr>
      </w:pPr>
      <w:r>
        <w:rPr>
          <w:rFonts w:ascii="Arial" w:cs="Arial" w:eastAsia="Arial" w:hAnsi="Arial"/>
          <w:sz w:val="16"/>
          <w:szCs w:val="16"/>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Data Privacy and Security</w:t>
      </w:r>
    </w:p>
    <w:p>
      <w:pPr>
        <w:spacing w:after="0" w:line="114"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The healthcare and customer-level data we collect, process, use and disclose from healthcare organizations and professionals are integral to enabling us to provide a comprehensive healthcare commercial intelligence platform to our customers. 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0800"/>
          </w:cols>
          <w:pgMar w:left="320" w:top="442" w:right="779" w:bottom="1440" w:gutter="0" w:footer="0" w:header="0"/>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80"/>
        <w:spacing w:after="0" w:line="275" w:lineRule="auto"/>
        <w:rPr>
          <w:sz w:val="20"/>
          <w:szCs w:val="20"/>
          <w:color w:val="auto"/>
        </w:rPr>
      </w:pPr>
      <w:r>
        <w:rPr>
          <w:rFonts w:ascii="Arial" w:cs="Arial" w:eastAsia="Arial" w:hAnsi="Arial"/>
          <w:sz w:val="16"/>
          <w:szCs w:val="16"/>
          <w:color w:val="auto"/>
        </w:rPr>
        <w:t>Commission Act) that govern the collection, use, disclosure, and protection of health-related and other personal information could apply to our operations or the operations of our partners. We are passionate about protecting the information we collect and have rigorous policies and processes in place to adhere to the applicable laws, including the de-identification standards under the HIPAA de-identification rules. All patient-level personal information we collect is de-identified by third parties before we receive it so it never enters our network in an identifiable format. Additionally, we engage a qualified third-party statistician to annually assess and certify our compliance with the HIPAA de-identification rules.</w:t>
      </w:r>
    </w:p>
    <w:p>
      <w:pPr>
        <w:spacing w:after="0" w:line="167" w:lineRule="exact"/>
        <w:rPr>
          <w:sz w:val="20"/>
          <w:szCs w:val="20"/>
          <w:color w:val="auto"/>
        </w:rPr>
      </w:pPr>
    </w:p>
    <w:p>
      <w:pPr>
        <w:ind w:left="440" w:firstLine="415"/>
        <w:spacing w:after="0" w:line="252" w:lineRule="auto"/>
        <w:rPr>
          <w:sz w:val="20"/>
          <w:szCs w:val="20"/>
          <w:color w:val="auto"/>
        </w:rPr>
      </w:pPr>
      <w:r>
        <w:rPr>
          <w:rFonts w:ascii="Arial" w:cs="Arial" w:eastAsia="Arial" w:hAnsi="Arial"/>
          <w:sz w:val="17"/>
          <w:szCs w:val="17"/>
          <w:color w:val="auto"/>
        </w:rPr>
        <w:t>In addition, certain state and non-U.S. laws, such as the CCPA, the CPRA and the GDPR govern the privacy and security of personal information / personal data,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make compliance efforts more challenging, and can result in investigations, proceedings, or actions that lead to significant penalties and restrictions on data processing. We strive to comply with applicable data privacy and security laws, and we closely monitor the development of similar legislation across the United States and the globe. Additionally, we have developed a privacy policy on our website to describe our practices related to the collection, maintenance, security, use and sharing of personal information on our platform.</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Facilities</w:t>
      </w:r>
    </w:p>
    <w:p>
      <w:pPr>
        <w:spacing w:after="0" w:line="114"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Our corporate headquarters is located in Framingham, Massachusetts and consists of approximately 41,199 square feet of space under a lease that expires on December 31, 2022. We have other offices in Vermont and Sweden.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Legal Proceedings</w:t>
      </w:r>
    </w:p>
    <w:p>
      <w:pPr>
        <w:spacing w:after="0" w:line="114"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9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144</w:t>
      </w:r>
    </w:p>
    <w:p>
      <w:pPr>
        <w:sectPr>
          <w:pgSz w:w="11900" w:h="16838" w:orient="portrait"/>
          <w:cols w:equalWidth="0" w:num="1">
            <w:col w:w="10800"/>
          </w:cols>
          <w:pgMar w:left="320" w:top="442" w:right="77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MANAGEMENT</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Directors and Executive Officers</w:t>
      </w:r>
    </w:p>
    <w:p>
      <w:pPr>
        <w:spacing w:after="0" w:line="114" w:lineRule="exact"/>
        <w:rPr>
          <w:sz w:val="20"/>
          <w:szCs w:val="20"/>
          <w:color w:val="auto"/>
        </w:rPr>
      </w:pPr>
    </w:p>
    <w:p>
      <w:pPr>
        <w:ind w:left="440" w:right="60" w:firstLine="415"/>
        <w:spacing w:after="0" w:line="342" w:lineRule="auto"/>
        <w:rPr>
          <w:sz w:val="20"/>
          <w:szCs w:val="20"/>
          <w:color w:val="auto"/>
        </w:rPr>
      </w:pPr>
      <w:r>
        <w:rPr>
          <w:rFonts w:ascii="Arial" w:cs="Arial" w:eastAsia="Arial" w:hAnsi="Arial"/>
          <w:sz w:val="15"/>
          <w:szCs w:val="15"/>
          <w:color w:val="auto"/>
        </w:rPr>
        <w:t>Upon the consummation of this offering, the below individuals will serve as directors of Definitive Healthcare Corp. Biographical summaries and a description of the business experience of those individuals who will serve as directors of Definitive Healthcare Corp. are also set forth below.</w:t>
      </w:r>
    </w:p>
    <w:p>
      <w:pPr>
        <w:spacing w:after="0" w:line="13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left="817"/>
              <w:spacing w:after="0"/>
              <w:rPr>
                <w:sz w:val="20"/>
                <w:szCs w:val="20"/>
                <w:color w:val="auto"/>
              </w:rPr>
            </w:pPr>
            <w:r>
              <w:rPr>
                <w:rFonts w:ascii="Arial" w:cs="Arial" w:eastAsia="Arial" w:hAnsi="Arial"/>
                <w:sz w:val="14"/>
                <w:szCs w:val="14"/>
                <w:b w:val="1"/>
                <w:bCs w:val="1"/>
                <w:color w:val="auto"/>
                <w:w w:val="83"/>
              </w:rPr>
              <w:t>Age</w:t>
            </w:r>
          </w:p>
        </w:tc>
        <w:tc>
          <w:tcPr>
            <w:tcW w:w="3460" w:type="dxa"/>
            <w:vAlign w:val="bottom"/>
            <w:vMerge w:val="restart"/>
          </w:tcPr>
          <w:p>
            <w:pPr>
              <w:ind w:left="500"/>
              <w:spacing w:after="0"/>
              <w:rPr>
                <w:sz w:val="20"/>
                <w:szCs w:val="20"/>
                <w:color w:val="auto"/>
              </w:rPr>
            </w:pPr>
            <w:r>
              <w:rPr>
                <w:rFonts w:ascii="Arial" w:cs="Arial" w:eastAsia="Arial" w:hAnsi="Arial"/>
                <w:sz w:val="17"/>
                <w:szCs w:val="17"/>
                <w:color w:val="auto"/>
              </w:rPr>
              <w:t>Chief Executive Officer and Chairman</w:t>
            </w:r>
          </w:p>
        </w:tc>
        <w:tc>
          <w:tcPr>
            <w:tcW w:w="480" w:type="dxa"/>
            <w:vAlign w:val="bottom"/>
          </w:tcPr>
          <w:p>
            <w:pPr>
              <w:spacing w:after="0"/>
              <w:rPr>
                <w:sz w:val="20"/>
                <w:szCs w:val="20"/>
                <w:color w:val="auto"/>
              </w:rPr>
            </w:pPr>
            <w:r>
              <w:rPr>
                <w:rFonts w:ascii="Arial" w:cs="Arial" w:eastAsia="Arial" w:hAnsi="Arial"/>
                <w:sz w:val="14"/>
                <w:szCs w:val="14"/>
                <w:b w:val="1"/>
                <w:bCs w:val="1"/>
                <w:color w:val="auto"/>
                <w:w w:val="83"/>
              </w:rPr>
              <w:t>Position</w:t>
            </w:r>
          </w:p>
        </w:tc>
        <w:tc>
          <w:tcPr>
            <w:tcW w:w="0" w:type="dxa"/>
            <w:vAlign w:val="bottom"/>
          </w:tcPr>
          <w:p>
            <w:pPr>
              <w:spacing w:after="0"/>
              <w:rPr>
                <w:sz w:val="1"/>
                <w:szCs w:val="1"/>
                <w:color w:val="auto"/>
              </w:rPr>
            </w:pPr>
          </w:p>
        </w:tc>
      </w:tr>
      <w:tr>
        <w:trPr>
          <w:trHeight w:val="184"/>
        </w:trPr>
        <w:tc>
          <w:tcPr>
            <w:tcW w:w="340" w:type="dxa"/>
            <w:vAlign w:val="bottom"/>
            <w:tcBorders>
              <w:top w:val="single" w:sz="8" w:color="auto"/>
            </w:tcBorders>
          </w:tcPr>
          <w:p>
            <w:pPr>
              <w:spacing w:after="0" w:line="184" w:lineRule="exact"/>
              <w:rPr>
                <w:sz w:val="20"/>
                <w:szCs w:val="20"/>
                <w:color w:val="auto"/>
              </w:rPr>
            </w:pPr>
            <w:r>
              <w:rPr>
                <w:rFonts w:ascii="Arial" w:cs="Arial" w:eastAsia="Arial" w:hAnsi="Arial"/>
                <w:sz w:val="17"/>
                <w:szCs w:val="17"/>
                <w:color w:val="auto"/>
                <w:w w:val="70"/>
              </w:rPr>
              <w:t>Jason</w:t>
            </w:r>
          </w:p>
        </w:tc>
        <w:tc>
          <w:tcPr>
            <w:tcW w:w="1960" w:type="dxa"/>
            <w:vAlign w:val="bottom"/>
          </w:tcPr>
          <w:p>
            <w:pPr>
              <w:ind w:left="80"/>
              <w:spacing w:after="0" w:line="184" w:lineRule="exact"/>
              <w:rPr>
                <w:sz w:val="20"/>
                <w:szCs w:val="20"/>
                <w:color w:val="auto"/>
              </w:rPr>
            </w:pPr>
            <w:r>
              <w:rPr>
                <w:rFonts w:ascii="Arial" w:cs="Arial" w:eastAsia="Arial" w:hAnsi="Arial"/>
                <w:sz w:val="17"/>
                <w:szCs w:val="17"/>
                <w:color w:val="auto"/>
              </w:rPr>
              <w:t>Krantz</w:t>
            </w:r>
          </w:p>
        </w:tc>
        <w:tc>
          <w:tcPr>
            <w:tcW w:w="920" w:type="dxa"/>
            <w:vAlign w:val="bottom"/>
          </w:tcPr>
          <w:p>
            <w:pPr>
              <w:spacing w:after="0"/>
              <w:rPr>
                <w:sz w:val="15"/>
                <w:szCs w:val="15"/>
                <w:color w:val="auto"/>
              </w:rPr>
            </w:pPr>
          </w:p>
        </w:tc>
        <w:tc>
          <w:tcPr>
            <w:tcW w:w="240" w:type="dxa"/>
            <w:vAlign w:val="bottom"/>
            <w:tcBorders>
              <w:top w:val="single" w:sz="8" w:color="auto"/>
            </w:tcBorders>
          </w:tcPr>
          <w:p>
            <w:pPr>
              <w:jc w:val="center"/>
              <w:spacing w:after="0" w:line="184" w:lineRule="exact"/>
              <w:rPr>
                <w:sz w:val="20"/>
                <w:szCs w:val="20"/>
                <w:color w:val="auto"/>
              </w:rPr>
            </w:pPr>
            <w:r>
              <w:rPr>
                <w:rFonts w:ascii="Arial" w:cs="Arial" w:eastAsia="Arial" w:hAnsi="Arial"/>
                <w:sz w:val="17"/>
                <w:szCs w:val="17"/>
                <w:color w:val="auto"/>
                <w:w w:val="94"/>
              </w:rPr>
              <w:t>48</w:t>
            </w:r>
          </w:p>
        </w:tc>
        <w:tc>
          <w:tcPr>
            <w:tcW w:w="3460" w:type="dxa"/>
            <w:vAlign w:val="bottom"/>
            <w:vMerge w:val="continue"/>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Richard Booth</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52</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David Samuels</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59</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Chief Legal Officer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Joseph Mirisola</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38</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Chief Revenue Officer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Kate Shamsuddin</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35</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Chief Product Officer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Chris Mitchell</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49</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Jeff Haywood</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43</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Lauren Young</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38</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Chris Egan</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44</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D. Randall Winn</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51</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Samuel A. Hamood</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53</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04"/>
        </w:trPr>
        <w:tc>
          <w:tcPr>
            <w:tcW w:w="2300" w:type="dxa"/>
            <w:vAlign w:val="bottom"/>
            <w:gridSpan w:val="2"/>
          </w:tcPr>
          <w:p>
            <w:pPr>
              <w:spacing w:after="0"/>
              <w:rPr>
                <w:sz w:val="20"/>
                <w:szCs w:val="20"/>
                <w:color w:val="auto"/>
              </w:rPr>
            </w:pPr>
            <w:r>
              <w:rPr>
                <w:rFonts w:ascii="Arial" w:cs="Arial" w:eastAsia="Arial" w:hAnsi="Arial"/>
                <w:sz w:val="17"/>
                <w:szCs w:val="17"/>
                <w:color w:val="auto"/>
              </w:rPr>
              <w:t>Jill Larsen</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48</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15"/>
        </w:trPr>
        <w:tc>
          <w:tcPr>
            <w:tcW w:w="2300" w:type="dxa"/>
            <w:vAlign w:val="bottom"/>
            <w:gridSpan w:val="2"/>
          </w:tcPr>
          <w:p>
            <w:pPr>
              <w:spacing w:after="0"/>
              <w:rPr>
                <w:sz w:val="20"/>
                <w:szCs w:val="20"/>
                <w:color w:val="auto"/>
              </w:rPr>
            </w:pPr>
            <w:r>
              <w:rPr>
                <w:rFonts w:ascii="Arial" w:cs="Arial" w:eastAsia="Arial" w:hAnsi="Arial"/>
                <w:sz w:val="17"/>
                <w:szCs w:val="17"/>
                <w:color w:val="auto"/>
              </w:rPr>
              <w:t>Robert Musslewhite</w:t>
            </w:r>
          </w:p>
        </w:tc>
        <w:tc>
          <w:tcPr>
            <w:tcW w:w="1160" w:type="dxa"/>
            <w:vAlign w:val="bottom"/>
            <w:gridSpan w:val="2"/>
          </w:tcPr>
          <w:p>
            <w:pPr>
              <w:jc w:val="center"/>
              <w:ind w:left="817"/>
              <w:spacing w:after="0"/>
              <w:rPr>
                <w:sz w:val="20"/>
                <w:szCs w:val="20"/>
                <w:color w:val="auto"/>
              </w:rPr>
            </w:pPr>
            <w:r>
              <w:rPr>
                <w:rFonts w:ascii="Arial" w:cs="Arial" w:eastAsia="Arial" w:hAnsi="Arial"/>
                <w:sz w:val="17"/>
                <w:szCs w:val="17"/>
                <w:color w:val="auto"/>
                <w:w w:val="94"/>
              </w:rPr>
              <w:t>51</w:t>
            </w:r>
          </w:p>
        </w:tc>
        <w:tc>
          <w:tcPr>
            <w:tcW w:w="3940" w:type="dxa"/>
            <w:vAlign w:val="bottom"/>
            <w:gridSpan w:val="2"/>
          </w:tcPr>
          <w:p>
            <w:pPr>
              <w:ind w:left="50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Executive Officers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Jason Krantz</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Krantz has served as the Company’s Chief Executive Officer since he founded the Company in February 2011.</w:t>
      </w:r>
    </w:p>
    <w:p>
      <w:pPr>
        <w:spacing w:after="0" w:line="212"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6"/>
          <w:szCs w:val="16"/>
          <w:color w:val="auto"/>
        </w:rPr>
        <w:t>Prior to founding the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built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from 2015 until 2017. Mr. Krantz holds a B.S. in Finance and Computer Science from Boston College and an M.B.A. from Harvard Business School.</w:t>
      </w:r>
    </w:p>
    <w:p>
      <w:pPr>
        <w:spacing w:after="0" w:line="169" w:lineRule="exact"/>
        <w:rPr>
          <w:sz w:val="20"/>
          <w:szCs w:val="20"/>
          <w:color w:val="auto"/>
        </w:rPr>
      </w:pPr>
    </w:p>
    <w:p>
      <w:pPr>
        <w:ind w:left="440" w:right="560" w:firstLine="415"/>
        <w:spacing w:after="0" w:line="273" w:lineRule="auto"/>
        <w:rPr>
          <w:sz w:val="20"/>
          <w:szCs w:val="20"/>
          <w:color w:val="auto"/>
        </w:rPr>
      </w:pPr>
      <w:r>
        <w:rPr>
          <w:rFonts w:ascii="Arial" w:cs="Arial" w:eastAsia="Arial" w:hAnsi="Arial"/>
          <w:sz w:val="17"/>
          <w:szCs w:val="17"/>
          <w:color w:val="auto"/>
        </w:rPr>
        <w:t>We believe Mr. Krantz is qualified to serve on our board of directors because of his entrepreneurial experiences, finance and data analytics expertise as well as knowledge of the healthcare industry.</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Richard Booth</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Booth has served as the Company’s Chief Financial Officer since March 2021.</w:t>
      </w:r>
    </w:p>
    <w:p>
      <w:pPr>
        <w:spacing w:after="0" w:line="212"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Prior to joining the Company, Mr. Booth served as Chief Financial Officer of Bottomline Technologies, Inc. (“Bottomline”), a SaaS based business payment provider from April 2015 to March 2021, where he oversaw finance and information security. Before joining Bottomline, Mr. Booth was the VP of Finance and Corporate Controller of Sapient (since renamed Publicis Sapient), a publicly traded digital advertising firm. Prior to Sapient, Mr. Booth oversaw financial matters at Nuance Communications, a publicly traded software and services firm, culminating in his role as VP of Business Financial Planning &amp; Analysis. Mr. Booth currently serves as a member of the Audit Committee of CRA International, Inc., a global consulting firm and on the board of directors of 33 Foundation, a community enrichment organization.</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0800"/>
          </w:cols>
          <w:pgMar w:left="320" w:top="442" w:right="77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Mr. Booth holds a B.S. in accounting with high honors from Penn State University, an M.S.O.D. from American University, an M.S. in taxation from Bentley College and an M.B.A. from Stanford University Graduate School of Business, where he was an Arjay Miller Scholar. Mr. Booth is also a licensed CPA.</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David Samuels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Samuels has served as the Company’s Chief Legal Officer since February 2021.</w:t>
      </w:r>
    </w:p>
    <w:p>
      <w:pPr>
        <w:spacing w:after="0" w:line="212"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Prior to joining the Company, Mr. Samuels served as Chief Executive Officer of ReferralMob, Inc., (“Referral Mob”) a software-driven, peer-to-peer job referral staffing service from July 2015 to November 2019. At Referral Mob, Mr. Samuels was responsible for overseeing all operations generally. Prior to joining Referral Mob, Mr. Samuels served as Chief Strategy Officer of Interactions Corporation (“Interactions”), an A.I. service delivering electronic customer care services. Prior to Interactions, he served for seven years as General Counsel of EnerNOC, Inc. (“EnerNOC” and since renamed Enel X North America), a provider of energy intelligence and demand response software, where he led its initial public offering and held various additional roles including EVP Corporate Development, Secretary and Chairman of the Board of Strategic Advisors. At EnerNOC, Mr. Samuels led multiple departments, including legal, corporate development, compliance and governance. Earlier in his career, Mr. Samuels served as General Counsel and Vice president of Corporate Development of publicly traded digital agency International Integration, Inc. (ICUB) and led its merger negotiations with Razorfish. Mr. Samuels served on the board of directors of ReferralMob from 2015 to 2019, Magnus Textile LLC from 2017 to 2018 and ANSWR from 2014 until 2017, each a private company.</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Samuels holds a B.A. from Brandeis University and a J.D. from Northeastern University School of Law.</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Joseph Mirisola</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Mirisola has served as the Company’s Chief Revenue Officer since January 2020.</w:t>
      </w:r>
    </w:p>
    <w:p>
      <w:pPr>
        <w:spacing w:after="0" w:line="212"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Prior to becoming Chief Revenue Officer, Mr. Mirisola served as the Company’s SVP of Sales and Revenue from January 2018 to December 2019, Vice President of Sales from January 2013 to December 2017 and the Director of Business Development from April 2011 to December 2012. Before Mr. Mirisola joined the Company, he held positions as a mortgage banker from 2005 to 2007 and then was a partner at Universal Home Lending Corp and Universal Unsecured Lending Corp until 2010.</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Mirisola attended the University of Massachusetts Dartmouth.</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Kate Shamsuddin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Ms. Shamsuddin has served as the Company’s Chief Product Officer since January 2020.</w:t>
      </w:r>
    </w:p>
    <w:p>
      <w:pPr>
        <w:spacing w:after="0" w:line="212"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Prior to being the Company’s Chief Product Officer, Ms. Shamsuddin served as Senior Vice President of Strategy from January 2018 to December 2019, Vice President of Strategy from September 2016 to December 2017 and Director of Product Strategy from February 2015 to September 2016. Prior to joining the Company, Mrs. Shamsuddin worked in strategic services at Blue Cross Blue Shield Association (“BCBSA”), a national association of 35 independent, community-based, and locally operated Blue Cross Blue Shield companies. At BCBSA, Mrs. Shamsuddin developed strategic initiatives and products to use across all of the Blue Cross Blue Shield companies.</w:t>
      </w:r>
    </w:p>
    <w:p>
      <w:pPr>
        <w:spacing w:after="0" w:line="167"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Ms. Shamsuddin holds a B.A. in Anthropology and Global Health from Emory University and an M.S. in Health Policy and Management from Harvard University School of Public Health.</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0780"/>
          </w:cols>
          <w:pgMar w:left="320" w:top="442" w:right="799" w:bottom="1440" w:gutter="0" w:footer="0" w:header="0"/>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Our Directors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Chris Mitchell</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Mitchell has served as a member of the board of directors of the Company since February 2015.</w:t>
      </w:r>
    </w:p>
    <w:p>
      <w:pPr>
        <w:spacing w:after="0" w:line="212"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Mr. Mitchell is a Managing Director at Spectrum Equity (“Spectrum”), which he joined in 2001. Prior to Spectrum, Mr. Mitchell worked as a principal at Monitor Clipper Partners, a middle-market private equity firm, and as an associate at TA Associates, a global growth private equity firm. Mr. Mitchell currently serves on the board of directors of the privately held Extreme Reach, Tenstreet, and Varicent Software. Previously, Mr. Mitchell has served on the board of directors of a range of private companies in the data analytics and information services industries, including Business Monitor, EagleView, Ethoca, ITA Software, Seisint, Trintech, Verafin, and World-Check, as well as public companies including Bats Global Markets, Cboe Global Markets, and RiskMetrics. Mr. Mitchell holds a B.A. in Classics from Princeton University.</w:t>
      </w:r>
    </w:p>
    <w:p>
      <w:pPr>
        <w:spacing w:after="0" w:line="169"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We believe Mr. Mitchell is qualified to serve on our board of directors because of his expertise in finance and investment and his service as a director of a broad range of companies in the data analytics and information services industries.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Jeff Haywood</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Haywood has served as a member of the board of directors of the Company since February 2015.</w:t>
      </w:r>
    </w:p>
    <w:p>
      <w:pPr>
        <w:spacing w:after="0" w:line="212"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Mr. Haywood is a Managing Director at Spectrum, which he joined in February 2007. Prior to Spectrum, Mr. Haywood served as an associate at Thoma Cressey Equity Partners (since renamed Thoma Bravo LP), an American private equity and growth capital firm, and as an analyst at Goldman Sachs. Mr. Haywood also currently serves on the board of directors of the privately held RxVantage, Datassential, and Payer Compass. Mr. Haywood also currently serves as a Board Observer at Everlywell. Previously, Mr. Haywood has served on the board of directors of a range of private companies such as PWNHealth, Net Health, RainKing Software, Verisys and HealthMEDX. In addition, Mr. Haywood has previously served as Board Observer at MedHOK and Passport Health Communications. Mr. Haywood holds a B.A. in Political Science and History from Duke University.</w:t>
      </w:r>
    </w:p>
    <w:p>
      <w:pPr>
        <w:spacing w:after="0" w:line="153"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color w:val="auto"/>
        </w:rPr>
        <w:t>We believe Mr. Haywood is qualified to serve on our board of directors because of his extensive knowledge of the healthcare industry, his expertise in finance and investment and his service as director of healthcare analytics companies.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Lauren Young</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Ms. Young has served as a member of the board of directors of the Company since July 2019.</w:t>
      </w:r>
    </w:p>
    <w:p>
      <w:pPr>
        <w:spacing w:after="0" w:line="212"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Ms. Young is a Managing Director of Advent International Corporation, a private equity firm that focuses on investments in five core sectors: business and financial services; healthcare; industrial; retail, consumer and leisure; and technology. Ms. Young joined the firm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and P2 Energy Solutions. Additionally, Ms. Young serves on the board of directors of CCC Intelligent Solutions Holdings Inc., a public company. Ms. Young holds a B.A. from Davidson College and an M.B.A. from the Harvard Business School.</w:t>
      </w:r>
    </w:p>
    <w:p>
      <w:pPr>
        <w:spacing w:after="0" w:line="153"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We believe Ms. Young is qualified to serve on our board of directors because of her financial knowledge, investment experience across industries and her service as director of other software solutions companies.</w:t>
      </w:r>
    </w:p>
    <w:p>
      <w:pPr>
        <w:spacing w:after="0" w:line="102" w:lineRule="exact"/>
        <w:rPr>
          <w:sz w:val="20"/>
          <w:szCs w:val="20"/>
          <w:color w:val="auto"/>
        </w:rPr>
      </w:pPr>
    </w:p>
    <w:p>
      <w:pPr>
        <w:jc w:val="center"/>
        <w:ind w:right="-519"/>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0720"/>
          </w:cols>
          <w:pgMar w:left="320" w:top="442" w:right="85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Chris Egan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Egan has served as a member of the board of directors of the Company since July 2019.</w:t>
      </w:r>
    </w:p>
    <w:p>
      <w:pPr>
        <w:spacing w:after="0" w:line="212"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Mr. Egan is a Managing Partner of Advent International Corporation, which he joined in 2000. Prior to Advent, Mr. Egan served as an analyst at UBS, a Swiss multinational investment bank and financial services company. Mr. Egan currently serves or has served on the board of directors of Ansira Holdings, NielsenIQ and Prisma Medios de Pagos S.A., each a private company. Additionally, Mr. Egan serves on the board of directors of CCC Intelligent Solutions Holdings Inc., a public company. Mr. Egan holds a B.A. in English and Economics from Dartmouth College.</w:t>
      </w:r>
    </w:p>
    <w:p>
      <w:pPr>
        <w:spacing w:after="0" w:line="162"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7"/>
          <w:szCs w:val="17"/>
          <w:color w:val="auto"/>
        </w:rPr>
        <w:t>We believe Mr. Egan is qualified to serve on our board of directors because of his financial knowledge, investment experience and his service as director of other software solutions companies.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 Randall Winn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Winn has served as a member of the board of directors of the Company since September 2019.</w:t>
      </w:r>
    </w:p>
    <w:p>
      <w:pPr>
        <w:spacing w:after="0" w:line="212" w:lineRule="exact"/>
        <w:rPr>
          <w:sz w:val="20"/>
          <w:szCs w:val="20"/>
          <w:color w:val="auto"/>
        </w:rPr>
      </w:pPr>
    </w:p>
    <w:p>
      <w:pPr>
        <w:ind w:left="440" w:right="40" w:firstLine="415"/>
        <w:spacing w:after="0" w:line="293" w:lineRule="auto"/>
        <w:rPr>
          <w:sz w:val="20"/>
          <w:szCs w:val="20"/>
          <w:color w:val="auto"/>
        </w:rPr>
      </w:pPr>
      <w:r>
        <w:rPr>
          <w:rFonts w:ascii="Arial" w:cs="Arial" w:eastAsia="Arial" w:hAnsi="Arial"/>
          <w:sz w:val="15"/>
          <w:szCs w:val="15"/>
          <w:color w:val="auto"/>
        </w:rPr>
        <w:t>Mr. Winn currently serves as a Managing Member of 22C Capital, a private investment firm and an affiliate of the Company, which he founded in 2017 and also serves as Managing Member of FiveW Capital LLC, a private investment firm. Mr. Winn has also served as a member of the board of directors of ZoomInfo Technologies Inc., which competes with Definitive Healthcare Corp. in some areas since February 2020 and served as a member of the Board of Managers of ZoomInfo Holdings LLC from 2014 to June 2020. Mr. Winn also currently serves on the boards of private companies, including Canoe Software and has served on the boards of Dealogic, Viteos Fund Services, Merit Software, and eMarketer, each a private company.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54"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We believe Mr. Winn is qualified to serve on our board of directors because of his financial knowledge, investment experience and his service as director of other software solutions companies.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Samuel A. Hamood</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Mr. Hamood has served as a member of the board of directors of the Company since September 2020.</w:t>
      </w:r>
    </w:p>
    <w:p>
      <w:pPr>
        <w:spacing w:after="0" w:line="212" w:lineRule="exact"/>
        <w:rPr>
          <w:sz w:val="20"/>
          <w:szCs w:val="20"/>
          <w:color w:val="auto"/>
        </w:rPr>
      </w:pPr>
    </w:p>
    <w:p>
      <w:pPr>
        <w:ind w:left="440" w:right="20" w:firstLine="415"/>
        <w:spacing w:after="0" w:line="253" w:lineRule="auto"/>
        <w:rPr>
          <w:sz w:val="20"/>
          <w:szCs w:val="20"/>
          <w:color w:val="auto"/>
        </w:rPr>
      </w:pPr>
      <w:r>
        <w:rPr>
          <w:rFonts w:ascii="Arial" w:cs="Arial" w:eastAsia="Arial" w:hAnsi="Arial"/>
          <w:sz w:val="17"/>
          <w:szCs w:val="17"/>
          <w:color w:val="auto"/>
        </w:rPr>
        <w:t>Mr. Hamood currently serves as President and Chief Administrative and Finance Officer at Culligan International Co (“Culligan”), which he joined in August 2019. Prior to his time at Culligan, Mr. Hamood served as interim Chief Executive Officer and President of ATI, a nationally-recognized rehabilitation provider, from January 2018 to August 2019. Prior to his time at ATI, Mr. Hamood served as Executive Vice President and Chief Financial Officer of Change HealthCare Corporation from 2017 to 2018, and as Executive Vice President and Chief Financial Officer of TransUnion from 2008 to 2018. Mr. Hamood also previously served on the board of directors at Culligan from 2016 to 2019 and currently serves as a director of Accentcare, a privately held leader in post-acute home healthcare services. Mr. Hamood is a Certified Public Accountant (inactive status) and received his Bachelor of Business Administration in finance at The University of Iowa, and his Juris Doctor from Southwestern University School of Law.</w:t>
      </w:r>
    </w:p>
    <w:p>
      <w:pPr>
        <w:spacing w:after="0" w:line="183"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We believe Mr. Hamood is qualified to serve on our board of directors because of his financial expertise and experience in and knowledge of the healthcare industry.</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Jill Larsen</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Ms. Larsen has served as a member of the board of directors of the Company since April 2021.</w:t>
      </w:r>
    </w:p>
    <w:p>
      <w:pPr>
        <w:spacing w:after="0" w:line="14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0800"/>
          </w:cols>
          <w:pgMar w:left="320" w:top="442" w:right="77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Jill Larsen currently serves as the Chief People Officer &amp; Executive Vice President at PTC Inc., a global software company in the industrial and manufacturing space. Prior to her time at PTC, Ms. Larsen served as the Executive Vice President - Human Resources and Chief Human Resources Officer of Medidata Solutions, Inc., an American technology company that develops and markets software as a service for clinical trials from April 2018 to January 2020. Ms. Larsen has over 20 years of experience establishing and transforming human resources and talent strategies at global, high-tech companies and has also previously served as senior vice president of talent acquisition and human resources at Cisco Systems, Inc., a public technology conglomerate from April 2013 to April 2018. She also held executive HR leadership roles at Dell EMC, a company that sells products ranging from data storage to information security, and was chief human resources officer of RSA, the security division of Dell EMC. Ms. Larsen is PHR certified and received her B.A. in communications and English from Boston College, and her MBA in Human Resources Management from Emmanuel College.</w:t>
      </w:r>
    </w:p>
    <w:p>
      <w:pPr>
        <w:spacing w:after="0" w:line="159" w:lineRule="exact"/>
        <w:rPr>
          <w:sz w:val="20"/>
          <w:szCs w:val="20"/>
          <w:color w:val="auto"/>
        </w:rPr>
      </w:pPr>
    </w:p>
    <w:p>
      <w:pPr>
        <w:ind w:left="440" w:right="460" w:firstLine="415"/>
        <w:spacing w:after="0" w:line="273" w:lineRule="auto"/>
        <w:rPr>
          <w:sz w:val="20"/>
          <w:szCs w:val="20"/>
          <w:color w:val="auto"/>
        </w:rPr>
      </w:pPr>
      <w:r>
        <w:rPr>
          <w:rFonts w:ascii="Arial" w:cs="Arial" w:eastAsia="Arial" w:hAnsi="Arial"/>
          <w:sz w:val="17"/>
          <w:szCs w:val="17"/>
          <w:color w:val="auto"/>
        </w:rPr>
        <w:t>We believe Ms. Larsen is qualified to serve on our board of directors because of her extensive experience in talent acquisition strategies and human resources expertise in technology companies.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Robert Musslewhite</w:t>
      </w:r>
    </w:p>
    <w:p>
      <w:pPr>
        <w:spacing w:after="0" w:line="114" w:lineRule="exact"/>
        <w:rPr>
          <w:sz w:val="20"/>
          <w:szCs w:val="20"/>
          <w:color w:val="auto"/>
        </w:rPr>
      </w:pPr>
    </w:p>
    <w:p>
      <w:pPr>
        <w:ind w:left="440" w:firstLine="415"/>
        <w:spacing w:after="0" w:line="289" w:lineRule="auto"/>
        <w:rPr>
          <w:sz w:val="20"/>
          <w:szCs w:val="20"/>
          <w:color w:val="auto"/>
        </w:rPr>
      </w:pPr>
      <w:r>
        <w:rPr>
          <w:rFonts w:ascii="Arial" w:cs="Arial" w:eastAsia="Arial" w:hAnsi="Arial"/>
          <w:sz w:val="15"/>
          <w:szCs w:val="15"/>
          <w:color w:val="auto"/>
        </w:rPr>
        <w:t>Mr. Musslewhite has served as a member of the board of directors of the Company since June 2021. Mr. Musslewhite has been the Chief Executive Officer of OptumInsight, Optum’s health services business connecting the health care system with services, analytics, and platforms designed to make clinical and administrative processes easier and more efficient, since August 2019. He joined Optum following Optum’s acquisition of The Advisory Board Company, a publicly traded company that provided best practices research and insight, technology, data-enabled services and consulting services, where he served as Chief Executive Officer from 2008 until 2017 and Chairman from 2013 to 2017. Prior to his appointment as Chief Executive Officer of OptumInsight, Mr. Musslewhite served as Chief Executive Officer of Optum360 from March 2019 until August 2019 and, prior to that, as Chief Executive Officer of Optum Analytics and Chief Executive Officer of Advisory Board Research from 2017 until March 2019. Prior to joining The Advisory Board Company, Mr. Musslewhite was an Associate Principal with McKinsey &amp; Company, a global management consulting firm, in the Washington, D.C., Amsterdam, and Dallas offices. Mr. Musslewhite currently serves on the Boards of Directors of CoStar Group (Nasdaq: CSGP) and Ascend Learning, he is a member of the Economics Club of Washington D.C., and he recently completed service as Chair of the Board of Governors of St. Albans School. Mr. Musslewhite received a J.D. from Harvard Law School and an A.B. in Economics from Princeton University.</w:t>
      </w:r>
    </w:p>
    <w:p>
      <w:pPr>
        <w:spacing w:after="0" w:line="158" w:lineRule="exact"/>
        <w:rPr>
          <w:sz w:val="20"/>
          <w:szCs w:val="20"/>
          <w:color w:val="auto"/>
        </w:rPr>
      </w:pPr>
    </w:p>
    <w:p>
      <w:pPr>
        <w:ind w:left="440" w:right="380" w:firstLine="415"/>
        <w:spacing w:after="0" w:line="273" w:lineRule="auto"/>
        <w:rPr>
          <w:sz w:val="20"/>
          <w:szCs w:val="20"/>
          <w:color w:val="auto"/>
        </w:rPr>
      </w:pPr>
      <w:r>
        <w:rPr>
          <w:rFonts w:ascii="Arial" w:cs="Arial" w:eastAsia="Arial" w:hAnsi="Arial"/>
          <w:sz w:val="17"/>
          <w:szCs w:val="17"/>
          <w:color w:val="auto"/>
        </w:rPr>
        <w:t>We believe Mr. Musslewhite is qualified to serve on our board of directors because of his consulting experience, knowledge of the healthcare industry and experience with healthcare data analytics.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Board of Directors</w:t>
      </w:r>
    </w:p>
    <w:p>
      <w:pPr>
        <w:spacing w:after="0" w:line="114" w:lineRule="exact"/>
        <w:rPr>
          <w:sz w:val="20"/>
          <w:szCs w:val="20"/>
          <w:color w:val="auto"/>
        </w:rPr>
      </w:pPr>
    </w:p>
    <w:p>
      <w:pPr>
        <w:ind w:left="440" w:right="20" w:firstLine="415"/>
        <w:spacing w:after="0" w:line="270" w:lineRule="auto"/>
        <w:rPr>
          <w:sz w:val="20"/>
          <w:szCs w:val="20"/>
          <w:color w:val="auto"/>
        </w:rPr>
      </w:pPr>
      <w:r>
        <w:rPr>
          <w:rFonts w:ascii="Arial" w:cs="Arial" w:eastAsia="Arial" w:hAnsi="Arial"/>
          <w:sz w:val="16"/>
          <w:szCs w:val="16"/>
          <w:color w:val="auto"/>
        </w:rPr>
        <w:t>Our business and affairs are managed under the direction of our Board. Our amended and restated certificate of incorporation will provide that our Board consist of at least one director, or such larger number as may be fixed from time to time by a resolution of at least a majority of the directors then in office. Contemporaneously with this offering, our Board will be composed of nine directors divided into three classes, with terms staggered according to class. Class I will initially consist of three directors, Class II will initially consist of three directors and Class III will initially consist of three directors. The Class I directors, whose terms will expire at the first annual meeting of our stockholders following the filing of our amended and restated certificate of incorporation, will be 2022. The Class II directors, whose terms will expire at the second annual meeting of our stockholders following the filing of our amended and restated certificate of incorporation, will be 2023. The Class III directors, whose terms will expire at the third annual meeting of our stockholders following the filing of our amended and restated certificate of incorporation, will be 2024. See “Description of Capital Stock—Anti-takeover Provisions” for more information.</w:t>
      </w:r>
    </w:p>
    <w:p>
      <w:pPr>
        <w:spacing w:after="0" w:line="172"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Mr. Egan and Ms. Young were appointed to serve as members of the Board, each as an Advent Manager, and Messrs. Mitchell and Haywood were appointed to serve as members of the board of managers of Definitive OpCo,</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0800"/>
          </w:cols>
          <w:pgMar w:left="320" w:top="442" w:right="77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79" w:lineRule="auto"/>
        <w:rPr>
          <w:sz w:val="20"/>
          <w:szCs w:val="20"/>
          <w:color w:val="auto"/>
        </w:rPr>
      </w:pPr>
      <w:r>
        <w:rPr>
          <w:rFonts w:ascii="Arial" w:cs="Arial" w:eastAsia="Arial" w:hAnsi="Arial"/>
          <w:sz w:val="16"/>
          <w:szCs w:val="16"/>
          <w:color w:val="auto"/>
        </w:rPr>
        <w:t>each as a Spectrum Manager, pursuant to the Amended and Restated Limited Liability Company Agreement of AIDH Topco, LLC, dated as of July 16, 2019, by and among the Company and members of AIDH Topco, LLC. Mr. Winn was appointed as a member of the board of managers of Definitive OpCo as a 22C Capital Manager pursuant to Amendment No. 1 to the Amended and Restated Limited Liability Company Agreement of AIDH Topco, LLC, dated as of September 13, 2019, by and among the Company and the members of AIDH Topco, LLC.</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Nominating Agreements</w:t>
      </w:r>
    </w:p>
    <w:p>
      <w:pPr>
        <w:spacing w:after="0" w:line="216"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Immediately prior to the effectiveness of the registration statement of which this prospectus forms a part, we intend to enter into nominating agreements with an affiliate of Advent, Jason Krantz and Spectrum Equity, respectively, which will provide that, subject to minimum stock ownership requirements, the Company will include two designees of Advent, one designee of Spectrum Equity and Jason Krantz, respectively, in the slate of nominees recommended to the Company’s stockholders for election and the Company will fill any vacancy of any such designated director previously nominated by Advent, Jason Krantz and Spectrum Equity, respectively, with a new director designated by Advent, Jason Krantz and Spectrum Equity, respectively.</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Board Committees</w:t>
      </w:r>
    </w:p>
    <w:p>
      <w:pPr>
        <w:spacing w:after="0" w:line="11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Our Board currently has an Audit Committee and a Compensation Committee and, in connection with the consummation of this offering, the Board will also establish a Nominating and Corporate Governance Committee. Each committee will have a charter that has been approved by our Board and that will be available on our website. Each committee will have the composition and responsibilities described below. Members serve on our Board committees until their resignations or until otherwise determined by our Board.</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primary purposes of our Audit Committee under the committee’s charter will be to assist the Board’s oversight of:</w:t>
      </w:r>
    </w:p>
    <w:p>
      <w:pPr>
        <w:spacing w:after="0" w:line="123" w:lineRule="exact"/>
        <w:rPr>
          <w:sz w:val="20"/>
          <w:szCs w:val="20"/>
          <w:color w:val="auto"/>
        </w:rPr>
      </w:pPr>
    </w:p>
    <w:p>
      <w:pPr>
        <w:ind w:left="1360" w:hanging="519"/>
        <w:spacing w:after="0"/>
        <w:tabs>
          <w:tab w:leader="none" w:pos="1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audits of our financial statements;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integrity of our financial statements;</w:t>
      </w:r>
    </w:p>
    <w:p>
      <w:pPr>
        <w:spacing w:after="0" w:line="122" w:lineRule="exact"/>
        <w:rPr>
          <w:rFonts w:ascii="Arial" w:cs="Arial" w:eastAsia="Arial" w:hAnsi="Arial"/>
          <w:sz w:val="17"/>
          <w:szCs w:val="17"/>
          <w:color w:val="auto"/>
        </w:rPr>
      </w:pPr>
    </w:p>
    <w:p>
      <w:pPr>
        <w:ind w:left="1360" w:right="200" w:hanging="519"/>
        <w:spacing w:after="0" w:line="273" w:lineRule="auto"/>
        <w:tabs>
          <w:tab w:leader="none" w:pos="1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our process relating to risk management and the conduct and systems of internal control over financial reporting and disclosure controls and procedures;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qualifications, engagement, compensation, independence and performance of our independent auditor;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performance of our internal audit function.</w:t>
      </w:r>
    </w:p>
    <w:p>
      <w:pPr>
        <w:spacing w:after="0" w:line="212"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6"/>
          <w:szCs w:val="16"/>
          <w:color w:val="auto"/>
        </w:rPr>
        <w:t>Upon the consummation of this offering, our Audit Committee will be composed of Samuel A. Hamood, Chris Egan and Chris Mitchell. Samuel A. Hamood will serve as chair of the Audit Committee. Samuel A. Hamood qualifies as an “audit committee financial expert” as such term has been defined by the SEC in Item 407(d) of Regulation S-K. Our Board has affirmatively determined that Samuel A. Hamood and Chris Egan meet the definition of an “independent director” for the purposes of serving on the Audit Committee under applicable Nasdaq rules and Rule 10A-3 under the Exchange Act. We intend to comply with these independence requirements for all members of the Audit Committee within the time periods specified under such rules. The Audit Committee will be governed by a charter that complies with the rules of Nasdaq.</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10"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7"/>
          <w:szCs w:val="17"/>
          <w:color w:val="auto"/>
        </w:rPr>
        <w:t>The primary purposes of our Compensation Committee under the committee’s charter will be to assist the Board in overseeing our management compensation policies and practices, including:</w:t>
      </w:r>
    </w:p>
    <w:p>
      <w:pPr>
        <w:spacing w:after="0" w:line="77" w:lineRule="exact"/>
        <w:rPr>
          <w:sz w:val="20"/>
          <w:szCs w:val="20"/>
          <w:color w:val="auto"/>
        </w:rPr>
      </w:pPr>
    </w:p>
    <w:p>
      <w:pPr>
        <w:ind w:left="1360" w:hanging="519"/>
        <w:spacing w:after="0"/>
        <w:tabs>
          <w:tab w:leader="none" w:pos="13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determining and approving and recommending to the Board for its approval the compensation of our executive officers; and</w:t>
      </w:r>
    </w:p>
    <w:p>
      <w:pPr>
        <w:spacing w:after="0" w:line="147" w:lineRule="exact"/>
        <w:rPr>
          <w:rFonts w:ascii="Arial" w:cs="Arial" w:eastAsia="Arial" w:hAnsi="Arial"/>
          <w:sz w:val="17"/>
          <w:szCs w:val="17"/>
          <w:color w:val="auto"/>
        </w:rPr>
      </w:pPr>
    </w:p>
    <w:p>
      <w:pPr>
        <w:ind w:left="5500"/>
        <w:spacing w:after="0"/>
        <w:rPr>
          <w:rFonts w:ascii="Arial" w:cs="Arial" w:eastAsia="Arial" w:hAnsi="Arial"/>
          <w:sz w:val="17"/>
          <w:szCs w:val="17"/>
          <w:color w:val="auto"/>
        </w:rPr>
      </w:pPr>
      <w:r>
        <w:rPr>
          <w:rFonts w:ascii="Arial" w:cs="Arial" w:eastAsia="Arial" w:hAnsi="Arial"/>
          <w:sz w:val="17"/>
          <w:szCs w:val="17"/>
          <w:color w:val="auto"/>
        </w:rPr>
        <w:t>150</w:t>
      </w:r>
    </w:p>
    <w:p>
      <w:pPr>
        <w:sectPr>
          <w:pgSz w:w="11900" w:h="16838" w:orient="portrait"/>
          <w:cols w:equalWidth="0" w:num="1">
            <w:col w:w="10760"/>
          </w:cols>
          <w:pgMar w:left="320" w:top="442" w:right="81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right="220" w:hanging="519"/>
        <w:spacing w:after="0" w:line="273" w:lineRule="auto"/>
        <w:tabs>
          <w:tab w:leader="none" w:pos="13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reviewing and approving and recommending to the Board for its approval incentive compensation and equity compensation policies and programs.</w:t>
      </w:r>
    </w:p>
    <w:p>
      <w:pPr>
        <w:spacing w:after="0" w:line="166" w:lineRule="exact"/>
        <w:rPr>
          <w:sz w:val="20"/>
          <w:szCs w:val="20"/>
          <w:color w:val="auto"/>
        </w:rPr>
      </w:pPr>
    </w:p>
    <w:p>
      <w:pPr>
        <w:ind w:left="440" w:right="380" w:firstLine="415"/>
        <w:spacing w:after="0" w:line="261" w:lineRule="auto"/>
        <w:rPr>
          <w:sz w:val="20"/>
          <w:szCs w:val="20"/>
          <w:color w:val="auto"/>
        </w:rPr>
      </w:pPr>
      <w:r>
        <w:rPr>
          <w:rFonts w:ascii="Arial" w:cs="Arial" w:eastAsia="Arial" w:hAnsi="Arial"/>
          <w:sz w:val="17"/>
          <w:szCs w:val="17"/>
          <w:color w:val="auto"/>
        </w:rPr>
        <w:t>Upon the consummation of this offering, our Compensation Committee will be composed of Jill Larsen, D. Randall Winn, Jeff Haywood and Lauren Young. Jill Larsen will serve as chair of the Compensation Committee. The Compensation Committee will be governed by a charter that complies with the rules of Nasdaq.</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10" w:lineRule="exact"/>
        <w:rPr>
          <w:sz w:val="20"/>
          <w:szCs w:val="20"/>
          <w:color w:val="auto"/>
        </w:rPr>
      </w:pPr>
    </w:p>
    <w:p>
      <w:pPr>
        <w:jc w:val="both"/>
        <w:ind w:left="440" w:right="40" w:firstLine="415"/>
        <w:spacing w:after="0" w:line="261" w:lineRule="auto"/>
        <w:rPr>
          <w:sz w:val="20"/>
          <w:szCs w:val="20"/>
          <w:color w:val="auto"/>
        </w:rPr>
      </w:pPr>
      <w:r>
        <w:rPr>
          <w:rFonts w:ascii="Arial" w:cs="Arial" w:eastAsia="Arial" w:hAnsi="Arial"/>
          <w:sz w:val="17"/>
          <w:szCs w:val="17"/>
          <w:color w:val="auto"/>
        </w:rPr>
        <w:t>Upon the consummation of this offering, our Board will establish a nominating and corporate governance committee. The primary purposes of our nominating and corporate governance committee will be to recommend candidates for appointment to the Board and to review the corporate governance guidelines of the Company, including:</w:t>
      </w:r>
    </w:p>
    <w:p>
      <w:pPr>
        <w:spacing w:after="0" w:line="87" w:lineRule="exact"/>
        <w:rPr>
          <w:sz w:val="20"/>
          <w:szCs w:val="20"/>
          <w:color w:val="auto"/>
        </w:rPr>
      </w:pPr>
    </w:p>
    <w:p>
      <w:pPr>
        <w:ind w:left="1360" w:hanging="519"/>
        <w:spacing w:after="0"/>
        <w:tabs>
          <w:tab w:leader="none" w:pos="13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identifying and screening individuals qualified to serve as directors;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developing, recommending to the Board and reviewing the Company’s corporate governance guidelines;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and its committees; and</w:t>
      </w:r>
    </w:p>
    <w:p>
      <w:pPr>
        <w:spacing w:after="0" w:line="122" w:lineRule="exact"/>
        <w:rPr>
          <w:rFonts w:ascii="Arial" w:cs="Arial" w:eastAsia="Arial" w:hAnsi="Arial"/>
          <w:sz w:val="17"/>
          <w:szCs w:val="17"/>
          <w:color w:val="auto"/>
        </w:rPr>
      </w:pPr>
    </w:p>
    <w:p>
      <w:pPr>
        <w:ind w:left="1360" w:right="460" w:hanging="519"/>
        <w:spacing w:after="0" w:line="273" w:lineRule="auto"/>
        <w:tabs>
          <w:tab w:leader="none" w:pos="13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reviewing on a regular basis the overall corporate governance of the Company and recommending improvements to the Board where appropriate.</w:t>
      </w:r>
    </w:p>
    <w:p>
      <w:pPr>
        <w:spacing w:after="0" w:line="166" w:lineRule="exact"/>
        <w:rPr>
          <w:sz w:val="20"/>
          <w:szCs w:val="20"/>
          <w:color w:val="auto"/>
        </w:rPr>
      </w:pPr>
    </w:p>
    <w:p>
      <w:pPr>
        <w:jc w:val="both"/>
        <w:ind w:left="440" w:right="220" w:firstLine="415"/>
        <w:spacing w:after="0" w:line="261" w:lineRule="auto"/>
        <w:rPr>
          <w:sz w:val="20"/>
          <w:szCs w:val="20"/>
          <w:color w:val="auto"/>
        </w:rPr>
      </w:pPr>
      <w:r>
        <w:rPr>
          <w:rFonts w:ascii="Arial" w:cs="Arial" w:eastAsia="Arial" w:hAnsi="Arial"/>
          <w:sz w:val="17"/>
          <w:szCs w:val="17"/>
          <w:color w:val="auto"/>
        </w:rPr>
        <w:t>The nominating and corporate governance committee will be comprised of Lauren Young, D. Randall Winn and Chris Mitchell. Lauren Young will serve as the chair of the nominating and corporate governance committee. The nominating and corporate governance committee will be governed by a charter that complies with the rules of Nasdaq.</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14"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The members of our Compensation Committee during 2021 were Jill Larsen, D. Randall Winn, Jeff Haywood and Lauren Young. During 2021, none of our 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Indemnification of Directors</w:t>
      </w:r>
    </w:p>
    <w:p>
      <w:pPr>
        <w:spacing w:after="0" w:line="114"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Our amended and restated certificate of incorporation will provide that we will indemnify our executive officers and directors to the fullest extent permitted by the DGCL.</w:t>
      </w:r>
    </w:p>
    <w:p>
      <w:pPr>
        <w:spacing w:after="0" w:line="166" w:lineRule="exact"/>
        <w:rPr>
          <w:sz w:val="20"/>
          <w:szCs w:val="20"/>
          <w:color w:val="auto"/>
        </w:rPr>
      </w:pPr>
    </w:p>
    <w:p>
      <w:pPr>
        <w:ind w:left="440" w:right="160" w:firstLine="415"/>
        <w:spacing w:after="0" w:line="285" w:lineRule="auto"/>
        <w:rPr>
          <w:sz w:val="20"/>
          <w:szCs w:val="20"/>
          <w:color w:val="auto"/>
        </w:rPr>
      </w:pPr>
      <w:r>
        <w:rPr>
          <w:rFonts w:ascii="Arial" w:cs="Arial" w:eastAsia="Arial" w:hAnsi="Arial"/>
          <w:sz w:val="16"/>
          <w:szCs w:val="16"/>
          <w:color w:val="auto"/>
        </w:rPr>
        <w:t>We intend to enter into indemnification agreements with each of our executive officers and directors prior to the completion of this offering. The indemnification agreements will provide the executive officers and directors with contractual rights to indemnification, expense advancement and reimbursement, to the fullest extent permitted under the DGCL, subject to certain exceptions contained in those agreements.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14"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Prior to the completion of this offering, we will amend our code of business conduct and ethics that applies to all of our employees, officers and directors. A copy of the amended code will be available on our website located at www.definitivehc.com. Any amendments or waivers from our code for our principal executive officer, principal financial officer, principal accounting officer or controller, or persons performing similar functions that are required to be disclosed will be disclosed on our Internet website promptly following the date of such amendment or waiver.</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0820"/>
          </w:cols>
          <w:pgMar w:left="320" w:top="442" w:right="75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Corporate Governance Guidelines</w:t>
      </w:r>
    </w:p>
    <w:p>
      <w:pPr>
        <w:spacing w:after="0" w:line="114"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Our Board will adopt corporate governance guidelines in accordance with the applicable corporate governance rules of Nasdaq that serve as a flexible framework within which our Board and its committees operate. These guidelines will cover a number of areas including the duties and responsibilities of the Board, director independence, Board leadership structure, majority-voting Board resignation policy, executive sessions, Chief Executive Officer evaluations, management development and succession planning, director nomination, qualification and election, director orientation and continuing education, Board agenda, materials, information and presentations, director access to senior managers and independent advisers, Board communication with stockholders and others, director compensation and annual board and committee performance evaluations. A copy of our corporate governance guidelines will be posted on our website.</w:t>
      </w:r>
    </w:p>
    <w:p>
      <w:pPr>
        <w:spacing w:after="0" w:line="12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0760"/>
          </w:cols>
          <w:pgMar w:left="320" w:top="442" w:right="81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EXECUTIVE AND DIRECTOR COMPENSATION</w:t>
      </w:r>
    </w:p>
    <w:p>
      <w:pPr>
        <w:spacing w:after="0" w:line="216"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i w:val="1"/>
          <w:iCs w:val="1"/>
          <w:color w:val="auto"/>
        </w:rPr>
        <w:t>The following compensation tables and related disclosure should be read together. This discussion contains forward-looking statements that are based on our current plans and expectations regarding future compensation programs. See “Cautionary Note Regarding Forward-Looking Statements.” Actual compensation programs that we adopt may differ materially from the programs summarized in this discussion.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Overview</w:t>
      </w:r>
    </w:p>
    <w:p>
      <w:pPr>
        <w:spacing w:after="0" w:line="114" w:lineRule="exact"/>
        <w:rPr>
          <w:sz w:val="20"/>
          <w:szCs w:val="20"/>
          <w:color w:val="auto"/>
        </w:rPr>
      </w:pPr>
    </w:p>
    <w:p>
      <w:pPr>
        <w:ind w:left="440" w:right="20" w:firstLine="415"/>
        <w:spacing w:after="0" w:line="288" w:lineRule="auto"/>
        <w:rPr>
          <w:sz w:val="20"/>
          <w:szCs w:val="20"/>
          <w:color w:val="auto"/>
        </w:rPr>
      </w:pPr>
      <w:r>
        <w:rPr>
          <w:rFonts w:ascii="Arial" w:cs="Arial" w:eastAsia="Arial" w:hAnsi="Arial"/>
          <w:sz w:val="15"/>
          <w:szCs w:val="15"/>
          <w:color w:val="auto"/>
        </w:rPr>
        <w:t>This section provides an overview of our executive compensation program, including a narrative description of the material factors necessary to understand the information disclosed in the compensation tables below with respect to our “named executive officers,” or “NEOs,” namely our principal executive officer during fiscal 2020 and our two other most highly compensated executive officers serving at the end of fiscal 2020. Our NEOs for fiscal</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2020 were:</w:t>
      </w:r>
    </w:p>
    <w:p>
      <w:pPr>
        <w:spacing w:after="0" w:line="111" w:lineRule="exact"/>
        <w:rPr>
          <w:sz w:val="20"/>
          <w:szCs w:val="20"/>
          <w:color w:val="auto"/>
        </w:rPr>
      </w:pPr>
    </w:p>
    <w:p>
      <w:pPr>
        <w:ind w:left="1360" w:hanging="519"/>
        <w:spacing w:after="0"/>
        <w:tabs>
          <w:tab w:leader="none" w:pos="13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Jason Krantz, our Chairman and Chief Executive Officer;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Kevin Shone, our former Chief Financial Officer;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Joseph Mirisola, our Chief Revenue Officer.</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Summary Compensation Table</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following table sets forth certain information regarding the total compensation awarded to, earned by or paid to our NEOs in fiscal 2020.</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Non-Equity</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86"/>
              </w:rPr>
              <w:t>Name and Principal Position</w:t>
            </w:r>
          </w:p>
        </w:tc>
        <w:tc>
          <w:tcPr>
            <w:tcW w:w="23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440"/>
              <w:spacing w:after="0" w:line="140" w:lineRule="exact"/>
              <w:rPr>
                <w:sz w:val="20"/>
                <w:szCs w:val="20"/>
                <w:color w:val="auto"/>
              </w:rPr>
            </w:pPr>
            <w:r>
              <w:rPr>
                <w:rFonts w:ascii="Arial" w:cs="Arial" w:eastAsia="Arial" w:hAnsi="Arial"/>
                <w:sz w:val="14"/>
                <w:szCs w:val="14"/>
                <w:b w:val="1"/>
                <w:bCs w:val="1"/>
                <w:color w:val="auto"/>
                <w:w w:val="89"/>
              </w:rPr>
              <w:t>Incentive Plan</w:t>
            </w:r>
          </w:p>
        </w:tc>
        <w:tc>
          <w:tcPr>
            <w:tcW w:w="140" w:type="dxa"/>
            <w:vAlign w:val="bottom"/>
          </w:tcPr>
          <w:p>
            <w:pPr>
              <w:spacing w:after="0"/>
              <w:rPr>
                <w:sz w:val="12"/>
                <w:szCs w:val="12"/>
                <w:color w:val="auto"/>
              </w:rPr>
            </w:pPr>
          </w:p>
        </w:tc>
        <w:tc>
          <w:tcPr>
            <w:tcW w:w="1220" w:type="dxa"/>
            <w:vAlign w:val="bottom"/>
            <w:gridSpan w:val="2"/>
          </w:tcPr>
          <w:p>
            <w:pPr>
              <w:ind w:left="80"/>
              <w:spacing w:after="0" w:line="140" w:lineRule="exact"/>
              <w:rPr>
                <w:sz w:val="20"/>
                <w:szCs w:val="20"/>
                <w:color w:val="auto"/>
              </w:rPr>
            </w:pPr>
            <w:r>
              <w:rPr>
                <w:rFonts w:ascii="Arial" w:cs="Arial" w:eastAsia="Arial" w:hAnsi="Arial"/>
                <w:sz w:val="14"/>
                <w:szCs w:val="14"/>
                <w:b w:val="1"/>
                <w:bCs w:val="1"/>
                <w:color w:val="auto"/>
              </w:rPr>
              <w:t>All Other</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60" w:type="dxa"/>
            <w:vAlign w:val="bottom"/>
            <w:tcBorders>
              <w:bottom w:val="single" w:sz="8" w:color="auto"/>
            </w:tcBorders>
            <w:vMerge w:val="continue"/>
          </w:tcPr>
          <w:p>
            <w:pPr>
              <w:spacing w:after="0"/>
              <w:rPr>
                <w:sz w:val="14"/>
                <w:szCs w:val="14"/>
                <w:color w:val="auto"/>
              </w:rPr>
            </w:pPr>
          </w:p>
        </w:tc>
        <w:tc>
          <w:tcPr>
            <w:tcW w:w="2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Salary</w:t>
            </w:r>
          </w:p>
        </w:tc>
        <w:tc>
          <w:tcPr>
            <w:tcW w:w="180" w:type="dxa"/>
            <w:vAlign w:val="bottom"/>
          </w:tcPr>
          <w:p>
            <w:pPr>
              <w:spacing w:after="0"/>
              <w:rPr>
                <w:sz w:val="14"/>
                <w:szCs w:val="14"/>
                <w:color w:val="auto"/>
              </w:rPr>
            </w:pPr>
          </w:p>
        </w:tc>
        <w:tc>
          <w:tcPr>
            <w:tcW w:w="74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85"/>
              </w:rPr>
              <w:t>Bonus(2)</w:t>
            </w:r>
          </w:p>
        </w:tc>
        <w:tc>
          <w:tcPr>
            <w:tcW w:w="180" w:type="dxa"/>
            <w:vAlign w:val="bottom"/>
          </w:tcPr>
          <w:p>
            <w:pPr>
              <w:spacing w:after="0"/>
              <w:rPr>
                <w:sz w:val="14"/>
                <w:szCs w:val="14"/>
                <w:color w:val="auto"/>
              </w:rPr>
            </w:pPr>
          </w:p>
        </w:tc>
        <w:tc>
          <w:tcPr>
            <w:tcW w:w="1360" w:type="dxa"/>
            <w:vAlign w:val="bottom"/>
            <w:gridSpan w:val="3"/>
          </w:tcPr>
          <w:p>
            <w:pPr>
              <w:jc w:val="right"/>
              <w:ind w:right="360"/>
              <w:spacing w:after="0" w:line="147" w:lineRule="exact"/>
              <w:rPr>
                <w:sz w:val="20"/>
                <w:szCs w:val="20"/>
                <w:color w:val="auto"/>
              </w:rPr>
            </w:pPr>
            <w:r>
              <w:rPr>
                <w:rFonts w:ascii="Arial" w:cs="Arial" w:eastAsia="Arial" w:hAnsi="Arial"/>
                <w:sz w:val="14"/>
                <w:szCs w:val="14"/>
                <w:b w:val="1"/>
                <w:bCs w:val="1"/>
                <w:color w:val="auto"/>
                <w:w w:val="85"/>
              </w:rPr>
              <w:t>Compensation(3)</w:t>
            </w:r>
          </w:p>
        </w:tc>
        <w:tc>
          <w:tcPr>
            <w:tcW w:w="1360" w:type="dxa"/>
            <w:vAlign w:val="bottom"/>
            <w:gridSpan w:val="3"/>
          </w:tcPr>
          <w:p>
            <w:pPr>
              <w:jc w:val="right"/>
              <w:ind w:right="360"/>
              <w:spacing w:after="0" w:line="147" w:lineRule="exact"/>
              <w:rPr>
                <w:sz w:val="20"/>
                <w:szCs w:val="20"/>
                <w:color w:val="auto"/>
              </w:rPr>
            </w:pPr>
            <w:r>
              <w:rPr>
                <w:rFonts w:ascii="Arial" w:cs="Arial" w:eastAsia="Arial" w:hAnsi="Arial"/>
                <w:sz w:val="14"/>
                <w:szCs w:val="14"/>
                <w:b w:val="1"/>
                <w:bCs w:val="1"/>
                <w:color w:val="auto"/>
                <w:w w:val="85"/>
              </w:rPr>
              <w:t>Compensation(4)</w:t>
            </w:r>
          </w:p>
        </w:tc>
        <w:tc>
          <w:tcPr>
            <w:tcW w:w="70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89"/>
        </w:trPr>
        <w:tc>
          <w:tcPr>
            <w:tcW w:w="3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Jason Krantz,</w:t>
            </w:r>
          </w:p>
        </w:tc>
        <w:tc>
          <w:tcPr>
            <w:tcW w:w="3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7"/>
                <w:szCs w:val="17"/>
                <w:color w:val="auto"/>
                <w:w w:val="84"/>
              </w:rPr>
              <w:t>2020</w:t>
            </w: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$420,250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$25,000</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310,770</w:t>
            </w: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29,677</w:t>
            </w: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$760,697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980" w:type="dxa"/>
            <w:vAlign w:val="bottom"/>
            <w:gridSpan w:val="2"/>
          </w:tcPr>
          <w:p>
            <w:pPr>
              <w:spacing w:after="0" w:line="191" w:lineRule="exact"/>
              <w:rPr>
                <w:sz w:val="20"/>
                <w:szCs w:val="20"/>
                <w:color w:val="auto"/>
              </w:rPr>
            </w:pPr>
            <w:r>
              <w:rPr>
                <w:rFonts w:ascii="Arial" w:cs="Arial" w:eastAsia="Arial" w:hAnsi="Arial"/>
                <w:sz w:val="17"/>
                <w:szCs w:val="17"/>
                <w:color w:val="auto"/>
              </w:rPr>
              <w:t>Kevin Shone</w:t>
            </w:r>
            <w:r>
              <w:rPr>
                <w:rFonts w:ascii="Arial" w:cs="Arial" w:eastAsia="Arial" w:hAnsi="Arial"/>
                <w:sz w:val="14"/>
                <w:szCs w:val="14"/>
                <w:color w:val="auto"/>
              </w:rPr>
              <w:t>(1)</w:t>
            </w:r>
          </w:p>
        </w:tc>
        <w:tc>
          <w:tcPr>
            <w:tcW w:w="1060" w:type="dxa"/>
            <w:vAlign w:val="bottom"/>
            <w:gridSpan w:val="3"/>
          </w:tcPr>
          <w:p>
            <w:pPr>
              <w:ind w:left="360"/>
              <w:spacing w:after="0" w:line="191" w:lineRule="exact"/>
              <w:rPr>
                <w:sz w:val="20"/>
                <w:szCs w:val="20"/>
                <w:color w:val="auto"/>
              </w:rPr>
            </w:pPr>
            <w:r>
              <w:rPr>
                <w:rFonts w:ascii="Arial" w:cs="Arial" w:eastAsia="Arial" w:hAnsi="Arial"/>
                <w:sz w:val="17"/>
                <w:szCs w:val="17"/>
                <w:color w:val="auto"/>
              </w:rPr>
              <w:t>2020</w:t>
            </w:r>
          </w:p>
        </w:tc>
        <w:tc>
          <w:tcPr>
            <w:tcW w:w="820" w:type="dxa"/>
            <w:vAlign w:val="bottom"/>
            <w:gridSpan w:val="2"/>
          </w:tcPr>
          <w:p>
            <w:pPr>
              <w:jc w:val="center"/>
              <w:ind w:right="180"/>
              <w:spacing w:after="0" w:line="191" w:lineRule="exact"/>
              <w:rPr>
                <w:sz w:val="20"/>
                <w:szCs w:val="20"/>
                <w:color w:val="auto"/>
              </w:rPr>
            </w:pPr>
            <w:r>
              <w:rPr>
                <w:rFonts w:ascii="Arial" w:cs="Arial" w:eastAsia="Arial" w:hAnsi="Arial"/>
                <w:sz w:val="17"/>
                <w:szCs w:val="17"/>
                <w:color w:val="auto"/>
                <w:w w:val="90"/>
              </w:rPr>
              <w:t>$280,500</w:t>
            </w:r>
          </w:p>
        </w:tc>
        <w:tc>
          <w:tcPr>
            <w:tcW w:w="920" w:type="dxa"/>
            <w:vAlign w:val="bottom"/>
            <w:gridSpan w:val="3"/>
          </w:tcPr>
          <w:p>
            <w:pPr>
              <w:jc w:val="center"/>
              <w:spacing w:after="0" w:line="191" w:lineRule="exact"/>
              <w:rPr>
                <w:sz w:val="20"/>
                <w:szCs w:val="20"/>
                <w:color w:val="auto"/>
              </w:rPr>
            </w:pPr>
            <w:r>
              <w:rPr>
                <w:rFonts w:ascii="Arial" w:cs="Arial" w:eastAsia="Arial" w:hAnsi="Arial"/>
                <w:sz w:val="17"/>
                <w:szCs w:val="17"/>
                <w:color w:val="auto"/>
                <w:w w:val="91"/>
              </w:rPr>
              <w:t>$25,000</w:t>
            </w:r>
          </w:p>
        </w:tc>
        <w:tc>
          <w:tcPr>
            <w:tcW w:w="26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360"/>
              <w:spacing w:after="0" w:line="191" w:lineRule="exact"/>
              <w:rPr>
                <w:sz w:val="20"/>
                <w:szCs w:val="20"/>
                <w:color w:val="auto"/>
              </w:rPr>
            </w:pPr>
            <w:r>
              <w:rPr>
                <w:rFonts w:ascii="Arial" w:cs="Arial" w:eastAsia="Arial" w:hAnsi="Arial"/>
                <w:sz w:val="17"/>
                <w:szCs w:val="17"/>
                <w:color w:val="auto"/>
              </w:rPr>
              <w:t>125,000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60"/>
              <w:spacing w:after="0" w:line="191" w:lineRule="exact"/>
              <w:rPr>
                <w:sz w:val="20"/>
                <w:szCs w:val="20"/>
                <w:color w:val="auto"/>
              </w:rPr>
            </w:pPr>
            <w:r>
              <w:rPr>
                <w:rFonts w:ascii="Arial" w:cs="Arial" w:eastAsia="Arial" w:hAnsi="Arial"/>
                <w:sz w:val="17"/>
                <w:szCs w:val="17"/>
                <w:color w:val="auto"/>
              </w:rPr>
              <w:t>31,807</w:t>
            </w:r>
          </w:p>
        </w:tc>
        <w:tc>
          <w:tcPr>
            <w:tcW w:w="700" w:type="dxa"/>
            <w:vAlign w:val="bottom"/>
            <w:gridSpan w:val="2"/>
          </w:tcPr>
          <w:p>
            <w:pPr>
              <w:jc w:val="center"/>
              <w:ind w:right="60"/>
              <w:spacing w:after="0" w:line="191" w:lineRule="exact"/>
              <w:rPr>
                <w:sz w:val="20"/>
                <w:szCs w:val="20"/>
                <w:color w:val="auto"/>
              </w:rPr>
            </w:pPr>
            <w:r>
              <w:rPr>
                <w:rFonts w:ascii="Arial" w:cs="Arial" w:eastAsia="Arial" w:hAnsi="Arial"/>
                <w:sz w:val="17"/>
                <w:szCs w:val="17"/>
                <w:color w:val="auto"/>
                <w:w w:val="90"/>
              </w:rPr>
              <w:t>$437,307</w:t>
            </w:r>
          </w:p>
        </w:tc>
        <w:tc>
          <w:tcPr>
            <w:tcW w:w="0" w:type="dxa"/>
            <w:vAlign w:val="bottom"/>
          </w:tcPr>
          <w:p>
            <w:pPr>
              <w:spacing w:after="0"/>
              <w:rPr>
                <w:sz w:val="1"/>
                <w:szCs w:val="1"/>
                <w:color w:val="auto"/>
              </w:rPr>
            </w:pPr>
          </w:p>
        </w:tc>
      </w:tr>
      <w:tr>
        <w:trPr>
          <w:trHeight w:val="215"/>
        </w:trPr>
        <w:tc>
          <w:tcPr>
            <w:tcW w:w="3980" w:type="dxa"/>
            <w:vAlign w:val="bottom"/>
            <w:gridSpan w:val="2"/>
          </w:tcPr>
          <w:p>
            <w:pPr>
              <w:ind w:left="160"/>
              <w:spacing w:after="0"/>
              <w:rPr>
                <w:sz w:val="20"/>
                <w:szCs w:val="20"/>
                <w:color w:val="auto"/>
              </w:rPr>
            </w:pPr>
            <w:r>
              <w:rPr>
                <w:rFonts w:ascii="Arial" w:cs="Arial" w:eastAsia="Arial" w:hAnsi="Arial"/>
                <w:sz w:val="17"/>
                <w:szCs w:val="17"/>
                <w:color w:val="auto"/>
              </w:rPr>
              <w:t>former Chief Financial Officer</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106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2020</w:t>
            </w:r>
          </w:p>
        </w:tc>
        <w:tc>
          <w:tcPr>
            <w:tcW w:w="820" w:type="dxa"/>
            <w:vAlign w:val="bottom"/>
            <w:gridSpan w:val="2"/>
            <w:shd w:val="clear" w:color="auto" w:fill="CCEEFF"/>
          </w:tcPr>
          <w:p>
            <w:pPr>
              <w:jc w:val="center"/>
              <w:ind w:right="180"/>
              <w:spacing w:after="0"/>
              <w:rPr>
                <w:sz w:val="20"/>
                <w:szCs w:val="20"/>
                <w:color w:val="auto"/>
              </w:rPr>
            </w:pPr>
            <w:r>
              <w:rPr>
                <w:rFonts w:ascii="Arial" w:cs="Arial" w:eastAsia="Arial" w:hAnsi="Arial"/>
                <w:sz w:val="17"/>
                <w:szCs w:val="17"/>
                <w:color w:val="auto"/>
                <w:w w:val="90"/>
              </w:rPr>
              <w:t>$275,000</w:t>
            </w:r>
          </w:p>
        </w:tc>
        <w:tc>
          <w:tcPr>
            <w:tcW w:w="92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1"/>
              </w:rPr>
              <w:t>$25,000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200,000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11,670</w:t>
            </w:r>
          </w:p>
        </w:tc>
        <w:tc>
          <w:tcPr>
            <w:tcW w:w="70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0"/>
              </w:rPr>
              <w:t>$486,670</w:t>
            </w:r>
          </w:p>
        </w:tc>
        <w:tc>
          <w:tcPr>
            <w:tcW w:w="0" w:type="dxa"/>
            <w:vAlign w:val="bottom"/>
          </w:tcPr>
          <w:p>
            <w:pPr>
              <w:spacing w:after="0"/>
              <w:rPr>
                <w:sz w:val="1"/>
                <w:szCs w:val="1"/>
                <w:color w:val="auto"/>
              </w:rPr>
            </w:pPr>
          </w:p>
        </w:tc>
      </w:tr>
      <w:tr>
        <w:trPr>
          <w:trHeight w:val="204"/>
        </w:trPr>
        <w:tc>
          <w:tcPr>
            <w:tcW w:w="39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Chief Revenue Officer</w:t>
            </w: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right="720" w:hanging="406"/>
        <w:spacing w:after="0" w:line="256" w:lineRule="auto"/>
        <w:tabs>
          <w:tab w:leader="none" w:pos="8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Mr. Shone served as our Chief Financial Officer from April 24, 2018 until March 15, 2021, when he transitioned to the position of Chief Administrative Officer.</w:t>
      </w:r>
    </w:p>
    <w:p>
      <w:pPr>
        <w:spacing w:after="0" w:line="1" w:lineRule="exact"/>
        <w:rPr>
          <w:rFonts w:ascii="Arial" w:cs="Arial" w:eastAsia="Arial" w:hAnsi="Arial"/>
          <w:sz w:val="17"/>
          <w:szCs w:val="17"/>
          <w:color w:val="auto"/>
        </w:rPr>
      </w:pPr>
    </w:p>
    <w:p>
      <w:pPr>
        <w:ind w:left="840" w:hanging="406"/>
        <w:spacing w:after="0"/>
        <w:tabs>
          <w:tab w:leader="none" w:pos="8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Reflects amounts paid pursuant to the Executive Stretch tier as described below.</w:t>
      </w:r>
    </w:p>
    <w:p>
      <w:pPr>
        <w:spacing w:after="0" w:line="8" w:lineRule="exact"/>
        <w:rPr>
          <w:rFonts w:ascii="Arial" w:cs="Arial" w:eastAsia="Arial" w:hAnsi="Arial"/>
          <w:sz w:val="17"/>
          <w:szCs w:val="17"/>
          <w:color w:val="auto"/>
        </w:rPr>
      </w:pPr>
    </w:p>
    <w:p>
      <w:pPr>
        <w:ind w:left="840" w:hanging="406"/>
        <w:spacing w:after="0"/>
        <w:tabs>
          <w:tab w:leader="none" w:pos="8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Represents performance-based amounts earned in fiscal 2020 under the Definitive Healthcare 2020 Corporate Bonus Program.</w:t>
      </w:r>
    </w:p>
    <w:p>
      <w:pPr>
        <w:spacing w:after="0" w:line="8" w:lineRule="exact"/>
        <w:rPr>
          <w:rFonts w:ascii="Arial" w:cs="Arial" w:eastAsia="Arial" w:hAnsi="Arial"/>
          <w:sz w:val="17"/>
          <w:szCs w:val="17"/>
          <w:color w:val="auto"/>
        </w:rPr>
      </w:pPr>
    </w:p>
    <w:p>
      <w:pPr>
        <w:ind w:left="840" w:hanging="406"/>
        <w:spacing w:after="0"/>
        <w:tabs>
          <w:tab w:leader="none" w:pos="8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Payments to our NEOs included in the “All Other Compensation” column include the following:</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8"/>
              </w:rPr>
              <w:t>Short and</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80" w:type="dxa"/>
            <w:vAlign w:val="bottom"/>
            <w:gridSpan w:val="3"/>
          </w:tcPr>
          <w:p>
            <w:pPr>
              <w:jc w:val="center"/>
              <w:ind w:right="420"/>
              <w:spacing w:after="0" w:line="140" w:lineRule="exact"/>
              <w:rPr>
                <w:sz w:val="20"/>
                <w:szCs w:val="20"/>
                <w:color w:val="auto"/>
              </w:rPr>
            </w:pPr>
            <w:r>
              <w:rPr>
                <w:rFonts w:ascii="Arial" w:cs="Arial" w:eastAsia="Arial" w:hAnsi="Arial"/>
                <w:sz w:val="14"/>
                <w:szCs w:val="14"/>
                <w:b w:val="1"/>
                <w:bCs w:val="1"/>
                <w:color w:val="auto"/>
                <w:w w:val="91"/>
              </w:rPr>
              <w:t>Long Term</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80" w:type="dxa"/>
            <w:vAlign w:val="bottom"/>
            <w:gridSpan w:val="3"/>
          </w:tcPr>
          <w:p>
            <w:pPr>
              <w:jc w:val="center"/>
              <w:ind w:right="420"/>
              <w:spacing w:after="0" w:line="140" w:lineRule="exact"/>
              <w:rPr>
                <w:sz w:val="20"/>
                <w:szCs w:val="20"/>
                <w:color w:val="auto"/>
              </w:rPr>
            </w:pPr>
            <w:r>
              <w:rPr>
                <w:rFonts w:ascii="Arial" w:cs="Arial" w:eastAsia="Arial" w:hAnsi="Arial"/>
                <w:sz w:val="14"/>
                <w:szCs w:val="14"/>
                <w:b w:val="1"/>
                <w:bCs w:val="1"/>
                <w:color w:val="auto"/>
                <w:w w:val="86"/>
              </w:rPr>
              <w:t>Disability</w:t>
            </w:r>
          </w:p>
        </w:tc>
        <w:tc>
          <w:tcPr>
            <w:tcW w:w="120" w:type="dxa"/>
            <w:vAlign w:val="bottom"/>
          </w:tcPr>
          <w:p>
            <w:pPr>
              <w:spacing w:after="0"/>
              <w:rPr>
                <w:sz w:val="12"/>
                <w:szCs w:val="12"/>
                <w:color w:val="auto"/>
              </w:rPr>
            </w:pPr>
          </w:p>
        </w:tc>
        <w:tc>
          <w:tcPr>
            <w:tcW w:w="900" w:type="dxa"/>
            <w:vAlign w:val="bottom"/>
            <w:gridSpan w:val="2"/>
          </w:tcPr>
          <w:p>
            <w:pPr>
              <w:ind w:left="60"/>
              <w:spacing w:after="0" w:line="140" w:lineRule="exact"/>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2"/>
                <w:szCs w:val="12"/>
                <w:color w:val="auto"/>
              </w:rPr>
            </w:pPr>
          </w:p>
        </w:tc>
        <w:tc>
          <w:tcPr>
            <w:tcW w:w="1120" w:type="dxa"/>
            <w:vAlign w:val="bottom"/>
            <w:gridSpan w:val="2"/>
          </w:tcPr>
          <w:p>
            <w:pPr>
              <w:jc w:val="center"/>
              <w:ind w:right="520"/>
              <w:spacing w:after="0" w:line="140" w:lineRule="exact"/>
              <w:rPr>
                <w:sz w:val="20"/>
                <w:szCs w:val="20"/>
                <w:color w:val="auto"/>
              </w:rPr>
            </w:pPr>
            <w:r>
              <w:rPr>
                <w:rFonts w:ascii="Arial" w:cs="Arial" w:eastAsia="Arial" w:hAnsi="Arial"/>
                <w:sz w:val="14"/>
                <w:szCs w:val="14"/>
                <w:b w:val="1"/>
                <w:bCs w:val="1"/>
                <w:color w:val="auto"/>
                <w:w w:val="88"/>
              </w:rPr>
              <w:t>401(k)</w:t>
            </w:r>
          </w:p>
        </w:tc>
        <w:tc>
          <w:tcPr>
            <w:tcW w:w="1020" w:type="dxa"/>
            <w:vAlign w:val="bottom"/>
            <w:gridSpan w:val="2"/>
          </w:tcPr>
          <w:p>
            <w:pPr>
              <w:jc w:val="center"/>
              <w:ind w:right="420"/>
              <w:spacing w:after="0" w:line="140" w:lineRule="exact"/>
              <w:rPr>
                <w:sz w:val="20"/>
                <w:szCs w:val="20"/>
                <w:color w:val="auto"/>
              </w:rPr>
            </w:pPr>
            <w:r>
              <w:rPr>
                <w:rFonts w:ascii="Arial" w:cs="Arial" w:eastAsia="Arial" w:hAnsi="Arial"/>
                <w:sz w:val="14"/>
                <w:szCs w:val="14"/>
                <w:b w:val="1"/>
                <w:bCs w:val="1"/>
                <w:color w:val="auto"/>
                <w:w w:val="93"/>
              </w:rPr>
              <w:t>Health</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290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1080" w:type="dxa"/>
            <w:vAlign w:val="bottom"/>
            <w:gridSpan w:val="3"/>
          </w:tcPr>
          <w:p>
            <w:pPr>
              <w:jc w:val="center"/>
              <w:ind w:right="420"/>
              <w:spacing w:after="0" w:line="140" w:lineRule="exact"/>
              <w:rPr>
                <w:sz w:val="20"/>
                <w:szCs w:val="20"/>
                <w:color w:val="auto"/>
              </w:rPr>
            </w:pPr>
            <w:r>
              <w:rPr>
                <w:rFonts w:ascii="Arial" w:cs="Arial" w:eastAsia="Arial" w:hAnsi="Arial"/>
                <w:sz w:val="14"/>
                <w:szCs w:val="14"/>
                <w:b w:val="1"/>
                <w:bCs w:val="1"/>
                <w:color w:val="auto"/>
                <w:w w:val="87"/>
              </w:rPr>
              <w:t>Insurance</w:t>
            </w:r>
          </w:p>
        </w:tc>
        <w:tc>
          <w:tcPr>
            <w:tcW w:w="102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Insurance</w:t>
            </w:r>
          </w:p>
        </w:tc>
        <w:tc>
          <w:tcPr>
            <w:tcW w:w="100" w:type="dxa"/>
            <w:vAlign w:val="bottom"/>
          </w:tcPr>
          <w:p>
            <w:pPr>
              <w:spacing w:after="0"/>
              <w:rPr>
                <w:sz w:val="12"/>
                <w:szCs w:val="12"/>
                <w:color w:val="auto"/>
              </w:rPr>
            </w:pPr>
          </w:p>
        </w:tc>
        <w:tc>
          <w:tcPr>
            <w:tcW w:w="1120" w:type="dxa"/>
            <w:vAlign w:val="bottom"/>
            <w:gridSpan w:val="2"/>
          </w:tcPr>
          <w:p>
            <w:pPr>
              <w:jc w:val="center"/>
              <w:ind w:right="520"/>
              <w:spacing w:after="0" w:line="140" w:lineRule="exact"/>
              <w:rPr>
                <w:sz w:val="20"/>
                <w:szCs w:val="20"/>
                <w:color w:val="auto"/>
              </w:rPr>
            </w:pPr>
            <w:r>
              <w:rPr>
                <w:rFonts w:ascii="Arial" w:cs="Arial" w:eastAsia="Arial" w:hAnsi="Arial"/>
                <w:sz w:val="14"/>
                <w:szCs w:val="14"/>
                <w:b w:val="1"/>
                <w:bCs w:val="1"/>
                <w:color w:val="auto"/>
                <w:w w:val="91"/>
              </w:rPr>
              <w:t>Matching</w:t>
            </w:r>
          </w:p>
        </w:tc>
        <w:tc>
          <w:tcPr>
            <w:tcW w:w="1020" w:type="dxa"/>
            <w:vAlign w:val="bottom"/>
            <w:gridSpan w:val="2"/>
          </w:tcPr>
          <w:p>
            <w:pPr>
              <w:jc w:val="center"/>
              <w:ind w:right="400"/>
              <w:spacing w:after="0" w:line="140" w:lineRule="exact"/>
              <w:rPr>
                <w:sz w:val="20"/>
                <w:szCs w:val="20"/>
                <w:color w:val="auto"/>
              </w:rPr>
            </w:pPr>
            <w:r>
              <w:rPr>
                <w:rFonts w:ascii="Arial" w:cs="Arial" w:eastAsia="Arial" w:hAnsi="Arial"/>
                <w:sz w:val="14"/>
                <w:szCs w:val="14"/>
                <w:b w:val="1"/>
                <w:bCs w:val="1"/>
                <w:color w:val="auto"/>
                <w:w w:val="87"/>
              </w:rPr>
              <w:t>Insurance</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290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1080" w:type="dxa"/>
            <w:vAlign w:val="bottom"/>
            <w:gridSpan w:val="3"/>
          </w:tcPr>
          <w:p>
            <w:pPr>
              <w:jc w:val="center"/>
              <w:ind w:right="420"/>
              <w:spacing w:after="0" w:line="147" w:lineRule="exact"/>
              <w:rPr>
                <w:sz w:val="20"/>
                <w:szCs w:val="20"/>
                <w:color w:val="auto"/>
              </w:rPr>
            </w:pPr>
            <w:r>
              <w:rPr>
                <w:rFonts w:ascii="Arial" w:cs="Arial" w:eastAsia="Arial" w:hAnsi="Arial"/>
                <w:sz w:val="14"/>
                <w:szCs w:val="14"/>
                <w:b w:val="1"/>
                <w:bCs w:val="1"/>
                <w:color w:val="auto"/>
                <w:w w:val="85"/>
              </w:rPr>
              <w:t>Premiums</w:t>
            </w:r>
          </w:p>
        </w:tc>
        <w:tc>
          <w:tcPr>
            <w:tcW w:w="10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Premiums</w:t>
            </w:r>
          </w:p>
        </w:tc>
        <w:tc>
          <w:tcPr>
            <w:tcW w:w="12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Contributions</w:t>
            </w:r>
          </w:p>
        </w:tc>
        <w:tc>
          <w:tcPr>
            <w:tcW w:w="1020" w:type="dxa"/>
            <w:vAlign w:val="bottom"/>
            <w:gridSpan w:val="2"/>
          </w:tcPr>
          <w:p>
            <w:pPr>
              <w:jc w:val="center"/>
              <w:ind w:right="420"/>
              <w:spacing w:after="0" w:line="147" w:lineRule="exact"/>
              <w:rPr>
                <w:sz w:val="20"/>
                <w:szCs w:val="20"/>
                <w:color w:val="auto"/>
              </w:rPr>
            </w:pPr>
            <w:r>
              <w:rPr>
                <w:rFonts w:ascii="Arial" w:cs="Arial" w:eastAsia="Arial" w:hAnsi="Arial"/>
                <w:sz w:val="14"/>
                <w:szCs w:val="14"/>
                <w:b w:val="1"/>
                <w:bCs w:val="1"/>
                <w:color w:val="auto"/>
                <w:w w:val="88"/>
              </w:rPr>
              <w:t>Premiums</w:t>
            </w:r>
          </w:p>
        </w:tc>
        <w:tc>
          <w:tcPr>
            <w:tcW w:w="62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9"/>
        </w:trPr>
        <w:tc>
          <w:tcPr>
            <w:tcW w:w="32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Jason Krantz</w:t>
            </w:r>
          </w:p>
        </w:tc>
        <w:tc>
          <w:tcPr>
            <w:tcW w:w="21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270</w:t>
            </w:r>
          </w:p>
        </w:tc>
        <w:tc>
          <w:tcPr>
            <w:tcW w:w="4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11,400</w:t>
            </w:r>
          </w:p>
        </w:tc>
        <w:tc>
          <w:tcPr>
            <w:tcW w:w="4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0"/>
              </w:rPr>
              <w:t>$ 18,007</w:t>
            </w:r>
          </w:p>
        </w:tc>
        <w:tc>
          <w:tcPr>
            <w:tcW w:w="4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$29,677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40" w:type="dxa"/>
            <w:vAlign w:val="bottom"/>
            <w:gridSpan w:val="2"/>
          </w:tcPr>
          <w:p>
            <w:pPr>
              <w:spacing w:after="0"/>
              <w:rPr>
                <w:sz w:val="20"/>
                <w:szCs w:val="20"/>
                <w:color w:val="auto"/>
              </w:rPr>
            </w:pPr>
            <w:r>
              <w:rPr>
                <w:rFonts w:ascii="Arial" w:cs="Arial" w:eastAsia="Arial" w:hAnsi="Arial"/>
                <w:sz w:val="17"/>
                <w:szCs w:val="17"/>
                <w:color w:val="auto"/>
              </w:rPr>
              <w:t>Kevin Shone</w:t>
            </w:r>
          </w:p>
        </w:tc>
        <w:tc>
          <w:tcPr>
            <w:tcW w:w="2420" w:type="dxa"/>
            <w:vAlign w:val="bottom"/>
            <w:gridSpan w:val="2"/>
          </w:tcPr>
          <w:p>
            <w:pPr>
              <w:jc w:val="right"/>
              <w:ind w:right="72"/>
              <w:spacing w:after="0"/>
              <w:rPr>
                <w:sz w:val="20"/>
                <w:szCs w:val="20"/>
                <w:color w:val="auto"/>
              </w:rPr>
            </w:pPr>
            <w:r>
              <w:rPr>
                <w:rFonts w:ascii="Arial" w:cs="Arial" w:eastAsia="Arial" w:hAnsi="Arial"/>
                <w:sz w:val="17"/>
                <w:szCs w:val="17"/>
                <w:color w:val="auto"/>
              </w:rPr>
              <w:t>$</w:t>
            </w:r>
          </w:p>
        </w:tc>
        <w:tc>
          <w:tcPr>
            <w:tcW w:w="840" w:type="dxa"/>
            <w:vAlign w:val="bottom"/>
            <w:gridSpan w:val="2"/>
          </w:tcPr>
          <w:p>
            <w:pPr>
              <w:ind w:left="160"/>
              <w:spacing w:after="0"/>
              <w:rPr>
                <w:sz w:val="20"/>
                <w:szCs w:val="20"/>
                <w:color w:val="auto"/>
              </w:rPr>
            </w:pPr>
            <w:r>
              <w:rPr>
                <w:rFonts w:ascii="Arial" w:cs="Arial" w:eastAsia="Arial" w:hAnsi="Arial"/>
                <w:sz w:val="17"/>
                <w:szCs w:val="17"/>
                <w:color w:val="auto"/>
              </w:rPr>
              <w:t>846</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11,400</w:t>
            </w:r>
          </w:p>
        </w:tc>
        <w:tc>
          <w:tcPr>
            <w:tcW w:w="420" w:type="dxa"/>
            <w:vAlign w:val="bottom"/>
          </w:tcPr>
          <w:p>
            <w:pPr>
              <w:spacing w:after="0"/>
              <w:rPr>
                <w:sz w:val="17"/>
                <w:szCs w:val="17"/>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7"/>
                <w:szCs w:val="17"/>
                <w:color w:val="auto"/>
                <w:w w:val="90"/>
              </w:rPr>
              <w:t>$ 19,291</w:t>
            </w:r>
          </w:p>
        </w:tc>
        <w:tc>
          <w:tcPr>
            <w:tcW w:w="620" w:type="dxa"/>
            <w:vAlign w:val="bottom"/>
            <w:gridSpan w:val="2"/>
          </w:tcPr>
          <w:p>
            <w:pPr>
              <w:jc w:val="center"/>
              <w:ind w:right="60"/>
              <w:spacing w:after="0"/>
              <w:rPr>
                <w:sz w:val="20"/>
                <w:szCs w:val="20"/>
                <w:color w:val="auto"/>
              </w:rPr>
            </w:pPr>
            <w:r>
              <w:rPr>
                <w:rFonts w:ascii="Arial" w:cs="Arial" w:eastAsia="Arial" w:hAnsi="Arial"/>
                <w:sz w:val="17"/>
                <w:szCs w:val="17"/>
                <w:color w:val="auto"/>
                <w:w w:val="91"/>
              </w:rPr>
              <w:t>$31,807</w:t>
            </w:r>
          </w:p>
        </w:tc>
        <w:tc>
          <w:tcPr>
            <w:tcW w:w="0" w:type="dxa"/>
            <w:vAlign w:val="bottom"/>
          </w:tcPr>
          <w:p>
            <w:pPr>
              <w:spacing w:after="0"/>
              <w:rPr>
                <w:sz w:val="1"/>
                <w:szCs w:val="1"/>
                <w:color w:val="auto"/>
              </w:rPr>
            </w:pPr>
          </w:p>
        </w:tc>
      </w:tr>
      <w:tr>
        <w:trPr>
          <w:trHeight w:val="204"/>
        </w:trPr>
        <w:tc>
          <w:tcPr>
            <w:tcW w:w="3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2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270</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11,400</w:t>
            </w: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center"/>
              <w:ind w:right="60"/>
              <w:spacing w:after="0"/>
              <w:rPr>
                <w:sz w:val="20"/>
                <w:szCs w:val="20"/>
                <w:color w:val="auto"/>
              </w:rPr>
            </w:pPr>
            <w:r>
              <w:rPr>
                <w:rFonts w:ascii="Arial" w:cs="Arial" w:eastAsia="Arial" w:hAnsi="Arial"/>
                <w:sz w:val="17"/>
                <w:szCs w:val="17"/>
                <w:color w:val="auto"/>
                <w:w w:val="91"/>
              </w:rPr>
              <w:t>$11,670</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Narrative Discussion of the Summary Compensation Table</w:t>
      </w:r>
    </w:p>
    <w:p>
      <w:pPr>
        <w:spacing w:after="0" w:line="114"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In fiscal 2020, we primarily compensated our NEOs through a combination of base salary and annual cash incentive awards. Our NEOs are also entitled to certain other benefits, subject to their enrollment, including a</w:t>
      </w:r>
    </w:p>
    <w:p>
      <w:pPr>
        <w:spacing w:after="0" w:line="102"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0820"/>
          </w:cols>
          <w:pgMar w:left="320" w:top="442" w:right="75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40"/>
        <w:spacing w:after="0" w:line="273" w:lineRule="auto"/>
        <w:rPr>
          <w:sz w:val="20"/>
          <w:szCs w:val="20"/>
          <w:color w:val="auto"/>
        </w:rPr>
      </w:pPr>
      <w:r>
        <w:rPr>
          <w:rFonts w:ascii="Arial" w:cs="Arial" w:eastAsia="Arial" w:hAnsi="Arial"/>
          <w:sz w:val="17"/>
          <w:szCs w:val="17"/>
          <w:color w:val="auto"/>
        </w:rPr>
        <w:t>401(k) plan with matching contributions, medical, dental, vision, life, accidental death and dismemberment, short-term disability and long-term disability insurance.</w:t>
      </w:r>
    </w:p>
    <w:p>
      <w:pPr>
        <w:spacing w:after="0" w:line="166"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Although we did not grant equity awards to our NEOs in 2020, we previously granted our executive officers Class B Units. These Class B Units are intended to be treated as “profits interests” for U.S. federal income tax purposes and have economic characteristics similar to stock appreciation rights. The Class B Units in AIDH Management Holdings, LLC correspond on a one-for-one basis to Class B Units issued by Definitive OpCo to AIDH Management Holdings, LLC. On September 18, 2019, we granted Class B Units to our NEOs under the 2019 Plan. Prior to the IPO, the vesting of a portion of the Class B Units is tied to the achievement by Advent of certain specified investment multiples and a portion is subject to time-based vesting. Under the terms of the existing award agreements with our executive officers and certain other award holders, upon the initial public offering, the portion of such awards as to which such investment multiples would not be achieved if Advent were to sell its entire investment at the initial public offering price would be forfeited. In connection with the initial public offering, such forfeiture condition will be waived and, after the IPO, all such unvested awards will be subject to time-based vesting, subject to the service provider’s continued service. See “Executive and Director Compensation— Equity Compensation.”</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components of our fiscal 2020 compensation program are described in more detail below:</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Cash Compensation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Base Salary</w:t>
      </w:r>
    </w:p>
    <w:p>
      <w:pPr>
        <w:spacing w:after="0" w:line="110"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Base salary is paid to attract and retain qualified talent and is set at a level that is commensurate with the executive’s duties and authorities, contributions, prior experience and sustained performance. The annual base salaries for each of Messrs. Krantz, Shone and Mirisola for fiscal 2020 are set forth in the Summary Compensation Table above in the “Salary” column.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2020 Annual Cash Incentive Awards and Bonus</w:t>
      </w:r>
    </w:p>
    <w:p>
      <w:pPr>
        <w:spacing w:after="0" w:line="110" w:lineRule="exact"/>
        <w:rPr>
          <w:sz w:val="20"/>
          <w:szCs w:val="20"/>
          <w:color w:val="auto"/>
        </w:rPr>
      </w:pPr>
    </w:p>
    <w:p>
      <w:pPr>
        <w:ind w:left="440" w:right="20" w:firstLine="415"/>
        <w:spacing w:after="0" w:line="285" w:lineRule="auto"/>
        <w:rPr>
          <w:sz w:val="20"/>
          <w:szCs w:val="20"/>
          <w:color w:val="auto"/>
        </w:rPr>
      </w:pPr>
      <w:r>
        <w:rPr>
          <w:rFonts w:ascii="Arial" w:cs="Arial" w:eastAsia="Arial" w:hAnsi="Arial"/>
          <w:sz w:val="16"/>
          <w:szCs w:val="16"/>
          <w:color w:val="auto"/>
        </w:rPr>
        <w:t>In fiscal 2020, we awarded annual cash incentive opportunities to each of our NEOs under the Definitive Healthcare 2020 Corporate Bonus Program (the “2020 Bonus Program”). We generally use our bonus program to provide annual performance-based cash incentive awards to motivate and reward eligible employees for the Company’s achievement of financial objectives, as established by the Board each year.</w:t>
      </w:r>
    </w:p>
    <w:p>
      <w:pPr>
        <w:spacing w:after="0" w:line="159" w:lineRule="exact"/>
        <w:rPr>
          <w:sz w:val="20"/>
          <w:szCs w:val="20"/>
          <w:color w:val="auto"/>
        </w:rPr>
      </w:pPr>
    </w:p>
    <w:p>
      <w:pPr>
        <w:ind w:left="440" w:right="100" w:firstLine="415"/>
        <w:spacing w:after="0" w:line="295" w:lineRule="auto"/>
        <w:rPr>
          <w:sz w:val="20"/>
          <w:szCs w:val="20"/>
          <w:color w:val="auto"/>
        </w:rPr>
      </w:pPr>
      <w:r>
        <w:rPr>
          <w:rFonts w:ascii="Arial" w:cs="Arial" w:eastAsia="Arial" w:hAnsi="Arial"/>
          <w:sz w:val="15"/>
          <w:szCs w:val="15"/>
          <w:color w:val="auto"/>
        </w:rPr>
        <w:t>For fiscal 2020, performance was measured against the Company’s “Cash Revenue Performance,” defined as the bookings from new revenue, upsell revenue, renewals revenue and non-recurring revenue that are closed by the Company in calendar 2020 and based on base, target and stretch performance objectives. The performance objectives were established at the beginning of fiscal 2020, and later adjusted downward to reflect the impact of the COVID-19 pandemic in order to retain and appropriately incentivize employees. If the performance objective is achieved at target, our executive officers, including our NEOs, receive a cash payment equal to their target bonus. If performance exceeds or falls short of the targets, then payouts are adjusted according to the level of achievement, as such level of achievement is approved by the Compensation Committee.</w:t>
      </w:r>
    </w:p>
    <w:p>
      <w:pPr>
        <w:spacing w:after="0" w:line="153" w:lineRule="exact"/>
        <w:rPr>
          <w:sz w:val="20"/>
          <w:szCs w:val="20"/>
          <w:color w:val="auto"/>
        </w:rPr>
      </w:pPr>
    </w:p>
    <w:p>
      <w:pPr>
        <w:jc w:val="both"/>
        <w:ind w:left="440" w:right="500" w:firstLine="415"/>
        <w:spacing w:after="0" w:line="312" w:lineRule="auto"/>
        <w:rPr>
          <w:sz w:val="20"/>
          <w:szCs w:val="20"/>
          <w:color w:val="auto"/>
        </w:rPr>
      </w:pPr>
      <w:r>
        <w:rPr>
          <w:rFonts w:ascii="Arial" w:cs="Arial" w:eastAsia="Arial" w:hAnsi="Arial"/>
          <w:sz w:val="15"/>
          <w:szCs w:val="15"/>
          <w:color w:val="auto"/>
        </w:rPr>
        <w:t>Mr. Krantz’s, base achievement, target achievement and stretch achievement payments for fiscal 2020 were up to 68% of his base salary for achievement of any of base, target and stretch goals. Mr. Shone’s base, target and stretch achievement were set at $50,000, $75,000 and $100,000 respectively, and Mr. Mirisola’s the base, target and stretch achievement were set at $75,000, $125,000 and $175,000 respectively.</w:t>
      </w:r>
    </w:p>
    <w:p>
      <w:pPr>
        <w:spacing w:after="0" w:line="141" w:lineRule="exact"/>
        <w:rPr>
          <w:sz w:val="20"/>
          <w:szCs w:val="20"/>
          <w:color w:val="auto"/>
        </w:rPr>
      </w:pPr>
    </w:p>
    <w:p>
      <w:pPr>
        <w:ind w:left="440" w:right="640" w:firstLine="415"/>
        <w:spacing w:after="0" w:line="273" w:lineRule="auto"/>
        <w:rPr>
          <w:sz w:val="20"/>
          <w:szCs w:val="20"/>
          <w:color w:val="auto"/>
        </w:rPr>
      </w:pPr>
      <w:r>
        <w:rPr>
          <w:rFonts w:ascii="Arial" w:cs="Arial" w:eastAsia="Arial" w:hAnsi="Arial"/>
          <w:sz w:val="17"/>
          <w:szCs w:val="17"/>
          <w:color w:val="auto"/>
        </w:rPr>
        <w:t>The Board also approved an incremental tier (“Executive Stretch”) of $25,000 pursuant to the 2020 Bonus Program for executive leaders, including our NEOs for above stretch achievement.</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0820"/>
          </w:cols>
          <w:pgMar w:left="320" w:top="442" w:right="75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Based on achievement of Cash Revenue Performance in fiscal 2020 of $136.607 million, our compensation committee approved the following payments to our NEOs: for Mr. Krantz, $285,770; for Mr. Shone, $100,000; and for Mr. Mirisola, $175,000, in each case reflecting the achievement of the Executive Stretch for achieving stretch achievement. In addition, the Board also approved payment of the Executive Stretch Tier of $25,000 for each of our NEOs in its discretion in recognition of 2020 performance.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Employment Arrangements</w:t>
      </w:r>
    </w:p>
    <w:p>
      <w:pPr>
        <w:spacing w:after="0" w:line="114"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following is a summary of the material terms of the employment arrangements that we have with each of our NEOs, which includes our employment agreements with Messrs. Krantz and Shone. Mr. Mirisola does not have an employment agreement, but has entered into an Assignment of Inventions, Non-Disclosure and Non-Competition Agreement with Definitive Healthcare, LLC.</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Jason Krantz</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We entered into an employment agreement with Mr. Krantz (the “Krantz Employment Agreement”) on February 18, 2015. The Krantz Employment Agreement provides for at-will employment, and further provides that Mr. Krantz will receive a base salary, which is reviewed on an annual basis by the Compensation Committee of the Board to determine whether it should be increased. See the “Summary Compensation Table” above for Mr. Krantz’s base salary for fiscal 2020. The Krantz Employment Agreement also provides that Mr. Krantz is eligible to receive a cash bonus based on his performance relative to objective and subjective performance criteria established by the Board. Mr. Krantz’s target annual bonus is equal to 68% of his base salary, subject to Board approval.</w:t>
      </w:r>
    </w:p>
    <w:p>
      <w:pPr>
        <w:spacing w:after="0" w:line="183" w:lineRule="exact"/>
        <w:rPr>
          <w:sz w:val="20"/>
          <w:szCs w:val="20"/>
          <w:color w:val="auto"/>
        </w:rPr>
      </w:pPr>
    </w:p>
    <w:p>
      <w:pPr>
        <w:jc w:val="both"/>
        <w:ind w:left="440" w:right="40" w:firstLine="415"/>
        <w:spacing w:after="0" w:line="312" w:lineRule="auto"/>
        <w:rPr>
          <w:sz w:val="20"/>
          <w:szCs w:val="20"/>
          <w:color w:val="auto"/>
        </w:rPr>
      </w:pPr>
      <w:r>
        <w:rPr>
          <w:rFonts w:ascii="Arial" w:cs="Arial" w:eastAsia="Arial" w:hAnsi="Arial"/>
          <w:sz w:val="15"/>
          <w:szCs w:val="15"/>
          <w:color w:val="auto"/>
        </w:rPr>
        <w:t>In addition to the above, Mr. Krantz participates in the employee benefits programs offered by us to our similarly-situated employees. The Krantz Employment Agreement provides for the reimbursement of 100% of all health insurance premiums for Mr. Krantz and his family. The cost of the health insurance premiums reimbursed to Mr. Krantz are set forth in the “Summary Compensation Table” above in the “All Other Compensation” column.</w:t>
      </w:r>
    </w:p>
    <w:p>
      <w:pPr>
        <w:spacing w:after="0" w:line="141"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Mr. Krantz’s employment may be terminated at any time by (i) us with or without Cause (as defined below), (ii) Mr. Krantz for any or no reason (including Good Reason, as defined below), (iii) either us or Mr. Krantz in the event of Mr. Krantz’s Disability (as defined in the Krantz Employment Agreement) or (iv) as a result of Mr. Krantz’s death.</w:t>
      </w:r>
    </w:p>
    <w:p>
      <w:pPr>
        <w:spacing w:after="0" w:line="176"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If we terminate Mr. Krantz’s employment without Cause (as defined below and other than as a result of death or disability (as defined in the Krantz Employment Agreement)), or Mr. Krantz terminates his employment for “Good Reason,” (as defined below) then we must provide Mr. Krantz with (i) continuation of payments of salary at the rate in effect on the date of termination for a period of twelve months from the date of termination of employment, payable in accordance with our regular payroll schedule; (ii) a prorated portion of the bonus that Mr. Krantz would have earned in accordance with the Krantz Employment Agreement had his employment continued through the end of the fiscal year (plus, if not yet paid upon the date of termination, the full bonus for the prior fiscal year), which prorated amount shall be calculated based upon the number of days elapsed during the fiscal year in which Mr. Krantz’s employment terminates through the date of termination and determined in the sole good faith discretion of the Board; and (iii) if Mr. Krantz is eligible, continuation of payments of the group health continuation coverage premiums for Mr. Krantz and his eligible dependents for a period of up to twelve months.</w:t>
      </w:r>
    </w:p>
    <w:p>
      <w:pPr>
        <w:spacing w:after="0" w:line="172"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The Krantz Employment Agreement includes customary confidentiality provisions, as well as provisions relating to noncompetition, assignment of inventions, and non-solicitation of our employees.</w:t>
      </w:r>
    </w:p>
    <w:p>
      <w:pPr>
        <w:spacing w:after="0" w:line="166"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7"/>
          <w:szCs w:val="17"/>
          <w:color w:val="auto"/>
        </w:rPr>
        <w:t>For purposes of the Krantz Employment Agreement, “Cause” means that the Mr. Krantz has: (i) breached any fiduciary duty or legal or material contractual obligation to us, which breach, if curable, is not cured within</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155</w:t>
      </w:r>
    </w:p>
    <w:p>
      <w:pPr>
        <w:sectPr>
          <w:pgSz w:w="11900" w:h="16838" w:orient="portrait"/>
          <w:cols w:equalWidth="0" w:num="1">
            <w:col w:w="10780"/>
          </w:cols>
          <w:pgMar w:left="320" w:top="442" w:right="79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spacing w:after="0" w:line="254" w:lineRule="auto"/>
        <w:rPr>
          <w:sz w:val="20"/>
          <w:szCs w:val="20"/>
          <w:color w:val="auto"/>
        </w:rPr>
      </w:pPr>
      <w:r>
        <w:rPr>
          <w:rFonts w:ascii="Arial" w:cs="Arial" w:eastAsia="Arial" w:hAnsi="Arial"/>
          <w:sz w:val="17"/>
          <w:szCs w:val="17"/>
          <w:color w:val="auto"/>
        </w:rPr>
        <w:t xml:space="preserve">15 days after written notice to the Executive thereof or, if cured, recurs; (ii) failed to follow any reasonable directive of the Board, which failure, if curable, is not cured within 15 days after notice to the Executive thereof or, if cured, recurs; (iii) engaged in gross negligence, fraud, embezzlement, acts of dishonesty or a conflict of interest relating to the affairs of the Company or any of our affiliates, in each case as determined by the Board; (iv) been convicted of or pleaded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any misdemeanor relating to the affairs of the Company or any of our affiliates or (B) any felony (excluding any motor vehicle offense for which a non-custodial sentence is received for Mr. Shone); or (v) engaged in a willful violation of any federal or state securities laws.</w:t>
      </w:r>
    </w:p>
    <w:p>
      <w:pPr>
        <w:spacing w:after="0" w:line="183" w:lineRule="exact"/>
        <w:rPr>
          <w:sz w:val="20"/>
          <w:szCs w:val="20"/>
          <w:color w:val="auto"/>
        </w:rPr>
      </w:pPr>
    </w:p>
    <w:p>
      <w:pPr>
        <w:ind w:left="440" w:right="120" w:firstLine="415"/>
        <w:spacing w:after="0" w:line="291" w:lineRule="auto"/>
        <w:rPr>
          <w:sz w:val="20"/>
          <w:szCs w:val="20"/>
          <w:color w:val="auto"/>
        </w:rPr>
      </w:pPr>
      <w:r>
        <w:rPr>
          <w:rFonts w:ascii="Arial" w:cs="Arial" w:eastAsia="Arial" w:hAnsi="Arial"/>
          <w:sz w:val="15"/>
          <w:szCs w:val="15"/>
          <w:color w:val="auto"/>
        </w:rPr>
        <w:t>For purposes of the Krantz Employment Agreement, “Good Reason” means without the written consent of Mr. Krantz (i) permanently relocating Mr. Krantz’s primary office to a location more than 25 miles from its current office location in Framingham, Massachusetts, (ii) a reduction in</w:t>
      </w:r>
    </w:p>
    <w:p>
      <w:pPr>
        <w:ind w:left="440"/>
        <w:spacing w:after="0" w:line="293" w:lineRule="auto"/>
        <w:rPr>
          <w:sz w:val="20"/>
          <w:szCs w:val="20"/>
          <w:color w:val="auto"/>
        </w:rPr>
      </w:pPr>
      <w:r>
        <w:rPr>
          <w:rFonts w:ascii="Arial" w:cs="Arial" w:eastAsia="Arial" w:hAnsi="Arial"/>
          <w:sz w:val="15"/>
          <w:szCs w:val="15"/>
          <w:color w:val="auto"/>
        </w:rPr>
        <w:t>Mr. Krantz’s then-current base salary by twenty percent (20%) or more provided that any such reduction that applies to all management employees in the same manner will not constitute Good Reason, or (iii) any material diminution in responsibilities, it being understood that a material diminution in responsibility in connection with a sale of the Company shall not constitute Good Reason; provided, that in each case, we shall have been given written notice from Mr. Krantz describing in reasonable detail the occurrence of the event or circumstance for which he believes he may resign for Good Reason within 90 days of the occurrence thereof and we shall not have cured such event or circumstance within 30 days after our receipt of such notice.</w:t>
      </w:r>
    </w:p>
    <w:p>
      <w:pPr>
        <w:spacing w:after="0" w:line="157" w:lineRule="exact"/>
        <w:rPr>
          <w:sz w:val="20"/>
          <w:szCs w:val="20"/>
          <w:color w:val="auto"/>
        </w:rPr>
      </w:pPr>
    </w:p>
    <w:p>
      <w:pPr>
        <w:ind w:left="440" w:right="80" w:firstLine="415"/>
        <w:spacing w:after="0" w:line="286" w:lineRule="auto"/>
        <w:rPr>
          <w:sz w:val="20"/>
          <w:szCs w:val="20"/>
          <w:color w:val="auto"/>
        </w:rPr>
      </w:pPr>
      <w:r>
        <w:rPr>
          <w:rFonts w:ascii="Arial" w:cs="Arial" w:eastAsia="Arial" w:hAnsi="Arial"/>
          <w:sz w:val="15"/>
          <w:szCs w:val="15"/>
          <w:color w:val="auto"/>
        </w:rPr>
        <w:t>In connection with the IPO, we intend to amend Mr. Krantz’s employment agreement to provide him with additional benefits if we terminate Mr. Krantz’s employment without Cause or Mr. Krantz terminates his employment for Good Reason, in each case within a 12 month period after a change of control. If Mr. Krantz’s employment terminates on such basis within a 12 month period after a change of control, under his amended employment agreement we would provide Mr. Krantz with (i) severance in the amount of 150% of the sum of Mr. Krantz’s base salary and target bonus at the rate in effect on the date of termination; (ii) a prorated portion of the annual bonus Mr. Krantz would have earned at target level; and (iii) if</w:t>
      </w:r>
    </w:p>
    <w:p>
      <w:pPr>
        <w:spacing w:after="0" w:line="1" w:lineRule="exact"/>
        <w:rPr>
          <w:sz w:val="20"/>
          <w:szCs w:val="20"/>
          <w:color w:val="auto"/>
        </w:rPr>
      </w:pPr>
    </w:p>
    <w:p>
      <w:pPr>
        <w:ind w:left="440"/>
        <w:spacing w:after="0" w:line="253" w:lineRule="auto"/>
        <w:rPr>
          <w:sz w:val="20"/>
          <w:szCs w:val="20"/>
          <w:color w:val="auto"/>
        </w:rPr>
      </w:pPr>
      <w:r>
        <w:rPr>
          <w:rFonts w:ascii="Arial" w:cs="Arial" w:eastAsia="Arial" w:hAnsi="Arial"/>
          <w:sz w:val="17"/>
          <w:szCs w:val="17"/>
          <w:color w:val="auto"/>
        </w:rPr>
        <w:t>Mr. Krantz is eligible, continuation of payments of the group health continuation coverage premiums for Mr. Krantz and his eligible dependents for a period of up to 18 months. In addition, we would accelerate the vesting of all of Mr. Krantz’s unvested equity awards. The payments and benefits described above may be reduced if they would result in Mr. Krantz receiving a lower amount on an after-tax basis due to the application of the excise tax on “golden parachutes.”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Kevin Shone</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We entered into an employment agreement with Mr. Shone (the “Shone Employment Agreement”), effective as of April 24, 2018. The Shone Employment Agreement provides for employment on an “at will” basis, and further provides for a base salary which will be reviewed on an annual basis by the Compensation Committee of the Board to determine whether it should be increased. See the “Summary Compensation Table” above for</w:t>
      </w:r>
    </w:p>
    <w:p>
      <w:pPr>
        <w:spacing w:after="0" w:line="1" w:lineRule="exact"/>
        <w:rPr>
          <w:sz w:val="20"/>
          <w:szCs w:val="20"/>
          <w:color w:val="auto"/>
        </w:rPr>
      </w:pPr>
    </w:p>
    <w:p>
      <w:pPr>
        <w:ind w:left="440" w:right="140"/>
        <w:spacing w:after="0" w:line="278" w:lineRule="auto"/>
        <w:rPr>
          <w:sz w:val="20"/>
          <w:szCs w:val="20"/>
          <w:color w:val="auto"/>
        </w:rPr>
      </w:pPr>
      <w:r>
        <w:rPr>
          <w:rFonts w:ascii="Arial" w:cs="Arial" w:eastAsia="Arial" w:hAnsi="Arial"/>
          <w:sz w:val="16"/>
          <w:szCs w:val="16"/>
          <w:color w:val="auto"/>
        </w:rPr>
        <w:t>Mr. Shone’s base salary for fiscal 2020. The Shone Employment Agreement also provides that Mr. Shone is eligible to receive an annual cash bonus based on the Company achieving specific revenue targets which are determined on an annual basis for the following year by the Board. Pursuant to his employment agreement, Mr. Shone received Class B Units as described in the Class B Units section.</w:t>
      </w:r>
    </w:p>
    <w:p>
      <w:pPr>
        <w:spacing w:after="0" w:line="163" w:lineRule="exact"/>
        <w:rPr>
          <w:sz w:val="20"/>
          <w:szCs w:val="20"/>
          <w:color w:val="auto"/>
        </w:rPr>
      </w:pPr>
    </w:p>
    <w:p>
      <w:pPr>
        <w:ind w:left="440" w:right="160" w:firstLine="415"/>
        <w:spacing w:after="0" w:line="312" w:lineRule="auto"/>
        <w:rPr>
          <w:sz w:val="20"/>
          <w:szCs w:val="20"/>
          <w:color w:val="auto"/>
        </w:rPr>
      </w:pPr>
      <w:r>
        <w:rPr>
          <w:rFonts w:ascii="Arial" w:cs="Arial" w:eastAsia="Arial" w:hAnsi="Arial"/>
          <w:sz w:val="15"/>
          <w:szCs w:val="15"/>
          <w:color w:val="auto"/>
        </w:rPr>
        <w:t>In addition to the above, Mr. Shone participates in the employee benefits programs offered by us to our similarly-situated employees. The Shone Employment Agreement provides for the reimbursement of 100% of all health insurance premiums for Mr. Shone. The cost of the health insurance premiums reimbursed to Mr. Shone are set forth in the “Summary Compensation Table” above in the “All other compensation” column.</w:t>
      </w:r>
    </w:p>
    <w:p>
      <w:pPr>
        <w:spacing w:after="0" w:line="141"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Mr. Shone’s employment may be terminated at any time (i) by us with or without Cause (as defined below), (ii) by Mr. Shone for any or no reason (including Good Reason, as defined below), or (iii) by either us or Mr. Shone in the event of Mr. Shone’s Disability (as defined in the Shone Employment Agreement) or (iv) as a result of Mr. Shone’s death.</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0800"/>
          </w:cols>
          <w:pgMar w:left="320" w:top="442" w:right="77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If we terminate Mr. Shone’s employment without Cause (other than as a result of death or disability), or Mr. Shone terminates his employment for Good Reason, then we must provide Mr. Shone with continuation of base salary (at the rate in effect on the date of termination) for a period of nine months from the date of termination of employment, payable in accordance with our regular payroll schedule, subject to his execution of an effective release of claims and continued compliance with restrictive covenants.</w:t>
      </w:r>
    </w:p>
    <w:p>
      <w:pPr>
        <w:spacing w:after="0" w:line="180" w:lineRule="exact"/>
        <w:rPr>
          <w:sz w:val="20"/>
          <w:szCs w:val="20"/>
          <w:color w:val="auto"/>
        </w:rPr>
      </w:pPr>
    </w:p>
    <w:p>
      <w:pPr>
        <w:ind w:left="440" w:right="740" w:firstLine="415"/>
        <w:spacing w:after="0" w:line="273" w:lineRule="auto"/>
        <w:rPr>
          <w:sz w:val="20"/>
          <w:szCs w:val="20"/>
          <w:color w:val="auto"/>
        </w:rPr>
      </w:pPr>
      <w:r>
        <w:rPr>
          <w:rFonts w:ascii="Arial" w:cs="Arial" w:eastAsia="Arial" w:hAnsi="Arial"/>
          <w:sz w:val="17"/>
          <w:szCs w:val="17"/>
          <w:color w:val="auto"/>
        </w:rPr>
        <w:t>The Shone Employment Agreement includes confidentiality provisions, as well as provisions relating to noncompetition, assignment of inventions, and non-solicitation of our employees.</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“Cause” under the Shone Employment Agreement has the same meaning as under the Krantz Employment Agreement.</w:t>
      </w:r>
    </w:p>
    <w:p>
      <w:pPr>
        <w:spacing w:after="0" w:line="212"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For purposes of the Shone Employment Agreement, “Good Reason” means (i) a material diminution (of ten percent (10%) or more) of the Base Salary or target bonus (i.e., the size of the target bonus that Mr. Shone has the opportunity to earn) unless such reduction is part of, and proportionate to, an across the board reduction in the base salary of all Company executives; or (ii) any material breach by us of any written agreement between us and Mr. Shone; or (iii) a relocation of our principal office more than thirty (30) miles; or (iv) a material diminution of the duties, title, authority or responsibilities of Mr. Shone other than those duties, titles, authority or responsibilities that are by their nature or specifically identified as temporary; provided that no condition set forth in the preceding will be deemed Good Reason unless within 30 days from the initial existence of such condition, Mr. Shone notifies us, in writing, describing the conditions giving rise to the Good Reason and allowing us fifteen (15) days’ notice to remedy such condition and providing further that Mr. Shone has actually terminated his employment within sixty (60) days after the initial existence of said condition by providing us written notice of such termination.</w:t>
      </w:r>
    </w:p>
    <w:p>
      <w:pPr>
        <w:spacing w:after="0" w:line="172" w:lineRule="exact"/>
        <w:rPr>
          <w:sz w:val="20"/>
          <w:szCs w:val="20"/>
          <w:color w:val="auto"/>
        </w:rPr>
      </w:pPr>
    </w:p>
    <w:p>
      <w:pPr>
        <w:ind w:left="440" w:right="60" w:firstLine="415"/>
        <w:spacing w:after="0" w:line="269" w:lineRule="auto"/>
        <w:rPr>
          <w:sz w:val="20"/>
          <w:szCs w:val="20"/>
          <w:color w:val="auto"/>
        </w:rPr>
      </w:pPr>
      <w:r>
        <w:rPr>
          <w:rFonts w:ascii="Arial" w:cs="Arial" w:eastAsia="Arial" w:hAnsi="Arial"/>
          <w:sz w:val="16"/>
          <w:szCs w:val="16"/>
          <w:color w:val="auto"/>
        </w:rPr>
        <w:t>Mr. Shone has advised us that he intends to retire from the Company after the IPO but no later than October 31, 2021. In connection with his retirement, we intend to provide Mr. Shone with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will be modified for the change of the vesting condition after the consummation of the proposed initial public offering. A revaluation of the awards will be performed in accordance with GAAP as if granted on the date of the modification. The Company estimates that incremental compensation expense of approximately $1.6 million will be recorded during the third quarter 2021. Upon separation, Mr. Shone will forfeit 37,917 of his remaining unvested time-based Class B units and 75,833 of his remaining unvested performance-based Class B units.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Joseph Mirisola</w:t>
      </w:r>
    </w:p>
    <w:p>
      <w:pPr>
        <w:spacing w:after="0" w:line="110"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Mr. Mirisola does not have an employment agreement, but if he is terminated under qualifying conditions under our severance policy, he would be entitled to: (i) base salary continuation for 28 weeks from the date of termination, (ii) continuation of payment of the group health continuation coverage premiums for a period of up to 28 weeks, (iii) only if Mr. Mirisola is terminated in the fourth quarter, a prorated portion of the bonus that Mr. Mirisola would have earned had his employment continued through the end of the fiscal year and (iv) six months of outplacement services. Mr. Mirisola entered into an Assignment of Inventions, Non-disclosure and Non-competition Agreement with Definitive Healthcare, LLC, which includes customary confidentiality provisions, as well as provisions relating to noncompetition, assignment of inventions, and non-solicitation of our employees.</w:t>
      </w:r>
    </w:p>
    <w:p>
      <w:pPr>
        <w:spacing w:after="0" w:line="153"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In connection with the IPO, we intend to enter into new employment agreements with Mr. Mirisola and other senior executives that would provide them with certain severance benefits. If we terminate the executive’s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0780"/>
          </w:cols>
          <w:pgMar w:left="320" w:top="442" w:right="79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69" w:lineRule="auto"/>
        <w:rPr>
          <w:sz w:val="20"/>
          <w:szCs w:val="20"/>
          <w:color w:val="auto"/>
        </w:rPr>
      </w:pPr>
      <w:r>
        <w:rPr>
          <w:rFonts w:ascii="Arial" w:cs="Arial" w:eastAsia="Arial" w:hAnsi="Arial"/>
          <w:sz w:val="16"/>
          <w:szCs w:val="16"/>
          <w:color w:val="auto"/>
        </w:rPr>
        <w:t>employment without cause (to be defined in such agreement) or the executive terminates his or her employment for good reason (to be defined in such agreement) we would provide such executive with (i) continuation of payments of their base salary at the rate in effect on the date of termination for a period of 12 months; (ii) a prorated portion of the annual bonus such executive would have earned; and (iii) if the executive is eligible, continuation of payments of the group health continuation coverage premiums for such executive and his eligible dependents for a period of up to 12 months. If such termination occurs within a 12 month period after a change of control we would provide such executive with (i) severance in the amount of the sum of such executive’s base salary and target bonus at the rate in effect on the date of termination; (ii) a prorated portion of the annual bonus such executive would have earned at target level; (iii) if the executive is eligible, continuation of payments of the group health continuation coverage premiums for such executive and his eligible dependents for a period of up to 12 months. In addition, we would accelerate the vesting of all of such executive’s unvested equity awards. The payments and benefits described above may be reduced if they would result in the executive receiving a lower amount on an after-tax basis due to the application of the excise tax on “golden parachutes.”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Equity Compensation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2019 Equity Incentive Plan</w:t>
      </w:r>
    </w:p>
    <w:p>
      <w:pPr>
        <w:spacing w:after="0" w:line="110" w:lineRule="exact"/>
        <w:rPr>
          <w:sz w:val="20"/>
          <w:szCs w:val="20"/>
          <w:color w:val="auto"/>
        </w:rPr>
      </w:pPr>
    </w:p>
    <w:p>
      <w:pPr>
        <w:jc w:val="both"/>
        <w:ind w:left="440" w:right="60" w:firstLine="415"/>
        <w:spacing w:after="0" w:line="285" w:lineRule="auto"/>
        <w:rPr>
          <w:sz w:val="20"/>
          <w:szCs w:val="20"/>
          <w:color w:val="auto"/>
        </w:rPr>
      </w:pPr>
      <w:r>
        <w:rPr>
          <w:rFonts w:ascii="Arial" w:cs="Arial" w:eastAsia="Arial" w:hAnsi="Arial"/>
          <w:sz w:val="16"/>
          <w:szCs w:val="16"/>
          <w:color w:val="auto"/>
        </w:rPr>
        <w:t>The 2019 Plan provides for the grant of awards of Class B Units to employees, independent directors and other service providers of the Company, our subsidiaries and AIDH Management Holdings, LLC. A total of 6,001,081 Class B Units are subject to outstanding awards under the 2019 Plan as of April 28, 2021. After completion of this offering we do not intend to grant any further awards under the 2019 Plan.</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Outstanding Class B Units at Fiscal Year End</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following table sets forth certain information with respect to outstanding unvested Class B Units held by our NEOs as of December 31, 2020.</w:t>
      </w:r>
    </w:p>
    <w:p>
      <w:pPr>
        <w:spacing w:after="0" w:line="25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Class B Units</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340" w:type="dxa"/>
            <w:vAlign w:val="bottom"/>
          </w:tcPr>
          <w:p>
            <w:pPr>
              <w:spacing w:after="0"/>
              <w:rPr>
                <w:sz w:val="9"/>
                <w:szCs w:val="9"/>
                <w:color w:val="auto"/>
              </w:rPr>
            </w:pPr>
          </w:p>
        </w:tc>
        <w:tc>
          <w:tcPr>
            <w:tcW w:w="6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rPr>
              <w:t>Market value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88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Class B Units</w:t>
            </w:r>
          </w:p>
        </w:tc>
        <w:tc>
          <w:tcPr>
            <w:tcW w:w="240" w:type="dxa"/>
            <w:vAlign w:val="bottom"/>
          </w:tcPr>
          <w:p>
            <w:pPr>
              <w:spacing w:after="0"/>
              <w:rPr>
                <w:sz w:val="12"/>
                <w:szCs w:val="12"/>
                <w:color w:val="auto"/>
              </w:rPr>
            </w:pPr>
          </w:p>
        </w:tc>
        <w:tc>
          <w:tcPr>
            <w:tcW w:w="88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6"/>
              </w:rPr>
              <w:t>Class B Units</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7"/>
              </w:rPr>
              <w:t>that have</w:t>
            </w:r>
          </w:p>
        </w:tc>
        <w:tc>
          <w:tcPr>
            <w:tcW w:w="240" w:type="dxa"/>
            <w:vAlign w:val="bottom"/>
          </w:tcPr>
          <w:p>
            <w:pPr>
              <w:spacing w:after="0"/>
              <w:rPr>
                <w:sz w:val="12"/>
                <w:szCs w:val="12"/>
                <w:color w:val="auto"/>
              </w:rPr>
            </w:pPr>
          </w:p>
        </w:tc>
        <w:tc>
          <w:tcPr>
            <w:tcW w:w="88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7"/>
              </w:rPr>
              <w:t>that have</w:t>
            </w:r>
          </w:p>
        </w:tc>
        <w:tc>
          <w:tcPr>
            <w:tcW w:w="0" w:type="dxa"/>
            <w:vAlign w:val="bottom"/>
          </w:tcPr>
          <w:p>
            <w:pPr>
              <w:spacing w:after="0"/>
              <w:rPr>
                <w:sz w:val="1"/>
                <w:szCs w:val="1"/>
                <w:color w:val="auto"/>
              </w:rPr>
            </w:pPr>
          </w:p>
        </w:tc>
      </w:tr>
      <w:tr>
        <w:trPr>
          <w:trHeight w:val="14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648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2"/>
              </w:rPr>
              <w:t>not vested</w:t>
            </w:r>
          </w:p>
        </w:tc>
        <w:tc>
          <w:tcPr>
            <w:tcW w:w="240" w:type="dxa"/>
            <w:vAlign w:val="bottom"/>
          </w:tcPr>
          <w:p>
            <w:pPr>
              <w:spacing w:after="0"/>
              <w:rPr>
                <w:sz w:val="12"/>
                <w:szCs w:val="12"/>
                <w:color w:val="auto"/>
              </w:rPr>
            </w:pPr>
          </w:p>
        </w:tc>
        <w:tc>
          <w:tcPr>
            <w:tcW w:w="880" w:type="dxa"/>
            <w:vAlign w:val="bottom"/>
            <w:gridSpan w:val="2"/>
          </w:tcPr>
          <w:p>
            <w:pPr>
              <w:jc w:val="center"/>
              <w:ind w:right="60"/>
              <w:spacing w:after="0" w:line="140" w:lineRule="exact"/>
              <w:rPr>
                <w:sz w:val="20"/>
                <w:szCs w:val="20"/>
                <w:color w:val="auto"/>
              </w:rPr>
            </w:pPr>
            <w:r>
              <w:rPr>
                <w:rFonts w:ascii="Arial" w:cs="Arial" w:eastAsia="Arial" w:hAnsi="Arial"/>
                <w:sz w:val="14"/>
                <w:szCs w:val="14"/>
                <w:b w:val="1"/>
                <w:bCs w:val="1"/>
                <w:color w:val="auto"/>
                <w:w w:val="82"/>
              </w:rPr>
              <w:t>not vested</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6480" w:type="dxa"/>
            <w:vAlign w:val="bottom"/>
            <w:vMerge w:val="continue"/>
          </w:tcPr>
          <w:p>
            <w:pPr>
              <w:spacing w:after="0"/>
              <w:rPr>
                <w:sz w:val="14"/>
                <w:szCs w:val="14"/>
                <w:color w:val="auto"/>
              </w:rPr>
            </w:pPr>
          </w:p>
        </w:tc>
        <w:tc>
          <w:tcPr>
            <w:tcW w:w="116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Grant Date</w:t>
            </w:r>
          </w:p>
        </w:tc>
        <w:tc>
          <w:tcPr>
            <w:tcW w:w="1060" w:type="dxa"/>
            <w:vAlign w:val="bottom"/>
            <w:gridSpan w:val="2"/>
          </w:tcPr>
          <w:p>
            <w:pPr>
              <w:jc w:val="center"/>
              <w:ind w:left="160"/>
              <w:spacing w:after="0" w:line="147"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(3)</w:t>
            </w:r>
          </w:p>
        </w:tc>
        <w:tc>
          <w:tcPr>
            <w:tcW w:w="220" w:type="dxa"/>
            <w:vAlign w:val="bottom"/>
          </w:tcPr>
          <w:p>
            <w:pPr>
              <w:spacing w:after="0"/>
              <w:rPr>
                <w:sz w:val="14"/>
                <w:szCs w:val="14"/>
                <w:color w:val="auto"/>
              </w:rPr>
            </w:pPr>
          </w:p>
        </w:tc>
        <w:tc>
          <w:tcPr>
            <w:tcW w:w="1060" w:type="dxa"/>
            <w:vAlign w:val="bottom"/>
            <w:gridSpan w:val="2"/>
          </w:tcPr>
          <w:p>
            <w:pPr>
              <w:jc w:val="center"/>
              <w:ind w:left="158"/>
              <w:spacing w:after="0" w:line="147" w:lineRule="exact"/>
              <w:rPr>
                <w:sz w:val="20"/>
                <w:szCs w:val="20"/>
                <w:color w:val="auto"/>
              </w:rPr>
            </w:pPr>
            <w:r>
              <w:rPr>
                <w:rFonts w:ascii="Arial" w:cs="Arial" w:eastAsia="Arial" w:hAnsi="Arial"/>
                <w:sz w:val="14"/>
                <w:szCs w:val="14"/>
                <w:b w:val="1"/>
                <w:bCs w:val="1"/>
                <w:color w:val="auto"/>
                <w:w w:val="98"/>
              </w:rPr>
              <w:t>($)</w:t>
            </w:r>
            <w:r>
              <w:rPr>
                <w:rFonts w:ascii="Arial" w:cs="Arial" w:eastAsia="Arial" w:hAnsi="Arial"/>
                <w:sz w:val="11"/>
                <w:szCs w:val="11"/>
                <w:b w:val="1"/>
                <w:bCs w:val="1"/>
                <w:color w:val="auto"/>
                <w:w w:val="98"/>
              </w:rPr>
              <w:t>(4)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Jason Krantz</w:t>
            </w:r>
          </w:p>
        </w:tc>
        <w:tc>
          <w:tcPr>
            <w:tcW w:w="7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7"/>
                <w:szCs w:val="17"/>
                <w:color w:val="auto"/>
                <w:w w:val="70"/>
              </w:rPr>
              <w:t>9/18/2019(1)</w:t>
            </w:r>
          </w:p>
        </w:tc>
        <w:tc>
          <w:tcPr>
            <w:tcW w:w="4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505,554.75</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$ 7,091,981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7"/>
                <w:szCs w:val="17"/>
                <w:color w:val="auto"/>
              </w:rPr>
              <w:t>9/18/2019(2)</w:t>
            </w:r>
          </w:p>
        </w:tc>
        <w:tc>
          <w:tcPr>
            <w:tcW w:w="1280" w:type="dxa"/>
            <w:vAlign w:val="bottom"/>
            <w:gridSpan w:val="3"/>
          </w:tcPr>
          <w:p>
            <w:pPr>
              <w:jc w:val="right"/>
              <w:ind w:right="220"/>
              <w:spacing w:after="0"/>
              <w:rPr>
                <w:sz w:val="20"/>
                <w:szCs w:val="20"/>
                <w:color w:val="auto"/>
              </w:rPr>
            </w:pPr>
            <w:r>
              <w:rPr>
                <w:rFonts w:ascii="Arial" w:cs="Arial" w:eastAsia="Arial" w:hAnsi="Arial"/>
                <w:sz w:val="17"/>
                <w:szCs w:val="17"/>
                <w:color w:val="auto"/>
              </w:rPr>
              <w:t>674,073</w:t>
            </w:r>
          </w:p>
        </w:tc>
        <w:tc>
          <w:tcPr>
            <w:tcW w:w="1060" w:type="dxa"/>
            <w:vAlign w:val="bottom"/>
            <w:gridSpan w:val="2"/>
          </w:tcPr>
          <w:p>
            <w:pPr>
              <w:jc w:val="center"/>
              <w:ind w:left="158"/>
              <w:spacing w:after="0"/>
              <w:rPr>
                <w:sz w:val="20"/>
                <w:szCs w:val="20"/>
                <w:color w:val="auto"/>
              </w:rPr>
            </w:pPr>
            <w:r>
              <w:rPr>
                <w:rFonts w:ascii="Arial" w:cs="Arial" w:eastAsia="Arial" w:hAnsi="Arial"/>
                <w:sz w:val="17"/>
                <w:szCs w:val="17"/>
                <w:color w:val="auto"/>
                <w:w w:val="91"/>
              </w:rPr>
              <w:t>$ 9,455,975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Kevin Shone</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9/18/2019(1)</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113,749.88</w:t>
            </w:r>
          </w:p>
        </w:tc>
        <w:tc>
          <w:tcPr>
            <w:tcW w:w="1060" w:type="dxa"/>
            <w:vAlign w:val="bottom"/>
            <w:gridSpan w:val="2"/>
            <w:shd w:val="clear" w:color="auto" w:fill="CCEEFF"/>
          </w:tcPr>
          <w:p>
            <w:pPr>
              <w:jc w:val="center"/>
              <w:ind w:left="158"/>
              <w:spacing w:after="0"/>
              <w:rPr>
                <w:sz w:val="20"/>
                <w:szCs w:val="20"/>
                <w:color w:val="auto"/>
              </w:rPr>
            </w:pPr>
            <w:r>
              <w:rPr>
                <w:rFonts w:ascii="Arial" w:cs="Arial" w:eastAsia="Arial" w:hAnsi="Arial"/>
                <w:sz w:val="17"/>
                <w:szCs w:val="17"/>
                <w:color w:val="auto"/>
                <w:w w:val="91"/>
              </w:rPr>
              <w:t>$ 1,595,697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7"/>
                <w:szCs w:val="17"/>
                <w:color w:val="auto"/>
              </w:rPr>
              <w:t>9/18/2019(2)</w:t>
            </w:r>
          </w:p>
        </w:tc>
        <w:tc>
          <w:tcPr>
            <w:tcW w:w="1280" w:type="dxa"/>
            <w:vAlign w:val="bottom"/>
            <w:gridSpan w:val="3"/>
          </w:tcPr>
          <w:p>
            <w:pPr>
              <w:jc w:val="right"/>
              <w:ind w:right="220"/>
              <w:spacing w:after="0"/>
              <w:rPr>
                <w:sz w:val="20"/>
                <w:szCs w:val="20"/>
                <w:color w:val="auto"/>
              </w:rPr>
            </w:pPr>
            <w:r>
              <w:rPr>
                <w:rFonts w:ascii="Arial" w:cs="Arial" w:eastAsia="Arial" w:hAnsi="Arial"/>
                <w:sz w:val="17"/>
                <w:szCs w:val="17"/>
                <w:color w:val="auto"/>
              </w:rPr>
              <w:t>151,666.5</w:t>
            </w:r>
          </w:p>
        </w:tc>
        <w:tc>
          <w:tcPr>
            <w:tcW w:w="1060" w:type="dxa"/>
            <w:vAlign w:val="bottom"/>
            <w:gridSpan w:val="2"/>
          </w:tcPr>
          <w:p>
            <w:pPr>
              <w:jc w:val="center"/>
              <w:ind w:left="158"/>
              <w:spacing w:after="0"/>
              <w:rPr>
                <w:sz w:val="20"/>
                <w:szCs w:val="20"/>
                <w:color w:val="auto"/>
              </w:rPr>
            </w:pPr>
            <w:r>
              <w:rPr>
                <w:rFonts w:ascii="Arial" w:cs="Arial" w:eastAsia="Arial" w:hAnsi="Arial"/>
                <w:sz w:val="17"/>
                <w:szCs w:val="17"/>
                <w:color w:val="auto"/>
                <w:w w:val="91"/>
              </w:rPr>
              <w:t>$ 2,127,595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Mirisola</w:t>
            </w:r>
          </w:p>
        </w:tc>
        <w:tc>
          <w:tcPr>
            <w:tcW w:w="1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9/18/2019(1)</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113,749.88</w:t>
            </w:r>
          </w:p>
        </w:tc>
        <w:tc>
          <w:tcPr>
            <w:tcW w:w="1060" w:type="dxa"/>
            <w:vAlign w:val="bottom"/>
            <w:gridSpan w:val="2"/>
            <w:shd w:val="clear" w:color="auto" w:fill="CCEEFF"/>
          </w:tcPr>
          <w:p>
            <w:pPr>
              <w:jc w:val="center"/>
              <w:ind w:left="158"/>
              <w:spacing w:after="0"/>
              <w:rPr>
                <w:sz w:val="20"/>
                <w:szCs w:val="20"/>
                <w:color w:val="auto"/>
              </w:rPr>
            </w:pPr>
            <w:r>
              <w:rPr>
                <w:rFonts w:ascii="Arial" w:cs="Arial" w:eastAsia="Arial" w:hAnsi="Arial"/>
                <w:sz w:val="17"/>
                <w:szCs w:val="17"/>
                <w:color w:val="auto"/>
                <w:w w:val="91"/>
              </w:rPr>
              <w:t>$ 1,595,697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7"/>
                <w:szCs w:val="17"/>
                <w:color w:val="auto"/>
              </w:rPr>
              <w:t>9/18/2019(2)</w:t>
            </w:r>
          </w:p>
        </w:tc>
        <w:tc>
          <w:tcPr>
            <w:tcW w:w="1280" w:type="dxa"/>
            <w:vAlign w:val="bottom"/>
            <w:gridSpan w:val="3"/>
          </w:tcPr>
          <w:p>
            <w:pPr>
              <w:jc w:val="right"/>
              <w:ind w:right="220"/>
              <w:spacing w:after="0"/>
              <w:rPr>
                <w:sz w:val="20"/>
                <w:szCs w:val="20"/>
                <w:color w:val="auto"/>
              </w:rPr>
            </w:pPr>
            <w:r>
              <w:rPr>
                <w:rFonts w:ascii="Arial" w:cs="Arial" w:eastAsia="Arial" w:hAnsi="Arial"/>
                <w:sz w:val="17"/>
                <w:szCs w:val="17"/>
                <w:color w:val="auto"/>
              </w:rPr>
              <w:t>151,666.5</w:t>
            </w:r>
          </w:p>
        </w:tc>
        <w:tc>
          <w:tcPr>
            <w:tcW w:w="1060" w:type="dxa"/>
            <w:vAlign w:val="bottom"/>
            <w:gridSpan w:val="2"/>
          </w:tcPr>
          <w:p>
            <w:pPr>
              <w:jc w:val="center"/>
              <w:ind w:left="158"/>
              <w:spacing w:after="0"/>
              <w:rPr>
                <w:sz w:val="20"/>
                <w:szCs w:val="20"/>
                <w:color w:val="auto"/>
              </w:rPr>
            </w:pPr>
            <w:r>
              <w:rPr>
                <w:rFonts w:ascii="Arial" w:cs="Arial" w:eastAsia="Arial" w:hAnsi="Arial"/>
                <w:sz w:val="17"/>
                <w:szCs w:val="17"/>
                <w:color w:val="auto"/>
                <w:w w:val="91"/>
              </w:rPr>
              <w:t>$ 2,127,595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73660</wp:posOffset>
            </wp:positionV>
            <wp:extent cx="7270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34" w:lineRule="exact"/>
        <w:rPr>
          <w:sz w:val="20"/>
          <w:szCs w:val="20"/>
          <w:color w:val="auto"/>
        </w:rPr>
      </w:pPr>
    </w:p>
    <w:p>
      <w:pPr>
        <w:ind w:left="840" w:right="320" w:hanging="406"/>
        <w:spacing w:after="0" w:line="270" w:lineRule="auto"/>
        <w:tabs>
          <w:tab w:leader="none" w:pos="84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Class B Unit agreement provides that 25% of the time-based Class B Units vest on each of the first four anniversaries of the vesting commencement date, and that any unvested time-based Class B Units vest upon a change in control (as such term is defined in the 2019 Plan), subject to continued employment through such vesting commencement date or the change in control, as applicable.</w:t>
      </w:r>
    </w:p>
    <w:p>
      <w:pPr>
        <w:spacing w:after="0" w:line="1" w:lineRule="exact"/>
        <w:rPr>
          <w:rFonts w:ascii="Arial" w:cs="Arial" w:eastAsia="Arial" w:hAnsi="Arial"/>
          <w:sz w:val="16"/>
          <w:szCs w:val="16"/>
          <w:color w:val="auto"/>
        </w:rPr>
      </w:pPr>
    </w:p>
    <w:p>
      <w:pPr>
        <w:ind w:left="840" w:right="100" w:hanging="406"/>
        <w:spacing w:after="0" w:line="249" w:lineRule="auto"/>
        <w:tabs>
          <w:tab w:leader="none" w:pos="8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Class B Unit agreement provides that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2" w:lineRule="exact"/>
        <w:rPr>
          <w:rFonts w:ascii="Arial" w:cs="Arial" w:eastAsia="Arial" w:hAnsi="Arial"/>
          <w:sz w:val="17"/>
          <w:szCs w:val="17"/>
          <w:color w:val="auto"/>
        </w:rPr>
      </w:pPr>
    </w:p>
    <w:p>
      <w:pPr>
        <w:ind w:left="840" w:hanging="406"/>
        <w:spacing w:after="0"/>
        <w:tabs>
          <w:tab w:leader="none" w:pos="8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unvested performance-based units will convert into units with time-based vesting upon the IPO.</w:t>
      </w:r>
    </w:p>
    <w:p>
      <w:pPr>
        <w:spacing w:after="0" w:line="8" w:lineRule="exact"/>
        <w:rPr>
          <w:rFonts w:ascii="Arial" w:cs="Arial" w:eastAsia="Arial" w:hAnsi="Arial"/>
          <w:sz w:val="17"/>
          <w:szCs w:val="17"/>
          <w:color w:val="auto"/>
        </w:rPr>
      </w:pPr>
    </w:p>
    <w:p>
      <w:pPr>
        <w:ind w:left="840" w:right="60" w:hanging="406"/>
        <w:spacing w:after="0" w:line="259" w:lineRule="auto"/>
        <w:tabs>
          <w:tab w:leader="none" w:pos="8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market value was determined assuming an initial public offering price of $25.00 per share (the midpoint of the estimated public offering price range set forth on the cover page of this prospectus) and gives effect to the Reorganization Transactions.</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0820"/>
          </w:cols>
          <w:pgMar w:left="320" w:top="442" w:right="75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B Units</w:t>
      </w:r>
    </w:p>
    <w:p>
      <w:pPr>
        <w:spacing w:after="0" w:line="110" w:lineRule="exact"/>
        <w:rPr>
          <w:sz w:val="20"/>
          <w:szCs w:val="20"/>
          <w:color w:val="auto"/>
        </w:rPr>
      </w:pPr>
    </w:p>
    <w:p>
      <w:pPr>
        <w:ind w:left="440" w:firstLine="415"/>
        <w:spacing w:after="0" w:line="268" w:lineRule="auto"/>
        <w:rPr>
          <w:sz w:val="20"/>
          <w:szCs w:val="20"/>
          <w:color w:val="auto"/>
        </w:rPr>
      </w:pPr>
      <w:r>
        <w:rPr>
          <w:rFonts w:ascii="Arial" w:cs="Arial" w:eastAsia="Arial" w:hAnsi="Arial"/>
          <w:sz w:val="16"/>
          <w:szCs w:val="16"/>
          <w:color w:val="auto"/>
        </w:rPr>
        <w:t>Mr. Krantz has received awards in the form of Class B Units directly in AIDH TopCo, LLC. Messrs. Shone and Mirisola have received awards in the form of Class B Units in AIDH Management Holdings, LLC, which correspond to Class B Units issued by AIDH TopCo, LLC to AIDH Management Holdings, LLC. In connection with the reorganization, the Class B Units in AIDH Management Holdings, LLC will be reclassified into the Reclassified Management Holdings Class B Units with corresponding Class B Units issued by AIDH TopCo, LLC reclassified into Reclassified Class B LLC Units and will remain subject to the vesting terms described below. In connection with the reorganization, Class B common stock will be issued to each holder of Reclassified Management Holdings Class B Units (or in the case of Mr. Krantz, with respect to his Class B Units in AIDH TopCo, LLC) on a one-for-one basis to such holder’s Reclassified Management Holdings Class B Units (or in the case of Mr. Krantz, on a one-for-one basis to his Reclassified Class B LLC Units), provided that such Class B common stock will not be entitled to any voting rights until such time as the Reclassified Management Holdings Class B Units or Reclassified Class B LLC Units vest. Once vested, the holders of Reclassified Management Holdings Class B Units will have the right, pursuant to the terms of the amended and restated limited liability company agreement of AIDH Management Holdings, LLC, to exchange their Reclassified Management Holdings Class B Units for Reclassified Class B LLC Units and immediately thereafter Definitive OpCo shall exchange such Reclassified Class B LLC Units for newly issued shares of Class A common stock on a one-for-one basis, pursuant to the terms of the Amended LLC Agreement.</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B Unit Agreements with Messrs. Krantz, Shone and Mirisola</w:t>
      </w:r>
    </w:p>
    <w:p>
      <w:pPr>
        <w:spacing w:after="0" w:line="110"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The Class B Unit agreements that we entered into with Messrs. Krantz, Shone and Mirisola provide that 25% of the time-based Class B Units vest on each of the first four anniversaries of the vesting commencement date, and that any unvested time-based Class B Units will vest upon a change in control (as such term is defined in the 2019 Plan), subject to continued employment through such vesting commencement date or the change in control, as applicable.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53" w:lineRule="exact"/>
        <w:rPr>
          <w:sz w:val="20"/>
          <w:szCs w:val="20"/>
          <w:color w:val="auto"/>
        </w:rPr>
      </w:pPr>
    </w:p>
    <w:p>
      <w:pPr>
        <w:ind w:left="440" w:firstLine="415"/>
        <w:spacing w:after="0" w:line="271" w:lineRule="auto"/>
        <w:rPr>
          <w:sz w:val="20"/>
          <w:szCs w:val="20"/>
          <w:color w:val="auto"/>
        </w:rPr>
      </w:pPr>
      <w:r>
        <w:rPr>
          <w:rFonts w:ascii="Arial" w:cs="Arial" w:eastAsia="Arial" w:hAnsi="Arial"/>
          <w:sz w:val="16"/>
          <w:szCs w:val="16"/>
          <w:color w:val="auto"/>
        </w:rPr>
        <w:t>The Class B Unit agreements further provide that, subject to Messrs. Krantz, Shone and Mirisola’s continued service through consummation of the IPO, any performance-vesting Class B Units that would meet the applicable prescribed investment multiple if Advent were to sell its investment at the IPO price will be converted into an award of what would become Reclassified Management Holdings Class B Units and any performance-vesting Class B Units that would not meet the applicable prescribed investment multiple would be forfeited. In connection with the IPO, such forfeiture condition will be waived. One-third of such Reclassified Management Holdings Class B Units vest on each of the first, second and third anniversaries of the IPO, subject to the service provider’s continued service through the applicable vesting date. Any unvested time-vesting units will continue to vest, subject to the service provider’s continued service, according to the normal vesting schedule (25% of the time-vesting Class B Units vest on each of the first four anniversaries of July 16, 2019) following the IPO.</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Potential Payments Upon Termination or Change-In-Control</w:t>
      </w:r>
    </w:p>
    <w:p>
      <w:pPr>
        <w:spacing w:after="0" w:line="114" w:lineRule="exact"/>
        <w:rPr>
          <w:sz w:val="20"/>
          <w:szCs w:val="20"/>
          <w:color w:val="auto"/>
        </w:rPr>
      </w:pPr>
    </w:p>
    <w:p>
      <w:pPr>
        <w:jc w:val="both"/>
        <w:ind w:left="440" w:right="520" w:firstLine="415"/>
        <w:spacing w:after="0" w:line="285" w:lineRule="auto"/>
        <w:rPr>
          <w:sz w:val="20"/>
          <w:szCs w:val="20"/>
          <w:color w:val="auto"/>
        </w:rPr>
      </w:pPr>
      <w:r>
        <w:rPr>
          <w:rFonts w:ascii="Arial" w:cs="Arial" w:eastAsia="Arial" w:hAnsi="Arial"/>
          <w:sz w:val="16"/>
          <w:szCs w:val="16"/>
          <w:color w:val="auto"/>
        </w:rPr>
        <w:t>The employment agreements with Messrs. Krantz and Shone and our severance policy that is applicable to Mr. Mirisola provide for certain potential payments upon termination or a change-in-control. A description of these potential payments is included in the summaries of the Krantz Employment Agreement and the Shone Employment Agreement in the Employments Arrangements section above.</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Treatment of Class B Units</w:t>
      </w:r>
    </w:p>
    <w:p>
      <w:pPr>
        <w:spacing w:after="0" w:line="110" w:lineRule="exact"/>
        <w:rPr>
          <w:sz w:val="20"/>
          <w:szCs w:val="20"/>
          <w:color w:val="auto"/>
        </w:rPr>
      </w:pPr>
    </w:p>
    <w:p>
      <w:pPr>
        <w:ind w:left="440" w:right="380" w:firstLine="415"/>
        <w:spacing w:after="0" w:line="273" w:lineRule="auto"/>
        <w:rPr>
          <w:sz w:val="20"/>
          <w:szCs w:val="20"/>
          <w:color w:val="auto"/>
        </w:rPr>
      </w:pPr>
      <w:r>
        <w:rPr>
          <w:rFonts w:ascii="Arial" w:cs="Arial" w:eastAsia="Arial" w:hAnsi="Arial"/>
          <w:sz w:val="17"/>
          <w:szCs w:val="17"/>
          <w:color w:val="auto"/>
        </w:rPr>
        <w:t>If there’s a change in control after the IPO, all unvested reclassified units will vest as described in the Class B Units section. All references to “change in control” in this section refer to such term as it is defined in the 2019 Plan.</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0800"/>
          </w:cols>
          <w:pgMar w:left="320" w:top="442" w:right="77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Executive Severance</w:t>
      </w:r>
    </w:p>
    <w:p>
      <w:pPr>
        <w:spacing w:after="0" w:line="114"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We intend to enter into an amended employment agreement with Mr. Krantz and a new employment agreement with Mr. Mirisola, which will have severance as described in “Executive and Director Compensation—Employment Arrangements—Jason Krantz and Executive and Director Compensation—Employment Arrangements—Joseph Mirisola.”</w:t>
      </w:r>
    </w:p>
    <w:p>
      <w:pPr>
        <w:spacing w:after="0" w:line="176"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Mr. Shone has advised us that he intends to retire from the Company after the IPO but no later than October 31, 2021. In connection with his retirement, we intend to provide Mr. Shone with separation benefits as follows: (i) continuation of his base salary (at the rate in effect on his date of termination) for a period of four and one-half months following his separation date, which is expected to total $112,500, (ii) a bonus for 2021 at the applicable rate paid to the executive team of up to $125,000, pro-rated for 2021, payable in a lump sum when paid to other executives, and (iii) acceleration of vesting of the unvested Reclassified Management Holdings Class B Units that he will receive in respect of 37,917 of his unvested time-vesting Class B units and 75,833 of his unvested performance-vesting Class B units. As a result, these awards will be modified for the change of the vesting condition after the consummation of the proposed IPO. A revaluation of the awards will be performed in accordance with GAAP as if granted on the date of the modification. We estimate that incremental compensation expense of approximately $1.6 million will be recorded during the third quarter 2021. Upon separation, Mr. Shone will forfeit 37,917 of his remaining unvested time-based Class B units and 75,833 of his remaining unvested performance-based Class B units.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Retirement Benefits</w:t>
      </w:r>
    </w:p>
    <w:p>
      <w:pPr>
        <w:spacing w:after="0" w:line="114" w:lineRule="exact"/>
        <w:rPr>
          <w:sz w:val="20"/>
          <w:szCs w:val="20"/>
          <w:color w:val="auto"/>
        </w:rPr>
      </w:pPr>
    </w:p>
    <w:p>
      <w:pPr>
        <w:jc w:val="both"/>
        <w:ind w:left="440" w:right="60" w:firstLine="415"/>
        <w:spacing w:after="0" w:line="312" w:lineRule="auto"/>
        <w:rPr>
          <w:sz w:val="20"/>
          <w:szCs w:val="20"/>
          <w:color w:val="auto"/>
        </w:rPr>
      </w:pPr>
      <w:r>
        <w:rPr>
          <w:rFonts w:ascii="Arial" w:cs="Arial" w:eastAsia="Arial" w:hAnsi="Arial"/>
          <w:sz w:val="15"/>
          <w:szCs w:val="15"/>
          <w:color w:val="auto"/>
        </w:rPr>
        <w:t>Messrs. Krantz, Shone and Mirisola participate in a tax-qualified defined contribution plan, the Definitive Healthcare LLC 401(k) Profit Sharing Plan (the “401(k) Plan”) under which they receive matching contributions equal to 100% of their salary deferrals up to 3% of compensation and 50% of salary deferrals on the following 2% of compensation. Participants in the 401(k) Plan may also receive discretionary profit sharing contributions.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Anticipated Changes to our Compensation Program Following this Offering</w:t>
      </w:r>
    </w:p>
    <w:p>
      <w:pPr>
        <w:spacing w:after="0" w:line="114"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In connection with this offering, we plan to adopt incentive plans, under which we will be permitted to grant equity and cash-based incentive awards. In addition, we may make revisions to our compensation program. We expect that any revised compensation program will be effective prior to the effectiveness of the registration statement of which this prospectus forms a part.</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Definitive Healthcare Corp. 2021 Equity Incentive Plan</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Summary</w:t>
      </w:r>
    </w:p>
    <w:p>
      <w:pPr>
        <w:spacing w:after="0" w:line="114"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In connection with this offering, we intend to adopt the 2021 Plan. The principal features of the 2021 Plan are summarized below. This summary does not purport to be a complete statement of the terms of the 2021 Plan and is qualified in its entirety by reference to the full text of the 2021 Plan, a copy of which is attached as Exhibit 10.2 to this Registration Statement on Form S-1.</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Purpose</w:t>
      </w:r>
    </w:p>
    <w:p>
      <w:pPr>
        <w:spacing w:after="0" w:line="110" w:lineRule="exact"/>
        <w:rPr>
          <w:sz w:val="20"/>
          <w:szCs w:val="20"/>
          <w:color w:val="auto"/>
        </w:rPr>
      </w:pPr>
    </w:p>
    <w:p>
      <w:pPr>
        <w:jc w:val="both"/>
        <w:ind w:left="440" w:right="160" w:firstLine="415"/>
        <w:spacing w:after="0" w:line="261" w:lineRule="auto"/>
        <w:rPr>
          <w:sz w:val="20"/>
          <w:szCs w:val="20"/>
          <w:color w:val="auto"/>
        </w:rPr>
      </w:pPr>
      <w:r>
        <w:rPr>
          <w:rFonts w:ascii="Arial" w:cs="Arial" w:eastAsia="Arial" w:hAnsi="Arial"/>
          <w:sz w:val="17"/>
          <w:szCs w:val="17"/>
          <w:color w:val="auto"/>
        </w:rPr>
        <w:t>The purpose of the Incentive Plan is to align the interests of eligible participants with our stockholders by providing incentive compensation tied to Definitive’s performance. The intent of the Incentive Plan is to advance Definitive’s interests and increase stockholder value by attracting, retaining and motivating key personnel.</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Awards</w:t>
      </w:r>
    </w:p>
    <w:p>
      <w:pPr>
        <w:spacing w:after="0" w:line="110" w:lineRule="exact"/>
        <w:rPr>
          <w:sz w:val="20"/>
          <w:szCs w:val="20"/>
          <w:color w:val="auto"/>
        </w:rPr>
      </w:pPr>
    </w:p>
    <w:p>
      <w:pPr>
        <w:ind w:left="440" w:right="80" w:firstLine="415"/>
        <w:spacing w:after="0" w:line="306" w:lineRule="auto"/>
        <w:rPr>
          <w:sz w:val="20"/>
          <w:szCs w:val="20"/>
          <w:color w:val="auto"/>
        </w:rPr>
      </w:pPr>
      <w:r>
        <w:rPr>
          <w:rFonts w:ascii="Arial" w:cs="Arial" w:eastAsia="Arial" w:hAnsi="Arial"/>
          <w:sz w:val="16"/>
          <w:szCs w:val="16"/>
          <w:color w:val="auto"/>
        </w:rPr>
        <w:t>The types of awards available under the 2021 Plan include stock options (both incentive and non-qualified), SARs, restricted stock awards, RSUs and stock-based awards. All awards granted to participants under the 2021 Plan will be represented by an award agreement.</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0800"/>
          </w:cols>
          <w:pgMar w:left="320" w:top="442" w:right="77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Shares Available</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Approximately 8,982,524 shares of Class A common stock as of the consummation of the IPO are available for awards under the 2021 Plan.</w:t>
      </w:r>
    </w:p>
    <w:p>
      <w:pPr>
        <w:spacing w:after="0" w:line="235"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6"/>
          <w:szCs w:val="16"/>
          <w:color w:val="auto"/>
        </w:rPr>
        <w:t>We refer to the aggregate number of shares available for awards under the 2021 Plan as the “share reserve.” On the first day of each fiscal year, commencing on January 1, 2023 and ending on (and including) January 1, 2032, the share reserve will automatically increase by a number equal to the least of (i) 5% of the total number of shares of Class A common stock actually issued and outstanding on the last day of the preceding fiscal year, (ii) a number of shares of Class A common stock determined by the Board; and (iii) 8,982,524 shares of Class A common stock. Within the share reserve, a total of 8,982,524 shares, which is subject to increase in future years by the evergreen provision, of Class A common stock as of the consummation of the IPO are available for awards of incentive stock options.</w:t>
      </w:r>
    </w:p>
    <w:p>
      <w:pPr>
        <w:spacing w:after="0" w:line="169"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If any award granted under the 2021 Plan is cancelled, expired, repurchased, forfeited, surrendered, exchanged for cash, settled in cash or by delivery of fewer shares of Class A common stock than the number underlying the award, or otherwise terminated without consideration or delivery of the shares to the participant, then such unissued shares will be returned to the 2021 Plan and be available for future awards under the 2021 Plan. Shares that are withheld from any award in payment of the exercise, base or purchase price or taxes related to such an award will be available for future awards under the 2021 Plan and will increase the share reserve by one share for each share that is retained or returned to Definitive. Shares of common stock repurchased by Definitive on the open market with the proceeds of a stock option, will not be returned to the 2021 Plan nor be available for future awards under the 2021 Plan. The payment of dividend equivalents in cash in conjunction with any outstanding award shall not count against the share reserve.</w:t>
      </w:r>
    </w:p>
    <w:p>
      <w:pPr>
        <w:spacing w:after="0" w:line="183"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share reserve will be reduced by one share for each share subject to an award. If a share that was subject to an award is returned to the share reserve, the share reserve will be credited with one share.</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Eligibility</w:t>
      </w:r>
    </w:p>
    <w:p>
      <w:pPr>
        <w:spacing w:after="0" w:line="11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Any employee, officer, non-employee director or any natural person who is a consultant or other personal service provider to Definitive or any of its subsidiaries or affiliates can participate in the 2021 Plan, at the Committee’s (as defined below) discretion. In its determination of eligible participants, the Committee may consider any and all factors it considers relevant or appropriate, and designation of a participant in any year does not require the Committee to designate that person to receive an award in any other year.</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Administration</w:t>
      </w:r>
    </w:p>
    <w:p>
      <w:pPr>
        <w:spacing w:after="0" w:line="110" w:lineRule="exact"/>
        <w:rPr>
          <w:sz w:val="20"/>
          <w:szCs w:val="20"/>
          <w:color w:val="auto"/>
        </w:rPr>
      </w:pPr>
    </w:p>
    <w:p>
      <w:pPr>
        <w:ind w:left="440" w:right="140" w:firstLine="415"/>
        <w:spacing w:after="0" w:line="289" w:lineRule="auto"/>
        <w:rPr>
          <w:sz w:val="20"/>
          <w:szCs w:val="20"/>
          <w:color w:val="auto"/>
        </w:rPr>
      </w:pPr>
      <w:r>
        <w:rPr>
          <w:rFonts w:ascii="Arial" w:cs="Arial" w:eastAsia="Arial" w:hAnsi="Arial"/>
          <w:sz w:val="15"/>
          <w:szCs w:val="15"/>
          <w:color w:val="auto"/>
        </w:rPr>
        <w:t>Pursuant to its terms, the 2021 Plan may be administered by the Compensation Committee of the Board, such other committee of the Board appointed by the Board to administer the 2021 Plan or the Board, as determined by the Board (such administrator of the 2021 Plan, the “Committee”). The Committee has the power and discretion necessary to administer the 2021 Plan, with such powers including, but not limited to, the authority to select persons to participate in the 2021 Plan, determine the form and substance of awards under the 2021 Plan, determine the conditions and restrictions, if any, subject to which such awards will be made, modify the terms of awards, accelerate the vesting of awards, and make determinations regarding a participant’s termination of employment or service for purposes of an award. The Committee’s determinations, interpretations and actions under the 2021 Plan are binding on Definitive, the participants in the 2021 Plan and all other parties. It is anticipated that the 2021 Plan will be administered by our Compensation Committee, which solely consists of independent directors, as appointed by the Board from time to time. The Compensation Committee may delegate authority to one or more officers of Definitive to grant awards to eligible persons other than members of the Definitive Board or who are subject to Rule 16b-3 of the Exchange Act, as permitted under the 2021 Plan and under applicable law.</w:t>
      </w:r>
    </w:p>
    <w:p>
      <w:pPr>
        <w:spacing w:after="0" w:line="98"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0760"/>
          </w:cols>
          <w:pgMar w:left="320" w:top="442" w:right="81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 Options</w:t>
      </w:r>
    </w:p>
    <w:p>
      <w:pPr>
        <w:spacing w:after="0" w:line="110" w:lineRule="exact"/>
        <w:rPr>
          <w:sz w:val="20"/>
          <w:szCs w:val="20"/>
          <w:color w:val="auto"/>
        </w:rPr>
      </w:pPr>
    </w:p>
    <w:p>
      <w:pPr>
        <w:jc w:val="both"/>
        <w:ind w:left="440" w:right="440" w:firstLine="415"/>
        <w:spacing w:after="0" w:line="261" w:lineRule="auto"/>
        <w:rPr>
          <w:sz w:val="20"/>
          <w:szCs w:val="20"/>
          <w:color w:val="auto"/>
        </w:rPr>
      </w:pPr>
      <w:r>
        <w:rPr>
          <w:rFonts w:ascii="Arial" w:cs="Arial" w:eastAsia="Arial" w:hAnsi="Arial"/>
          <w:sz w:val="17"/>
          <w:szCs w:val="17"/>
          <w:color w:val="auto"/>
        </w:rPr>
        <w:t>A stock option grant entitles a participant to purchase a specified number of shares of Class A common stock during a specified term (with a maximum term of ten years) at an exercise price that will not be less than the fair market value of a share as of the date of grant (unless otherwise determined by the Committee).</w:t>
      </w:r>
    </w:p>
    <w:p>
      <w:pPr>
        <w:spacing w:after="0" w:line="176"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The Committee will determine the requirements for vesting and exercisability of the stock options, which may be based on the continued employment or service of the participant with Definitive for a specified time period, upon the attainment of performance goals or both. The stock options may terminate prior to the end of the term or vesting date upon termination of employment or service (or for any other reason), as determined by the Committee. If the fair market value of a share of Class A common stock exceeds the exercise price on the last day the stock option may be exercised under an award agreement, the participant shall be deemed to have exercised the vested portion of such option in a net exercise and net share withholding for taxes, without taking further action. Unless approved by the stockholders, the Committee may not take any action with respect to a stock option that would be treated as a “repricing” under the then applicable rules, regulations or listing requirements of the stock exchange on which shares of Class A common stock are listed, or that would result in the cancellation of “underwater” stock options in exchange for cash or other awards, other than in connection with a change in control.</w:t>
      </w:r>
    </w:p>
    <w:p>
      <w:pPr>
        <w:spacing w:after="0" w:line="172" w:lineRule="exact"/>
        <w:rPr>
          <w:sz w:val="20"/>
          <w:szCs w:val="20"/>
          <w:color w:val="auto"/>
        </w:rPr>
      </w:pPr>
    </w:p>
    <w:p>
      <w:pPr>
        <w:ind w:left="440" w:right="260" w:firstLine="415"/>
        <w:spacing w:after="0" w:line="261" w:lineRule="auto"/>
        <w:rPr>
          <w:sz w:val="20"/>
          <w:szCs w:val="20"/>
          <w:color w:val="auto"/>
        </w:rPr>
      </w:pPr>
      <w:r>
        <w:rPr>
          <w:rFonts w:ascii="Arial" w:cs="Arial" w:eastAsia="Arial" w:hAnsi="Arial"/>
          <w:sz w:val="17"/>
          <w:szCs w:val="17"/>
          <w:color w:val="auto"/>
        </w:rPr>
        <w:t>Stock options granted under the 2021 Plan will be either non-qualified stock options or incentive stock options (with incentive stock options intended to meet the applicable requirements under the Internal Revenue Code of 1986, as amended (the “Code”)). Stock options are nontransferable except in limited circumstances.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10" w:lineRule="exact"/>
        <w:rPr>
          <w:sz w:val="20"/>
          <w:szCs w:val="20"/>
          <w:color w:val="auto"/>
        </w:rPr>
      </w:pPr>
    </w:p>
    <w:p>
      <w:pPr>
        <w:ind w:left="440" w:firstLine="415"/>
        <w:spacing w:after="0" w:line="253" w:lineRule="auto"/>
        <w:rPr>
          <w:sz w:val="20"/>
          <w:szCs w:val="20"/>
          <w:color w:val="auto"/>
        </w:rPr>
      </w:pPr>
      <w:r>
        <w:rPr>
          <w:rFonts w:ascii="Arial" w:cs="Arial" w:eastAsia="Arial" w:hAnsi="Arial"/>
          <w:sz w:val="17"/>
          <w:szCs w:val="17"/>
          <w:color w:val="auto"/>
        </w:rPr>
        <w:t>A SAR granted under the 2021 Plan will give the participant a right to receive, upon exercise or other payment of the SAR, an amount in cash, shares of Class A common stock or a combination of both equal to (i) the excess of (a) the fair market value of a share on the date of exercise less (b) the base price of the SAR that the Committee specified on the date of the grant multiplied by (ii) the number of shares as to which such SAR is exercised or paid. The base price of a SAR will not be less than the fair market value of a share as of the date of grant. The right of exercise in connection with a SAR may be made by the participant or automatically upon a specified date or event. If the fair market value of a share of Class A common stock exceeds the base price on the last day the SAR may be exercised under an award agreement, the participant shall be deemed to have exercised the vested portion of such SAR in a net exercise and net share withholding for taxes, without taking further action. SARs are nontransferable, except in limited circumstances.</w:t>
      </w:r>
    </w:p>
    <w:p>
      <w:pPr>
        <w:spacing w:after="0" w:line="183" w:lineRule="exact"/>
        <w:rPr>
          <w:sz w:val="20"/>
          <w:szCs w:val="20"/>
          <w:color w:val="auto"/>
        </w:rPr>
      </w:pPr>
    </w:p>
    <w:p>
      <w:pPr>
        <w:ind w:left="440" w:right="20" w:firstLine="415"/>
        <w:spacing w:after="0" w:line="295" w:lineRule="auto"/>
        <w:rPr>
          <w:sz w:val="20"/>
          <w:szCs w:val="20"/>
          <w:color w:val="auto"/>
        </w:rPr>
      </w:pPr>
      <w:r>
        <w:rPr>
          <w:rFonts w:ascii="Arial" w:cs="Arial" w:eastAsia="Arial" w:hAnsi="Arial"/>
          <w:sz w:val="15"/>
          <w:szCs w:val="15"/>
          <w:color w:val="auto"/>
        </w:rPr>
        <w:t>The Committee will determine the requirements for vesting and exercisability of the SARs, which may be based on the continued employment or service of the participant with Definitive for a specified time period or upon the attainment of specific performance goals. The SARs may be terminated prior to the end of the term (with a maximum term of ten years) upon termination of employment or service, as determined by the Committee. Unless approved by Definitive stockholders, the Committee may not take any action with respect to a SAR that would be treated as a “repricing” under the then applicable rules, regulations or listing requirements of the stock exchange on which shares of Class A common stock are listed, or that would result in the cancellation of “underwater” SARs in exchange for cash or other awards, other than in connection with a change in control.</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1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A restricted stock award is a grant of a specified number of shares of Class A common stock to a participant, which restrictions will lapse upon the terms that the Committee determines at the time of grant. The Committee will determine the requirements for the lapse of the restrictions for the restricted stock awards, which may be based on the continued employment or service of the participant with Definitive over a specified time period, upon the attainment of performance goals, or both.</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0800"/>
          </w:cols>
          <w:pgMar w:left="320" w:top="442" w:right="77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firstLine="415"/>
        <w:spacing w:after="0" w:line="302" w:lineRule="auto"/>
        <w:rPr>
          <w:sz w:val="20"/>
          <w:szCs w:val="20"/>
          <w:color w:val="auto"/>
        </w:rPr>
      </w:pPr>
      <w:r>
        <w:rPr>
          <w:rFonts w:ascii="Arial" w:cs="Arial" w:eastAsia="Arial" w:hAnsi="Arial"/>
          <w:sz w:val="15"/>
          <w:szCs w:val="15"/>
          <w:color w:val="auto"/>
        </w:rPr>
        <w:t>The participant will have the rights of a stockholder with respect to the shares granted under a restricted stock award, including the right to vote the shares and receive all dividends and other distributions with respect thereto, unless the Committee determines otherwise to the extent permitted under applicable law. If a participant has the right to receive dividends paid with respect to a restricted stock award, such dividends shall not be paid to the participant until the underlying award vests. Any shares granted under a restricted stock award are nontransferable, except in limited circumstances.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0"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A restricted stock unit (“RSU”) granted under the 2021 Plan will give the participant a right to receive, upon vesting and settlement of the RSUs, one share per vested unit or an amount per vested unit equal to the fair market value of one share as of the date of determination, or a combination thereof, at the discretion of the Committee. The Committee may grant RSUs together with dividend equivalent rights (which will not be paid until the award vests), and the holder of any RSUs will not have any rights as a stockholder, such as dividend or voting rights, until the shares of Class A common stock underlying the RSUs are delivered.</w:t>
      </w:r>
    </w:p>
    <w:p>
      <w:pPr>
        <w:spacing w:after="0" w:line="183"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Committee will determine the requirements for vesting and payment of the RSUs, which may be based on the continued employment or service of the participant with Definitive for a specified time period and also upon the attainment of specific performance goals. RSUs will be forfeited if the vesting requirements are not satisfied. RSUs are nontransferable, except in limited circumstances.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Awards</w:t>
      </w:r>
    </w:p>
    <w:p>
      <w:pPr>
        <w:spacing w:after="0" w:line="11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Stock-based awards may be granted to eligible participants under the 2021 Plan and consist of an award of, or an award that is valued by reference to, shares of Class A common stock. A stock-based award may be granted for past employment or service, in lieu of bonus or other cash compensation, as director’s compensation or any other purpose as determined by the Committee, and shall be based upon or calculated by reference to the common stock. The Committee will determine the requirements for the vesting and payment of the stock-based award, with the possibility that awards may be made with no vesting requirements. Upon receipt of the stock-based award that consists of shares of Class A common stock, the participant will not have any rights of a stockholder with respect to the shares of Class A common stock, including the right to vote and receive dividends, until such time as shares of Class A common stock (if any) are issued to the participant.</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Plan Amendments or Termination; Term</w:t>
      </w:r>
    </w:p>
    <w:p>
      <w:pPr>
        <w:spacing w:after="0" w:line="11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Board may amend, modify, suspend or terminate the 2021 Plan; provided that if such amendment, modification, suspension or termination materially and adversely affects any award, Definitive must obtain the affected participant’s consent, subject to changes that are necessary to comply with applicable laws. Certain amendments or modifications of the 2021 Plan may also be subject to the approval of our stockholders as required by SEC and Nasdaq rules or applicable law.</w:t>
      </w:r>
    </w:p>
    <w:p>
      <w:pPr>
        <w:spacing w:after="0" w:line="282"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The 2021 Plan will be effective on the day immediately prior to the date on which this Registration Statement is declared effective by the SEC, and will expire on the tenth anniversary of the date the 2021 Plan became effective.</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Termination of Service</w:t>
      </w:r>
    </w:p>
    <w:p>
      <w:pPr>
        <w:spacing w:after="0" w:line="110" w:lineRule="exact"/>
        <w:rPr>
          <w:sz w:val="20"/>
          <w:szCs w:val="20"/>
          <w:color w:val="auto"/>
        </w:rPr>
      </w:pPr>
    </w:p>
    <w:p>
      <w:pPr>
        <w:ind w:left="440" w:right="500" w:firstLine="415"/>
        <w:spacing w:after="0" w:line="273" w:lineRule="auto"/>
        <w:rPr>
          <w:sz w:val="20"/>
          <w:szCs w:val="20"/>
          <w:color w:val="auto"/>
        </w:rPr>
      </w:pPr>
      <w:r>
        <w:rPr>
          <w:rFonts w:ascii="Arial" w:cs="Arial" w:eastAsia="Arial" w:hAnsi="Arial"/>
          <w:sz w:val="17"/>
          <w:szCs w:val="17"/>
          <w:color w:val="auto"/>
        </w:rPr>
        <w:t>Awards under the 2021 Plan may be subject to reduction, cancellation or forfeiture upon termination of service or failure to meet applicable performance conditions or other vesting terms.</w:t>
      </w:r>
    </w:p>
    <w:p>
      <w:pPr>
        <w:spacing w:after="0" w:line="166"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Under the 2021 Plan, unless an award agreement provides otherwise, if a participant’s employment or service is terminated for cause, or if after termination the Committee determines that the participant engaged in an act that falls within the definition of cause, or if after termination the participant engages in conduct that violates any continuing obligation of the participant with respect to Definitive, Definitive may cancel, forfeit and/or recoup any or all of that participant’s outstanding awards. In addition, if the Committee makes the determination above, Definitive may suspend the participant’s right to exercise any stock option or SAR, receive</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0820"/>
          </w:cols>
          <w:pgMar w:left="320" w:top="442" w:right="75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261" w:lineRule="auto"/>
        <w:rPr>
          <w:sz w:val="20"/>
          <w:szCs w:val="20"/>
          <w:color w:val="auto"/>
        </w:rPr>
      </w:pPr>
      <w:r>
        <w:rPr>
          <w:rFonts w:ascii="Arial" w:cs="Arial" w:eastAsia="Arial" w:hAnsi="Arial"/>
          <w:sz w:val="17"/>
          <w:szCs w:val="17"/>
          <w:color w:val="auto"/>
        </w:rPr>
        <w:t>any payment or vest in any award pending a determination of whether the act falls within the definition of cause (as defined in the 2021 Plan). If a participant voluntarily terminates employment or service in anticipation of an involuntary termination for cause, that shall be deemed a termination for cause.</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Right of Recapture</w:t>
      </w:r>
    </w:p>
    <w:p>
      <w:pPr>
        <w:spacing w:after="0" w:line="110"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6"/>
          <w:szCs w:val="16"/>
          <w:color w:val="auto"/>
        </w:rPr>
        <w:t>Awards granted under the 2021 Plan may be subject to recoupment in accordance with Section 954 of the Dodd-Frank Wall Street Reform and Consumer Protection Act (regarding recoupment of erroneously awarded compensation). Definitive has the right to recoup any gain realized by the participant from the exercise, vesting or payment of any award if, within one year after such exercise, vesting or payment (a) the participant is terminated for cause, (b) if after the participant’s termination the Committee determines that the participant engaged in an act that falls within the definition of cause or materially violated any continuing obligation of the participant with respect to Definitive or (c) the Committee determines the participant is subject to recoupment due to a clawback policy.</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Change in Control</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Under the 2021 Plan, in the event of a change in control of Definitive, as defined in the 2021 Plan, all outstanding awards shall either be</w:t>
      </w:r>
    </w:p>
    <w:p>
      <w:pPr>
        <w:spacing w:after="0" w:line="31" w:lineRule="exact"/>
        <w:rPr>
          <w:sz w:val="20"/>
          <w:szCs w:val="20"/>
          <w:color w:val="auto"/>
        </w:rPr>
      </w:pPr>
    </w:p>
    <w:p>
      <w:pPr>
        <w:ind w:left="440" w:right="20" w:hanging="6"/>
        <w:spacing w:after="0" w:line="252" w:lineRule="auto"/>
        <w:tabs>
          <w:tab w:leader="none" w:pos="67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continued or assumed by the surviving company or its parent or (b) substituted by the surviving company or its parent for awards, with substantially similar terms (with appropriate adjustments to the type of consideration payable upon settlement, including conversion into the right to receive securities, cash or a combination of both, and with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183" w:lineRule="exact"/>
        <w:rPr>
          <w:sz w:val="20"/>
          <w:szCs w:val="20"/>
          <w:color w:val="auto"/>
        </w:rPr>
      </w:pPr>
    </w:p>
    <w:p>
      <w:pPr>
        <w:ind w:left="440" w:right="80" w:firstLine="415"/>
        <w:spacing w:after="0" w:line="253" w:lineRule="auto"/>
        <w:rPr>
          <w:sz w:val="20"/>
          <w:szCs w:val="20"/>
          <w:color w:val="auto"/>
        </w:rPr>
      </w:pPr>
      <w:r>
        <w:rPr>
          <w:rFonts w:ascii="Arial" w:cs="Arial" w:eastAsia="Arial" w:hAnsi="Arial"/>
          <w:sz w:val="17"/>
          <w:szCs w:val="17"/>
          <w:color w:val="auto"/>
        </w:rPr>
        <w:t>Only to the extent that outstanding awards are not continued, assumed or substituted upon or following a change in control, the Committee may, but is not obligated to, make adjustments to the terms and conditions of outstanding awards, including without limitation (i) acceleration of exercisability, vesting and/or payment immediately prior to, upon or following such event, (ii) upon written notice, provided that any outstanding stock option and SAR must be exercised during a period of time immediately prior to such event or other period (contingent upon the consummation of such event), and at the end of such period, such stock options and SARs shall terminate to the extent not so exercised, and (iii) cancellation of all or any portion of outstanding awards for fair value (in the form of cash, shares, other property or any combination of such consideration), less any applicable exercise or base price.</w:t>
      </w:r>
    </w:p>
    <w:p>
      <w:pPr>
        <w:spacing w:after="0" w:line="186"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Notwithstanding the foregoing, if a participant’s employment or service is terminated upon or within 24 months following a change in control by Definitive without cause or upon such other circumstances as determined by the Committee, the unvested portion (if any) of all outstanding awards held by the participant will immediately vest (and, to the extent applicable, become exercisable) and be paid in full upon such termination, with any performance conditions deemed achieved (i) for any completed performance period, based on actual performance, or (ii) for any partial or future performance period, at the greater of the target level or actual performance, unless otherwise provided in an award agreement.</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Assumption of Awards in Connection with an Acquisition</w:t>
      </w:r>
    </w:p>
    <w:p>
      <w:pPr>
        <w:spacing w:after="0" w:line="11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Committee may assume or substitute any previously granted awards of an employee, director or consultant of another corporation who becomes eligible by reason of a corporate transaction. The terms of the assumed award may vary from the terms and conditions otherwise required by the 2021 Plan if the Committee deems it necessary. The assumed awards will not reduce the total number of shares available for awards under the 2021 Plan.</w:t>
      </w:r>
    </w:p>
    <w:p>
      <w:pPr>
        <w:spacing w:after="0" w:line="117"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0760"/>
          </w:cols>
          <w:pgMar w:left="320" w:top="442" w:right="81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Adjustments</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In the event of any recapitalization, reclassification, share dividend, extraordinary cash dividend, stock split, reverse stock split, merger, reorganization, consolidation, combination, spin-off or other similar corporate event or transaction affecting the shares of Class A common stock, the Committee will make equitable adjustments to (i) the number and kind of shares or other securities available for awards and covered by outstanding awards, (ii) the exercise, base or purchase price or other value determinations of outstanding awards, and/or (iii) any other terms of an award affected by the corporate event.</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Award Limits</w:t>
      </w:r>
    </w:p>
    <w:p>
      <w:pPr>
        <w:spacing w:after="0" w:line="110" w:lineRule="exact"/>
        <w:rPr>
          <w:sz w:val="20"/>
          <w:szCs w:val="20"/>
          <w:color w:val="auto"/>
        </w:rPr>
      </w:pPr>
    </w:p>
    <w:p>
      <w:pPr>
        <w:jc w:val="both"/>
        <w:ind w:left="440" w:right="20" w:firstLine="415"/>
        <w:spacing w:after="0" w:line="261" w:lineRule="auto"/>
        <w:rPr>
          <w:sz w:val="20"/>
          <w:szCs w:val="20"/>
          <w:color w:val="auto"/>
        </w:rPr>
      </w:pPr>
      <w:r>
        <w:rPr>
          <w:rFonts w:ascii="Arial" w:cs="Arial" w:eastAsia="Arial" w:hAnsi="Arial"/>
          <w:sz w:val="17"/>
          <w:szCs w:val="17"/>
          <w:color w:val="auto"/>
        </w:rPr>
        <w:t>A non-employee director may not be granted during a calendar year awards that have a fair value that, when added to all other cash compensation received in respect of service as a member of the Board that year, exceeds (i) $1,000,000 in the year that the director is first elected to serve as a director on the Board; and (ii) $500,000 in each subsequent year.</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U.S. Federal Tax Consequences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Incentive Stock Options</w:t>
      </w:r>
    </w:p>
    <w:p>
      <w:pPr>
        <w:spacing w:after="0" w:line="20"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An optionee recognizes no taxable income for regular income tax purposes as a result of the grant or exercise of an incentive stock option qualifying under Section 422 of 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Definitive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Definitive for federal income tax purposes, except to the extent such deduction is limited by applicable provisions of the Code.</w:t>
      </w:r>
    </w:p>
    <w:p>
      <w:pPr>
        <w:spacing w:after="0" w:line="165"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Special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Nonqualified Stock Options</w:t>
      </w:r>
    </w:p>
    <w:p>
      <w:pPr>
        <w:spacing w:after="0" w:line="110"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Options not designated or qualifying as incentive stock options will be nonqualified stock options having no special tax status. An optionee generally recognizes no taxable income as the result of the grant of such an option. Upon exercise of a nonqualified stock option, the optionee normally recognizes ordinary income equal to the amount by which the fair market value of the shares on such date exceeds the exercise price. If the optionee is an employee, such ordinary income generally is subject to withholding of income and employment taxes. Upon the sale of shares acquired by the exercise of a nonqualified stock option, any gain or loss, based on the difference between the sale price and the fair market value on the exercise date, will be taxed as capital gain or loss.</w:t>
      </w:r>
    </w:p>
    <w:p>
      <w:pPr>
        <w:spacing w:after="0" w:line="120"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0780"/>
          </w:cols>
          <w:pgMar w:left="320" w:top="442" w:right="79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 Appreciation Rights</w:t>
      </w:r>
    </w:p>
    <w:p>
      <w:pPr>
        <w:spacing w:after="0" w:line="11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In general, no taxable income is reportable when SARs are granted to a participant. Upon exercise, the participant will recognize ordinary income in an amount equal to the fair market value of any cash or shares received. If the participant is an employee, such ordinary income generally is subject to withholding of income and employment taxes. Any additional gain or loss recognized upon any later disposition of the shares would be capital gain or loss.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11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A participant acquiring restricted stock generally will recognize ordinary income equal to the fair market value of the shares on the vesting date. If the participant is an employee, such ordinary income generally is subject to withholding of income and employment taxes. The participant may elect, pursuant to Section 83(b) of the Code, to accelerate the ordinary income tax event to the date of acquisition by filing an election with the IRS no later than 30 days after the date the shares are acquired.</w:t>
      </w:r>
    </w:p>
    <w:p>
      <w:pPr>
        <w:spacing w:after="0" w:line="180"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Restricted Stock Unit Awards</w:t>
      </w:r>
    </w:p>
    <w:p>
      <w:pPr>
        <w:spacing w:after="0" w:line="110"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There are no immediate tax consequences of receiving an award of RSUs. A participant who is awarded RSUs will be required to recognize ordinary income in an amount equal to the fair market value of shares issued to such participant at the end of the applicable vesting period or, if later, the settlement date elected by the Committee or a participant. If the participant is an employee, such ordinary income generally is subject to withholding of income and employment taxes. Any additional gain or loss recognized upon any later disposition of any shares received would be capital gain or loss.</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Stock-Based Awards</w:t>
      </w:r>
    </w:p>
    <w:p>
      <w:pPr>
        <w:spacing w:after="0" w:line="110"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The tax consequences associated with any other stock-based award of unrestricted shares or an award that is valued by reference to shares granted under the 2021 Plan will vary depending on the specific terms of the award. A participant acquiring unrestricted shares generally will recognize ordinary income equal to the fair market value of the shares on the grant date. The factors that will determine the timing and character of the income include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Section 409A</w:t>
      </w:r>
    </w:p>
    <w:p>
      <w:pPr>
        <w:spacing w:after="0" w:line="110" w:lineRule="exact"/>
        <w:rPr>
          <w:sz w:val="20"/>
          <w:szCs w:val="20"/>
          <w:color w:val="auto"/>
        </w:rPr>
      </w:pPr>
    </w:p>
    <w:p>
      <w:pPr>
        <w:ind w:left="440" w:right="40" w:firstLine="415"/>
        <w:spacing w:after="0" w:line="272" w:lineRule="auto"/>
        <w:rPr>
          <w:sz w:val="20"/>
          <w:szCs w:val="20"/>
          <w:color w:val="auto"/>
        </w:rPr>
      </w:pPr>
      <w:r>
        <w:rPr>
          <w:rFonts w:ascii="Arial" w:cs="Arial" w:eastAsia="Arial" w:hAnsi="Arial"/>
          <w:sz w:val="16"/>
          <w:szCs w:val="16"/>
          <w:color w:val="auto"/>
        </w:rPr>
        <w:t>Section 409A provides certain requirements for non-qualified deferred compensation arrangements with respect to an individual’s deferral and distribution elections and permissible distribution events. Certain types of awards granted under the 2021 Plan may be subject to the requirements of Section 409A. It is intended that the 2021 Plan and all awards comply with, or be exempt from,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Tax Effect for Definitive</w:t>
      </w:r>
    </w:p>
    <w:p>
      <w:pPr>
        <w:spacing w:after="0" w:line="110"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Definitive generally will be entitled to a tax deduction in connection with an award under the 2021 Plan in an amount equal to the ordinary income realized by a participant and at the time the participant recognizes such</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0800"/>
          </w:cols>
          <w:pgMar w:left="320" w:top="442" w:right="77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spacing w:after="0" w:line="273" w:lineRule="auto"/>
        <w:rPr>
          <w:sz w:val="20"/>
          <w:szCs w:val="20"/>
          <w:color w:val="auto"/>
        </w:rPr>
      </w:pPr>
      <w:r>
        <w:rPr>
          <w:rFonts w:ascii="Arial" w:cs="Arial" w:eastAsia="Arial" w:hAnsi="Arial"/>
          <w:sz w:val="16"/>
          <w:szCs w:val="16"/>
          <w:color w:val="auto"/>
        </w:rPr>
        <w:t>income (for example, the exercise of a nonqualified stock option). Special rules limit the deductibility of compensation paid to our chief executive officer, chief financial officer and the other “covered employees” as determined under Section 162(m) and applicable guidance. Under Section 162(m), the annual compensation paid to any of these covered employees, including awards that Definitive grants pursuant to the 2021 Plan, whether performance-based or otherwise, will be subject to the $1 million annual deduction limitation. Because of the elimination of the performance-based compensation exemption, it is possible that all or a portion of the compensation paid to covered employees in the form of equity grants under the 2021 Plan may not be deductible by Definitive, to the extent that the annual deduction limitation is exceeded.</w:t>
      </w:r>
    </w:p>
    <w:p>
      <w:pPr>
        <w:spacing w:after="0" w:line="169"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THE FOREGOING IS ONLY A SUMMARY OF THE EFFECT OF CURRENT U.S. FEDERAL INCOME TAXATION UPON PARTICIPANTS AND DEFINITIVE WITH RESPECT TO AWARDS UNDER THE 2021 PLAN. IT DOES NOT PURPORT TO BE COMPLETE AND DOES NOT DISCUSS THE IMPACT OF EMPLOYMENT OR OTHER TAX REQUIREMENTS, THE TAX CONSEQUENCES OF A PARTICIPANT’S DEATH, OR THE PROVISIONS OF THE INCOME TAX LAWS OF ANY MUNICIPALITY, STATE, OR FOREIGN COUNTRY IN WHICH THE PARTICIPANT MAY RESIDE.</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2021 Plan Grants</w:t>
      </w:r>
    </w:p>
    <w:p>
      <w:pPr>
        <w:spacing w:after="0" w:line="11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We intend to grant equity awards to approximately 560 employees in connection with this offering. These grants are expected to have an estimated fair value at grant of $22.0 million. These awards will be restricted stock units that vest over four years, with 25% vesting on the first anniversary of grant, and the remainder vesting quarterly, subject to continued employment or other service. The related expense will be recognized ratably over the four year vesting period.</w:t>
      </w:r>
    </w:p>
    <w:p>
      <w:pPr>
        <w:spacing w:after="0" w:line="180"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In addition, we intend to grant equity awards to 10 members of the executive leadership team, including our executive officers. These awards will be in the form of restricted stock units, 75% of which will vest based on the performance of employment or other service and 25% will vest based on achievement of performance metric(s) and continued employment or other service. The former portion will vest over four years, with 25% vesting on the first anniversary of grant, and the remainder vesting quarterly. The latter portion will be tied to a 2022 business metric(s). To the extent the performance criteria is achieved, the restricted stock units will vest ratably on each of January 1, 2023, January 1, 2024 and January 1, 2025. The estimated fair value of these awards at grant is $17.5 million. The related expense will be recognized at the time of vesting.</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Definitive Healthcare Corp. 2021 Employee Stock Purchase Plan</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Summary</w:t>
      </w:r>
    </w:p>
    <w:p>
      <w:pPr>
        <w:spacing w:after="0" w:line="114" w:lineRule="exact"/>
        <w:rPr>
          <w:sz w:val="20"/>
          <w:szCs w:val="20"/>
          <w:color w:val="auto"/>
        </w:rPr>
      </w:pPr>
    </w:p>
    <w:p>
      <w:pPr>
        <w:ind w:left="440" w:right="460" w:firstLine="415"/>
        <w:spacing w:after="0" w:line="342" w:lineRule="auto"/>
        <w:rPr>
          <w:sz w:val="20"/>
          <w:szCs w:val="20"/>
          <w:color w:val="auto"/>
        </w:rPr>
      </w:pPr>
      <w:r>
        <w:rPr>
          <w:rFonts w:ascii="Arial" w:cs="Arial" w:eastAsia="Arial" w:hAnsi="Arial"/>
          <w:sz w:val="15"/>
          <w:szCs w:val="15"/>
          <w:color w:val="auto"/>
        </w:rPr>
        <w:t>In connection with this offering, we intend to adopt the Definitive Healthcare Corp. 2021 Employee Stock Purchase Plan (the “ESPP”). The principal features of the ESPP are summarized below. This summary does not purport to be a complete statement of the terms of the ESPP.</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Purpose</w:t>
      </w:r>
    </w:p>
    <w:p>
      <w:pPr>
        <w:spacing w:after="0" w:line="110"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The ESPP provides a means by which eligible employees and/or eligible service providers of either Definitive or an affiliate may be given an opportunity to purchase shares of common stock. The ESPP permits us to grant a series of purchase rights to eligible employees and/or eligible service providers. By means of the ESPP, we seek to retain and assist our affiliates in retaining the services of such eligible employees and eligible service providers, to secure and retain the services of new eligible employees and eligible service providers and to provide incentives for such persons to exert maximum efforts for our success and that of our affiliates.</w:t>
      </w:r>
    </w:p>
    <w:p>
      <w:pPr>
        <w:spacing w:after="0" w:line="183"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7"/>
          <w:szCs w:val="17"/>
          <w:color w:val="auto"/>
        </w:rPr>
        <w:t>The ESPP includes two components: a “423 Component” and a “Non-423 Component.” We intend the 423 Component to qualify as an employee stock purchase plan pursuant to Section 423 of the Code. The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0800"/>
          </w:cols>
          <w:pgMar w:left="320" w:top="442" w:right="77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73" w:lineRule="auto"/>
        <w:rPr>
          <w:sz w:val="20"/>
          <w:szCs w:val="20"/>
          <w:color w:val="auto"/>
        </w:rPr>
      </w:pPr>
      <w:r>
        <w:rPr>
          <w:rFonts w:ascii="Arial" w:cs="Arial" w:eastAsia="Arial" w:hAnsi="Arial"/>
          <w:sz w:val="16"/>
          <w:szCs w:val="16"/>
          <w:color w:val="auto"/>
        </w:rPr>
        <w:t>provisions of the 423 Component will be construed in a manner that is consistent with the requirements of Section 423 of the Code, including without limitation to extend and limit ESPP participation in a uniform and non-discriminating basis. In addition, the ESPP authorizes grants of purchase rights under the Non-423 Component that do not meet the requirements of an employee stock purchase plan under Section 423 of the Code. Except as otherwise provided in the ESPP or determined by the Board, the Non-423 Component will operate and be administered in the same manner as the 423 Component. Eligible employees will be able to participate in the 423 Component or Non-423 Component of the ESPP. Eligible service providers (who may or may not be eligible employees) will only be able to participate in the Non-423 Component of the ESPP.</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Administration</w:t>
      </w:r>
    </w:p>
    <w:p>
      <w:pPr>
        <w:spacing w:after="0" w:line="11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Board administers the ESPP and will have the final power to construe and interpret both the ESPP and the rights granted under it. Further, the Board has the power, subject to the provisions of the ESPP, to determine when and how rights to purchase common stock will be granted, the provisions of each offering of such rights (which need not be identical), and whether any employee or other service provider will be eligible to participate in the ESPP.</w:t>
      </w:r>
    </w:p>
    <w:p>
      <w:pPr>
        <w:spacing w:after="0" w:line="180" w:lineRule="exact"/>
        <w:rPr>
          <w:sz w:val="20"/>
          <w:szCs w:val="20"/>
          <w:color w:val="auto"/>
        </w:rPr>
      </w:pPr>
    </w:p>
    <w:p>
      <w:pPr>
        <w:ind w:left="440" w:right="60" w:firstLine="415"/>
        <w:spacing w:after="0" w:line="257" w:lineRule="auto"/>
        <w:rPr>
          <w:sz w:val="20"/>
          <w:szCs w:val="20"/>
          <w:color w:val="auto"/>
        </w:rPr>
      </w:pPr>
      <w:r>
        <w:rPr>
          <w:rFonts w:ascii="Arial" w:cs="Arial" w:eastAsia="Arial" w:hAnsi="Arial"/>
          <w:sz w:val="17"/>
          <w:szCs w:val="17"/>
          <w:color w:val="auto"/>
        </w:rPr>
        <w:t>The Board has the power to delegate administration of the ESPP to a committee composed of one or more members of the Board. As used herein with respect to the ESPP, the term “Board” refers to any committee the Board appoints, and to the Board. Whether or not the Board has delegated administration of the ESPP to a committee, the Board will have the final power to determine all questions of policy and expediency that may arise in the administration of the ESPP.</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Common Stock Subject to the ESPP</w:t>
      </w:r>
    </w:p>
    <w:p>
      <w:pPr>
        <w:spacing w:after="0" w:line="110" w:lineRule="exact"/>
        <w:rPr>
          <w:sz w:val="20"/>
          <w:szCs w:val="20"/>
          <w:color w:val="auto"/>
        </w:rPr>
      </w:pPr>
    </w:p>
    <w:p>
      <w:pPr>
        <w:ind w:left="440" w:right="280" w:firstLine="415"/>
        <w:spacing w:after="0" w:line="287" w:lineRule="auto"/>
        <w:rPr>
          <w:sz w:val="20"/>
          <w:szCs w:val="20"/>
          <w:color w:val="auto"/>
        </w:rPr>
      </w:pPr>
      <w:r>
        <w:rPr>
          <w:rFonts w:ascii="Arial" w:cs="Arial" w:eastAsia="Arial" w:hAnsi="Arial"/>
          <w:sz w:val="15"/>
          <w:szCs w:val="15"/>
          <w:color w:val="auto"/>
        </w:rPr>
        <w:t>Subject to adjustments as provided in the ESPP, the maximum number of shares of common stock that may be issued under the ESPP will not exceed 1,497,087 shares of common stock. On the first day of each fiscal year, commencing on January 1, 2023 and ending on (and including) January 1, 2032, the share reserve will automatically increase by a number equal to the least of (i) 1% of the total number of shares of common stock actually issued and outstanding on the last day of the preceding fiscal year, (ii) a number of shares of common stock determined by the Board; and</w:t>
      </w:r>
    </w:p>
    <w:p>
      <w:pPr>
        <w:spacing w:after="0" w:line="1" w:lineRule="exact"/>
        <w:rPr>
          <w:sz w:val="20"/>
          <w:szCs w:val="20"/>
          <w:color w:val="auto"/>
        </w:rPr>
      </w:pPr>
    </w:p>
    <w:p>
      <w:pPr>
        <w:ind w:left="440" w:right="40" w:hanging="6"/>
        <w:spacing w:after="0" w:line="253" w:lineRule="auto"/>
        <w:tabs>
          <w:tab w:leader="none" w:pos="737" w:val="left"/>
        </w:tabs>
        <w:numPr>
          <w:ilvl w:val="0"/>
          <w:numId w:val="141"/>
        </w:numPr>
        <w:rPr>
          <w:rFonts w:ascii="Arial" w:cs="Arial" w:eastAsia="Arial" w:hAnsi="Arial"/>
          <w:sz w:val="17"/>
          <w:szCs w:val="17"/>
          <w:color w:val="auto"/>
        </w:rPr>
      </w:pPr>
      <w:r>
        <w:rPr>
          <w:rFonts w:ascii="Arial" w:cs="Arial" w:eastAsia="Arial" w:hAnsi="Arial"/>
          <w:sz w:val="17"/>
          <w:szCs w:val="17"/>
          <w:color w:val="auto"/>
        </w:rPr>
        <w:t>1,497,087 shares of common stock. If any purchase right granted under the ESPP terminates without having been exercised in full, the shares of common stock not purchased under such purchase right will again become available for issuance under the ESPP. The ESPP will be effective on the day immediately prior to the date on which the Registration Statement is declared effective by the SEC under the Securities Act until the 10 year anniversary following the date the ESPP became effective.</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Offerings</w:t>
      </w:r>
    </w:p>
    <w:p>
      <w:pPr>
        <w:spacing w:after="0" w:line="110"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The ESPP is implemented by offerings of rights to all eligible employees and eligible service providers from time to time. Offerings may comprise one or more purchase periods. The maximum length for an offering under the ESPP is 27 months. The provisions of separate offerings need not be identical. When a participant elects to join an offering, he or she is granted a purchase right to acquire shares of common stock on each purchase date within the offering, each corresponding to the end of a purchase period within such offering. On each purchase date, all payroll deductions collected from the participant during such purchase period are automatically applied to the purchase of common stock, subject to certain limitations.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Eligibility</w:t>
      </w:r>
    </w:p>
    <w:p>
      <w:pPr>
        <w:spacing w:after="0" w:line="110"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Purchase rights may be granted only to our employees, employees of qualifying related corporations or, solely with respect to the Non-423 Component, employees of an affiliate (other than a qualifying related corporation) or eligible service providers. The Board may provide that employees will not be eligible to be granted purchase rights under the ESPP if, on the offering date, the employee (i) has not completed at least two years of service since the employee’s last hire date (or such lesser period as the Board may determine), (ii) customarily works not more than 20 hours per week (or such lesser period as the Board may determine), (iii)</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0820"/>
          </w:cols>
          <w:pgMar w:left="320" w:top="442" w:right="75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54" w:lineRule="auto"/>
        <w:rPr>
          <w:sz w:val="20"/>
          <w:szCs w:val="20"/>
          <w:color w:val="auto"/>
        </w:rPr>
      </w:pPr>
      <w:r>
        <w:rPr>
          <w:rFonts w:ascii="Arial" w:cs="Arial" w:eastAsia="Arial" w:hAnsi="Arial"/>
          <w:sz w:val="17"/>
          <w:szCs w:val="17"/>
          <w:color w:val="auto"/>
        </w:rPr>
        <w:t>customarily works not more than five months per calendar year (or such lesser period as the Board may determine), (iv) is an officer within the meaning of Section 16 of the Exchange Act, (v) is a highly compensated employee within the meaning of the Code, or (vi) has not satisfied such other criteria as the Board may determine consistent with Section 423 of the Code. Unless otherwise determined by the Board for any offering, an employee will not be eligible to be granted purchase rights unless, on the offering date, the employee customarily works more than 20 hours per week and more than five months per calendar year, and has been employed by us or a related corporation or affiliate for at least three continuous months preceding such offering date.</w:t>
      </w:r>
    </w:p>
    <w:p>
      <w:pPr>
        <w:spacing w:after="0" w:line="183" w:lineRule="exact"/>
        <w:rPr>
          <w:sz w:val="20"/>
          <w:szCs w:val="20"/>
          <w:color w:val="auto"/>
        </w:rPr>
      </w:pPr>
    </w:p>
    <w:p>
      <w:pPr>
        <w:ind w:left="440" w:right="120" w:firstLine="415"/>
        <w:spacing w:after="0" w:line="279" w:lineRule="auto"/>
        <w:rPr>
          <w:sz w:val="20"/>
          <w:szCs w:val="20"/>
          <w:color w:val="auto"/>
        </w:rPr>
      </w:pPr>
      <w:r>
        <w:rPr>
          <w:rFonts w:ascii="Arial" w:cs="Arial" w:eastAsia="Arial" w:hAnsi="Arial"/>
          <w:sz w:val="16"/>
          <w:szCs w:val="16"/>
          <w:color w:val="auto"/>
        </w:rPr>
        <w:t>No employee will be eligible for the grant of any purchase rights if, immediately thereafter, such employee owns stock possessing 5% or more of the total combined voting power or value of all classes of our stock or the stock of any related corporation. An eligible employee may be granted purchase rights only if such purchase rights, together with any other rights granted under all our and any related corporations’ employee stock purchase plan, do not permit such eligible employee’s rights to purchase stock in excess of $25,000 worth of stock in any calendar year.</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Participation in the ESPP</w:t>
      </w:r>
    </w:p>
    <w:p>
      <w:pPr>
        <w:spacing w:after="0" w:line="110"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On each offering date, each eligible employee or eligible service provider, pursuant to an offering made under the ESPP, will be granted a purchase right to purchase up to that number of shares of common stock purchasable either with a percentage or with a maximum dollar amount, as designated by the Board; provided however, that in the case of eligible employees, such percentage or maximum dollar amount will in either case not exceed 15% of such employee’s earnings during the period that begins on the offering date (or such later date as the Board determines for a particular offering) and ends on the date stated in the offering, which date will be no later than the end of the offering, unless otherwise provided for in an offering.</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Purchase Price</w:t>
      </w:r>
    </w:p>
    <w:p>
      <w:pPr>
        <w:spacing w:after="0" w:line="110"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purchase price of shares of common stock acquired pursuant to purchase rights will be not less than the lesser of (i) 85% of the fair market value of the shares of common stock on the offering date; or (ii) 85% of the fair market value of the shares of common stock on the applicable purchase date (i.e., the last day of the applicable purchase period).</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Payment of Purchase Price; Payroll Deductions</w:t>
      </w:r>
    </w:p>
    <w:p>
      <w:pPr>
        <w:spacing w:after="0" w:line="110"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6"/>
          <w:szCs w:val="16"/>
          <w:color w:val="auto"/>
        </w:rPr>
        <w:t>The purchase price of the shares is accumulated by payroll deductions over the offering. To the extent permitted in the offering document, a participant may increase, reduce or terminate his or her payroll deductions. All payroll deductions made on behalf of a participant are credited to his or her account under the ESPP and deposited with our general funds. No interest will accrue on such payroll deductions. To the extent permitted in the offering document, a participant may make additional payments into such account. If required under applicable laws or regulations or if specifically provided in the offering, in addition to or instead of making contributions by payroll deductions, a participant may make contributions through a payment by cash, check, or wire transfer prior to a purchase date, in a manner we direct.</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Purchase of Stock</w:t>
      </w:r>
    </w:p>
    <w:p>
      <w:pPr>
        <w:spacing w:after="0" w:line="110"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The Board will establish one or more purchase dates during an offering on which purchase rights granted for that offering will be exercised and shares of common stock will be purchased in accordance with such offering. In connection with each offering, the Board may specify a maximum number of shares of common stock that may be purchased by any participant or all participants. If the aggregate purchase of shares of common stock issuable on exercise of purchase rights granted under the offering would exceed any such maximum aggregate number, then, in the absence of any Board action otherwise, a pro rata (based on each participant’s accumulated contributions) allocation of the shares of common stock available will be made in as nearly a uniform manner as will be practicable and equitable.</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0820"/>
          </w:cols>
          <w:pgMar w:left="320" w:top="442" w:right="75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Withdrawal</w:t>
      </w:r>
    </w:p>
    <w:p>
      <w:pPr>
        <w:spacing w:after="0" w:line="110" w:lineRule="exact"/>
        <w:rPr>
          <w:sz w:val="20"/>
          <w:szCs w:val="20"/>
          <w:color w:val="auto"/>
        </w:rPr>
      </w:pPr>
    </w:p>
    <w:p>
      <w:pPr>
        <w:ind w:left="440" w:right="240" w:firstLine="415"/>
        <w:spacing w:after="0" w:line="254" w:lineRule="auto"/>
        <w:rPr>
          <w:sz w:val="20"/>
          <w:szCs w:val="20"/>
          <w:color w:val="auto"/>
        </w:rPr>
      </w:pPr>
      <w:r>
        <w:rPr>
          <w:rFonts w:ascii="Arial" w:cs="Arial" w:eastAsia="Arial" w:hAnsi="Arial"/>
          <w:sz w:val="17"/>
          <w:szCs w:val="17"/>
          <w:color w:val="auto"/>
        </w:rPr>
        <w:t>During an offering, a participant may cease making contributions and withdraw from the offering by delivering a withdrawal form. We may impose a deadline before a purchase date for withdrawing. On such withdrawal, such participant’s purchase right in that offering will immediately terminate and we will distribute as soon as practicable to such participant all of his or her accumulated but unused contributions without interest and such participant’s purchase right in that offering will then terminate. A participant’s withdrawal from that offering will have no effect on his or her eligibility to participate in any other offerings under the ESPP, but such participant will be required to deliver a new enrollment form to participate in subsequent offerings.</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Termination of Employment</w:t>
      </w:r>
    </w:p>
    <w:p>
      <w:pPr>
        <w:spacing w:after="0" w:line="110"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Purchase rights granted pursuant to any offering under the ESPP will terminate immediately if the participant either (i) is no longer an eligible employee or eligible service provider for any reason or for no reason, or (ii) is otherwise no longer eligible to participate. We shall have the exclusive discretion to determine when a participant is no longer actively providing services and the date of the termination of employment or service for purposes of the ESPP. As soon as practicable, we will distribute to such individual all of his or her accumulated but unused contributions without interest.</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Restrictions on Transfer</w:t>
      </w:r>
    </w:p>
    <w:p>
      <w:pPr>
        <w:spacing w:after="0" w:line="110" w:lineRule="exact"/>
        <w:rPr>
          <w:sz w:val="20"/>
          <w:szCs w:val="20"/>
          <w:color w:val="auto"/>
        </w:rPr>
      </w:pPr>
    </w:p>
    <w:p>
      <w:pPr>
        <w:ind w:left="440" w:right="160" w:firstLine="415"/>
        <w:spacing w:after="0" w:line="273" w:lineRule="auto"/>
        <w:rPr>
          <w:sz w:val="20"/>
          <w:szCs w:val="20"/>
          <w:color w:val="auto"/>
        </w:rPr>
      </w:pPr>
      <w:r>
        <w:rPr>
          <w:rFonts w:ascii="Arial" w:cs="Arial" w:eastAsia="Arial" w:hAnsi="Arial"/>
          <w:sz w:val="17"/>
          <w:szCs w:val="17"/>
          <w:color w:val="auto"/>
        </w:rPr>
        <w:t>During a participant’s lifetime, purchase rights will be exercisable only by such participant. Purchase rights are not transferable by a participant, except by will, by the laws of descent and distribution, or, if we so permit, by a beneficiary designation.</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Exercise of Purchase Rights</w:t>
      </w:r>
    </w:p>
    <w:p>
      <w:pPr>
        <w:spacing w:after="0" w:line="110" w:lineRule="exact"/>
        <w:rPr>
          <w:sz w:val="20"/>
          <w:szCs w:val="20"/>
          <w:color w:val="auto"/>
        </w:rPr>
      </w:pPr>
    </w:p>
    <w:p>
      <w:pPr>
        <w:ind w:left="440" w:right="100" w:firstLine="415"/>
        <w:spacing w:after="0" w:line="302" w:lineRule="auto"/>
        <w:rPr>
          <w:sz w:val="20"/>
          <w:szCs w:val="20"/>
          <w:color w:val="auto"/>
        </w:rPr>
      </w:pPr>
      <w:r>
        <w:rPr>
          <w:rFonts w:ascii="Arial" w:cs="Arial" w:eastAsia="Arial" w:hAnsi="Arial"/>
          <w:sz w:val="15"/>
          <w:szCs w:val="15"/>
          <w:color w:val="auto"/>
        </w:rPr>
        <w:t>On each purchase date, each participant’s accumulated contributions will be applied to the purchase of shares of common stock, up to the maximum number of shares of common stock permitted by the ESPP and the applicable offering, at the purchase price specified in the offering. Unless otherwise specified in the ESPP, no fractional shares will be issued and, if any amount of accumulated contributions remains in a participant’s account after the purchase of shares of common stock on the final purchase date in an offering, such remaining amount will roll over to the next offering.</w:t>
      </w:r>
    </w:p>
    <w:p>
      <w:pPr>
        <w:spacing w:after="0" w:line="149"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No purchase rights may be exercised to any extent unless and until the shares of common stock to be issued on such exercise under the ESPP are covered by an effective registration statement pursuant to the Securities Act, and the ESPP is in material compliance with all applicable U.S. federal and state, foreign and other securities, exchange control, and other laws applicable to the ESPP. If, on the purchase date, as delayed to the maximum extent permissible, the shares of common stock are not registered and the ESPP is not in material compliance with all applicable laws or regulations, no purchase rights will be exercised and all accumulated but unused contributions will be distributed as soon as practicable to the participants without interest.</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Capitalization Adjustments</w:t>
      </w:r>
    </w:p>
    <w:p>
      <w:pPr>
        <w:spacing w:after="0" w:line="110"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In the event of a capitalization adjustment, the Board will appropriately and proportionately adjust: (i) the classes and maximum number of securities subject to the ESPP, (ii) the classes and maximum number of securities by which the share reserve is to increase automatically each year pursuant to the ESPP, (iii) the classes and number of securities subject to, and the purchase price applicable to outstanding offerings and purchase rights, and (iv) the classes and number of securities that are the subject of the purchase limits under each ongoing offering.</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Dissolution or Liquidation</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In the event of Definitive’s dissolution or liquidation, the Board will shorten any offering then in progress by setting a new purchase date prior to the consummation of such proposed dissolution or liquidation. The Board</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0780"/>
          </w:cols>
          <w:pgMar w:left="320" w:top="442" w:right="79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261" w:lineRule="auto"/>
        <w:rPr>
          <w:sz w:val="20"/>
          <w:szCs w:val="20"/>
          <w:color w:val="auto"/>
        </w:rPr>
      </w:pPr>
      <w:r>
        <w:rPr>
          <w:rFonts w:ascii="Arial" w:cs="Arial" w:eastAsia="Arial" w:hAnsi="Arial"/>
          <w:sz w:val="17"/>
          <w:szCs w:val="17"/>
          <w:color w:val="auto"/>
        </w:rPr>
        <w:t>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Effect of a Change in Control:</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Upon any of the following events (each a Change in Control under the ESPP):</w:t>
      </w:r>
    </w:p>
    <w:p>
      <w:pPr>
        <w:spacing w:after="0" w:line="123" w:lineRule="exact"/>
        <w:rPr>
          <w:sz w:val="20"/>
          <w:szCs w:val="20"/>
          <w:color w:val="auto"/>
        </w:rPr>
      </w:pPr>
    </w:p>
    <w:p>
      <w:pPr>
        <w:ind w:left="1360" w:right="40" w:hanging="417"/>
        <w:spacing w:after="0" w:line="285" w:lineRule="auto"/>
        <w:tabs>
          <w:tab w:leader="none" w:pos="13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any person (other than Definitive, any trustee or other fiduciary holding securities under any employee benefit plan of Definitive, or any company owned, directly or indirectly by stockholders of Definitive in substantially the same proportions as their shares of common stock) becomes the beneficial owner, directly or indirectly, of at least 50% of our then outstanding capital stock;</w:t>
      </w:r>
    </w:p>
    <w:p>
      <w:pPr>
        <w:spacing w:after="0" w:line="69" w:lineRule="exact"/>
        <w:rPr>
          <w:rFonts w:ascii="Arial" w:cs="Arial" w:eastAsia="Arial" w:hAnsi="Arial"/>
          <w:sz w:val="16"/>
          <w:szCs w:val="16"/>
          <w:color w:val="auto"/>
        </w:rPr>
      </w:pPr>
    </w:p>
    <w:p>
      <w:pPr>
        <w:ind w:left="1360" w:right="180" w:hanging="417"/>
        <w:spacing w:after="0" w:line="273" w:lineRule="auto"/>
        <w:tabs>
          <w:tab w:leader="none" w:pos="13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during any period of two consecutive years, individuals who at the beginning of such period constitute the Board, cease for any reason to constitute at least a majority of the Board;</w:t>
      </w:r>
    </w:p>
    <w:p>
      <w:pPr>
        <w:spacing w:after="0" w:line="76" w:lineRule="exact"/>
        <w:rPr>
          <w:rFonts w:ascii="Arial" w:cs="Arial" w:eastAsia="Arial" w:hAnsi="Arial"/>
          <w:sz w:val="17"/>
          <w:szCs w:val="17"/>
          <w:color w:val="auto"/>
        </w:rPr>
      </w:pPr>
    </w:p>
    <w:p>
      <w:pPr>
        <w:ind w:left="1360" w:right="60" w:hanging="417"/>
        <w:spacing w:after="0" w:line="273" w:lineRule="auto"/>
        <w:tabs>
          <w:tab w:leader="none" w:pos="13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 amalgamation, merger, or consolidation of Definitive with any other company or corporation or a scheme of arrangement involving any other company or corporation; or</w:t>
      </w:r>
    </w:p>
    <w:p>
      <w:pPr>
        <w:spacing w:after="0" w:line="76" w:lineRule="exact"/>
        <w:rPr>
          <w:rFonts w:ascii="Arial" w:cs="Arial" w:eastAsia="Arial" w:hAnsi="Arial"/>
          <w:sz w:val="17"/>
          <w:szCs w:val="17"/>
          <w:color w:val="auto"/>
        </w:rPr>
      </w:pPr>
    </w:p>
    <w:p>
      <w:pPr>
        <w:ind w:left="1360" w:hanging="417"/>
        <w:spacing w:after="0"/>
        <w:tabs>
          <w:tab w:leader="none" w:pos="136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 sale or disposition of all or substantially all of Definitive’s assets;</w:t>
      </w:r>
    </w:p>
    <w:p>
      <w:pPr>
        <w:spacing w:after="0" w:line="212" w:lineRule="exact"/>
        <w:rPr>
          <w:sz w:val="20"/>
          <w:szCs w:val="20"/>
          <w:color w:val="auto"/>
        </w:rPr>
      </w:pPr>
    </w:p>
    <w:p>
      <w:pPr>
        <w:ind w:left="440"/>
        <w:spacing w:after="0" w:line="272" w:lineRule="auto"/>
        <w:rPr>
          <w:sz w:val="20"/>
          <w:szCs w:val="20"/>
          <w:color w:val="auto"/>
        </w:rPr>
      </w:pPr>
      <w:r>
        <w:rPr>
          <w:rFonts w:ascii="Arial" w:cs="Arial" w:eastAsia="Arial" w:hAnsi="Arial"/>
          <w:sz w:val="16"/>
          <w:szCs w:val="16"/>
          <w:color w:val="auto"/>
        </w:rPr>
        <w:t>any surviving corporation or acquiring corporation (or the surviving or acquiring corporation’s parent company) may assume or continue outstanding purchase rights or may substitute similar rights for outstanding purchase rights, or, if any surviving or acquiring corporation (or its parent company) does not assume or continue such purchase rights or does not substitute similar rights for such purchase rights, then the participants’ accumulated contributions will be used to purchase shares of common stock prior to the Change in Control under the outstanding purchase rights, and the purchase rights will terminate immediately after such purchase. The Board will notify each participant in writing prior to the new purchase date that the purchase date for the participant’s purchase rights has been changed to the new purchase date and that such purchase rights will be automatically exercised on the new purchase date unless prior to such date the participant has withdrawn from the offering.</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Amendment, Termination or Suspension of the ESPP; Term</w:t>
      </w:r>
    </w:p>
    <w:p>
      <w:pPr>
        <w:spacing w:after="0" w:line="110" w:lineRule="exact"/>
        <w:rPr>
          <w:sz w:val="20"/>
          <w:szCs w:val="20"/>
          <w:color w:val="auto"/>
        </w:rPr>
      </w:pPr>
    </w:p>
    <w:p>
      <w:pPr>
        <w:ind w:left="440" w:right="320" w:firstLine="415"/>
        <w:spacing w:after="0" w:line="287" w:lineRule="auto"/>
        <w:rPr>
          <w:sz w:val="20"/>
          <w:szCs w:val="20"/>
          <w:color w:val="auto"/>
        </w:rPr>
      </w:pPr>
      <w:r>
        <w:rPr>
          <w:rFonts w:ascii="Arial" w:cs="Arial" w:eastAsia="Arial" w:hAnsi="Arial"/>
          <w:sz w:val="15"/>
          <w:szCs w:val="15"/>
          <w:color w:val="auto"/>
        </w:rPr>
        <w:t>The Board may amend the ESPP at any time in any respect the Board deems necessary or advisable. However, except with respect to capitalization adjustments described above, stockholder approval will be required for any amendment of the ESPP for which stockholder approval is required by applicable laws, regulations or listing requirements, including any amendment that either (i) increases the number of shares of common stock available for issuance under the ESPP, (ii) expands the class of individuals eligible to become participants and receive purchase rights,</w:t>
      </w:r>
    </w:p>
    <w:p>
      <w:pPr>
        <w:spacing w:after="0" w:line="1" w:lineRule="exact"/>
        <w:rPr>
          <w:sz w:val="20"/>
          <w:szCs w:val="20"/>
          <w:color w:val="auto"/>
        </w:rPr>
      </w:pPr>
    </w:p>
    <w:p>
      <w:pPr>
        <w:ind w:left="440" w:right="60" w:hanging="6"/>
        <w:spacing w:after="0" w:line="254" w:lineRule="auto"/>
        <w:tabs>
          <w:tab w:leader="none" w:pos="737" w:val="left"/>
        </w:tabs>
        <w:numPr>
          <w:ilvl w:val="0"/>
          <w:numId w:val="143"/>
        </w:numPr>
        <w:rPr>
          <w:rFonts w:ascii="Arial" w:cs="Arial" w:eastAsia="Arial" w:hAnsi="Arial"/>
          <w:sz w:val="17"/>
          <w:szCs w:val="17"/>
          <w:color w:val="auto"/>
        </w:rPr>
      </w:pPr>
      <w:r>
        <w:rPr>
          <w:rFonts w:ascii="Arial" w:cs="Arial" w:eastAsia="Arial" w:hAnsi="Arial"/>
          <w:sz w:val="17"/>
          <w:szCs w:val="17"/>
          <w:color w:val="auto"/>
        </w:rPr>
        <w:t>materially increases the benefits accruing to participants under the ESPP or reduces the price at which shares of common stock may be purchased under the ESPP, (iv) extends the term of the ESPP, or (v) expands the types of awards available for issuance under the ESPP, but in each case only to the extent stockholder approval is required by applicable laws, regulations, or listing requirements.</w:t>
      </w:r>
    </w:p>
    <w:p>
      <w:pPr>
        <w:spacing w:after="0" w:line="182"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The Board may suspend or terminate the ESPP at any time. No purchase rights may be granted under the ESPP while the ESPP is suspended or after it is terminated.</w:t>
      </w:r>
    </w:p>
    <w:p>
      <w:pPr>
        <w:spacing w:after="0" w:line="166"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comply with any laws, listing requirements, or governmental regulations, or (iii) as necessary to obtain or maintain any special tax, listing, or regulatory treatment.</w:t>
      </w:r>
    </w:p>
    <w:p>
      <w:pPr>
        <w:spacing w:after="0" w:line="180"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The ESPP will be effective on the day immediately prior to the date on which this Registration Statement is declared effective by the SEC, and will expire on the tenth anniversary of the date the ESPP became effective.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0820"/>
          </w:cols>
          <w:pgMar w:left="320" w:top="442" w:right="75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U.S. Federal Income Tax Consequences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423 Component</w:t>
      </w:r>
    </w:p>
    <w:p>
      <w:pPr>
        <w:spacing w:after="0" w:line="110" w:lineRule="exact"/>
        <w:rPr>
          <w:sz w:val="20"/>
          <w:szCs w:val="20"/>
          <w:color w:val="auto"/>
        </w:rPr>
      </w:pPr>
    </w:p>
    <w:p>
      <w:pPr>
        <w:ind w:left="440" w:right="380" w:firstLine="415"/>
        <w:spacing w:after="0" w:line="306" w:lineRule="auto"/>
        <w:rPr>
          <w:sz w:val="20"/>
          <w:szCs w:val="20"/>
          <w:color w:val="auto"/>
        </w:rPr>
      </w:pPr>
      <w:r>
        <w:rPr>
          <w:rFonts w:ascii="Arial" w:cs="Arial" w:eastAsia="Arial" w:hAnsi="Arial"/>
          <w:sz w:val="16"/>
          <w:szCs w:val="16"/>
          <w:color w:val="auto"/>
        </w:rPr>
        <w:t>Rights granted under the 423 Component of the ESPP are intended to qualify for favorable U.S. federal income tax treatment associated with rights granted under an employee stock purchase plan which qualifies under the provisions of Section 423 of the Code.</w:t>
      </w:r>
    </w:p>
    <w:p>
      <w:pPr>
        <w:spacing w:after="0" w:line="141" w:lineRule="exact"/>
        <w:rPr>
          <w:sz w:val="20"/>
          <w:szCs w:val="20"/>
          <w:color w:val="auto"/>
        </w:rPr>
      </w:pPr>
    </w:p>
    <w:p>
      <w:pPr>
        <w:ind w:left="440" w:right="360" w:firstLine="415"/>
        <w:spacing w:after="0" w:line="285" w:lineRule="auto"/>
        <w:rPr>
          <w:sz w:val="20"/>
          <w:szCs w:val="20"/>
          <w:color w:val="auto"/>
        </w:rPr>
      </w:pPr>
      <w:r>
        <w:rPr>
          <w:rFonts w:ascii="Arial" w:cs="Arial" w:eastAsia="Arial" w:hAnsi="Arial"/>
          <w:sz w:val="16"/>
          <w:szCs w:val="16"/>
          <w:color w:val="auto"/>
        </w:rPr>
        <w:t>A participant will be taxed on amounts withheld for the purchase of shares of common stock as if such amounts were actually received. Otherwise, no income will be taxable to a participant as a result of the granting or exercise of a purchase right until a sale or other disposition of the acquired shares. The taxation upon such sale or other disposition will depend upon the holding period of the acquired shares.</w:t>
      </w:r>
    </w:p>
    <w:p>
      <w:pPr>
        <w:spacing w:after="0" w:line="159" w:lineRule="exact"/>
        <w:rPr>
          <w:sz w:val="20"/>
          <w:szCs w:val="20"/>
          <w:color w:val="auto"/>
        </w:rPr>
      </w:pPr>
    </w:p>
    <w:p>
      <w:pPr>
        <w:ind w:left="440" w:right="100" w:firstLine="415"/>
        <w:spacing w:after="0" w:line="255" w:lineRule="auto"/>
        <w:rPr>
          <w:sz w:val="20"/>
          <w:szCs w:val="20"/>
          <w:color w:val="auto"/>
        </w:rPr>
      </w:pPr>
      <w:r>
        <w:rPr>
          <w:rFonts w:ascii="Arial" w:cs="Arial" w:eastAsia="Arial" w:hAnsi="Arial"/>
          <w:sz w:val="17"/>
          <w:szCs w:val="17"/>
          <w:color w:val="auto"/>
        </w:rPr>
        <w:t>If the shares are sold or otherwise disposed of more than two years after the beginning of the offering period and more than one year after the shares are transferred to the participant, then the lesser of the following will be treated as ordinary income: (i) the excess of the fair market value of the shares at the time of such sale or other disposition over the purchase price; or (ii) the excess of the fair market value of the shares as of the beginning of the offering period over the purchase price (determined as of the beginning of the offering period). Any further gain or any loss will be taxed as a long-term capital gain or loss.</w:t>
      </w:r>
    </w:p>
    <w:p>
      <w:pPr>
        <w:spacing w:after="0" w:line="183" w:lineRule="exact"/>
        <w:rPr>
          <w:sz w:val="20"/>
          <w:szCs w:val="20"/>
          <w:color w:val="auto"/>
        </w:rPr>
      </w:pPr>
    </w:p>
    <w:p>
      <w:pPr>
        <w:ind w:left="440" w:right="180" w:firstLine="415"/>
        <w:spacing w:after="0" w:line="342" w:lineRule="auto"/>
        <w:rPr>
          <w:sz w:val="20"/>
          <w:szCs w:val="20"/>
          <w:color w:val="auto"/>
        </w:rPr>
      </w:pPr>
      <w:r>
        <w:rPr>
          <w:rFonts w:ascii="Arial" w:cs="Arial" w:eastAsia="Arial" w:hAnsi="Arial"/>
          <w:sz w:val="15"/>
          <w:szCs w:val="15"/>
          <w:color w:val="auto"/>
        </w:rPr>
        <w:t>If the shares are sold or otherwise disposed of before the expiration of either of the holding periods described above, then the excess of the fair market value of the shares on the purchase date over the purchase price will be treated as ordinary income at the time of such sale or other disposition.</w:t>
      </w:r>
    </w:p>
    <w:p>
      <w:pPr>
        <w:spacing w:after="0" w:line="119"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The balance of any gain will be treated as capital gain. Even if the shares are later sold or otherwise disposed of for less than their fair market value on the purchase date, the same amount of ordinary income is attributed to the participant, and a capital loss is recognized equal to the difference between the sales price and the fair market value of the shares on such purchase date. Any capital gain or loss will be short-term or long-term, depending on how long the shares have been held.</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Non-423 Component</w:t>
      </w:r>
    </w:p>
    <w:p>
      <w:pPr>
        <w:spacing w:after="0" w:line="110" w:lineRule="exact"/>
        <w:rPr>
          <w:sz w:val="20"/>
          <w:szCs w:val="20"/>
          <w:color w:val="auto"/>
        </w:rPr>
      </w:pPr>
    </w:p>
    <w:p>
      <w:pPr>
        <w:ind w:left="440" w:right="60" w:firstLine="415"/>
        <w:spacing w:after="0" w:line="298" w:lineRule="auto"/>
        <w:rPr>
          <w:sz w:val="20"/>
          <w:szCs w:val="20"/>
          <w:color w:val="auto"/>
        </w:rPr>
      </w:pPr>
      <w:r>
        <w:rPr>
          <w:rFonts w:ascii="Arial" w:cs="Arial" w:eastAsia="Arial" w:hAnsi="Arial"/>
          <w:sz w:val="15"/>
          <w:szCs w:val="15"/>
          <w:color w:val="auto"/>
        </w:rPr>
        <w:t>A participant will be taxed on amounts withheld for the purchase of shares of common stock as if such amounts were actually received. Under the Non-423 Component, a participant will recognize ordinary income equal to the excess, if any, of the fair market value of the underlying stock on the date of exercise of the purchase right over the purchase price. If the participant is employed by Definitive or one of its affiliates, that income will be subject to withholding taxes. The participant’s tax basis in those shares will be equal to the fair market value of the shares on the date of exercise of the purchase right, and the participant’s capital gain holding period for those shares will begin on the day after the shares are transferred to the participant.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Tax Effects for Definitive</w:t>
      </w:r>
    </w:p>
    <w:p>
      <w:pPr>
        <w:spacing w:after="0" w:line="114"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There are no U.S. federal income tax consequences to Definitive by reason of the grant or exercise of rights under the ESPP. Definitive is entitled to a deduction to the extent amounts are taxed as ordinary income to a participant for shares sold or otherwise disposed of before the expiration of the holding periods described above (subject to the requirement of reasonableness, the deduction limits under Section 162(m) of the Code and the satisfaction of tax reporting obligations).</w:t>
      </w:r>
    </w:p>
    <w:p>
      <w:pPr>
        <w:spacing w:after="0" w:line="18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THE FOREGOING IS ONLY A SUMMARY OF THE EFFECT OF CURRENT U.S. FEDERAL INCOME TAXATION UPON PARTICIPANTS AND DEFINITIVE WITH RESPECT TO AWARDS UNDER THE ESPP. IT DOES NOT PURPORT TO BE COMPLETE AND DOES NOT DISCUSS THE IMPACT OF EMPLOYMENT OR OTHER TAX REQUIREMENTS, THE TAX CONSEQUENCES OF A PARTICIPANT’S DEATH, OR THE PROVISIONS OF THE INCOME TAX LAWS OF ANY MUNICIPALITY, STATE, OR</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0800"/>
          </w:cols>
          <w:pgMar w:left="320" w:top="442" w:right="77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500"/>
        <w:spacing w:after="0" w:line="261" w:lineRule="auto"/>
        <w:rPr>
          <w:sz w:val="20"/>
          <w:szCs w:val="20"/>
          <w:color w:val="auto"/>
        </w:rPr>
      </w:pPr>
      <w:r>
        <w:rPr>
          <w:rFonts w:ascii="Arial" w:cs="Arial" w:eastAsia="Arial" w:hAnsi="Arial"/>
          <w:sz w:val="17"/>
          <w:szCs w:val="17"/>
          <w:color w:val="auto"/>
        </w:rPr>
        <w:t>FOREIGN COUNTRY IN WHICH THE PARTICIPANT MAY RESIDE. THE ESPP IS NOT QUALIFIED UNDER THE PROVISIONS OF SECTION 401(A) OF THE CODE AND IS NOT SUBJECT TO ANY OF THE PROVISIONS OF THE EMPLOYEE RETIREMENT INCOME SECURITY ACT OF 1974, AS AMENDED.</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Director Compensation</w:t>
      </w:r>
    </w:p>
    <w:p>
      <w:pPr>
        <w:spacing w:after="0" w:line="114" w:lineRule="exact"/>
        <w:rPr>
          <w:sz w:val="20"/>
          <w:szCs w:val="20"/>
          <w:color w:val="auto"/>
        </w:rPr>
      </w:pPr>
    </w:p>
    <w:p>
      <w:pPr>
        <w:jc w:val="both"/>
        <w:ind w:left="440" w:right="220" w:firstLine="415"/>
        <w:spacing w:after="0" w:line="342" w:lineRule="auto"/>
        <w:rPr>
          <w:sz w:val="20"/>
          <w:szCs w:val="20"/>
          <w:color w:val="auto"/>
        </w:rPr>
      </w:pPr>
      <w:r>
        <w:rPr>
          <w:rFonts w:ascii="Arial" w:cs="Arial" w:eastAsia="Arial" w:hAnsi="Arial"/>
          <w:sz w:val="15"/>
          <w:szCs w:val="15"/>
          <w:color w:val="auto"/>
        </w:rPr>
        <w:t>Any director who is an employee receives no additional compensation for services as a director or as a member of a committee of our Board. In connection with this offering, we expect that our Compensation Committee and Board will establish a non-employee director compensation program.</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sets forth information concerning the compensation of our directors for fiscal year 2020.</w:t>
      </w:r>
    </w:p>
    <w:p>
      <w:pPr>
        <w:spacing w:after="0" w:line="20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Stock</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400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1440" w:type="dxa"/>
            <w:vAlign w:val="bottom"/>
            <w:gridSpan w:val="3"/>
          </w:tcPr>
          <w:p>
            <w:pPr>
              <w:jc w:val="right"/>
              <w:ind w:right="588"/>
              <w:spacing w:after="0" w:line="140" w:lineRule="exact"/>
              <w:rPr>
                <w:sz w:val="20"/>
                <w:szCs w:val="20"/>
                <w:color w:val="auto"/>
              </w:rPr>
            </w:pPr>
            <w:r>
              <w:rPr>
                <w:rFonts w:ascii="Arial" w:cs="Arial" w:eastAsia="Arial" w:hAnsi="Arial"/>
                <w:sz w:val="14"/>
                <w:szCs w:val="14"/>
                <w:b w:val="1"/>
                <w:bCs w:val="1"/>
                <w:color w:val="auto"/>
                <w:w w:val="93"/>
              </w:rPr>
              <w:t>paid in cash</w:t>
            </w:r>
          </w:p>
        </w:tc>
        <w:tc>
          <w:tcPr>
            <w:tcW w:w="1140" w:type="dxa"/>
            <w:vAlign w:val="bottom"/>
            <w:gridSpan w:val="2"/>
          </w:tcPr>
          <w:p>
            <w:pPr>
              <w:jc w:val="center"/>
              <w:ind w:right="360"/>
              <w:spacing w:after="0" w:line="140" w:lineRule="exact"/>
              <w:rPr>
                <w:sz w:val="20"/>
                <w:szCs w:val="20"/>
                <w:color w:val="auto"/>
              </w:rPr>
            </w:pPr>
            <w:r>
              <w:rPr>
                <w:rFonts w:ascii="Arial" w:cs="Arial" w:eastAsia="Arial" w:hAnsi="Arial"/>
                <w:sz w:val="14"/>
                <w:szCs w:val="14"/>
                <w:b w:val="1"/>
                <w:bCs w:val="1"/>
                <w:color w:val="auto"/>
                <w:w w:val="86"/>
              </w:rPr>
              <w:t>awards</w:t>
            </w:r>
          </w:p>
        </w:tc>
        <w:tc>
          <w:tcPr>
            <w:tcW w:w="620" w:type="dxa"/>
            <w:vAlign w:val="bottom"/>
            <w:gridSpan w:val="2"/>
          </w:tcPr>
          <w:p>
            <w:pPr>
              <w:ind w:left="140"/>
              <w:spacing w:after="0" w:line="14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40" w:type="dxa"/>
            <w:vAlign w:val="bottom"/>
            <w:tcBorders>
              <w:bottom w:val="single" w:sz="8" w:color="auto"/>
            </w:tcBorders>
            <w:vMerge w:val="continue"/>
          </w:tcPr>
          <w:p>
            <w:pPr>
              <w:spacing w:after="0"/>
              <w:rPr>
                <w:sz w:val="14"/>
                <w:szCs w:val="14"/>
                <w:color w:val="auto"/>
              </w:rPr>
            </w:pPr>
          </w:p>
        </w:tc>
        <w:tc>
          <w:tcPr>
            <w:tcW w:w="4000" w:type="dxa"/>
            <w:vAlign w:val="bottom"/>
            <w:vMerge w:val="continue"/>
          </w:tcPr>
          <w:p>
            <w:pPr>
              <w:spacing w:after="0"/>
              <w:rPr>
                <w:sz w:val="14"/>
                <w:szCs w:val="14"/>
                <w:color w:val="auto"/>
              </w:rPr>
            </w:pPr>
          </w:p>
        </w:tc>
        <w:tc>
          <w:tcPr>
            <w:tcW w:w="2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ind w:right="277"/>
              <w:spacing w:after="0" w:line="147"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4"/>
                <w:szCs w:val="14"/>
                <w:color w:val="auto"/>
              </w:rPr>
            </w:pPr>
          </w:p>
        </w:tc>
        <w:tc>
          <w:tcPr>
            <w:tcW w:w="780" w:type="dxa"/>
            <w:vAlign w:val="bottom"/>
          </w:tcPr>
          <w:p>
            <w:pPr>
              <w:ind w:left="300"/>
              <w:spacing w:after="0" w:line="147"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560" w:type="dxa"/>
            <w:vAlign w:val="bottom"/>
          </w:tcPr>
          <w:p>
            <w:pPr>
              <w:jc w:val="right"/>
              <w:ind w:right="119"/>
              <w:spacing w:after="0" w:line="147"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Samuel A. Hamood</w:t>
            </w:r>
            <w:r>
              <w:rPr>
                <w:rFonts w:ascii="Arial" w:cs="Arial" w:eastAsia="Arial" w:hAnsi="Arial"/>
                <w:sz w:val="14"/>
                <w:szCs w:val="14"/>
                <w:color w:val="auto"/>
              </w:rPr>
              <w:t>(1)</w:t>
            </w:r>
          </w:p>
        </w:tc>
        <w:tc>
          <w:tcPr>
            <w:tcW w:w="28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17,500</w:t>
            </w:r>
          </w:p>
        </w:tc>
        <w:tc>
          <w:tcPr>
            <w:tcW w:w="580" w:type="dxa"/>
            <w:vAlign w:val="bottom"/>
            <w:tcBorders>
              <w:top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81"/>
              </w:rPr>
              <w:t>(2)</w:t>
            </w:r>
          </w:p>
        </w:tc>
        <w:tc>
          <w:tcPr>
            <w:tcW w:w="7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7"/>
                <w:szCs w:val="17"/>
                <w:color w:val="auto"/>
                <w:w w:val="91"/>
              </w:rPr>
              <w:t>$30,974</w:t>
            </w:r>
            <w:r>
              <w:rPr>
                <w:rFonts w:ascii="Arial" w:cs="Arial" w:eastAsia="Arial" w:hAnsi="Arial"/>
                <w:sz w:val="14"/>
                <w:szCs w:val="14"/>
                <w:color w:val="auto"/>
                <w:w w:val="91"/>
              </w:rPr>
              <w:t>(3)</w:t>
            </w:r>
          </w:p>
        </w:tc>
        <w:tc>
          <w:tcPr>
            <w:tcW w:w="3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$48,474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340" w:type="dxa"/>
            <w:vAlign w:val="bottom"/>
            <w:gridSpan w:val="2"/>
          </w:tcPr>
          <w:p>
            <w:pPr>
              <w:spacing w:after="0"/>
              <w:rPr>
                <w:sz w:val="20"/>
                <w:szCs w:val="20"/>
                <w:color w:val="auto"/>
              </w:rPr>
            </w:pPr>
            <w:r>
              <w:rPr>
                <w:rFonts w:ascii="Arial" w:cs="Arial" w:eastAsia="Arial" w:hAnsi="Arial"/>
                <w:sz w:val="17"/>
                <w:szCs w:val="17"/>
                <w:color w:val="auto"/>
              </w:rPr>
              <w:t>John Maldonado</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Christopher Egan</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tcPr>
          <w:p>
            <w:pPr>
              <w:spacing w:after="0"/>
              <w:rPr>
                <w:sz w:val="20"/>
                <w:szCs w:val="20"/>
                <w:color w:val="auto"/>
              </w:rPr>
            </w:pPr>
            <w:r>
              <w:rPr>
                <w:rFonts w:ascii="Arial" w:cs="Arial" w:eastAsia="Arial" w:hAnsi="Arial"/>
                <w:sz w:val="17"/>
                <w:szCs w:val="17"/>
                <w:color w:val="auto"/>
              </w:rPr>
              <w:t>Lauren Young</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Chris Mitchell</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tcPr>
          <w:p>
            <w:pPr>
              <w:spacing w:after="0"/>
              <w:rPr>
                <w:sz w:val="20"/>
                <w:szCs w:val="20"/>
                <w:color w:val="auto"/>
              </w:rPr>
            </w:pPr>
            <w:r>
              <w:rPr>
                <w:rFonts w:ascii="Arial" w:cs="Arial" w:eastAsia="Arial" w:hAnsi="Arial"/>
                <w:sz w:val="17"/>
                <w:szCs w:val="17"/>
                <w:color w:val="auto"/>
              </w:rPr>
              <w:t>Jeff Haywood</w:t>
            </w:r>
          </w:p>
        </w:tc>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 Randall Winn</w:t>
            </w:r>
          </w:p>
        </w:tc>
        <w:tc>
          <w:tcPr>
            <w:tcW w:w="2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8"/>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80645</wp:posOffset>
            </wp:positionV>
            <wp:extent cx="7270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46" w:lineRule="exact"/>
        <w:rPr>
          <w:sz w:val="20"/>
          <w:szCs w:val="20"/>
          <w:color w:val="auto"/>
        </w:rPr>
      </w:pPr>
    </w:p>
    <w:p>
      <w:pPr>
        <w:ind w:left="840" w:hanging="406"/>
        <w:spacing w:after="0"/>
        <w:tabs>
          <w:tab w:leader="none" w:pos="8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Our only director who received compensation in fiscal 2020 was Mr. Hamood, who joined the Board in September 2020.</w:t>
      </w:r>
    </w:p>
    <w:p>
      <w:pPr>
        <w:spacing w:after="0" w:line="19" w:lineRule="exact"/>
        <w:rPr>
          <w:rFonts w:ascii="Arial" w:cs="Arial" w:eastAsia="Arial" w:hAnsi="Arial"/>
          <w:sz w:val="17"/>
          <w:szCs w:val="17"/>
          <w:color w:val="auto"/>
        </w:rPr>
      </w:pPr>
    </w:p>
    <w:p>
      <w:pPr>
        <w:ind w:left="840" w:hanging="406"/>
        <w:spacing w:after="0"/>
        <w:tabs>
          <w:tab w:leader="none" w:pos="8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Earned for Mr. Hamood’s service on the Board and as chair of the Audit Committee in 2020, which was paid in January 2021.</w:t>
      </w:r>
    </w:p>
    <w:p>
      <w:pPr>
        <w:spacing w:after="0" w:line="8" w:lineRule="exact"/>
        <w:rPr>
          <w:rFonts w:ascii="Arial" w:cs="Arial" w:eastAsia="Arial" w:hAnsi="Arial"/>
          <w:sz w:val="17"/>
          <w:szCs w:val="17"/>
          <w:color w:val="auto"/>
        </w:rPr>
      </w:pPr>
    </w:p>
    <w:p>
      <w:pPr>
        <w:ind w:left="840" w:hanging="406"/>
        <w:spacing w:after="0"/>
        <w:tabs>
          <w:tab w:leader="none" w:pos="8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Mr. Hamood received a grant of 34,037 Class B Units on April 28, 2021 in consideration for his joining the Board.</w:t>
      </w:r>
    </w:p>
    <w:p>
      <w:pPr>
        <w:spacing w:after="0" w:line="136"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0820"/>
          </w:cols>
          <w:pgMar w:left="320" w:top="442" w:right="7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PRINCIPAL STOCKHOLDERS</w:t>
      </w:r>
    </w:p>
    <w:p>
      <w:pPr>
        <w:spacing w:after="0" w:line="216"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September 1, 2021 (i) as adjusted to give effect to the Reorganization Transactions, but prior to this offering, and (ii) as adjusted to give effect to the Reorganization Transactions and this offering as described in “Use of Proceeds” by:</w:t>
      </w:r>
    </w:p>
    <w:p>
      <w:pPr>
        <w:spacing w:after="0" w:line="87" w:lineRule="exact"/>
        <w:rPr>
          <w:sz w:val="20"/>
          <w:szCs w:val="20"/>
          <w:color w:val="auto"/>
        </w:rPr>
      </w:pPr>
    </w:p>
    <w:p>
      <w:pPr>
        <w:ind w:left="1360" w:hanging="519"/>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each person or group whom we know to own beneficially more than 5% of our common stock;</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each of the directors and named executive officers individually;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all directors and executive officers as a group.</w:t>
      </w:r>
    </w:p>
    <w:p>
      <w:pPr>
        <w:spacing w:after="0" w:line="110" w:lineRule="exact"/>
        <w:rPr>
          <w:sz w:val="20"/>
          <w:szCs w:val="20"/>
          <w:color w:val="auto"/>
        </w:rPr>
      </w:pPr>
    </w:p>
    <w:p>
      <w:pPr>
        <w:ind w:left="440" w:right="160" w:firstLine="415"/>
        <w:spacing w:after="0" w:line="254" w:lineRule="auto"/>
        <w:rPr>
          <w:sz w:val="20"/>
          <w:szCs w:val="20"/>
          <w:color w:val="auto"/>
        </w:rPr>
      </w:pPr>
      <w:r>
        <w:rPr>
          <w:rFonts w:ascii="Arial" w:cs="Arial" w:eastAsia="Arial" w:hAnsi="Arial"/>
          <w:sz w:val="17"/>
          <w:szCs w:val="17"/>
          <w:color w:val="auto"/>
        </w:rPr>
        <w:t>The numbers of shares of common stock beneficially owned, percentages of beneficial ownership and percentages of combined voting power before this offering that are set forth below are based on the number of shares of Class A common stock and Class B common stock to be issued and outstanding prior to this offering after giving effect to the Reorganization Transactions. See “Organizational Structure.” The numbers of shares of common stock beneficially owned, percentages of beneficial ownership and percentages of combined voting power after this offering that are set forth below are based on the number of shares of Class A common stock and Class B common stock to be issued and outstanding immediately after this offering.</w:t>
      </w:r>
    </w:p>
    <w:p>
      <w:pPr>
        <w:spacing w:after="0" w:line="82" w:lineRule="exact"/>
        <w:rPr>
          <w:sz w:val="20"/>
          <w:szCs w:val="20"/>
          <w:color w:val="auto"/>
        </w:rPr>
      </w:pPr>
    </w:p>
    <w:p>
      <w:pPr>
        <w:ind w:left="440" w:right="160" w:firstLine="415"/>
        <w:spacing w:after="0" w:line="279" w:lineRule="auto"/>
        <w:rPr>
          <w:sz w:val="20"/>
          <w:szCs w:val="20"/>
          <w:color w:val="auto"/>
        </w:rPr>
      </w:pPr>
      <w:r>
        <w:rPr>
          <w:rFonts w:ascii="Arial" w:cs="Arial" w:eastAsia="Arial" w:hAnsi="Arial"/>
          <w:sz w:val="16"/>
          <w:szCs w:val="16"/>
          <w:color w:val="auto"/>
        </w:rPr>
        <w:t>In connection with this offering, we will issue to each Continuing Pre-IPO LLC Member one share of Class B common stock for each LLC Unit such Continuing Pre-IPO LLC Member beneficially owns immediately prior to the consummation of this offering, The number of shares of Class A common stock listed in the table below represents the Class A common stock that will be issued in connection with this offering and the shares of Class A common stock that were issued to the Reorganization Parties in connection with the Mergers.</w:t>
      </w:r>
    </w:p>
    <w:p>
      <w:pPr>
        <w:spacing w:after="0" w:line="162" w:lineRule="exact"/>
        <w:rPr>
          <w:sz w:val="20"/>
          <w:szCs w:val="20"/>
          <w:color w:val="auto"/>
        </w:rPr>
      </w:pPr>
    </w:p>
    <w:p>
      <w:pPr>
        <w:ind w:left="440" w:right="80" w:firstLine="415"/>
        <w:spacing w:after="0" w:line="272" w:lineRule="auto"/>
        <w:rPr>
          <w:sz w:val="20"/>
          <w:szCs w:val="20"/>
          <w:color w:val="auto"/>
        </w:rPr>
      </w:pPr>
      <w:r>
        <w:rPr>
          <w:rFonts w:ascii="Arial" w:cs="Arial" w:eastAsia="Arial" w:hAnsi="Arial"/>
          <w:sz w:val="16"/>
          <w:szCs w:val="16"/>
          <w:color w:val="auto"/>
        </w:rPr>
        <w:t>In accordance with the rules of the SEC, beneficial ownership includes voting or investment power with respect to securities. The number of shares of Class A common stock outstanding after this offering includes shares of common stock being offered for sale by us in this offering and the shares of Class A common stock that were issued to the Reorganization Parties in connection with the Mergers. The table does not reflect any shares of our common stock that may be purchased through the directed share program, as described under “Underwriting—Directed Share Program.” Unless otherwise indicated, the address for each listed stockholder is: c/o Definitive Healthcare Corp., 550 Cochituate Rd,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10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0800"/>
          </w:cols>
          <w:pgMar w:left="320" w:top="442" w:right="77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6"/>
              </w:rPr>
              <w:t>Class A Common Stock Beneficially Owned</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6"/>
          </w:tcPr>
          <w:p>
            <w:pPr>
              <w:ind w:left="420"/>
              <w:spacing w:after="0"/>
              <w:rPr>
                <w:sz w:val="20"/>
                <w:szCs w:val="20"/>
                <w:color w:val="auto"/>
              </w:rPr>
            </w:pPr>
            <w:r>
              <w:rPr>
                <w:rFonts w:ascii="Arial" w:cs="Arial" w:eastAsia="Arial" w:hAnsi="Arial"/>
                <w:sz w:val="14"/>
                <w:szCs w:val="14"/>
                <w:b w:val="1"/>
                <w:bCs w:val="1"/>
                <w:color w:val="auto"/>
                <w:w w:val="99"/>
              </w:rPr>
              <w:t>Class B Common Stock Beneficially Owned</w:t>
            </w: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80" w:type="dxa"/>
            <w:vAlign w:val="bottom"/>
            <w:gridSpan w:val="3"/>
          </w:tcPr>
          <w:p>
            <w:pPr>
              <w:jc w:val="center"/>
              <w:ind w:right="240"/>
              <w:spacing w:after="0" w:line="113" w:lineRule="exact"/>
              <w:rPr>
                <w:sz w:val="20"/>
                <w:szCs w:val="20"/>
                <w:color w:val="auto"/>
              </w:rPr>
            </w:pPr>
            <w:r>
              <w:rPr>
                <w:rFonts w:ascii="Arial" w:cs="Arial" w:eastAsia="Arial" w:hAnsi="Arial"/>
                <w:sz w:val="12"/>
                <w:szCs w:val="12"/>
                <w:b w:val="1"/>
                <w:bCs w:val="1"/>
                <w:color w:val="auto"/>
                <w:w w:val="97"/>
              </w:rPr>
              <w:t>Shares of Class B</w:t>
            </w: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3"/>
              </w:rPr>
              <w:t>Shares of Class A</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3"/>
              </w:rPr>
              <w:t>Shares of Class A</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4"/>
              </w:rPr>
              <w:t>common stock</w:t>
            </w:r>
          </w:p>
        </w:tc>
        <w:tc>
          <w:tcPr>
            <w:tcW w:w="1280" w:type="dxa"/>
            <w:vAlign w:val="bottom"/>
            <w:gridSpan w:val="2"/>
          </w:tcPr>
          <w:p>
            <w:pPr>
              <w:jc w:val="center"/>
              <w:ind w:left="93"/>
              <w:spacing w:after="0" w:line="140" w:lineRule="exact"/>
              <w:rPr>
                <w:sz w:val="20"/>
                <w:szCs w:val="20"/>
                <w:color w:val="auto"/>
              </w:rPr>
            </w:pPr>
            <w:r>
              <w:rPr>
                <w:rFonts w:ascii="Arial" w:cs="Arial" w:eastAsia="Arial" w:hAnsi="Arial"/>
                <w:sz w:val="14"/>
                <w:szCs w:val="14"/>
                <w:b w:val="1"/>
                <w:bCs w:val="1"/>
                <w:color w:val="auto"/>
                <w:w w:val="83"/>
              </w:rPr>
              <w:t>Shares of Class B</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4"/>
              </w:rPr>
              <w:t>common stock</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4"/>
              </w:rPr>
              <w:t>common stock</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beneficially owned after</w:t>
            </w:r>
          </w:p>
        </w:tc>
        <w:tc>
          <w:tcPr>
            <w:tcW w:w="1280" w:type="dxa"/>
            <w:vAlign w:val="bottom"/>
            <w:gridSpan w:val="2"/>
          </w:tcPr>
          <w:p>
            <w:pPr>
              <w:jc w:val="center"/>
              <w:ind w:left="93"/>
              <w:spacing w:after="0" w:line="140" w:lineRule="exact"/>
              <w:rPr>
                <w:sz w:val="20"/>
                <w:szCs w:val="20"/>
                <w:color w:val="auto"/>
              </w:rPr>
            </w:pPr>
            <w:r>
              <w:rPr>
                <w:rFonts w:ascii="Arial" w:cs="Arial" w:eastAsia="Arial" w:hAnsi="Arial"/>
                <w:sz w:val="14"/>
                <w:szCs w:val="14"/>
                <w:b w:val="1"/>
                <w:bCs w:val="1"/>
                <w:color w:val="auto"/>
                <w:w w:val="84"/>
              </w:rPr>
              <w:t>common stock</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6"/>
              </w:rPr>
              <w:t>Class A Units in</w:t>
            </w: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8"/>
              </w:rPr>
              <w:t>beneficially owned after</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8"/>
              </w:rPr>
              <w:t>beneficially owned after</w:t>
            </w: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this offering</w:t>
            </w:r>
          </w:p>
        </w:tc>
        <w:tc>
          <w:tcPr>
            <w:tcW w:w="128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86"/>
              </w:rPr>
              <w:t>beneficially owned aft</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9"/>
              </w:rPr>
              <w:t>Definitive OpCo</w:t>
            </w: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5"/>
              </w:rPr>
              <w:t>this offering (assuming</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5"/>
              </w:rPr>
              <w:t>this offering (assuming</w:t>
            </w:r>
          </w:p>
        </w:tc>
        <w:tc>
          <w:tcPr>
            <w:tcW w:w="162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Class B Units in</w:t>
            </w: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3"/>
              </w:rPr>
              <w:t>(assuming no exercise</w:t>
            </w:r>
          </w:p>
        </w:tc>
        <w:tc>
          <w:tcPr>
            <w:tcW w:w="128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86"/>
              </w:rPr>
              <w:t>this offering (assumin</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beneficially</w:t>
            </w: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4"/>
              </w:rPr>
              <w:t>no exercise of the option</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4"/>
              </w:rPr>
              <w:t>full exercise of the</w:t>
            </w:r>
          </w:p>
        </w:tc>
        <w:tc>
          <w:tcPr>
            <w:tcW w:w="162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91"/>
              </w:rPr>
              <w:t>Definitive OpCo</w:t>
            </w:r>
          </w:p>
        </w:tc>
        <w:tc>
          <w:tcPr>
            <w:tcW w:w="16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4"/>
              </w:rPr>
              <w:t>of the option</w:t>
            </w:r>
          </w:p>
        </w:tc>
        <w:tc>
          <w:tcPr>
            <w:tcW w:w="1280" w:type="dxa"/>
            <w:vAlign w:val="bottom"/>
            <w:gridSpan w:val="2"/>
          </w:tcPr>
          <w:p>
            <w:pPr>
              <w:jc w:val="center"/>
              <w:ind w:left="93"/>
              <w:spacing w:after="0" w:line="140" w:lineRule="exact"/>
              <w:rPr>
                <w:sz w:val="20"/>
                <w:szCs w:val="20"/>
                <w:color w:val="auto"/>
              </w:rPr>
            </w:pPr>
            <w:r>
              <w:rPr>
                <w:rFonts w:ascii="Arial" w:cs="Arial" w:eastAsia="Arial" w:hAnsi="Arial"/>
                <w:sz w:val="14"/>
                <w:szCs w:val="14"/>
                <w:b w:val="1"/>
                <w:bCs w:val="1"/>
                <w:color w:val="auto"/>
                <w:w w:val="84"/>
              </w:rPr>
              <w:t>full exercise of the</w:t>
            </w:r>
          </w:p>
        </w:tc>
        <w:tc>
          <w:tcPr>
            <w:tcW w:w="0" w:type="dxa"/>
            <w:vAlign w:val="bottom"/>
          </w:tcPr>
          <w:p>
            <w:pPr>
              <w:spacing w:after="0"/>
              <w:rPr>
                <w:sz w:val="1"/>
                <w:szCs w:val="1"/>
                <w:color w:val="auto"/>
              </w:rPr>
            </w:pPr>
          </w:p>
        </w:tc>
      </w:tr>
      <w:tr>
        <w:trPr>
          <w:trHeight w:val="140"/>
        </w:trPr>
        <w:tc>
          <w:tcPr>
            <w:tcW w:w="1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5"/>
              </w:rPr>
              <w:t>owned before</w:t>
            </w:r>
          </w:p>
        </w:tc>
        <w:tc>
          <w:tcPr>
            <w:tcW w:w="166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5"/>
              </w:rPr>
              <w:t>to purchase</w:t>
            </w:r>
          </w:p>
        </w:tc>
        <w:tc>
          <w:tcPr>
            <w:tcW w:w="1680" w:type="dxa"/>
            <w:vAlign w:val="bottom"/>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5"/>
              </w:rPr>
              <w:t>option to purchase</w:t>
            </w:r>
          </w:p>
        </w:tc>
        <w:tc>
          <w:tcPr>
            <w:tcW w:w="1620" w:type="dxa"/>
            <w:vAlign w:val="bottom"/>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6"/>
              </w:rPr>
              <w:t>beneficially owned</w:t>
            </w:r>
          </w:p>
        </w:tc>
        <w:tc>
          <w:tcPr>
            <w:tcW w:w="1680" w:type="dxa"/>
            <w:vAlign w:val="bottom"/>
            <w:gridSpan w:val="3"/>
          </w:tcPr>
          <w:p>
            <w:pPr>
              <w:jc w:val="center"/>
              <w:ind w:right="240"/>
              <w:spacing w:after="0" w:line="140" w:lineRule="exact"/>
              <w:rPr>
                <w:sz w:val="20"/>
                <w:szCs w:val="20"/>
                <w:color w:val="auto"/>
              </w:rPr>
            </w:pPr>
            <w:r>
              <w:rPr>
                <w:rFonts w:ascii="Arial" w:cs="Arial" w:eastAsia="Arial" w:hAnsi="Arial"/>
                <w:sz w:val="14"/>
                <w:szCs w:val="14"/>
                <w:b w:val="1"/>
                <w:bCs w:val="1"/>
                <w:color w:val="auto"/>
                <w:w w:val="85"/>
              </w:rPr>
              <w:t>to purchase</w:t>
            </w:r>
          </w:p>
        </w:tc>
        <w:tc>
          <w:tcPr>
            <w:tcW w:w="1280" w:type="dxa"/>
            <w:vAlign w:val="bottom"/>
            <w:gridSpan w:val="2"/>
          </w:tcPr>
          <w:p>
            <w:pPr>
              <w:jc w:val="center"/>
              <w:ind w:left="93"/>
              <w:spacing w:after="0" w:line="140" w:lineRule="exact"/>
              <w:rPr>
                <w:sz w:val="20"/>
                <w:szCs w:val="20"/>
                <w:color w:val="auto"/>
              </w:rPr>
            </w:pPr>
            <w:r>
              <w:rPr>
                <w:rFonts w:ascii="Arial" w:cs="Arial" w:eastAsia="Arial" w:hAnsi="Arial"/>
                <w:sz w:val="14"/>
                <w:szCs w:val="14"/>
                <w:b w:val="1"/>
                <w:bCs w:val="1"/>
                <w:color w:val="auto"/>
                <w:w w:val="85"/>
              </w:rPr>
              <w:t>option to purchase</w:t>
            </w:r>
          </w:p>
        </w:tc>
        <w:tc>
          <w:tcPr>
            <w:tcW w:w="0" w:type="dxa"/>
            <w:vAlign w:val="bottom"/>
          </w:tcPr>
          <w:p>
            <w:pPr>
              <w:spacing w:after="0"/>
              <w:rPr>
                <w:sz w:val="1"/>
                <w:szCs w:val="1"/>
                <w:color w:val="auto"/>
              </w:rPr>
            </w:pPr>
          </w:p>
        </w:tc>
      </w:tr>
      <w:tr>
        <w:trPr>
          <w:trHeight w:val="160"/>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84"/>
              </w:rPr>
              <w:t>Name and Address of</w:t>
            </w:r>
          </w:p>
        </w:tc>
        <w:tc>
          <w:tcPr>
            <w:tcW w:w="60" w:type="dxa"/>
            <w:vAlign w:val="bottom"/>
          </w:tcPr>
          <w:p>
            <w:pPr>
              <w:spacing w:after="0"/>
              <w:rPr>
                <w:sz w:val="13"/>
                <w:szCs w:val="13"/>
                <w:color w:val="auto"/>
              </w:rPr>
            </w:pPr>
          </w:p>
        </w:tc>
        <w:tc>
          <w:tcPr>
            <w:tcW w:w="16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this offering</w:t>
            </w:r>
          </w:p>
        </w:tc>
        <w:tc>
          <w:tcPr>
            <w:tcW w:w="16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additional shares)</w:t>
            </w:r>
          </w:p>
        </w:tc>
        <w:tc>
          <w:tcPr>
            <w:tcW w:w="16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additional shares)</w:t>
            </w:r>
          </w:p>
        </w:tc>
        <w:tc>
          <w:tcPr>
            <w:tcW w:w="16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before this offering</w:t>
            </w:r>
          </w:p>
        </w:tc>
        <w:tc>
          <w:tcPr>
            <w:tcW w:w="16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6"/>
              </w:rPr>
              <w:t>additional shares)</w:t>
            </w:r>
          </w:p>
        </w:tc>
        <w:tc>
          <w:tcPr>
            <w:tcW w:w="128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w w:val="86"/>
              </w:rPr>
              <w:t>additional shares)</w:t>
            </w:r>
          </w:p>
        </w:tc>
        <w:tc>
          <w:tcPr>
            <w:tcW w:w="0" w:type="dxa"/>
            <w:vAlign w:val="bottom"/>
          </w:tcPr>
          <w:p>
            <w:pPr>
              <w:spacing w:after="0"/>
              <w:rPr>
                <w:sz w:val="1"/>
                <w:szCs w:val="1"/>
                <w:color w:val="auto"/>
              </w:rPr>
            </w:pPr>
          </w:p>
        </w:tc>
      </w:tr>
      <w:tr>
        <w:trPr>
          <w:trHeight w:val="107"/>
        </w:trPr>
        <w:tc>
          <w:tcPr>
            <w:tcW w:w="1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00" w:type="dxa"/>
            <w:vAlign w:val="bottom"/>
          </w:tcPr>
          <w:p>
            <w:pPr>
              <w:spacing w:after="0"/>
              <w:rPr>
                <w:sz w:val="9"/>
                <w:szCs w:val="9"/>
                <w:color w:val="auto"/>
              </w:rPr>
            </w:pPr>
          </w:p>
        </w:tc>
        <w:tc>
          <w:tcPr>
            <w:tcW w:w="76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8"/>
              </w:rPr>
              <w:t>Percentage</w:t>
            </w:r>
          </w:p>
        </w:tc>
        <w:tc>
          <w:tcPr>
            <w:tcW w:w="200" w:type="dxa"/>
            <w:vAlign w:val="bottom"/>
          </w:tcPr>
          <w:p>
            <w:pPr>
              <w:spacing w:after="0"/>
              <w:rPr>
                <w:sz w:val="9"/>
                <w:szCs w:val="9"/>
                <w:color w:val="auto"/>
              </w:rPr>
            </w:pP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72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w w:val="95"/>
              </w:rPr>
              <w:t>Percentage</w:t>
            </w:r>
          </w:p>
        </w:tc>
        <w:tc>
          <w:tcPr>
            <w:tcW w:w="22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Number of</w:t>
            </w:r>
          </w:p>
        </w:tc>
        <w:tc>
          <w:tcPr>
            <w:tcW w:w="540" w:type="dxa"/>
            <w:vAlign w:val="bottom"/>
            <w:tcBorders>
              <w:top w:val="single" w:sz="8" w:color="auto"/>
            </w:tcBorders>
          </w:tcPr>
          <w:p>
            <w:pPr>
              <w:jc w:val="right"/>
              <w:spacing w:after="0" w:line="107" w:lineRule="exact"/>
              <w:rPr>
                <w:sz w:val="20"/>
                <w:szCs w:val="20"/>
                <w:color w:val="auto"/>
              </w:rPr>
            </w:pPr>
            <w:r>
              <w:rPr>
                <w:rFonts w:ascii="Arial" w:cs="Arial" w:eastAsia="Arial" w:hAnsi="Arial"/>
                <w:sz w:val="12"/>
                <w:szCs w:val="12"/>
                <w:b w:val="1"/>
                <w:bCs w:val="1"/>
                <w:color w:val="auto"/>
              </w:rPr>
              <w:t>Percent</w:t>
            </w:r>
          </w:p>
        </w:tc>
        <w:tc>
          <w:tcPr>
            <w:tcW w:w="0" w:type="dxa"/>
            <w:vAlign w:val="bottom"/>
          </w:tcPr>
          <w:p>
            <w:pPr>
              <w:spacing w:after="0"/>
              <w:rPr>
                <w:sz w:val="1"/>
                <w:szCs w:val="1"/>
                <w:color w:val="auto"/>
              </w:rPr>
            </w:pPr>
          </w:p>
        </w:tc>
      </w:tr>
      <w:tr>
        <w:trPr>
          <w:trHeight w:val="153"/>
        </w:trPr>
        <w:tc>
          <w:tcPr>
            <w:tcW w:w="124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rPr>
              <w:t>Beneficial Owner</w:t>
            </w:r>
          </w:p>
        </w:tc>
        <w:tc>
          <w:tcPr>
            <w:tcW w:w="6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4"/>
              </w:rPr>
              <w:t>of Shares</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4"/>
              </w:rPr>
              <w:t>of Shares</w:t>
            </w:r>
          </w:p>
        </w:tc>
        <w:tc>
          <w:tcPr>
            <w:tcW w:w="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84"/>
              </w:rPr>
              <w:t>of Shares</w:t>
            </w:r>
          </w:p>
        </w:tc>
        <w:tc>
          <w:tcPr>
            <w:tcW w:w="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84"/>
              </w:rPr>
              <w:t>of Shares</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84"/>
              </w:rPr>
              <w:t>of Shares</w:t>
            </w:r>
          </w:p>
        </w:tc>
        <w:tc>
          <w:tcPr>
            <w:tcW w:w="7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1"/>
              </w:rPr>
              <w:t>Shares</w:t>
            </w:r>
          </w:p>
        </w:tc>
        <w:tc>
          <w:tcPr>
            <w:tcW w:w="5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of Shar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0</wp:posOffset>
            </wp:positionV>
            <wp:extent cx="6925310" cy="1295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25310" cy="1295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5"/>
          <w:szCs w:val="15"/>
          <w:b w:val="1"/>
          <w:bCs w:val="1"/>
          <w:u w:val="single" w:color="auto"/>
          <w:color w:val="auto"/>
        </w:rPr>
        <w:t>5% Stock Holders</w:t>
      </w:r>
    </w:p>
    <w:p>
      <w:pPr>
        <w:sectPr>
          <w:pgSz w:w="11900" w:h="16838" w:orient="portrait"/>
          <w:cols w:equalWidth="0" w:num="1">
            <w:col w:w="11340"/>
          </w:cols>
          <w:pgMar w:left="320" w:top="442" w:right="239" w:bottom="1440" w:gutter="0" w:footer="0" w:header="0"/>
        </w:sectPr>
      </w:pPr>
    </w:p>
    <w:p>
      <w:pPr>
        <w:spacing w:after="0" w:line="23" w:lineRule="exact"/>
        <w:rPr>
          <w:sz w:val="20"/>
          <w:szCs w:val="20"/>
          <w:color w:val="auto"/>
        </w:rPr>
      </w:pPr>
    </w:p>
    <w:tbl>
      <w:tblPr>
        <w:tblLayout w:type="fixed"/>
        <w:tblInd w:w="440" w:type="dxa"/>
        <w:tblCellMar>
          <w:top w:w="0" w:type="dxa"/>
          <w:left w:w="0" w:type="dxa"/>
          <w:bottom w:w="0" w:type="dxa"/>
          <w:right w:w="0" w:type="dxa"/>
        </w:tblCellMar>
      </w:tblP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w w:val="98"/>
              </w:rPr>
              <w:t>Funds Managed by</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Advent</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International</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Corporation (1)</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66,907,033</w:t>
            </w:r>
          </w:p>
        </w:tc>
        <w:tc>
          <w:tcPr>
            <w:tcW w:w="680" w:type="dxa"/>
            <w:vAlign w:val="bottom"/>
          </w:tcPr>
          <w:p>
            <w:pPr>
              <w:jc w:val="right"/>
              <w:spacing w:after="0"/>
              <w:rPr>
                <w:sz w:val="20"/>
                <w:szCs w:val="20"/>
                <w:color w:val="auto"/>
              </w:rPr>
            </w:pPr>
            <w:r>
              <w:rPr>
                <w:rFonts w:ascii="Arial" w:cs="Arial" w:eastAsia="Arial" w:hAnsi="Arial"/>
                <w:sz w:val="15"/>
                <w:szCs w:val="15"/>
                <w:color w:val="auto"/>
              </w:rPr>
              <w:t>51.2%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66,096,936</w:t>
            </w:r>
          </w:p>
        </w:tc>
        <w:tc>
          <w:tcPr>
            <w:tcW w:w="680" w:type="dxa"/>
            <w:vAlign w:val="bottom"/>
          </w:tcPr>
          <w:p>
            <w:pPr>
              <w:jc w:val="right"/>
              <w:spacing w:after="0"/>
              <w:rPr>
                <w:sz w:val="20"/>
                <w:szCs w:val="20"/>
                <w:color w:val="auto"/>
              </w:rPr>
            </w:pPr>
            <w:r>
              <w:rPr>
                <w:rFonts w:ascii="Arial" w:cs="Arial" w:eastAsia="Arial" w:hAnsi="Arial"/>
                <w:sz w:val="15"/>
                <w:szCs w:val="15"/>
                <w:color w:val="auto"/>
              </w:rPr>
              <w:t>75.5%</w:t>
            </w:r>
          </w:p>
        </w:tc>
        <w:tc>
          <w:tcPr>
            <w:tcW w:w="760" w:type="dxa"/>
            <w:vAlign w:val="bottom"/>
          </w:tcPr>
          <w:p>
            <w:pPr>
              <w:jc w:val="right"/>
              <w:spacing w:after="0"/>
              <w:rPr>
                <w:sz w:val="20"/>
                <w:szCs w:val="20"/>
                <w:color w:val="auto"/>
              </w:rPr>
            </w:pPr>
            <w:r>
              <w:rPr>
                <w:rFonts w:ascii="Arial" w:cs="Arial" w:eastAsia="Arial" w:hAnsi="Arial"/>
                <w:sz w:val="15"/>
                <w:szCs w:val="15"/>
                <w:color w:val="auto"/>
                <w:w w:val="98"/>
              </w:rPr>
              <w:t>64,599,903</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Affiliates of</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Spectrum Equity</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760" w:type="dxa"/>
            <w:vAlign w:val="bottom"/>
            <w:gridSpan w:val="2"/>
          </w:tcPr>
          <w:p>
            <w:pPr>
              <w:ind w:left="140"/>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31,744,051</w:t>
            </w:r>
          </w:p>
        </w:tc>
        <w:tc>
          <w:tcPr>
            <w:tcW w:w="680" w:type="dxa"/>
            <w:vAlign w:val="bottom"/>
          </w:tcPr>
          <w:p>
            <w:pPr>
              <w:jc w:val="right"/>
              <w:spacing w:after="0"/>
              <w:rPr>
                <w:sz w:val="20"/>
                <w:szCs w:val="20"/>
                <w:color w:val="auto"/>
              </w:rPr>
            </w:pPr>
            <w:r>
              <w:rPr>
                <w:rFonts w:ascii="Arial" w:cs="Arial" w:eastAsia="Arial" w:hAnsi="Arial"/>
                <w:sz w:val="15"/>
                <w:szCs w:val="15"/>
                <w:color w:val="auto"/>
              </w:rPr>
              <w:t>24.3%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2,952,482</w:t>
            </w:r>
          </w:p>
        </w:tc>
        <w:tc>
          <w:tcPr>
            <w:tcW w:w="680" w:type="dxa"/>
            <w:vAlign w:val="bottom"/>
          </w:tcPr>
          <w:p>
            <w:pPr>
              <w:jc w:val="right"/>
              <w:spacing w:after="0"/>
              <w:rPr>
                <w:sz w:val="20"/>
                <w:szCs w:val="20"/>
                <w:color w:val="auto"/>
              </w:rPr>
            </w:pPr>
            <w:r>
              <w:rPr>
                <w:rFonts w:ascii="Arial" w:cs="Arial" w:eastAsia="Arial" w:hAnsi="Arial"/>
                <w:sz w:val="15"/>
                <w:szCs w:val="15"/>
                <w:color w:val="auto"/>
              </w:rPr>
              <w:t>3.4%</w:t>
            </w:r>
          </w:p>
        </w:tc>
        <w:tc>
          <w:tcPr>
            <w:tcW w:w="760" w:type="dxa"/>
            <w:vAlign w:val="bottom"/>
          </w:tcPr>
          <w:p>
            <w:pPr>
              <w:jc w:val="right"/>
              <w:spacing w:after="0"/>
              <w:rPr>
                <w:sz w:val="20"/>
                <w:szCs w:val="20"/>
                <w:color w:val="auto"/>
              </w:rPr>
            </w:pPr>
            <w:r>
              <w:rPr>
                <w:rFonts w:ascii="Arial" w:cs="Arial" w:eastAsia="Arial" w:hAnsi="Arial"/>
                <w:sz w:val="15"/>
                <w:szCs w:val="15"/>
                <w:color w:val="auto"/>
              </w:rPr>
              <w:t>2,885,625</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Jason Krantz (3)</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21,162,701</w:t>
            </w:r>
          </w:p>
        </w:tc>
        <w:tc>
          <w:tcPr>
            <w:tcW w:w="680" w:type="dxa"/>
            <w:vAlign w:val="bottom"/>
          </w:tcPr>
          <w:p>
            <w:pPr>
              <w:jc w:val="right"/>
              <w:spacing w:after="0"/>
              <w:rPr>
                <w:sz w:val="20"/>
                <w:szCs w:val="20"/>
                <w:color w:val="auto"/>
              </w:rPr>
            </w:pPr>
            <w:r>
              <w:rPr>
                <w:rFonts w:ascii="Arial" w:cs="Arial" w:eastAsia="Arial" w:hAnsi="Arial"/>
                <w:sz w:val="15"/>
                <w:szCs w:val="15"/>
                <w:color w:val="auto"/>
              </w:rPr>
              <w:t>16.2%</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w w:val="98"/>
              </w:rPr>
              <w:t>AIDH Management</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Holdings, LLC</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5,795,721</w:t>
            </w:r>
          </w:p>
        </w:tc>
        <w:tc>
          <w:tcPr>
            <w:tcW w:w="680" w:type="dxa"/>
            <w:vAlign w:val="bottom"/>
          </w:tcPr>
          <w:p>
            <w:pPr>
              <w:jc w:val="right"/>
              <w:spacing w:after="0"/>
              <w:rPr>
                <w:sz w:val="20"/>
                <w:szCs w:val="20"/>
                <w:color w:val="auto"/>
              </w:rPr>
            </w:pPr>
            <w:r>
              <w:rPr>
                <w:rFonts w:ascii="Arial" w:cs="Arial" w:eastAsia="Arial" w:hAnsi="Arial"/>
                <w:sz w:val="15"/>
                <w:szCs w:val="15"/>
                <w:color w:val="auto"/>
              </w:rPr>
              <w:t>4.4%</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2,366,838</w:t>
            </w:r>
          </w:p>
        </w:tc>
        <w:tc>
          <w:tcPr>
            <w:tcW w:w="680" w:type="dxa"/>
            <w:vAlign w:val="bottom"/>
          </w:tcPr>
          <w:p>
            <w:pPr>
              <w:jc w:val="right"/>
              <w:spacing w:after="0"/>
              <w:rPr>
                <w:sz w:val="20"/>
                <w:szCs w:val="20"/>
                <w:color w:val="auto"/>
              </w:rPr>
            </w:pPr>
            <w:r>
              <w:rPr>
                <w:rFonts w:ascii="Arial" w:cs="Arial" w:eastAsia="Arial" w:hAnsi="Arial"/>
                <w:sz w:val="15"/>
                <w:szCs w:val="15"/>
                <w:color w:val="auto"/>
              </w:rPr>
              <w:t>2.7%</w:t>
            </w:r>
          </w:p>
        </w:tc>
        <w:tc>
          <w:tcPr>
            <w:tcW w:w="760" w:type="dxa"/>
            <w:vAlign w:val="bottom"/>
          </w:tcPr>
          <w:p>
            <w:pPr>
              <w:jc w:val="right"/>
              <w:spacing w:after="0"/>
              <w:rPr>
                <w:sz w:val="20"/>
                <w:szCs w:val="20"/>
                <w:color w:val="auto"/>
              </w:rPr>
            </w:pPr>
            <w:r>
              <w:rPr>
                <w:rFonts w:ascii="Arial" w:cs="Arial" w:eastAsia="Arial" w:hAnsi="Arial"/>
                <w:sz w:val="15"/>
                <w:szCs w:val="15"/>
                <w:color w:val="auto"/>
              </w:rPr>
              <w:t>2,354,024</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Affiliates of 22C</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color w:val="auto"/>
              </w:rPr>
              <w:t>Capital (4)</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5,000,000</w:t>
            </w:r>
          </w:p>
        </w:tc>
        <w:tc>
          <w:tcPr>
            <w:tcW w:w="680" w:type="dxa"/>
            <w:vAlign w:val="bottom"/>
          </w:tcPr>
          <w:p>
            <w:pPr>
              <w:jc w:val="right"/>
              <w:spacing w:after="0"/>
              <w:rPr>
                <w:sz w:val="20"/>
                <w:szCs w:val="20"/>
                <w:color w:val="auto"/>
              </w:rPr>
            </w:pPr>
            <w:r>
              <w:rPr>
                <w:rFonts w:ascii="Arial" w:cs="Arial" w:eastAsia="Arial" w:hAnsi="Arial"/>
                <w:sz w:val="15"/>
                <w:szCs w:val="15"/>
                <w:color w:val="auto"/>
              </w:rPr>
              <w:t>3.8%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550,985</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538,505</w:t>
            </w:r>
          </w:p>
        </w:tc>
      </w:tr>
      <w:tr>
        <w:trPr>
          <w:trHeight w:val="259"/>
        </w:trPr>
        <w:tc>
          <w:tcPr>
            <w:tcW w:w="114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w w:val="90"/>
              </w:rPr>
              <w:t>Named Executive</w:t>
            </w: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71"/>
        </w:trPr>
        <w:tc>
          <w:tcPr>
            <w:tcW w:w="140" w:type="dxa"/>
            <w:vAlign w:val="bottom"/>
          </w:tcPr>
          <w:p>
            <w:pPr>
              <w:spacing w:after="0"/>
              <w:rPr>
                <w:sz w:val="14"/>
                <w:szCs w:val="14"/>
                <w:color w:val="auto"/>
              </w:rPr>
            </w:pPr>
          </w:p>
        </w:tc>
        <w:tc>
          <w:tcPr>
            <w:tcW w:w="820" w:type="dxa"/>
            <w:vAlign w:val="bottom"/>
            <w:tcBorders>
              <w:bottom w:val="single" w:sz="8" w:color="auto"/>
            </w:tcBorders>
            <w:gridSpan w:val="2"/>
          </w:tcPr>
          <w:p>
            <w:pPr>
              <w:spacing w:after="0" w:line="171" w:lineRule="exact"/>
              <w:rPr>
                <w:sz w:val="20"/>
                <w:szCs w:val="20"/>
                <w:color w:val="auto"/>
              </w:rPr>
            </w:pPr>
            <w:r>
              <w:rPr>
                <w:rFonts w:ascii="Arial" w:cs="Arial" w:eastAsia="Arial" w:hAnsi="Arial"/>
                <w:sz w:val="15"/>
                <w:szCs w:val="15"/>
                <w:b w:val="1"/>
                <w:bCs w:val="1"/>
                <w:color w:val="auto"/>
                <w:w w:val="91"/>
              </w:rPr>
              <w:t>Officers and</w:t>
            </w:r>
          </w:p>
        </w:tc>
        <w:tc>
          <w:tcPr>
            <w:tcW w:w="320" w:type="dxa"/>
            <w:vAlign w:val="bottom"/>
            <w:gridSpan w:val="2"/>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140" w:type="dxa"/>
            <w:vAlign w:val="bottom"/>
          </w:tcPr>
          <w:p>
            <w:pPr>
              <w:spacing w:after="0"/>
              <w:rPr>
                <w:sz w:val="14"/>
                <w:szCs w:val="14"/>
                <w:color w:val="auto"/>
              </w:rPr>
            </w:pPr>
          </w:p>
        </w:tc>
        <w:tc>
          <w:tcPr>
            <w:tcW w:w="620" w:type="dxa"/>
            <w:vAlign w:val="bottom"/>
            <w:tcBorders>
              <w:bottom w:val="single" w:sz="8" w:color="auto"/>
            </w:tcBorders>
          </w:tcPr>
          <w:p>
            <w:pPr>
              <w:spacing w:after="0" w:line="171" w:lineRule="exact"/>
              <w:rPr>
                <w:sz w:val="20"/>
                <w:szCs w:val="20"/>
                <w:color w:val="auto"/>
              </w:rPr>
            </w:pPr>
            <w:r>
              <w:rPr>
                <w:rFonts w:ascii="Arial" w:cs="Arial" w:eastAsia="Arial" w:hAnsi="Arial"/>
                <w:sz w:val="15"/>
                <w:szCs w:val="15"/>
                <w:b w:val="1"/>
                <w:bCs w:val="1"/>
                <w:color w:val="auto"/>
                <w:w w:val="91"/>
              </w:rPr>
              <w:t>Directors</w:t>
            </w:r>
          </w:p>
        </w:tc>
        <w:tc>
          <w:tcPr>
            <w:tcW w:w="520" w:type="dxa"/>
            <w:vAlign w:val="bottom"/>
            <w:gridSpan w:val="3"/>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01"/>
        </w:trPr>
        <w:tc>
          <w:tcPr>
            <w:tcW w:w="1280" w:type="dxa"/>
            <w:vAlign w:val="bottom"/>
            <w:gridSpan w:val="5"/>
          </w:tcPr>
          <w:p>
            <w:pPr>
              <w:spacing w:after="0"/>
              <w:rPr>
                <w:sz w:val="20"/>
                <w:szCs w:val="20"/>
                <w:color w:val="auto"/>
              </w:rPr>
            </w:pPr>
            <w:r>
              <w:rPr>
                <w:rFonts w:ascii="Arial" w:cs="Arial" w:eastAsia="Arial" w:hAnsi="Arial"/>
                <w:sz w:val="15"/>
                <w:szCs w:val="15"/>
                <w:color w:val="auto"/>
              </w:rPr>
              <w:t>Jason Krantz (3)</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21,162,701</w:t>
            </w:r>
          </w:p>
        </w:tc>
        <w:tc>
          <w:tcPr>
            <w:tcW w:w="680" w:type="dxa"/>
            <w:vAlign w:val="bottom"/>
          </w:tcPr>
          <w:p>
            <w:pPr>
              <w:jc w:val="right"/>
              <w:spacing w:after="0"/>
              <w:rPr>
                <w:sz w:val="20"/>
                <w:szCs w:val="20"/>
                <w:color w:val="auto"/>
              </w:rPr>
            </w:pPr>
            <w:r>
              <w:rPr>
                <w:rFonts w:ascii="Arial" w:cs="Arial" w:eastAsia="Arial" w:hAnsi="Arial"/>
                <w:sz w:val="15"/>
                <w:szCs w:val="15"/>
                <w:color w:val="auto"/>
              </w:rPr>
              <w:t>16.2%</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Richard Booth</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David Samuels</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Joseph Mirisola</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275,289</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Kate Shamsuddin</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246,281</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Chris Mitchell (2)</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760" w:type="dxa"/>
            <w:vAlign w:val="bottom"/>
            <w:gridSpan w:val="2"/>
          </w:tcPr>
          <w:p>
            <w:pPr>
              <w:ind w:left="140"/>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Jeff Haywood</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Lauren Young (6)</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Chris Egan (6)</w:t>
            </w:r>
          </w:p>
        </w:tc>
        <w:tc>
          <w:tcPr>
            <w:tcW w:w="98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D. Randall Winn</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760" w:type="dxa"/>
            <w:vAlign w:val="bottom"/>
            <w:gridSpan w:val="2"/>
          </w:tcPr>
          <w:p>
            <w:pPr>
              <w:ind w:left="140"/>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5,000,000</w:t>
            </w:r>
          </w:p>
        </w:tc>
        <w:tc>
          <w:tcPr>
            <w:tcW w:w="680" w:type="dxa"/>
            <w:vAlign w:val="bottom"/>
          </w:tcPr>
          <w:p>
            <w:pPr>
              <w:jc w:val="right"/>
              <w:spacing w:after="0"/>
              <w:rPr>
                <w:sz w:val="20"/>
                <w:szCs w:val="20"/>
                <w:color w:val="auto"/>
              </w:rPr>
            </w:pPr>
            <w:r>
              <w:rPr>
                <w:rFonts w:ascii="Arial" w:cs="Arial" w:eastAsia="Arial" w:hAnsi="Arial"/>
                <w:sz w:val="15"/>
                <w:szCs w:val="15"/>
                <w:color w:val="auto"/>
              </w:rPr>
              <w:t>3.8%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550,985</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538,505</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w w:val="96"/>
              </w:rPr>
              <w:t>Samuel A. Hamood</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294,118</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rPr>
              <w:t>Jill Larsen</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33,047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191"/>
        </w:trPr>
        <w:tc>
          <w:tcPr>
            <w:tcW w:w="1280" w:type="dxa"/>
            <w:vAlign w:val="bottom"/>
            <w:gridSpan w:val="5"/>
          </w:tcPr>
          <w:p>
            <w:pPr>
              <w:spacing w:after="0"/>
              <w:rPr>
                <w:sz w:val="20"/>
                <w:szCs w:val="20"/>
                <w:color w:val="auto"/>
              </w:rPr>
            </w:pPr>
            <w:r>
              <w:rPr>
                <w:rFonts w:ascii="Arial" w:cs="Arial" w:eastAsia="Arial" w:hAnsi="Arial"/>
                <w:sz w:val="15"/>
                <w:szCs w:val="15"/>
                <w:color w:val="auto"/>
                <w:w w:val="95"/>
              </w:rPr>
              <w:t>Robert Musselwhite</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4"/>
        </w:trPr>
        <w:tc>
          <w:tcPr>
            <w:tcW w:w="760" w:type="dxa"/>
            <w:vAlign w:val="bottom"/>
            <w:gridSpan w:val="2"/>
          </w:tcPr>
          <w:p>
            <w:pPr>
              <w:ind w:left="140"/>
              <w:spacing w:after="0"/>
              <w:rPr>
                <w:sz w:val="20"/>
                <w:szCs w:val="20"/>
                <w:color w:val="auto"/>
              </w:rPr>
            </w:pPr>
            <w:r>
              <w:rPr>
                <w:rFonts w:ascii="Arial" w:cs="Arial" w:eastAsia="Arial" w:hAnsi="Arial"/>
                <w:sz w:val="15"/>
                <w:szCs w:val="15"/>
                <w:color w:val="auto"/>
              </w:rPr>
              <w:t>(8)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164"/>
              <w:spacing w:after="0"/>
              <w:rPr>
                <w:sz w:val="20"/>
                <w:szCs w:val="20"/>
                <w:color w:val="auto"/>
              </w:rPr>
            </w:pPr>
            <w:r>
              <w:rPr>
                <w:rFonts w:ascii="Arial" w:cs="Arial" w:eastAsia="Arial" w:hAnsi="Arial"/>
                <w:sz w:val="15"/>
                <w:szCs w:val="15"/>
                <w:color w:val="auto"/>
              </w:rPr>
              <w:t>330,469</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85"/>
        </w:trPr>
        <w:tc>
          <w:tcPr>
            <w:tcW w:w="1280" w:type="dxa"/>
            <w:vAlign w:val="bottom"/>
            <w:gridSpan w:val="5"/>
          </w:tcPr>
          <w:p>
            <w:pPr>
              <w:spacing w:after="0"/>
              <w:rPr>
                <w:sz w:val="20"/>
                <w:szCs w:val="20"/>
                <w:color w:val="auto"/>
              </w:rPr>
            </w:pPr>
            <w:r>
              <w:rPr>
                <w:rFonts w:ascii="Arial" w:cs="Arial" w:eastAsia="Arial" w:hAnsi="Arial"/>
                <w:sz w:val="15"/>
                <w:szCs w:val="15"/>
                <w:b w:val="1"/>
                <w:bCs w:val="1"/>
                <w:color w:val="auto"/>
              </w:rPr>
              <w:t>All Directors and</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Executive</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Officers as a</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1"/>
        </w:trPr>
        <w:tc>
          <w:tcPr>
            <w:tcW w:w="140" w:type="dxa"/>
            <w:vAlign w:val="bottom"/>
          </w:tcPr>
          <w:p>
            <w:pPr>
              <w:spacing w:after="0"/>
              <w:rPr>
                <w:sz w:val="16"/>
                <w:szCs w:val="16"/>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Group (13</w:t>
            </w: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8"/>
        </w:trPr>
        <w:tc>
          <w:tcPr>
            <w:tcW w:w="140" w:type="dxa"/>
            <w:vAlign w:val="bottom"/>
          </w:tcPr>
          <w:p>
            <w:pPr>
              <w:spacing w:after="0"/>
              <w:rPr>
                <w:sz w:val="17"/>
                <w:szCs w:val="17"/>
                <w:color w:val="auto"/>
              </w:rPr>
            </w:pPr>
          </w:p>
        </w:tc>
        <w:tc>
          <w:tcPr>
            <w:tcW w:w="1140" w:type="dxa"/>
            <w:vAlign w:val="bottom"/>
            <w:gridSpan w:val="4"/>
          </w:tcPr>
          <w:p>
            <w:pPr>
              <w:spacing w:after="0"/>
              <w:rPr>
                <w:sz w:val="20"/>
                <w:szCs w:val="20"/>
                <w:color w:val="auto"/>
              </w:rPr>
            </w:pPr>
            <w:r>
              <w:rPr>
                <w:rFonts w:ascii="Arial" w:cs="Arial" w:eastAsia="Arial" w:hAnsi="Arial"/>
                <w:sz w:val="15"/>
                <w:szCs w:val="15"/>
                <w:b w:val="1"/>
                <w:bCs w:val="1"/>
                <w:color w:val="auto"/>
              </w:rPr>
              <w:t>persons)</w:t>
            </w:r>
          </w:p>
        </w:tc>
        <w:tc>
          <w:tcPr>
            <w:tcW w:w="980" w:type="dxa"/>
            <w:vAlign w:val="bottom"/>
          </w:tcPr>
          <w:p>
            <w:pPr>
              <w:jc w:val="right"/>
              <w:ind w:right="164"/>
              <w:spacing w:after="0"/>
              <w:rPr>
                <w:sz w:val="20"/>
                <w:szCs w:val="20"/>
                <w:color w:val="auto"/>
              </w:rPr>
            </w:pPr>
            <w:r>
              <w:rPr>
                <w:rFonts w:ascii="Arial" w:cs="Arial" w:eastAsia="Arial" w:hAnsi="Arial"/>
                <w:sz w:val="15"/>
                <w:szCs w:val="15"/>
                <w:color w:val="auto"/>
                <w:w w:val="95"/>
              </w:rPr>
              <w:t>27,341,904</w:t>
            </w:r>
          </w:p>
        </w:tc>
        <w:tc>
          <w:tcPr>
            <w:tcW w:w="680" w:type="dxa"/>
            <w:vAlign w:val="bottom"/>
          </w:tcPr>
          <w:p>
            <w:pPr>
              <w:jc w:val="right"/>
              <w:spacing w:after="0"/>
              <w:rPr>
                <w:sz w:val="20"/>
                <w:szCs w:val="20"/>
                <w:color w:val="auto"/>
              </w:rPr>
            </w:pPr>
            <w:r>
              <w:rPr>
                <w:rFonts w:ascii="Arial" w:cs="Arial" w:eastAsia="Arial" w:hAnsi="Arial"/>
                <w:sz w:val="15"/>
                <w:szCs w:val="15"/>
                <w:color w:val="auto"/>
              </w:rPr>
              <w:t>20.9%</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550,985</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538,505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-4002405</wp:posOffset>
            </wp:positionV>
            <wp:extent cx="6925310" cy="3632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25310" cy="36322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-3517900</wp:posOffset>
            </wp:positionV>
            <wp:extent cx="6925310" cy="24257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25310" cy="24257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-2968625</wp:posOffset>
            </wp:positionV>
            <wp:extent cx="6925310" cy="3632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25310" cy="36322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-2484120</wp:posOffset>
            </wp:positionV>
            <wp:extent cx="6925310" cy="1212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5310" cy="12128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-2241550</wp:posOffset>
            </wp:positionV>
            <wp:extent cx="6925310" cy="1212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25310" cy="12128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-1999615</wp:posOffset>
            </wp:positionV>
            <wp:extent cx="6925310" cy="2425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25310" cy="24257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-1635760</wp:posOffset>
            </wp:positionV>
            <wp:extent cx="6925310" cy="1212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25310" cy="12128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-1393825</wp:posOffset>
            </wp:positionV>
            <wp:extent cx="6925310" cy="2425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25310" cy="24257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-1029970</wp:posOffset>
            </wp:positionV>
            <wp:extent cx="6925310" cy="1212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25310" cy="12128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-601980</wp:posOffset>
            </wp:positionV>
            <wp:extent cx="6925310" cy="6057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25310" cy="60579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83820</wp:posOffset>
            </wp:positionV>
            <wp:extent cx="7270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460" w:type="dxa"/>
            <w:vAlign w:val="bottom"/>
          </w:tcPr>
          <w:p>
            <w:pPr>
              <w:jc w:val="right"/>
              <w:spacing w:after="0"/>
              <w:rPr>
                <w:sz w:val="20"/>
                <w:szCs w:val="20"/>
                <w:color w:val="auto"/>
              </w:rPr>
            </w:pPr>
            <w:r>
              <w:rPr>
                <w:rFonts w:ascii="Arial" w:cs="Arial" w:eastAsia="Arial" w:hAnsi="Arial"/>
                <w:sz w:val="15"/>
                <w:szCs w:val="15"/>
                <w:color w:val="auto"/>
                <w:w w:val="89"/>
              </w:rPr>
              <w:t>73.2%</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569"/>
        </w:trPr>
        <w:tc>
          <w:tcPr>
            <w:tcW w:w="460" w:type="dxa"/>
            <w:vAlign w:val="bottom"/>
          </w:tcPr>
          <w:p>
            <w:pPr>
              <w:jc w:val="right"/>
              <w:spacing w:after="0"/>
              <w:rPr>
                <w:sz w:val="20"/>
                <w:szCs w:val="20"/>
                <w:color w:val="auto"/>
              </w:rPr>
            </w:pPr>
            <w:r>
              <w:rPr>
                <w:rFonts w:ascii="Arial" w:cs="Arial" w:eastAsia="Arial" w:hAnsi="Arial"/>
                <w:sz w:val="15"/>
                <w:szCs w:val="15"/>
                <w:color w:val="auto"/>
              </w:rPr>
              <w:t>3.3%</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28,350,560</w:t>
            </w:r>
          </w:p>
        </w:tc>
        <w:tc>
          <w:tcPr>
            <w:tcW w:w="680" w:type="dxa"/>
            <w:vAlign w:val="bottom"/>
          </w:tcPr>
          <w:p>
            <w:pPr>
              <w:jc w:val="right"/>
              <w:spacing w:after="0"/>
              <w:rPr>
                <w:sz w:val="20"/>
                <w:szCs w:val="20"/>
                <w:color w:val="auto"/>
              </w:rPr>
            </w:pPr>
            <w:r>
              <w:rPr>
                <w:rFonts w:ascii="Arial" w:cs="Arial" w:eastAsia="Arial" w:hAnsi="Arial"/>
                <w:sz w:val="15"/>
                <w:szCs w:val="15"/>
                <w:color w:val="auto"/>
              </w:rPr>
              <w:t>46.8%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27,708,577</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194"/>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1,348,146</w:t>
            </w:r>
          </w:p>
        </w:tc>
        <w:tc>
          <w:tcPr>
            <w:tcW w:w="720" w:type="dxa"/>
            <w:vAlign w:val="bottom"/>
          </w:tcPr>
          <w:p>
            <w:pPr>
              <w:jc w:val="right"/>
              <w:spacing w:after="0"/>
              <w:rPr>
                <w:sz w:val="20"/>
                <w:szCs w:val="20"/>
                <w:color w:val="auto"/>
              </w:rPr>
            </w:pPr>
            <w:r>
              <w:rPr>
                <w:rFonts w:ascii="Arial" w:cs="Arial" w:eastAsia="Arial" w:hAnsi="Arial"/>
                <w:sz w:val="15"/>
                <w:szCs w:val="15"/>
                <w:color w:val="auto"/>
              </w:rPr>
              <w:t>21.3%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21,952,956</w:t>
            </w:r>
          </w:p>
        </w:tc>
        <w:tc>
          <w:tcPr>
            <w:tcW w:w="680" w:type="dxa"/>
            <w:vAlign w:val="bottom"/>
          </w:tcPr>
          <w:p>
            <w:pPr>
              <w:jc w:val="right"/>
              <w:spacing w:after="0"/>
              <w:rPr>
                <w:sz w:val="20"/>
                <w:szCs w:val="20"/>
                <w:color w:val="auto"/>
              </w:rPr>
            </w:pPr>
            <w:r>
              <w:rPr>
                <w:rFonts w:ascii="Arial" w:cs="Arial" w:eastAsia="Arial" w:hAnsi="Arial"/>
                <w:sz w:val="15"/>
                <w:szCs w:val="15"/>
                <w:color w:val="auto"/>
              </w:rPr>
              <w:t>36.2%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21,952,956</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382"/>
        </w:trPr>
        <w:tc>
          <w:tcPr>
            <w:tcW w:w="460" w:type="dxa"/>
            <w:vAlign w:val="bottom"/>
          </w:tcPr>
          <w:p>
            <w:pPr>
              <w:jc w:val="right"/>
              <w:spacing w:after="0"/>
              <w:rPr>
                <w:sz w:val="20"/>
                <w:szCs w:val="20"/>
                <w:color w:val="auto"/>
              </w:rPr>
            </w:pPr>
            <w:r>
              <w:rPr>
                <w:rFonts w:ascii="Arial" w:cs="Arial" w:eastAsia="Arial" w:hAnsi="Arial"/>
                <w:sz w:val="15"/>
                <w:szCs w:val="15"/>
                <w:color w:val="auto"/>
              </w:rPr>
              <w:t>2.7%</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6,342,562</w:t>
            </w:r>
          </w:p>
        </w:tc>
        <w:tc>
          <w:tcPr>
            <w:tcW w:w="720" w:type="dxa"/>
            <w:vAlign w:val="bottom"/>
          </w:tcPr>
          <w:p>
            <w:pPr>
              <w:jc w:val="right"/>
              <w:spacing w:after="0"/>
              <w:rPr>
                <w:sz w:val="20"/>
                <w:szCs w:val="20"/>
                <w:color w:val="auto"/>
              </w:rPr>
            </w:pPr>
            <w:r>
              <w:rPr>
                <w:rFonts w:ascii="Arial" w:cs="Arial" w:eastAsia="Arial" w:hAnsi="Arial"/>
                <w:sz w:val="15"/>
                <w:szCs w:val="15"/>
                <w:color w:val="auto"/>
              </w:rPr>
              <w:t>100.0%</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5,913,168</w:t>
            </w:r>
          </w:p>
        </w:tc>
        <w:tc>
          <w:tcPr>
            <w:tcW w:w="680" w:type="dxa"/>
            <w:vAlign w:val="bottom"/>
          </w:tcPr>
          <w:p>
            <w:pPr>
              <w:jc w:val="right"/>
              <w:spacing w:after="0"/>
              <w:rPr>
                <w:sz w:val="20"/>
                <w:szCs w:val="20"/>
                <w:color w:val="auto"/>
              </w:rPr>
            </w:pPr>
            <w:r>
              <w:rPr>
                <w:rFonts w:ascii="Arial" w:cs="Arial" w:eastAsia="Arial" w:hAnsi="Arial"/>
                <w:sz w:val="15"/>
                <w:szCs w:val="15"/>
                <w:color w:val="auto"/>
              </w:rPr>
              <w:t>9.8%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5,910,461</w:t>
            </w:r>
          </w:p>
        </w:tc>
        <w:tc>
          <w:tcPr>
            <w:tcW w:w="300" w:type="dxa"/>
            <w:vAlign w:val="bottom"/>
          </w:tcPr>
          <w:p>
            <w:pPr>
              <w:spacing w:after="0"/>
              <w:rPr>
                <w:sz w:val="24"/>
                <w:szCs w:val="24"/>
                <w:color w:val="auto"/>
              </w:rPr>
            </w:pPr>
          </w:p>
        </w:tc>
      </w:tr>
      <w:tr>
        <w:trPr>
          <w:trHeight w:val="382"/>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4,391,056</w:t>
            </w:r>
          </w:p>
        </w:tc>
        <w:tc>
          <w:tcPr>
            <w:tcW w:w="680" w:type="dxa"/>
            <w:vAlign w:val="bottom"/>
          </w:tcPr>
          <w:p>
            <w:pPr>
              <w:jc w:val="right"/>
              <w:spacing w:after="0"/>
              <w:rPr>
                <w:sz w:val="20"/>
                <w:szCs w:val="20"/>
                <w:color w:val="auto"/>
              </w:rPr>
            </w:pPr>
            <w:r>
              <w:rPr>
                <w:rFonts w:ascii="Arial" w:cs="Arial" w:eastAsia="Arial" w:hAnsi="Arial"/>
                <w:sz w:val="15"/>
                <w:szCs w:val="15"/>
                <w:color w:val="auto"/>
              </w:rPr>
              <w:t>7.2%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4,291,597</w:t>
            </w:r>
          </w:p>
        </w:tc>
        <w:tc>
          <w:tcPr>
            <w:tcW w:w="300" w:type="dxa"/>
            <w:vAlign w:val="bottom"/>
          </w:tcPr>
          <w:p>
            <w:pPr>
              <w:spacing w:after="0"/>
              <w:rPr>
                <w:sz w:val="24"/>
                <w:szCs w:val="24"/>
                <w:color w:val="auto"/>
              </w:rPr>
            </w:pPr>
          </w:p>
        </w:tc>
      </w:tr>
      <w:tr>
        <w:trPr>
          <w:trHeight w:val="862"/>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1,348,146</w:t>
            </w:r>
          </w:p>
        </w:tc>
        <w:tc>
          <w:tcPr>
            <w:tcW w:w="720" w:type="dxa"/>
            <w:vAlign w:val="bottom"/>
          </w:tcPr>
          <w:p>
            <w:pPr>
              <w:jc w:val="right"/>
              <w:spacing w:after="0"/>
              <w:rPr>
                <w:sz w:val="20"/>
                <w:szCs w:val="20"/>
                <w:color w:val="auto"/>
              </w:rPr>
            </w:pPr>
            <w:r>
              <w:rPr>
                <w:rFonts w:ascii="Arial" w:cs="Arial" w:eastAsia="Arial" w:hAnsi="Arial"/>
                <w:sz w:val="15"/>
                <w:szCs w:val="15"/>
                <w:color w:val="auto"/>
              </w:rPr>
              <w:t>21.3%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21,952,956</w:t>
            </w:r>
          </w:p>
        </w:tc>
        <w:tc>
          <w:tcPr>
            <w:tcW w:w="680" w:type="dxa"/>
            <w:vAlign w:val="bottom"/>
          </w:tcPr>
          <w:p>
            <w:pPr>
              <w:jc w:val="right"/>
              <w:spacing w:after="0"/>
              <w:rPr>
                <w:sz w:val="20"/>
                <w:szCs w:val="20"/>
                <w:color w:val="auto"/>
              </w:rPr>
            </w:pPr>
            <w:r>
              <w:rPr>
                <w:rFonts w:ascii="Arial" w:cs="Arial" w:eastAsia="Arial" w:hAnsi="Arial"/>
                <w:sz w:val="15"/>
                <w:szCs w:val="15"/>
                <w:color w:val="auto"/>
              </w:rPr>
              <w:t>36.2%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21,952,956</w:t>
            </w:r>
          </w:p>
        </w:tc>
        <w:tc>
          <w:tcPr>
            <w:tcW w:w="30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1,089,185</w:t>
            </w:r>
          </w:p>
        </w:tc>
        <w:tc>
          <w:tcPr>
            <w:tcW w:w="720" w:type="dxa"/>
            <w:vAlign w:val="bottom"/>
          </w:tcPr>
          <w:p>
            <w:pPr>
              <w:jc w:val="right"/>
              <w:spacing w:after="0"/>
              <w:rPr>
                <w:sz w:val="20"/>
                <w:szCs w:val="20"/>
                <w:color w:val="auto"/>
              </w:rPr>
            </w:pPr>
            <w:r>
              <w:rPr>
                <w:rFonts w:ascii="Arial" w:cs="Arial" w:eastAsia="Arial" w:hAnsi="Arial"/>
                <w:sz w:val="15"/>
                <w:szCs w:val="15"/>
                <w:color w:val="auto"/>
              </w:rPr>
              <w:t>17.2%</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438,638</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438,638</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510,555</w:t>
            </w:r>
          </w:p>
        </w:tc>
        <w:tc>
          <w:tcPr>
            <w:tcW w:w="720" w:type="dxa"/>
            <w:vAlign w:val="bottom"/>
          </w:tcPr>
          <w:p>
            <w:pPr>
              <w:jc w:val="right"/>
              <w:spacing w:after="0"/>
              <w:rPr>
                <w:sz w:val="20"/>
                <w:szCs w:val="20"/>
                <w:color w:val="auto"/>
              </w:rPr>
            </w:pPr>
            <w:r>
              <w:rPr>
                <w:rFonts w:ascii="Arial" w:cs="Arial" w:eastAsia="Arial" w:hAnsi="Arial"/>
                <w:sz w:val="15"/>
                <w:szCs w:val="15"/>
                <w:color w:val="auto"/>
              </w:rPr>
              <w:t>8.0%</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205,612</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205,612</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303,333</w:t>
            </w:r>
          </w:p>
        </w:tc>
        <w:tc>
          <w:tcPr>
            <w:tcW w:w="720" w:type="dxa"/>
            <w:vAlign w:val="bottom"/>
          </w:tcPr>
          <w:p>
            <w:pPr>
              <w:jc w:val="right"/>
              <w:spacing w:after="0"/>
              <w:rPr>
                <w:sz w:val="20"/>
                <w:szCs w:val="20"/>
                <w:color w:val="auto"/>
              </w:rPr>
            </w:pPr>
            <w:r>
              <w:rPr>
                <w:rFonts w:ascii="Arial" w:cs="Arial" w:eastAsia="Arial" w:hAnsi="Arial"/>
                <w:sz w:val="15"/>
                <w:szCs w:val="15"/>
                <w:color w:val="auto"/>
              </w:rPr>
              <w:t>4.8%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458,612</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458,612</w:t>
            </w:r>
          </w:p>
        </w:tc>
        <w:tc>
          <w:tcPr>
            <w:tcW w:w="300" w:type="dxa"/>
            <w:vAlign w:val="bottom"/>
          </w:tcPr>
          <w:p>
            <w:pPr>
              <w:spacing w:after="0"/>
              <w:rPr>
                <w:sz w:val="16"/>
                <w:szCs w:val="16"/>
                <w:color w:val="auto"/>
              </w:rPr>
            </w:pPr>
          </w:p>
        </w:tc>
      </w:tr>
      <w:tr>
        <w:trPr>
          <w:trHeight w:val="194"/>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303,333</w:t>
            </w:r>
          </w:p>
        </w:tc>
        <w:tc>
          <w:tcPr>
            <w:tcW w:w="720" w:type="dxa"/>
            <w:vAlign w:val="bottom"/>
          </w:tcPr>
          <w:p>
            <w:pPr>
              <w:jc w:val="right"/>
              <w:spacing w:after="0"/>
              <w:rPr>
                <w:sz w:val="20"/>
                <w:szCs w:val="20"/>
                <w:color w:val="auto"/>
              </w:rPr>
            </w:pPr>
            <w:r>
              <w:rPr>
                <w:rFonts w:ascii="Arial" w:cs="Arial" w:eastAsia="Arial" w:hAnsi="Arial"/>
                <w:sz w:val="15"/>
                <w:szCs w:val="15"/>
                <w:color w:val="auto"/>
              </w:rPr>
              <w:t>4.8%</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429,620</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429,620</w:t>
            </w:r>
          </w:p>
        </w:tc>
        <w:tc>
          <w:tcPr>
            <w:tcW w:w="300" w:type="dxa"/>
            <w:vAlign w:val="bottom"/>
          </w:tcPr>
          <w:p>
            <w:pPr>
              <w:spacing w:after="0"/>
              <w:rPr>
                <w:sz w:val="16"/>
                <w:szCs w:val="16"/>
                <w:color w:val="auto"/>
              </w:rPr>
            </w:pPr>
          </w:p>
        </w:tc>
      </w:tr>
      <w:tr>
        <w:trPr>
          <w:trHeight w:val="378"/>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24"/>
                <w:szCs w:val="24"/>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194"/>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r>
      <w:tr>
        <w:trPr>
          <w:trHeight w:val="378"/>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04"/>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4,391,056</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4,291,597</w:t>
            </w:r>
          </w:p>
        </w:tc>
        <w:tc>
          <w:tcPr>
            <w:tcW w:w="300" w:type="dxa"/>
            <w:vAlign w:val="bottom"/>
          </w:tcPr>
          <w:p>
            <w:pPr>
              <w:spacing w:after="0"/>
              <w:rPr>
                <w:sz w:val="24"/>
                <w:szCs w:val="24"/>
                <w:color w:val="auto"/>
              </w:rPr>
            </w:pPr>
          </w:p>
        </w:tc>
      </w:tr>
      <w:tr>
        <w:trPr>
          <w:trHeight w:val="191"/>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34,037</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308,632</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308,632</w:t>
            </w:r>
          </w:p>
        </w:tc>
        <w:tc>
          <w:tcPr>
            <w:tcW w:w="300" w:type="dxa"/>
            <w:vAlign w:val="bottom"/>
          </w:tcPr>
          <w:p>
            <w:pPr>
              <w:spacing w:after="0"/>
              <w:rPr>
                <w:sz w:val="16"/>
                <w:szCs w:val="16"/>
                <w:color w:val="auto"/>
              </w:rPr>
            </w:pPr>
          </w:p>
        </w:tc>
      </w:tr>
      <w:tr>
        <w:trPr>
          <w:trHeight w:val="194"/>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25,000</w:t>
            </w:r>
          </w:p>
        </w:tc>
        <w:tc>
          <w:tcPr>
            <w:tcW w:w="72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43,377</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43,377</w:t>
            </w:r>
          </w:p>
        </w:tc>
        <w:tc>
          <w:tcPr>
            <w:tcW w:w="300" w:type="dxa"/>
            <w:vAlign w:val="bottom"/>
          </w:tcPr>
          <w:p>
            <w:pPr>
              <w:spacing w:after="0"/>
              <w:rPr>
                <w:sz w:val="16"/>
                <w:szCs w:val="16"/>
                <w:color w:val="auto"/>
              </w:rPr>
            </w:pPr>
          </w:p>
        </w:tc>
      </w:tr>
      <w:tr>
        <w:trPr>
          <w:trHeight w:val="382"/>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rPr>
              <w:t>325,000</w:t>
            </w:r>
          </w:p>
        </w:tc>
        <w:tc>
          <w:tcPr>
            <w:tcW w:w="720" w:type="dxa"/>
            <w:vAlign w:val="bottom"/>
          </w:tcPr>
          <w:p>
            <w:pPr>
              <w:jc w:val="right"/>
              <w:spacing w:after="0"/>
              <w:rPr>
                <w:sz w:val="20"/>
                <w:szCs w:val="20"/>
                <w:color w:val="auto"/>
              </w:rPr>
            </w:pPr>
            <w:r>
              <w:rPr>
                <w:rFonts w:ascii="Arial" w:cs="Arial" w:eastAsia="Arial" w:hAnsi="Arial"/>
                <w:sz w:val="15"/>
                <w:szCs w:val="15"/>
                <w:color w:val="auto"/>
              </w:rPr>
              <w:t>5.1%</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463,972</w:t>
            </w:r>
          </w:p>
        </w:tc>
        <w:tc>
          <w:tcPr>
            <w:tcW w:w="68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rPr>
              <w:t>463,972</w:t>
            </w:r>
          </w:p>
        </w:tc>
        <w:tc>
          <w:tcPr>
            <w:tcW w:w="300" w:type="dxa"/>
            <w:vAlign w:val="bottom"/>
          </w:tcPr>
          <w:p>
            <w:pPr>
              <w:spacing w:after="0"/>
              <w:rPr>
                <w:sz w:val="24"/>
                <w:szCs w:val="24"/>
                <w:color w:val="auto"/>
              </w:rPr>
            </w:pPr>
          </w:p>
        </w:tc>
      </w:tr>
      <w:tr>
        <w:trPr>
          <w:trHeight w:val="1056"/>
        </w:trPr>
        <w:tc>
          <w:tcPr>
            <w:tcW w:w="46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24"/>
              <w:spacing w:after="0"/>
              <w:rPr>
                <w:sz w:val="20"/>
                <w:szCs w:val="20"/>
                <w:color w:val="auto"/>
              </w:rPr>
            </w:pPr>
            <w:r>
              <w:rPr>
                <w:rFonts w:ascii="Arial" w:cs="Arial" w:eastAsia="Arial" w:hAnsi="Arial"/>
                <w:sz w:val="15"/>
                <w:szCs w:val="15"/>
                <w:color w:val="auto"/>
                <w:w w:val="98"/>
              </w:rPr>
              <w:t>3,938,589</w:t>
            </w:r>
          </w:p>
        </w:tc>
        <w:tc>
          <w:tcPr>
            <w:tcW w:w="720" w:type="dxa"/>
            <w:vAlign w:val="bottom"/>
          </w:tcPr>
          <w:p>
            <w:pPr>
              <w:jc w:val="right"/>
              <w:spacing w:after="0"/>
              <w:rPr>
                <w:sz w:val="20"/>
                <w:szCs w:val="20"/>
                <w:color w:val="auto"/>
              </w:rPr>
            </w:pPr>
            <w:r>
              <w:rPr>
                <w:rFonts w:ascii="Arial" w:cs="Arial" w:eastAsia="Arial" w:hAnsi="Arial"/>
                <w:sz w:val="15"/>
                <w:szCs w:val="15"/>
                <w:color w:val="auto"/>
              </w:rPr>
              <w:t>62.1%</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28,692,475</w:t>
            </w:r>
          </w:p>
        </w:tc>
        <w:tc>
          <w:tcPr>
            <w:tcW w:w="680" w:type="dxa"/>
            <w:vAlign w:val="bottom"/>
          </w:tcPr>
          <w:p>
            <w:pPr>
              <w:jc w:val="right"/>
              <w:spacing w:after="0"/>
              <w:rPr>
                <w:sz w:val="20"/>
                <w:szCs w:val="20"/>
                <w:color w:val="auto"/>
              </w:rPr>
            </w:pPr>
            <w:r>
              <w:rPr>
                <w:rFonts w:ascii="Arial" w:cs="Arial" w:eastAsia="Arial" w:hAnsi="Arial"/>
                <w:sz w:val="15"/>
                <w:szCs w:val="15"/>
                <w:color w:val="auto"/>
              </w:rPr>
              <w:t>47.3%</w:t>
            </w:r>
          </w:p>
        </w:tc>
        <w:tc>
          <w:tcPr>
            <w:tcW w:w="1000" w:type="dxa"/>
            <w:vAlign w:val="bottom"/>
          </w:tcPr>
          <w:p>
            <w:pPr>
              <w:jc w:val="right"/>
              <w:ind w:right="164"/>
              <w:spacing w:after="0"/>
              <w:rPr>
                <w:sz w:val="20"/>
                <w:szCs w:val="20"/>
                <w:color w:val="auto"/>
              </w:rPr>
            </w:pPr>
            <w:r>
              <w:rPr>
                <w:rFonts w:ascii="Arial" w:cs="Arial" w:eastAsia="Arial" w:hAnsi="Arial"/>
                <w:sz w:val="15"/>
                <w:szCs w:val="15"/>
                <w:color w:val="auto"/>
                <w:w w:val="98"/>
              </w:rPr>
              <w:t>28,593,016</w:t>
            </w:r>
          </w:p>
        </w:tc>
        <w:tc>
          <w:tcPr>
            <w:tcW w:w="300" w:type="dxa"/>
            <w:vAlign w:val="bottom"/>
          </w:tcPr>
          <w:p>
            <w:pPr>
              <w:jc w:val="right"/>
              <w:spacing w:after="0"/>
              <w:rPr>
                <w:sz w:val="20"/>
                <w:szCs w:val="20"/>
                <w:color w:val="auto"/>
              </w:rPr>
            </w:pPr>
            <w:r>
              <w:rPr>
                <w:rFonts w:ascii="Arial" w:cs="Arial" w:eastAsia="Arial" w:hAnsi="Arial"/>
                <w:sz w:val="15"/>
                <w:szCs w:val="15"/>
                <w:color w:val="auto"/>
              </w:rPr>
              <w:t>4</w:t>
            </w:r>
          </w:p>
        </w:tc>
      </w:tr>
    </w:tbl>
    <w:p>
      <w:pPr>
        <w:spacing w:after="0" w:line="165" w:lineRule="exact"/>
        <w:rPr>
          <w:sz w:val="20"/>
          <w:szCs w:val="20"/>
          <w:color w:val="auto"/>
        </w:rPr>
      </w:pPr>
    </w:p>
    <w:p>
      <w:pPr>
        <w:sectPr>
          <w:pgSz w:w="11900" w:h="16838" w:orient="portrait"/>
          <w:cols w:equalWidth="0" w:num="2">
            <w:col w:w="5820" w:space="460"/>
            <w:col w:w="5060"/>
          </w:cols>
          <w:pgMar w:left="320" w:top="442" w:right="239" w:bottom="1440" w:gutter="0" w:footer="0" w:header="0"/>
          <w:type w:val="continuous"/>
        </w:sectPr>
      </w:pPr>
    </w:p>
    <w:p>
      <w:pPr>
        <w:ind w:left="840" w:hanging="406"/>
        <w:spacing w:after="0"/>
        <w:tabs>
          <w:tab w:leader="none" w:pos="8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93" w:lineRule="exact"/>
        <w:rPr>
          <w:sz w:val="20"/>
          <w:szCs w:val="20"/>
          <w:color w:val="auto"/>
        </w:rPr>
      </w:pPr>
    </w:p>
    <w:p>
      <w:pPr>
        <w:ind w:left="840" w:right="580" w:hanging="406"/>
        <w:spacing w:after="0" w:line="253" w:lineRule="auto"/>
        <w:tabs>
          <w:tab w:leader="none" w:pos="840" w:val="left"/>
        </w:tabs>
        <w:numPr>
          <w:ilvl w:val="0"/>
          <w:numId w:val="147"/>
        </w:numPr>
        <w:rPr>
          <w:rFonts w:ascii="Arial" w:cs="Arial" w:eastAsia="Arial" w:hAnsi="Arial"/>
          <w:sz w:val="12"/>
          <w:szCs w:val="12"/>
          <w:color w:val="auto"/>
        </w:rPr>
      </w:pPr>
      <w:r>
        <w:rPr>
          <w:rFonts w:ascii="Arial" w:cs="Arial" w:eastAsia="Arial" w:hAnsi="Arial"/>
          <w:sz w:val="12"/>
          <w:szCs w:val="12"/>
          <w:color w:val="auto"/>
        </w:rPr>
        <w:t>Amount beneficially owned after this offering includes: (i) 17,958,132 shares of Class A common stock (or 17,526,964 assuming full exercise of the underwriters’ option) held by Advent International GPE IX Limited Partnership (“GPE-IX LP”); (ii) 3,558,483 shares of Class A common stock (or 3,473,044 assuming full exercise of the underwriters’ option) held by Advent International GPE IX-B Limited Partnership (“GPE IX-B LP”); (iii) 1,477,243 shares of Class A common stock (or 1,441,774 assuming full exercise of the underwriters’ option) held by Advent International GPE IX-C Limited Partnership (“GPE IX-C LP”); (iv) 1,549,914 shares of Class A common stock (or 1,512,701 assuming full exercise of the underwriters’ option) held by Advent International GPE IX-F Limited Partnership (“GPE IX-F LP”); (v) 5,099,963 shares of Class A common stock (or 4,977,514 assuming full exercise of the underwriters’ option) held by Advent International GPE IX-G Limited Partnership (“GPE IX-G LP”); (vi) 5,749,942 shares of Class A common stock (or 5,611,887 assuming full exercise of the underwriters’</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340"/>
          </w:cols>
          <w:pgMar w:left="320" w:top="442" w:right="239" w:bottom="1440" w:gutter="0" w:footer="0" w:header="0"/>
          <w:type w:val="continuous"/>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840"/>
        <w:spacing w:after="0" w:line="244" w:lineRule="auto"/>
        <w:rPr>
          <w:sz w:val="20"/>
          <w:szCs w:val="20"/>
          <w:color w:val="auto"/>
        </w:rPr>
      </w:pPr>
      <w:r>
        <w:rPr>
          <w:rFonts w:ascii="Arial" w:cs="Arial" w:eastAsia="Arial" w:hAnsi="Arial"/>
          <w:sz w:val="12"/>
          <w:szCs w:val="12"/>
          <w:color w:val="auto"/>
        </w:rPr>
        <w:t>option) held by Advent International GPE IX-H Limited Partnership (“GPE IX-H LP”); (vii) 3,256,890 shares of Class A common stock (or 3,178,693 assuming full exercise of the underwriters’ option) held by Advent International GPE IX-I Limited Partnership (“GPE IX-I LP”); (viii) 5,280,677 shares of Class A common stock (or 5,153,890 assuming full exercise of the underwriters’ option) held by Advent International GPE IX-A SCSP (“GPE IX-A SCSP”); (ix) 1,123,995 shares of Class A common stock (or 1,097,008 assuming full exercise of the underwriters’ option) held by Advent International GPE IX-D SCSP (“GPE IX-D SCSP”); (x) 2,284,255 shares of Class A common stock (or 2,229,411 assuming full exercise of the underwriters’ option) held by Advent International GPE IX-E SCSP (“GPE IX-E SCSP”); (xi) 103,188 shares of Class A common stock (or 100,710 assuming full exercise of the underwriters’ option) held by Advent Partners GPE IX Strategic Investors SCSP (“GPE IX Strategic Investors SCSP”); (xii) 58,932 shares of Class A common stock (or 57,517 assuming full exercise of the underwriters’ option) held by Advent Partners GPE IX Limited Partnership (“AP GPE IX LP”); (xiii) 136,278 shares of Class A common stock (or 133,006 assuming full exercise of the underwriters’ option) held by Advent Partners GPE IX-A Limited Partnership (“AP GPE IX-A LP”); (xiv) 340,056 shares of Class A common stock (or 331,891 assuming full exercise of the underwriters’ option) held by Advent Partners GPE IX Cayman Limited Partnership (“AP GPE IX Cayman LP”); (xv) 57,321 shares of Class A common stock (or 55,945 assuming full exercise of the underwriters’ option) held by Advent Partners GPE IX Cayman Limited Partnership (“AP GPE IX-A Cayman LP”); (xvi) 951,638 shares of Class A common stock (or 928,790 assuming full exercise of the underwriters’ option) held by Advent Partners GPE IX-B Cayman Limited Partnership (“AP GPE IX-B Cayman LP”); (xvii) 4,044,584 shares of Class A common stock (or 3,947,474 assuming full exercise of the underwriters’ option) held by Advent Global Technology Limited Partnership (“Global Technology LP”); (xviii) 3,147,614 shares of Class A common stock (or 3,072,040 assuming full exercise of the underwriters’ option) held by Advent Global Technology-B Limited Partnership (“Global Technology-B LP”); (xix) 1,704,218 shares of Class A common stock (or 1,663,300 assuming full exercise of the underwriters’ option) held by Advent Global Technology-C Limited Partnership (“Global Technology-C LP”); (xx) 2,040,299 shares of Class A common stock (or 1,991,312 assuming full exercise of the underwriters’ option) held by Advent Global Technology-D Limited Partnership (“Global Technology-D LP”); (xxi) 1,996,538 shares of Class A common stock (or 1,948,601 assuming full exercise of the underwriters’ option) held by Advent Global Technology-A SCSP (“Global Technology-A SCSP”); (xxii) 6,345 shares of Class A common stock (or 6,193 assuming full exercise of the underwriters’ option) held by Advent Partners AGT Limited Partnership (“AGT LP”); (xxiii) 28,992 shares of Class A common stock (or 28,296 assuming full exercise of the underwriters’ option) held by Advent Partners AGT-A Limited Partnership (“AGT-A LP”); (xxiv) 363,177 shares of Class A common stock (or 354,457 assuming full exercise of the underwriters’ option) held by Advent Partners AGT Cayman Limited Partnership (“AGT Cayman LP”); (xxv) 32,349 shares of Class A common stock (or 31,572 assuming full exercise of the underwriters’ option) held by Advent Global Technology Strategic Investors Limited Partnership (“AGT Strategic Investors LP”); and</w:t>
      </w:r>
    </w:p>
    <w:p>
      <w:pPr>
        <w:spacing w:after="0" w:line="4" w:lineRule="exact"/>
        <w:rPr>
          <w:sz w:val="20"/>
          <w:szCs w:val="20"/>
          <w:color w:val="auto"/>
        </w:rPr>
      </w:pPr>
    </w:p>
    <w:p>
      <w:pPr>
        <w:ind w:left="840" w:right="360" w:firstLine="1"/>
        <w:spacing w:after="0" w:line="224" w:lineRule="auto"/>
        <w:tabs>
          <w:tab w:leader="none" w:pos="1205" w:val="left"/>
        </w:tabs>
        <w:numPr>
          <w:ilvl w:val="0"/>
          <w:numId w:val="148"/>
        </w:numPr>
        <w:rPr>
          <w:rFonts w:ascii="Arial" w:cs="Arial" w:eastAsia="Arial" w:hAnsi="Arial"/>
          <w:sz w:val="14"/>
          <w:szCs w:val="14"/>
          <w:color w:val="auto"/>
        </w:rPr>
      </w:pPr>
      <w:r>
        <w:rPr>
          <w:rFonts w:ascii="Arial" w:cs="Arial" w:eastAsia="Arial" w:hAnsi="Arial"/>
          <w:sz w:val="14"/>
          <w:szCs w:val="14"/>
          <w:color w:val="auto"/>
        </w:rPr>
        <w:t>3,745,913 shares of Class A common stock (assuming no exercise and full exercise of the underwriters’ option) held by Sunley House Capital Master Limited Partnership (“Sunley House Master Fund”).</w:t>
      </w:r>
    </w:p>
    <w:p>
      <w:pPr>
        <w:spacing w:after="0" w:line="69" w:lineRule="exact"/>
        <w:rPr>
          <w:sz w:val="20"/>
          <w:szCs w:val="20"/>
          <w:color w:val="auto"/>
        </w:rPr>
      </w:pPr>
    </w:p>
    <w:p>
      <w:pPr>
        <w:ind w:left="840"/>
        <w:spacing w:after="0" w:line="247" w:lineRule="auto"/>
        <w:rPr>
          <w:sz w:val="20"/>
          <w:szCs w:val="20"/>
          <w:color w:val="auto"/>
        </w:rPr>
      </w:pPr>
      <w:r>
        <w:rPr>
          <w:rFonts w:ascii="Arial" w:cs="Arial" w:eastAsia="Arial" w:hAnsi="Arial"/>
          <w:sz w:val="12"/>
          <w:szCs w:val="12"/>
          <w:color w:val="auto"/>
        </w:rPr>
        <w:t>GPE IX GP Limited Partnership is the general partner of GPE-IX LP, GPE IX-B LP, GPE IX-C LP, GPE IX-F LP, GPE IX-G LP, GPE IX-H LP and GPE IX-I LP. AP GPE IX GP Limited Partnership is the general partner of AP GPE IX LP, AP GPE IX-A LP, AP GPE IX Cayman LP, AP GPE IX-A Cayman LP and AP GPE IX-B Cayman LP. GPE IX GP S.à r.l. is the general partner of GPE IX-A SCSP, GPE IX-D SCSP, GPE IX-E SCSP and GPE IX Strategic Investors SCSP. Advent Global Technology GP Limited Partnership is the general partner of Global Technology LP, Global Technology-B LP, Global Technology-C LP and Global Technology-D LP. Advent Global Technology GP S.à r.l. is the general partner of Technology-A SCSP. AP AGT GP Limited Partnership is the general partner of AGT LP, AGT-A LP, AGT Cayman LP and AGT Strategic Investors LP. Advent International GPE IX, LLC is the general partner of GPE IX GP Limited Partnership, AP GPE IX GP Limited Partnership and GPE IX GP S.à r.l. Advent Global Technology LLC is the general partner of Advent Global Technology GP Limited Partnership, Advent Global Technology GP S.à r.l. and AP AGT GP Limited Partnership. Sunley House Capital GP LP (“Sunley House GP LP”), as general partner of Sunley House Master Fund, Sunley House Capital GP LLC (“Sunley House GP LLC”), as general partner of Sunley House GP LP, and Sunley House Capital Management LLC (“Sunley House Manager”), as investment manager to Sunley House Master Fund, may be deemed to beneficially own the shares held directly by Sunley House Master Fund. Advent International Corporation is the manager of Advent International GPE IX, LLC and Advent Global Technology LLC and is the sole member of both Sunley House GP LLC and Sunley House Manager. Investors in the Sunley House Master Fund invest in one or more of the following feeder funds: Sunley House Capital Fund LP, Sunley House Capital Limited Partnership, Sunley House Capital Fund Ltd. and Sunley House Capital Ltd. (collectively, the “Sunley House Feeder Funds”), which are the limited partners of the Sunley House Master Fund. The Sunley House Feeder Funds have ownership interests in the Sunley House Master Fund, but none of the Sunley House Feeder Funds owns shares directly and none has voting or dispositive power over the shares held directly by the Sunley House Master Fund. Voting and investment decisions by Advent International Corporation are made by a number of individuals currently comprised of John L. Maldonado, David M. McKenna and David M. Mussafer. The address of each of the entities and individuals named in this footnote is c/o Advent International Corporation, Prudential Tower, 800 Boylston St., Suite 3300, Boston, MA 02199.</w:t>
      </w:r>
    </w:p>
    <w:p>
      <w:pPr>
        <w:spacing w:after="0" w:line="81" w:lineRule="exact"/>
        <w:rPr>
          <w:sz w:val="20"/>
          <w:szCs w:val="20"/>
          <w:color w:val="auto"/>
        </w:rPr>
      </w:pPr>
    </w:p>
    <w:p>
      <w:pPr>
        <w:ind w:left="840" w:right="40" w:hanging="406"/>
        <w:spacing w:after="0" w:line="252" w:lineRule="auto"/>
        <w:tabs>
          <w:tab w:leader="none" w:pos="84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Amount beneficially owned following this offering includes: (i) 28,285,450 shares of Class B common stock (or 27,644,942 assuming full exercise of the underwriters’ option) held directly by SE VII DHC AIV, L.P.; (ii) 2,952,482 shares of Class A common stock (or 2,885,625 assuming full exercise of the underwriters’ option) held directly by SE VII DHC AIV Feeder, L.P.; (iii) 41,101 shares of Class B common stock (or 40,170 assuming full exercise of the underwriters’ option) held directly by Spectrum VII Investment Managers’ Fund, L.P.; and (iv) 24,009 shares of Class B common stock (or 23,465 assuming full exercise of the underwriters’ option) held directly by Spectrum VII Co-Investment Fund, L.P. collectively the “Spectrum Funds”. SEA VII Management, LLC is the general partner of Spectrum Equity Associates VII, L.P., which in turn is the general partner of the Spectrum Funds. Chris Mitchell, a member of our board of directors, is one of nine managing directors of SEA VII, Management, LLC. Mr. Mitchell and the other managing directors may be deemed to share voting and dispositive over the shares held by the Spectrum Entities. Mr. Mitchell and these other individuals disclaims beneficial ownership of any of the shares held by the Spectrum Entities, except to the extent of their pecuniary interest. The address for each of these entities is 140 New Montgomery Street, 20th Floor, San Francisco, CA 94105.</w:t>
      </w:r>
    </w:p>
    <w:p>
      <w:pPr>
        <w:spacing w:after="0" w:line="74" w:lineRule="exact"/>
        <w:rPr>
          <w:rFonts w:ascii="Arial" w:cs="Arial" w:eastAsia="Arial" w:hAnsi="Arial"/>
          <w:sz w:val="12"/>
          <w:szCs w:val="12"/>
          <w:color w:val="auto"/>
        </w:rPr>
      </w:pPr>
    </w:p>
    <w:p>
      <w:pPr>
        <w:ind w:left="840" w:right="60" w:hanging="406"/>
        <w:spacing w:after="0" w:line="233" w:lineRule="auto"/>
        <w:tabs>
          <w:tab w:leader="none" w:pos="840" w:val="left"/>
        </w:tabs>
        <w:numPr>
          <w:ilvl w:val="0"/>
          <w:numId w:val="149"/>
        </w:numPr>
        <w:rPr>
          <w:rFonts w:ascii="Arial" w:cs="Arial" w:eastAsia="Arial" w:hAnsi="Arial"/>
          <w:sz w:val="14"/>
          <w:szCs w:val="14"/>
          <w:color w:val="auto"/>
        </w:rPr>
      </w:pPr>
      <w:r>
        <w:rPr>
          <w:rFonts w:ascii="Arial" w:cs="Arial" w:eastAsia="Arial" w:hAnsi="Arial"/>
          <w:sz w:val="14"/>
          <w:szCs w:val="14"/>
          <w:color w:val="auto"/>
        </w:rPr>
        <w:t>Amount beneficially owned following this offering includes 756,479 shares of Class B common stock owned by Jason Krantz and 21,134,491 shares of Class B common stock owned in trust by DH Holdings, of which Jason Krantz is the beneficiary.</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0800"/>
          </w:cols>
          <w:pgMar w:left="320" w:top="442" w:right="77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5" w:lineRule="exact"/>
        <w:rPr>
          <w:sz w:val="20"/>
          <w:szCs w:val="20"/>
          <w:color w:val="auto"/>
        </w:rPr>
      </w:pPr>
    </w:p>
    <w:p>
      <w:pPr>
        <w:ind w:left="840" w:hanging="406"/>
        <w:spacing w:after="0" w:line="253" w:lineRule="auto"/>
        <w:tabs>
          <w:tab w:leader="none" w:pos="84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Amount beneficially owned following this offering includes: (i) 4,378,110 shares of Class B common stock (or 4,278,945 assuming full exercise of the underwriters’ option) held directly by 22C Capital I, L.P.; (ii) 550,985 shares of Class A common stock (or 538,505 assuming full exercise of the underwriters’ option) held directly by 22C Capital I-A, L.P.; and (iii) 12,946 shares of Class B common stock (or 12,652 assuming full exercise of the underwriters’ option) held directly by 22C AIDH AIV LLC. 22C Capital GP I, L.L.C. is the general partner of each of 22C Capital I, L.P. and 22C Capital I-A, L.P., and is the sole member of 22C AIDH AIV LLC. 22C Capital GP I MM LLC is the managing member of 22C Capital GP I, L.L.C. Eric Edell and D. Randall Winn are co-members of 22C Capital GP I MM LLC and, in such capacities, exercise voting or investment power over the shares of Class A common stock and Class B common stock held directly by 22C Capital I, L.P., 22C Capital I-A, L.P. and 22C AIDH AIV LLC. The address of all entities referred to above is c/o 22C Capital LLC, 7900 Glades Road, Suite 540, Boca Raton, FL 33434.</w:t>
      </w:r>
    </w:p>
    <w:p>
      <w:pPr>
        <w:spacing w:after="0" w:line="75" w:lineRule="exact"/>
        <w:rPr>
          <w:rFonts w:ascii="Arial" w:cs="Arial" w:eastAsia="Arial" w:hAnsi="Arial"/>
          <w:sz w:val="12"/>
          <w:szCs w:val="12"/>
          <w:color w:val="auto"/>
        </w:rPr>
      </w:pPr>
    </w:p>
    <w:p>
      <w:pPr>
        <w:ind w:left="840" w:right="100" w:hanging="406"/>
        <w:spacing w:after="0" w:line="303" w:lineRule="auto"/>
        <w:tabs>
          <w:tab w:leader="none" w:pos="84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Excludes shares of Class A common stock and Class B common Stock held by the Spectrum Entities, as disclosed in footnote (2) above. Mr. Mitchell disclaims beneficial ownership of the shares of Class A common stock and Class B common stock held by the Advent Funds except to the extent of his pecuniary interest therein.</w:t>
      </w:r>
    </w:p>
    <w:p>
      <w:pPr>
        <w:spacing w:after="0" w:line="45" w:lineRule="exact"/>
        <w:rPr>
          <w:rFonts w:ascii="Arial" w:cs="Arial" w:eastAsia="Arial" w:hAnsi="Arial"/>
          <w:sz w:val="12"/>
          <w:szCs w:val="12"/>
          <w:color w:val="auto"/>
        </w:rPr>
      </w:pPr>
    </w:p>
    <w:p>
      <w:pPr>
        <w:ind w:left="840" w:hanging="406"/>
        <w:spacing w:after="0" w:line="233" w:lineRule="auto"/>
        <w:tabs>
          <w:tab w:leader="none" w:pos="8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Excludes shares of Class A common stock held by Advent. Each of Mr. Egan and Ms. Young disclaim beneficial ownership of the shares of Class A common stock held by the Advent Funds except to the extent of their respective pecuniary interest therein.</w:t>
      </w:r>
    </w:p>
    <w:p>
      <w:pPr>
        <w:spacing w:after="0" w:line="81" w:lineRule="exact"/>
        <w:rPr>
          <w:rFonts w:ascii="Arial" w:cs="Arial" w:eastAsia="Arial" w:hAnsi="Arial"/>
          <w:sz w:val="14"/>
          <w:szCs w:val="14"/>
          <w:color w:val="auto"/>
        </w:rPr>
      </w:pPr>
    </w:p>
    <w:p>
      <w:pPr>
        <w:ind w:left="840" w:right="60" w:hanging="406"/>
        <w:spacing w:after="0" w:line="273" w:lineRule="auto"/>
        <w:tabs>
          <w:tab w:leader="none" w:pos="840" w:val="left"/>
        </w:tabs>
        <w:numPr>
          <w:ilvl w:val="0"/>
          <w:numId w:val="150"/>
        </w:numPr>
        <w:rPr>
          <w:rFonts w:ascii="Arial" w:cs="Arial" w:eastAsia="Arial" w:hAnsi="Arial"/>
          <w:sz w:val="12"/>
          <w:szCs w:val="12"/>
          <w:color w:val="auto"/>
        </w:rPr>
      </w:pPr>
      <w:r>
        <w:rPr>
          <w:rFonts w:ascii="Arial" w:cs="Arial" w:eastAsia="Arial" w:hAnsi="Arial"/>
          <w:sz w:val="12"/>
          <w:szCs w:val="12"/>
          <w:color w:val="auto"/>
        </w:rPr>
        <w:t>Amount beneficially owned following this offering includes the 550,985 shares of Class A common stock (or 538,505 assuming full exercise of the underwriters’ option) and 4,391,056 shares of Class B common stock (or 4,291,597 assuming full exercise of the underwriters’ option) beneficially owned by 22C Capital, as disclosed in footnote 4 above. Mr. Winn may be deemed to exercise voting and investment power over the shares of Class A common stock and Class B common stock beneficially owned by 22C Capital.</w:t>
      </w:r>
    </w:p>
    <w:p>
      <w:pPr>
        <w:spacing w:after="0" w:line="63" w:lineRule="exact"/>
        <w:rPr>
          <w:rFonts w:ascii="Arial" w:cs="Arial" w:eastAsia="Arial" w:hAnsi="Arial"/>
          <w:sz w:val="12"/>
          <w:szCs w:val="12"/>
          <w:color w:val="auto"/>
        </w:rPr>
      </w:pPr>
    </w:p>
    <w:p>
      <w:pPr>
        <w:ind w:left="840" w:hanging="406"/>
        <w:spacing w:after="0"/>
        <w:tabs>
          <w:tab w:leader="none" w:pos="84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Represents shares owned by Robert Musslewhite 2014 Family Trust.</w:t>
      </w:r>
    </w:p>
    <w:p>
      <w:pPr>
        <w:spacing w:after="0" w:line="12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0780"/>
          </w:cols>
          <w:pgMar w:left="320" w:top="442" w:right="79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We describe below transactions and series of similar transactions, during our last three fiscal years or currently proposed, to which we were a party or will be a party, in which:</w:t>
      </w:r>
    </w:p>
    <w:p>
      <w:pPr>
        <w:spacing w:after="0" w:line="77" w:lineRule="exact"/>
        <w:rPr>
          <w:sz w:val="20"/>
          <w:szCs w:val="20"/>
          <w:color w:val="auto"/>
        </w:rPr>
      </w:pPr>
    </w:p>
    <w:p>
      <w:pPr>
        <w:ind w:left="1360" w:hanging="519"/>
        <w:spacing w:after="0"/>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amounts involved exceeded or will exceed $120,000; and</w:t>
      </w:r>
    </w:p>
    <w:p>
      <w:pPr>
        <w:spacing w:after="0" w:line="122" w:lineRule="exact"/>
        <w:rPr>
          <w:rFonts w:ascii="Arial" w:cs="Arial" w:eastAsia="Arial" w:hAnsi="Arial"/>
          <w:sz w:val="17"/>
          <w:szCs w:val="17"/>
          <w:color w:val="auto"/>
        </w:rPr>
      </w:pPr>
    </w:p>
    <w:p>
      <w:pPr>
        <w:ind w:left="1360" w:right="180" w:hanging="519"/>
        <w:spacing w:after="0" w:line="273" w:lineRule="auto"/>
        <w:tabs>
          <w:tab w:leader="none" w:pos="13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any of our directors, executive officers or beneficial holders of more than 5% of any class of our capital stock had or will have a direct or indirect material interest.</w:t>
      </w:r>
    </w:p>
    <w:p>
      <w:pPr>
        <w:spacing w:after="0" w:line="166"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“Executive and Director Compensation.”</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Reorganization Agreement</w:t>
      </w:r>
    </w:p>
    <w:p>
      <w:pPr>
        <w:spacing w:after="0" w:line="114"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In connection with the Reorganization Transactions, we will enter into a reorganization agreement and related agreements with Definitive OpCo and each of the Pre-IPO LLC Members, which will effect the Reorganization Transactions.</w:t>
      </w:r>
    </w:p>
    <w:p>
      <w:pPr>
        <w:spacing w:after="0" w:line="166" w:lineRule="exact"/>
        <w:rPr>
          <w:sz w:val="20"/>
          <w:szCs w:val="20"/>
          <w:color w:val="auto"/>
        </w:rPr>
      </w:pPr>
    </w:p>
    <w:p>
      <w:pPr>
        <w:ind w:left="440" w:right="740" w:firstLine="415"/>
        <w:spacing w:after="0" w:line="273" w:lineRule="auto"/>
        <w:rPr>
          <w:sz w:val="20"/>
          <w:szCs w:val="20"/>
          <w:color w:val="auto"/>
        </w:rPr>
      </w:pPr>
      <w:r>
        <w:rPr>
          <w:rFonts w:ascii="Arial" w:cs="Arial" w:eastAsia="Arial" w:hAnsi="Arial"/>
          <w:sz w:val="17"/>
          <w:szCs w:val="17"/>
          <w:color w:val="auto"/>
        </w:rPr>
        <w:t>We have agreed to reimburse up to $1.05 million in aggregate expenses incurred by our Sponsors in connection with the Reorganization Transactions.</w:t>
      </w:r>
    </w:p>
    <w:p>
      <w:pPr>
        <w:spacing w:after="0" w:line="166"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The table below sets forth the consideration in LLC Units and Class B common stock to be received by our directors, officers and 5% equity holders in the Reorganization Transactions:</w:t>
      </w:r>
    </w:p>
    <w:p>
      <w:pPr>
        <w:spacing w:after="0" w:line="162"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Class B Common Stock</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2"/>
          </w:tcPr>
          <w:p>
            <w:pPr>
              <w:jc w:val="center"/>
              <w:ind w:right="40"/>
              <w:spacing w:after="0" w:line="140" w:lineRule="exact"/>
              <w:rPr>
                <w:sz w:val="20"/>
                <w:szCs w:val="20"/>
                <w:color w:val="auto"/>
              </w:rPr>
            </w:pPr>
            <w:r>
              <w:rPr>
                <w:rFonts w:ascii="Arial" w:cs="Arial" w:eastAsia="Arial" w:hAnsi="Arial"/>
                <w:sz w:val="14"/>
                <w:szCs w:val="14"/>
                <w:b w:val="1"/>
                <w:bCs w:val="1"/>
                <w:color w:val="auto"/>
                <w:w w:val="89"/>
              </w:rPr>
              <w:t>and LLC Units to Be</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2"/>
          </w:tcPr>
          <w:p>
            <w:pPr>
              <w:jc w:val="center"/>
              <w:ind w:right="40"/>
              <w:spacing w:after="0" w:line="140" w:lineRule="exact"/>
              <w:rPr>
                <w:sz w:val="20"/>
                <w:szCs w:val="20"/>
                <w:color w:val="auto"/>
              </w:rPr>
            </w:pPr>
            <w:r>
              <w:rPr>
                <w:rFonts w:ascii="Arial" w:cs="Arial" w:eastAsia="Arial" w:hAnsi="Arial"/>
                <w:sz w:val="14"/>
                <w:szCs w:val="14"/>
                <w:b w:val="1"/>
                <w:bCs w:val="1"/>
                <w:color w:val="auto"/>
                <w:w w:val="84"/>
              </w:rPr>
              <w:t>Issued in the</w:t>
            </w:r>
          </w:p>
        </w:tc>
        <w:tc>
          <w:tcPr>
            <w:tcW w:w="0" w:type="dxa"/>
            <w:vAlign w:val="bottom"/>
          </w:tcPr>
          <w:p>
            <w:pPr>
              <w:spacing w:after="0"/>
              <w:rPr>
                <w:sz w:val="1"/>
                <w:szCs w:val="1"/>
                <w:color w:val="auto"/>
              </w:rPr>
            </w:pPr>
          </w:p>
        </w:tc>
      </w:tr>
      <w:tr>
        <w:trPr>
          <w:trHeight w:val="140"/>
        </w:trPr>
        <w:tc>
          <w:tcPr>
            <w:tcW w:w="3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400" w:type="dxa"/>
            <w:vAlign w:val="bottom"/>
            <w:gridSpan w:val="2"/>
          </w:tcPr>
          <w:p>
            <w:pPr>
              <w:jc w:val="center"/>
              <w:ind w:right="40"/>
              <w:spacing w:after="0" w:line="140" w:lineRule="exact"/>
              <w:rPr>
                <w:sz w:val="20"/>
                <w:szCs w:val="20"/>
                <w:color w:val="auto"/>
              </w:rPr>
            </w:pPr>
            <w:r>
              <w:rPr>
                <w:rFonts w:ascii="Arial" w:cs="Arial" w:eastAsia="Arial" w:hAnsi="Arial"/>
                <w:sz w:val="14"/>
                <w:szCs w:val="14"/>
                <w:b w:val="1"/>
                <w:bCs w:val="1"/>
                <w:color w:val="auto"/>
                <w:w w:val="86"/>
              </w:rPr>
              <w:t>Reorganization</w:t>
            </w:r>
          </w:p>
        </w:tc>
        <w:tc>
          <w:tcPr>
            <w:tcW w:w="0" w:type="dxa"/>
            <w:vAlign w:val="bottom"/>
          </w:tcPr>
          <w:p>
            <w:pPr>
              <w:spacing w:after="0"/>
              <w:rPr>
                <w:sz w:val="1"/>
                <w:szCs w:val="1"/>
                <w:color w:val="auto"/>
              </w:rPr>
            </w:pPr>
          </w:p>
        </w:tc>
      </w:tr>
      <w:tr>
        <w:trPr>
          <w:trHeight w:val="160"/>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3"/>
              </w:rPr>
              <w:t>Name</w:t>
            </w:r>
          </w:p>
        </w:tc>
        <w:tc>
          <w:tcPr>
            <w:tcW w:w="5300" w:type="dxa"/>
            <w:vAlign w:val="bottom"/>
            <w:vMerge w:val="restart"/>
          </w:tcPr>
          <w:p>
            <w:pPr>
              <w:spacing w:after="0"/>
              <w:rPr>
                <w:sz w:val="13"/>
                <w:szCs w:val="13"/>
                <w:color w:val="auto"/>
              </w:rPr>
            </w:pPr>
          </w:p>
        </w:tc>
        <w:tc>
          <w:tcPr>
            <w:tcW w:w="14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Transactions</w:t>
            </w:r>
          </w:p>
        </w:tc>
        <w:tc>
          <w:tcPr>
            <w:tcW w:w="0" w:type="dxa"/>
            <w:vAlign w:val="bottom"/>
          </w:tcPr>
          <w:p>
            <w:pPr>
              <w:spacing w:after="0"/>
              <w:rPr>
                <w:sz w:val="1"/>
                <w:szCs w:val="1"/>
                <w:color w:val="auto"/>
              </w:rPr>
            </w:pPr>
          </w:p>
        </w:tc>
      </w:tr>
      <w:tr>
        <w:trPr>
          <w:trHeight w:val="140"/>
        </w:trPr>
        <w:tc>
          <w:tcPr>
            <w:tcW w:w="340" w:type="dxa"/>
            <w:vAlign w:val="bottom"/>
            <w:tcBorders>
              <w:bottom w:val="single" w:sz="8" w:color="auto"/>
            </w:tcBorders>
            <w:vMerge w:val="continue"/>
          </w:tcPr>
          <w:p>
            <w:pPr>
              <w:spacing w:after="0"/>
              <w:rPr>
                <w:sz w:val="12"/>
                <w:szCs w:val="12"/>
                <w:color w:val="auto"/>
              </w:rPr>
            </w:pPr>
          </w:p>
        </w:tc>
        <w:tc>
          <w:tcPr>
            <w:tcW w:w="5300" w:type="dxa"/>
            <w:vAlign w:val="bottom"/>
            <w:vMerge w:val="continue"/>
          </w:tcPr>
          <w:p>
            <w:pPr>
              <w:spacing w:after="0"/>
              <w:rPr>
                <w:sz w:val="12"/>
                <w:szCs w:val="12"/>
                <w:color w:val="auto"/>
              </w:rPr>
            </w:pPr>
          </w:p>
        </w:tc>
        <w:tc>
          <w:tcPr>
            <w:tcW w:w="1360" w:type="dxa"/>
            <w:vAlign w:val="bottom"/>
            <w:tcBorders>
              <w:top w:val="single" w:sz="8" w:color="auto"/>
            </w:tcBorders>
          </w:tcPr>
          <w:p>
            <w:pPr>
              <w:jc w:val="center"/>
              <w:spacing w:after="0" w:line="12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Affiliates of Advent and certain other minority equity holders</w:t>
            </w:r>
          </w:p>
        </w:tc>
        <w:tc>
          <w:tcPr>
            <w:tcW w:w="13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40" w:type="dxa"/>
            <w:vAlign w:val="bottom"/>
            <w:gridSpan w:val="2"/>
          </w:tcPr>
          <w:p>
            <w:pPr>
              <w:spacing w:after="0"/>
              <w:rPr>
                <w:sz w:val="20"/>
                <w:szCs w:val="20"/>
                <w:color w:val="auto"/>
              </w:rPr>
            </w:pPr>
            <w:r>
              <w:rPr>
                <w:rFonts w:ascii="Arial" w:cs="Arial" w:eastAsia="Arial" w:hAnsi="Arial"/>
                <w:sz w:val="17"/>
                <w:szCs w:val="17"/>
                <w:color w:val="auto"/>
              </w:rPr>
              <w:t>Affiliates of Spectrum Equity</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28,350,560</w:t>
            </w:r>
          </w:p>
        </w:tc>
        <w:tc>
          <w:tcPr>
            <w:tcW w:w="0" w:type="dxa"/>
            <w:vAlign w:val="bottom"/>
          </w:tcPr>
          <w:p>
            <w:pPr>
              <w:spacing w:after="0"/>
              <w:rPr>
                <w:sz w:val="1"/>
                <w:szCs w:val="1"/>
                <w:color w:val="auto"/>
              </w:rPr>
            </w:pPr>
          </w:p>
        </w:tc>
      </w:tr>
      <w:tr>
        <w:trPr>
          <w:trHeight w:val="204"/>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Jason Krantz</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21,952,956</w:t>
            </w:r>
          </w:p>
        </w:tc>
        <w:tc>
          <w:tcPr>
            <w:tcW w:w="0" w:type="dxa"/>
            <w:vAlign w:val="bottom"/>
          </w:tcPr>
          <w:p>
            <w:pPr>
              <w:spacing w:after="0"/>
              <w:rPr>
                <w:sz w:val="1"/>
                <w:szCs w:val="1"/>
                <w:color w:val="auto"/>
              </w:rPr>
            </w:pPr>
          </w:p>
        </w:tc>
      </w:tr>
      <w:tr>
        <w:trPr>
          <w:trHeight w:val="204"/>
        </w:trPr>
        <w:tc>
          <w:tcPr>
            <w:tcW w:w="5640" w:type="dxa"/>
            <w:vAlign w:val="bottom"/>
            <w:gridSpan w:val="2"/>
          </w:tcPr>
          <w:p>
            <w:pPr>
              <w:spacing w:after="0"/>
              <w:rPr>
                <w:sz w:val="20"/>
                <w:szCs w:val="20"/>
                <w:color w:val="auto"/>
              </w:rPr>
            </w:pPr>
            <w:r>
              <w:rPr>
                <w:rFonts w:ascii="Arial" w:cs="Arial" w:eastAsia="Arial" w:hAnsi="Arial"/>
                <w:sz w:val="17"/>
                <w:szCs w:val="17"/>
                <w:color w:val="auto"/>
              </w:rPr>
              <w:t>AIDH Management Holdings, LLC</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5,913,168</w:t>
            </w:r>
          </w:p>
        </w:tc>
        <w:tc>
          <w:tcPr>
            <w:tcW w:w="0" w:type="dxa"/>
            <w:vAlign w:val="bottom"/>
          </w:tcPr>
          <w:p>
            <w:pPr>
              <w:spacing w:after="0"/>
              <w:rPr>
                <w:sz w:val="1"/>
                <w:szCs w:val="1"/>
                <w:color w:val="auto"/>
              </w:rPr>
            </w:pPr>
          </w:p>
        </w:tc>
      </w:tr>
      <w:tr>
        <w:trPr>
          <w:trHeight w:val="204"/>
        </w:trPr>
        <w:tc>
          <w:tcPr>
            <w:tcW w:w="5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Affiliates of 22C Capital</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4,391,056</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The consideration set forth above and otherwise to be received in the Reorganization Transactions is subject to adjustment based on the final public offering price of our Class A common stock in this offering.</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Amended Definitive OpCo Agreement</w:t>
      </w:r>
    </w:p>
    <w:p>
      <w:pPr>
        <w:spacing w:after="0" w:line="114" w:lineRule="exact"/>
        <w:rPr>
          <w:sz w:val="20"/>
          <w:szCs w:val="20"/>
          <w:color w:val="auto"/>
        </w:rPr>
      </w:pPr>
    </w:p>
    <w:p>
      <w:pPr>
        <w:ind w:left="440" w:right="100" w:firstLine="415"/>
        <w:spacing w:after="0" w:line="293" w:lineRule="auto"/>
        <w:rPr>
          <w:sz w:val="20"/>
          <w:szCs w:val="20"/>
          <w:color w:val="auto"/>
        </w:rPr>
      </w:pPr>
      <w:r>
        <w:rPr>
          <w:rFonts w:ascii="Arial" w:cs="Arial" w:eastAsia="Arial" w:hAnsi="Arial"/>
          <w:sz w:val="15"/>
          <w:szCs w:val="15"/>
          <w:color w:val="auto"/>
        </w:rPr>
        <w:t>In connection with the Reorganization Transactions, Definitive Healthcare Corp., Definitive OpCo and each of the Continuing Pre-IPO LLC Members will enter into the Amended LLC Agreement. Following the Reorganization Transactions, and in accordance with the terms of the Amended LLC Agreement, we will operate our business through Definitive OpCo. Pursuant to the terms of the Amended LLC Agreement, so long as the Continuing Pre-IPO LLC Members continue to own any LLC Units or securities exchangeable into shares of our Class A common stock, we will not, without the prior written consent of such holders, engage in any business activity other than the management and ownership of Definitive OpCo or own any assets other than securities of Definitive OpCo and/or any cash or other property or assets distributed by or otherwise received from Definitive OpCo, unless we determine in good faith that such actions or ownership are in the best interest of Definitive OpCo.</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0820"/>
          </w:cols>
          <w:pgMar w:left="320" w:top="442" w:right="75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firstLine="415"/>
        <w:spacing w:after="0" w:line="279" w:lineRule="auto"/>
        <w:rPr>
          <w:sz w:val="20"/>
          <w:szCs w:val="20"/>
          <w:color w:val="auto"/>
        </w:rPr>
      </w:pPr>
      <w:r>
        <w:rPr>
          <w:rFonts w:ascii="Arial" w:cs="Arial" w:eastAsia="Arial" w:hAnsi="Arial"/>
          <w:sz w:val="16"/>
          <w:szCs w:val="16"/>
          <w:color w:val="auto"/>
        </w:rPr>
        <w:t>As the sole managing member of Definitive OpCo, we will have control over all of the affairs and decision making of Definitive OpCo. As such, through our officers and directors, we will be responsible for all operational and administrative decisions of Definitive OpCo and the day-to-day management of Definitive OpCo’s business. We will fund any dividends to our stockholders by causing Definitive OpCo to make distributions to the holders of LLC Units and us, subject to the limitations imposed by our debt agreements. See “Dividend Policy.”</w:t>
      </w:r>
    </w:p>
    <w:p>
      <w:pPr>
        <w:spacing w:after="0" w:line="162"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The holders of LLC Units will generally incur U.S. federal, state and local income taxes on their proportionate share of any taxable income of Definitive OpCo. Net profits and net losses of Definitive OpCo will generally be allocated to its members pro rata in accordance with the percentages of their respective ownership of LLC Units, except as otherwise required by law. The Amended LLC Agreement will provide for pro rata cash distributions to the holders of LLC Units for purposes of funding their tax obligations in respect of the taxable income of Definitive OpCo that is allocated to them. Generally, these tax distributions will be computed based on our estimate of the taxable income of Definitive OpCo allocable to the holder of LLC Units that receives the greatest proportionate allocation of income multiplied by an assumed tax rate equal to the highest effective marginal combined U.S. federal, state and local income tax rate prescribed for an individual or corporate resident of New York, NY (taking into account the non-deductibility of certain expenses and the character of our income). As a result of (i) potential differences in the amount of taxable income allocable to us and the other LLC Unit 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w:t>
      </w:r>
    </w:p>
    <w:p>
      <w:pPr>
        <w:spacing w:after="0" w:line="174" w:lineRule="exact"/>
        <w:rPr>
          <w:sz w:val="20"/>
          <w:szCs w:val="20"/>
          <w:color w:val="auto"/>
        </w:rPr>
      </w:pPr>
    </w:p>
    <w:p>
      <w:pPr>
        <w:ind w:left="440" w:right="40" w:firstLine="415"/>
        <w:spacing w:after="0" w:line="287" w:lineRule="auto"/>
        <w:rPr>
          <w:sz w:val="20"/>
          <w:szCs w:val="20"/>
          <w:color w:val="auto"/>
        </w:rPr>
      </w:pPr>
      <w:r>
        <w:rPr>
          <w:rFonts w:ascii="Arial" w:cs="Arial" w:eastAsia="Arial" w:hAnsi="Arial"/>
          <w:sz w:val="15"/>
          <w:szCs w:val="15"/>
          <w:color w:val="auto"/>
        </w:rPr>
        <w:t>Except as otherwise determined by us, if at any time we issue a share of our Class A common stock, the net proceeds received by us with respect to such share, if any, shall be concurrently invested in Definitive OpCo and Definitive OpCo shall issue to us one LLC Unit, unless such share was issued by us solely to fund the purchase of an LLC Unit from a holder of LLC Units (upon an election by us to exchange such LLC Unit),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the Continuing Pre-IPO LLC Members or any other person, we will issue an equal number of shares of our Class B common stock to such Continuing Pre-IPO LLC Members or any other person. Conversely, if at any time any shares of our Class A common stock are purchased or otherwise acquired by us, Definitive OpCo will purchase or otherwise acquire an equal number of LLC Units held by us, upon the same terms and for the same price per security, as the shares of our Class A common stock are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165" w:lineRule="exact"/>
        <w:rPr>
          <w:sz w:val="20"/>
          <w:szCs w:val="20"/>
          <w:color w:val="auto"/>
        </w:rPr>
      </w:pPr>
    </w:p>
    <w:p>
      <w:pPr>
        <w:ind w:left="440" w:right="60" w:firstLine="415"/>
        <w:spacing w:after="0" w:line="271" w:lineRule="auto"/>
        <w:rPr>
          <w:sz w:val="20"/>
          <w:szCs w:val="20"/>
          <w:color w:val="auto"/>
        </w:rPr>
      </w:pPr>
      <w:r>
        <w:rPr>
          <w:rFonts w:ascii="Arial" w:cs="Arial" w:eastAsia="Arial" w:hAnsi="Arial"/>
          <w:sz w:val="16"/>
          <w:szCs w:val="16"/>
          <w:color w:val="auto"/>
        </w:rPr>
        <w:t>Under the Amended LLC Agreement, the holders of LLC Units (other than us) will have the right, from and after the completion of this offering (subject to the terms of the Amended LLC Agreement), to require Definitive OpCo to all or a portion of their LLC Units for newly-issued shares of Class A common stock, which may consist of unregistered shares, on a one-for-one basis (subject to customary adjustments, including for stock splits, stock dividends and reclassifications). Upon the exercise of the redemption right, the exchanging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exchanged from the holders of LLC Units. Definitive OpCo will then distribute the shares of our Class A common stock to such holder of an LLC Unit to complete the exchange. In the event of an exchange request by a holder of an LLC Unit, we may at our option</w:t>
      </w:r>
    </w:p>
    <w:p>
      <w:pPr>
        <w:spacing w:after="0" w:line="10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0800"/>
          </w:cols>
          <w:pgMar w:left="320" w:top="442" w:right="77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2" w:lineRule="auto"/>
        <w:rPr>
          <w:sz w:val="20"/>
          <w:szCs w:val="20"/>
          <w:color w:val="auto"/>
        </w:rPr>
      </w:pPr>
      <w:r>
        <w:rPr>
          <w:rFonts w:ascii="Arial" w:cs="Arial" w:eastAsia="Arial" w:hAnsi="Arial"/>
          <w:sz w:val="17"/>
          <w:szCs w:val="17"/>
          <w:color w:val="auto"/>
        </w:rPr>
        <w:t>effect a direct exchange of Class A common stock for LLC Units in lieu of such exchange. Furthermore, in the event of an exchange request,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one-for-one basis if we, following an exchange request of a holder of an LLC Unit, exchange LLC Units of such holder of an LLC Unit pursuant to the terms of the Amended LLC Agreement. The holders of vested Reclassified Management Holdings Class B Units will have the right, pursuant to the terms of the amended and restated limited liability company agreement of AIDH Management Holdings, LLC, to exchange their Reclassified Management Holdings Class B Units for Reclassified Class B LLC Units and immediately thereafter Definitive OpCo shall exchange such Reclassified Class B LLC Units for newly issued shares of Class A common stock on a one-for-one basis pursuant to the terms of the Amended LLC Agreement.</w:t>
      </w:r>
    </w:p>
    <w:p>
      <w:pPr>
        <w:spacing w:after="0" w:line="188" w:lineRule="exact"/>
        <w:rPr>
          <w:sz w:val="20"/>
          <w:szCs w:val="20"/>
          <w:color w:val="auto"/>
        </w:rPr>
      </w:pPr>
    </w:p>
    <w:p>
      <w:pPr>
        <w:ind w:left="440" w:right="20" w:firstLine="415"/>
        <w:spacing w:after="0" w:line="293" w:lineRule="auto"/>
        <w:rPr>
          <w:sz w:val="20"/>
          <w:szCs w:val="20"/>
          <w:color w:val="auto"/>
        </w:rPr>
      </w:pPr>
      <w:r>
        <w:rPr>
          <w:rFonts w:ascii="Arial" w:cs="Arial" w:eastAsia="Arial" w:hAnsi="Arial"/>
          <w:sz w:val="15"/>
          <w:szCs w:val="15"/>
          <w:color w:val="auto"/>
        </w:rPr>
        <w:t>The Amended LLC Agreement will provide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holders of LLC Units will be permitted to participate in such offer by delivery of a notice of exchange that is effective immediately prior to the consummation of such offer. In the case of any such offer proposed by us, we are obligated to use our reasonable best efforts to enable and permit the holders of LLC Units to participate in such offer to the same extent or on an economically equivalent basis as the holders of shares of our Class A common stock without discrimination. In addition, we are obligated to use our reasonable best efforts to ensure that the holders of LLC Units may participate in each such offer without being required to exchange LLC Units.</w:t>
      </w:r>
    </w:p>
    <w:p>
      <w:pPr>
        <w:spacing w:after="0" w:line="154"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The Amended LLC Agreement will provide that, except for transfers to us as provided above or to certain permitted transferees, the LLC Units and shares of Class B common stock may not be sold, transferred or otherwise disposed of.</w:t>
      </w:r>
    </w:p>
    <w:p>
      <w:pPr>
        <w:spacing w:after="0" w:line="166"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Subject to certain exceptions, Definitive OpCo will indemnify all of its members and their officers and other related parties, against all losses or expenses arising from claims or other legal proceedings in which such person (in its capacity as such) may be involved or become subject to in connection with Definitive OpCo’s business or affairs or the Amended LLC Agreement or any related document.</w:t>
      </w:r>
    </w:p>
    <w:p>
      <w:pPr>
        <w:spacing w:after="0" w:line="176"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6"/>
          <w:szCs w:val="16"/>
          <w:color w:val="auto"/>
        </w:rPr>
        <w:t>Definitive OpCo may be dissolved upon (i) the determination by us to dissolve Definitive OpCo or (ii) any other event which would cause the dissolution of Definitive OpCo under the Delaware Limited Liability Company Act,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affiliates of members)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Tax Receivable Agreement</w:t>
      </w:r>
    </w:p>
    <w:p>
      <w:pPr>
        <w:spacing w:after="0" w:line="114" w:lineRule="exact"/>
        <w:rPr>
          <w:sz w:val="20"/>
          <w:szCs w:val="20"/>
          <w:color w:val="auto"/>
        </w:rPr>
      </w:pPr>
    </w:p>
    <w:p>
      <w:pPr>
        <w:ind w:left="440" w:right="260" w:firstLine="415"/>
        <w:spacing w:after="0" w:line="257" w:lineRule="auto"/>
        <w:rPr>
          <w:sz w:val="20"/>
          <w:szCs w:val="20"/>
          <w:color w:val="auto"/>
        </w:rPr>
      </w:pPr>
      <w:r>
        <w:rPr>
          <w:rFonts w:ascii="Arial" w:cs="Arial" w:eastAsia="Arial" w:hAnsi="Arial"/>
          <w:sz w:val="17"/>
          <w:szCs w:val="17"/>
          <w:color w:val="auto"/>
        </w:rPr>
        <w:t>As described under “Organizational Structure,” we will acquire certain favorable tax attributes from the Blocker Companies in the Mergers. In addition, future exchanges by Continuing Pre-IPO LLC Members of LLC Units for shares of our Class A common stock are 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180" w:lineRule="exact"/>
        <w:rPr>
          <w:sz w:val="20"/>
          <w:szCs w:val="20"/>
          <w:color w:val="auto"/>
        </w:rPr>
      </w:pPr>
    </w:p>
    <w:p>
      <w:pPr>
        <w:ind w:left="440" w:right="200" w:firstLine="415"/>
        <w:spacing w:after="0" w:line="261" w:lineRule="auto"/>
        <w:rPr>
          <w:sz w:val="20"/>
          <w:szCs w:val="20"/>
          <w:color w:val="auto"/>
        </w:rPr>
      </w:pPr>
      <w:r>
        <w:rPr>
          <w:rFonts w:ascii="Arial" w:cs="Arial" w:eastAsia="Arial" w:hAnsi="Arial"/>
          <w:sz w:val="17"/>
          <w:szCs w:val="17"/>
          <w:color w:val="auto"/>
        </w:rPr>
        <w:t>Upon the completion of this offering, we will be a party to a Tax Receivable Agreement with the TRA Parties. Under the Tax Receivable Agreement, we generally will be required to pay to the TRA Parties, in the aggregate, 85% of the amount of cash savings, if any, in U.S. federal, state and local income tax that we actually</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0780"/>
          </w:cols>
          <w:pgMar w:left="320" w:top="442" w:right="79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3" w:lineRule="auto"/>
        <w:rPr>
          <w:sz w:val="20"/>
          <w:szCs w:val="20"/>
          <w:color w:val="auto"/>
        </w:rPr>
      </w:pPr>
      <w:r>
        <w:rPr>
          <w:rFonts w:ascii="Arial" w:cs="Arial" w:eastAsia="Arial" w:hAnsi="Arial"/>
          <w:sz w:val="17"/>
          <w:szCs w:val="17"/>
          <w:color w:val="auto"/>
        </w:rPr>
        <w:t>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(a) acquisitions by us of LLC Units from certain Pre-IPO LLC Members in connection with this offering and (b) future exchanges of LLC Units by Continuing Pre-IPO LLC Members for Class A common stock and (iii) certain payments made under the Tax Receivable Agreement. Definitive OpCo intends to have in effect an election under Section 754 of the Code effective for each taxable year in which an exchange (including deemed exchange) of LLC Units for Class A common stock occurs. The payment obligations under the Tax Receivable Agreement are our obligations and not the obligations of Definitive OpCo.</w:t>
      </w:r>
    </w:p>
    <w:p>
      <w:pPr>
        <w:spacing w:after="0" w:line="183" w:lineRule="exact"/>
        <w:rPr>
          <w:sz w:val="20"/>
          <w:szCs w:val="20"/>
          <w:color w:val="auto"/>
        </w:rPr>
      </w:pPr>
    </w:p>
    <w:p>
      <w:pPr>
        <w:ind w:left="440" w:right="20" w:firstLine="415"/>
        <w:spacing w:after="0" w:line="287" w:lineRule="auto"/>
        <w:rPr>
          <w:sz w:val="20"/>
          <w:szCs w:val="20"/>
          <w:color w:val="auto"/>
        </w:rPr>
      </w:pPr>
      <w:r>
        <w:rPr>
          <w:rFonts w:ascii="Arial" w:cs="Arial" w:eastAsia="Arial" w:hAnsi="Arial"/>
          <w:sz w:val="15"/>
          <w:szCs w:val="15"/>
          <w:color w:val="auto"/>
        </w:rPr>
        <w:t>We expect that the payments we will be required to make under the Tax Receivable Agreement will be substantial. Assuming no material changes in relevant tax law and that we earn sufficient taxable income to realize such benefits, the tax attributes available to us as a result of the Reorganization Transactions would be expected to result in tax savings of approximately $240.8 million. We would be required to pay the TRA Parties approximately 85% of such amount, or $204.6 million, over the 15-year period from the date of the completion of this offering. Further, assuming no material changes in relevant tax law and that we earn sufficient taxable income to realize all tax benefits that are subject to the Tax Receivable Agreement, the tax savings associated with all tax attributes described above would aggregate to approximately $820.7 million over 15 years from the date of the completion of this offering, based on an assumed IPO price of $25.00 per share of Class A common stock, the midpoint of the estimated price range set forth on the cover page of this prospectus and assuming all future exchanges would occur on the date of this offering. Under this scenario, we would be required to pay the TRA Parties approximately 85% of such amount, or $697.6 million,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 Payments under the Tax Receivable Agreement are not conditioned on our existing owners’ continued ownership of us after this offering.</w:t>
      </w:r>
    </w:p>
    <w:p>
      <w:pPr>
        <w:spacing w:after="0" w:line="162" w:lineRule="exact"/>
        <w:rPr>
          <w:sz w:val="20"/>
          <w:szCs w:val="20"/>
          <w:color w:val="auto"/>
        </w:rPr>
      </w:pPr>
    </w:p>
    <w:p>
      <w:pPr>
        <w:ind w:left="440" w:right="60" w:firstLine="415"/>
        <w:spacing w:after="0" w:line="287" w:lineRule="auto"/>
        <w:rPr>
          <w:sz w:val="20"/>
          <w:szCs w:val="20"/>
          <w:color w:val="auto"/>
        </w:rPr>
      </w:pPr>
      <w:r>
        <w:rPr>
          <w:rFonts w:ascii="Arial" w:cs="Arial" w:eastAsia="Arial" w:hAnsi="Arial"/>
          <w:sz w:val="15"/>
          <w:szCs w:val="15"/>
          <w:color w:val="auto"/>
        </w:rPr>
        <w:t>Payments under the Tax Receivable Agreement will be based on the tax reporting positions we determine, and the IRS or another taxing authority may challenge all or a part of the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disallowed, except that any excess payments made to a TRA Party will be netted against future payments otherwise to be made to such TRA Party under the Tax Receivable Agreement, if any, after our determination of such excess. In addition, the actual state or local tax savings we may realize may be different than the amount of such tax savings we are deemed to realize under the Tax Receivable Agreement, which will be based on an assumed combined state and local tax rate applied to our reduction in taxable income as determined for U.S. federal income tax purposes as a result of the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(2) upon certain changes of control or (3) if, at any time, we elect an early termination of the Tax Receivable Agreement, our obligations under the Tax Receivable Agreement (with respect to all LLC Units, whether or not LLC Units have been exchanged or acquired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w:t>
      </w:r>
    </w:p>
    <w:p>
      <w:pPr>
        <w:spacing w:after="0" w:line="96"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0800"/>
          </w:cols>
          <w:pgMar w:left="320" w:top="442" w:right="77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342" w:lineRule="auto"/>
        <w:rPr>
          <w:sz w:val="20"/>
          <w:szCs w:val="20"/>
          <w:color w:val="auto"/>
        </w:rPr>
      </w:pPr>
      <w:r>
        <w:rPr>
          <w:rFonts w:ascii="Arial" w:cs="Arial" w:eastAsia="Arial" w:hAnsi="Arial"/>
          <w:sz w:val="15"/>
          <w:szCs w:val="15"/>
          <w:color w:val="auto"/>
        </w:rPr>
        <w:t>arising from the tax deductions, tax basis and other tax attributes subject to the Tax Receivable Agreement. The change of control provisions in the Tax Receivable Agreement may result in situations where the TRA Parties have interests that differ from or are in addition to those of our other stockholders.</w:t>
      </w:r>
    </w:p>
    <w:p>
      <w:pPr>
        <w:spacing w:after="0" w:line="119" w:lineRule="exact"/>
        <w:rPr>
          <w:sz w:val="20"/>
          <w:szCs w:val="20"/>
          <w:color w:val="auto"/>
        </w:rPr>
      </w:pPr>
    </w:p>
    <w:p>
      <w:pPr>
        <w:ind w:left="440" w:right="40" w:firstLine="415"/>
        <w:spacing w:after="0" w:line="298" w:lineRule="auto"/>
        <w:rPr>
          <w:sz w:val="20"/>
          <w:szCs w:val="20"/>
          <w:color w:val="auto"/>
        </w:rPr>
      </w:pPr>
      <w:r>
        <w:rPr>
          <w:rFonts w:ascii="Arial" w:cs="Arial" w:eastAsia="Arial" w:hAnsi="Arial"/>
          <w:sz w:val="15"/>
          <w:szCs w:val="15"/>
          <w:color w:val="auto"/>
        </w:rPr>
        <w:t>Finally, because we are a holding company with no operations of our own, our ability to make payments under the Tax Receivable Agreement depends on the ability of Definitive OpCo to make distributions to us. To the extent that we are unable to make payments under the Tax Receivable Agreement for any reason, such payments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Nominating Agreements</w:t>
      </w:r>
    </w:p>
    <w:p>
      <w:pPr>
        <w:spacing w:after="0" w:line="114" w:lineRule="exact"/>
        <w:rPr>
          <w:sz w:val="20"/>
          <w:szCs w:val="20"/>
          <w:color w:val="auto"/>
        </w:rPr>
      </w:pPr>
    </w:p>
    <w:p>
      <w:pPr>
        <w:ind w:left="440" w:right="40" w:firstLine="415"/>
        <w:spacing w:after="0" w:line="290" w:lineRule="auto"/>
        <w:rPr>
          <w:sz w:val="20"/>
          <w:szCs w:val="20"/>
          <w:color w:val="auto"/>
        </w:rPr>
      </w:pPr>
      <w:r>
        <w:rPr>
          <w:rFonts w:ascii="Arial" w:cs="Arial" w:eastAsia="Arial" w:hAnsi="Arial"/>
          <w:sz w:val="15"/>
          <w:szCs w:val="15"/>
          <w:color w:val="auto"/>
        </w:rPr>
        <w:t>We intend to enter into nominating agreements, pursuant to which (a) Advent and its affiliates will have the right, at any time until Advent no longer beneficially owns at least 21.5% of our outstanding common stock, to nominate two designees to our Board; and (b) so long as each of Spectrum Equity and Jason Krantz together with each of their respective affiliates, owns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Spectrum Equity and Jason Krantz each have the right to nominate a designee to our Board to fill any vacancy of a director nominated by Advent, Spectrum Equity or Jason Krantz, respectively, due to death, resignation or removal. See “Management—Nominating Agreements”.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Registration Rights Agreement</w:t>
      </w:r>
    </w:p>
    <w:p>
      <w:pPr>
        <w:spacing w:after="0" w:line="114" w:lineRule="exact"/>
        <w:rPr>
          <w:sz w:val="20"/>
          <w:szCs w:val="20"/>
          <w:color w:val="auto"/>
        </w:rPr>
      </w:pPr>
    </w:p>
    <w:p>
      <w:pPr>
        <w:jc w:val="both"/>
        <w:ind w:left="440" w:right="520" w:firstLine="415"/>
        <w:spacing w:after="0" w:line="342" w:lineRule="auto"/>
        <w:rPr>
          <w:sz w:val="20"/>
          <w:szCs w:val="20"/>
          <w:color w:val="auto"/>
        </w:rPr>
      </w:pPr>
      <w:r>
        <w:rPr>
          <w:rFonts w:ascii="Arial" w:cs="Arial" w:eastAsia="Arial" w:hAnsi="Arial"/>
          <w:sz w:val="15"/>
          <w:szCs w:val="15"/>
          <w:color w:val="auto"/>
        </w:rPr>
        <w:t>Prior to the consummation of this offering, we will enter into a registration rights agreement with certain of the Pre-IPO LLC Members and affiliates of Advent, affiliates of Spectrum Equity, Jason Krantz, DH Holdings, AIDH Management Holdings, LLC and affiliates of 22C Capital.</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Samuel Allen Hamood Trust U/A 8/27/2010</w:t>
      </w:r>
    </w:p>
    <w:p>
      <w:pPr>
        <w:spacing w:after="0" w:line="114" w:lineRule="exact"/>
        <w:rPr>
          <w:sz w:val="20"/>
          <w:szCs w:val="20"/>
          <w:color w:val="auto"/>
        </w:rPr>
      </w:pPr>
    </w:p>
    <w:p>
      <w:pPr>
        <w:ind w:left="440" w:right="80" w:firstLine="415"/>
        <w:spacing w:after="0" w:line="342" w:lineRule="auto"/>
        <w:rPr>
          <w:sz w:val="20"/>
          <w:szCs w:val="20"/>
          <w:color w:val="auto"/>
        </w:rPr>
      </w:pPr>
      <w:r>
        <w:rPr>
          <w:rFonts w:ascii="Arial" w:cs="Arial" w:eastAsia="Arial" w:hAnsi="Arial"/>
          <w:sz w:val="15"/>
          <w:szCs w:val="15"/>
          <w:color w:val="auto"/>
        </w:rPr>
        <w:t>On October 12, 2020, the Samuel Allen Hamood Trust U/A 8/27/2010 purchased 294,117 Class A Common Units of OpCo through the subscription for and purchase of 294,117 Class A Common Units of AIDH Management Holdings, LLC, for an aggregate purchase price of $3,000,000.</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Mr. Musslewhite</w:t>
      </w:r>
    </w:p>
    <w:p>
      <w:pPr>
        <w:spacing w:after="0" w:line="114" w:lineRule="exact"/>
        <w:rPr>
          <w:sz w:val="20"/>
          <w:szCs w:val="20"/>
          <w:color w:val="auto"/>
        </w:rPr>
      </w:pPr>
    </w:p>
    <w:p>
      <w:pPr>
        <w:ind w:left="440" w:right="260" w:firstLine="415"/>
        <w:spacing w:after="0" w:line="306" w:lineRule="auto"/>
        <w:rPr>
          <w:sz w:val="20"/>
          <w:szCs w:val="20"/>
          <w:color w:val="auto"/>
        </w:rPr>
      </w:pPr>
      <w:r>
        <w:rPr>
          <w:rFonts w:ascii="Arial" w:cs="Arial" w:eastAsia="Arial" w:hAnsi="Arial"/>
          <w:sz w:val="16"/>
          <w:szCs w:val="16"/>
          <w:color w:val="auto"/>
        </w:rPr>
        <w:t>In June 2021, the Robert Musslewhite 2014 Family Trust purchased 330,469 Class A Common Units of OpCo through the subscription for and purchase of 330,469 Class A Common Units of AIDH Management Holdings, LLC, for an aggregate purchase price of $5,000,000.</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Ms. Larsen</w:t>
      </w:r>
    </w:p>
    <w:p>
      <w:pPr>
        <w:spacing w:after="0" w:line="114"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On May 20, 2021 Ms. Larsen purchased 33,047 Class A Common Units of OpCo through her subscription for and purchase of 33,047 Class A Common Units of AIDH Management Holdings, LLC for an aggregate purchase price of $500,000.</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0820"/>
          </w:cols>
          <w:pgMar w:left="320" w:top="442" w:right="75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Directed Share Program</w:t>
      </w:r>
    </w:p>
    <w:p>
      <w:pPr>
        <w:spacing w:after="0" w:line="114"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At our request, Goldman Sachs &amp; Co. LLC, a participating underwriter, has reserved for sale, at the IPO price, up to 5% of the shares offered by this prospectus for sale to our directors, officers and selected senior managers. The directed share program will not limit the ability of our directors, officers and their family members, or holders of more than 5% of our common stock, to purchase more than $120,000 in value of our common stock. We do not currently know the extent to which these related persons will participate in our directed share program, if at all, or to the extent they will purchase more than $120,000 in value of our common stock.</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Related Party Transactions Policies and Procedures</w:t>
      </w:r>
    </w:p>
    <w:p>
      <w:pPr>
        <w:spacing w:after="0" w:line="114"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Upon the completion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76"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For purposes of the Policy, subject to certain exceptions, a “related person transaction” is a transaction, arrangement or relationship (or any series of similar transactions, arrangements or relationships) in which we were, are or will be a participant and in which any related person (as defined in the Policy) had, has or will have a direct or indirect material interest. A “related person transaction” does not include, for example, any employment relationship or transaction involving an executive officer and any related compensation resulting solely from that employment relationship that has been reviewed and approved by our board of directors.</w:t>
      </w:r>
    </w:p>
    <w:p>
      <w:pPr>
        <w:spacing w:after="0" w:line="183" w:lineRule="exact"/>
        <w:rPr>
          <w:sz w:val="20"/>
          <w:szCs w:val="20"/>
          <w:color w:val="auto"/>
        </w:rPr>
      </w:pPr>
    </w:p>
    <w:p>
      <w:pPr>
        <w:ind w:left="440" w:right="100" w:firstLine="415"/>
        <w:spacing w:after="0" w:line="253" w:lineRule="auto"/>
        <w:rPr>
          <w:sz w:val="20"/>
          <w:szCs w:val="20"/>
          <w:color w:val="auto"/>
        </w:rPr>
      </w:pPr>
      <w:r>
        <w:rPr>
          <w:rFonts w:ascii="Arial" w:cs="Arial" w:eastAsia="Arial" w:hAnsi="Arial"/>
          <w:sz w:val="17"/>
          <w:szCs w:val="17"/>
          <w:color w:val="auto"/>
        </w:rPr>
        <w:t>The Policy will require that notice of a proposed transaction or arrangement that could be a related person transaction be provided to our legal department, the chair of the Board or the chair of the Audit Committee prior to entry into such transaction. If our legal department determines that such transaction could be a related person transaction, the proposed transaction will be submitted to our Audit Committee for consideration at its next meeting or sooner if determined to be necessary.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modify the related person transaction and whether to make changes to our controls and procedures in connection with the transaction.</w:t>
      </w:r>
    </w:p>
    <w:p>
      <w:pPr>
        <w:spacing w:after="0" w:line="183" w:lineRule="exact"/>
        <w:rPr>
          <w:sz w:val="20"/>
          <w:szCs w:val="20"/>
          <w:color w:val="auto"/>
        </w:rPr>
      </w:pPr>
    </w:p>
    <w:p>
      <w:pPr>
        <w:ind w:left="440" w:right="140" w:firstLine="415"/>
        <w:spacing w:after="0" w:line="257" w:lineRule="auto"/>
        <w:rPr>
          <w:sz w:val="20"/>
          <w:szCs w:val="20"/>
          <w:color w:val="auto"/>
        </w:rPr>
      </w:pPr>
      <w:r>
        <w:rPr>
          <w:rFonts w:ascii="Arial" w:cs="Arial" w:eastAsia="Arial" w:hAnsi="Arial"/>
          <w:sz w:val="17"/>
          <w:szCs w:val="17"/>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0820"/>
          </w:cols>
          <w:pgMar w:left="320" w:top="442" w:right="75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DESCRIPTION OF MATERIAL INDEBTEDNESS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Senior Credit Facilities</w:t>
      </w:r>
    </w:p>
    <w:p>
      <w:pPr>
        <w:spacing w:after="0" w:line="114"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On July 16, 2019 , DH Holdings (as the “Borrower”) entered into a credit agreement (the “Credit Agreement”) among the Borrower, AIDH Buyer, LLC (“AIDH Buyer”), Administrative Agent, and the lenders and issuing banks from time to time party thereto (the “Lenders”), pursuant to which the Lenders agreed to provide senior secured credit facilities, consisting of (i) an initial term loan facility in an original principal amount equal to</w:t>
      </w:r>
    </w:p>
    <w:p>
      <w:pPr>
        <w:spacing w:after="0" w:line="1" w:lineRule="exact"/>
        <w:rPr>
          <w:sz w:val="20"/>
          <w:szCs w:val="20"/>
          <w:color w:val="auto"/>
        </w:rPr>
      </w:pPr>
    </w:p>
    <w:p>
      <w:pPr>
        <w:ind w:left="440" w:right="40"/>
        <w:spacing w:after="0" w:line="251" w:lineRule="auto"/>
        <w:rPr>
          <w:sz w:val="20"/>
          <w:szCs w:val="20"/>
          <w:color w:val="auto"/>
        </w:rPr>
      </w:pPr>
      <w:r>
        <w:rPr>
          <w:rFonts w:ascii="Arial" w:cs="Arial" w:eastAsia="Arial" w:hAnsi="Arial"/>
          <w:sz w:val="17"/>
          <w:szCs w:val="17"/>
          <w:color w:val="auto"/>
        </w:rPr>
        <w:t>$450.0 million (the “Initial Term Loan Facility” and the loans thereunder, the “Initial Term Loans”), (ii) a revolving credit facility in an original principal amount equal to $25.0 million (the “Revolving Credit Facility” and the loans thereunder, the “Initial Revolving Loans”), including a letter of credit facility with a $5.0 million sublimit and (iii) an initial delayed draw term facility in an original committed amount equal to $100.0 million (the “Initial Delayed Draw Term Facility” and the loans thereunder, the “Initial Delayed Draw Term Loans”, the Initial Delayed Draw Term Facility together with the Initial Term Loan Facility, collectively, the “Term Loan Facility” and the Initial Delayed Draw Term Loans together with the Initial Term Loans, the “Term Loans;” the Term Loan Facility, together with the Revolving Credit Facility, collectively, the “Senior Credit Facilities”). See “Prospectus Summary—Debt Refinancing.”</w:t>
      </w:r>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Interest Rate and Fees</w:t>
      </w:r>
    </w:p>
    <w:p>
      <w:pPr>
        <w:spacing w:after="0" w:line="110"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Borrowings under the Senior Credit Facilities bear interest, at the Borrower’s option, at a rate per annum equal to either (a) LIBO Rate (as defined in the 2019 Loan Agreement) plus the applicable LIBO Rate spread or (b) Alternate Base Rate (as defined in the 2019 Loan Agreement) plus the applicable ABR spread.</w:t>
      </w:r>
    </w:p>
    <w:p>
      <w:pPr>
        <w:spacing w:after="0" w:line="176"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applicable LIBO Rate and ABR spreads are calculated based upon the total leverage ratio of the Borrower and its restricted subsidiaries on a consolidated basis, as set forth below.</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90"/>
              </w:rPr>
              <w:t>ABR Spread for</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LIBO Rate</w:t>
            </w:r>
          </w:p>
        </w:tc>
        <w:tc>
          <w:tcPr>
            <w:tcW w:w="0" w:type="dxa"/>
            <w:vAlign w:val="bottom"/>
          </w:tcPr>
          <w:p>
            <w:pPr>
              <w:spacing w:after="0"/>
              <w:rPr>
                <w:sz w:val="1"/>
                <w:szCs w:val="1"/>
                <w:color w:val="auto"/>
              </w:rPr>
            </w:pPr>
          </w:p>
        </w:tc>
      </w:tr>
      <w:tr>
        <w:trPr>
          <w:trHeight w:val="140"/>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Total Leverage Ratio</w:t>
            </w:r>
          </w:p>
        </w:tc>
        <w:tc>
          <w:tcPr>
            <w:tcW w:w="1700" w:type="dxa"/>
            <w:vAlign w:val="bottom"/>
            <w:vMerge w:val="restart"/>
          </w:tcPr>
          <w:p>
            <w:pPr>
              <w:spacing w:after="0"/>
              <w:rPr>
                <w:sz w:val="12"/>
                <w:szCs w:val="12"/>
                <w:color w:val="auto"/>
              </w:rPr>
            </w:pPr>
          </w:p>
        </w:tc>
        <w:tc>
          <w:tcPr>
            <w:tcW w:w="1720" w:type="dxa"/>
            <w:vAlign w:val="bottom"/>
            <w:gridSpan w:val="2"/>
          </w:tcPr>
          <w:p>
            <w:pPr>
              <w:jc w:val="right"/>
              <w:ind w:right="900"/>
              <w:spacing w:after="0" w:line="140" w:lineRule="exact"/>
              <w:rPr>
                <w:sz w:val="20"/>
                <w:szCs w:val="20"/>
                <w:color w:val="auto"/>
              </w:rPr>
            </w:pPr>
            <w:r>
              <w:rPr>
                <w:rFonts w:ascii="Arial" w:cs="Arial" w:eastAsia="Arial" w:hAnsi="Arial"/>
                <w:sz w:val="14"/>
                <w:szCs w:val="14"/>
                <w:b w:val="1"/>
                <w:bCs w:val="1"/>
                <w:color w:val="auto"/>
                <w:w w:val="97"/>
              </w:rPr>
              <w:t>ABR Spread</w:t>
            </w:r>
          </w:p>
        </w:tc>
        <w:tc>
          <w:tcPr>
            <w:tcW w:w="1900" w:type="dxa"/>
            <w:vAlign w:val="bottom"/>
            <w:gridSpan w:val="2"/>
          </w:tcPr>
          <w:p>
            <w:pPr>
              <w:jc w:val="right"/>
              <w:ind w:right="820"/>
              <w:spacing w:after="0" w:line="140" w:lineRule="exact"/>
              <w:rPr>
                <w:sz w:val="20"/>
                <w:szCs w:val="20"/>
                <w:color w:val="auto"/>
              </w:rPr>
            </w:pPr>
            <w:r>
              <w:rPr>
                <w:rFonts w:ascii="Arial" w:cs="Arial" w:eastAsia="Arial" w:hAnsi="Arial"/>
                <w:sz w:val="14"/>
                <w:szCs w:val="14"/>
                <w:b w:val="1"/>
                <w:bCs w:val="1"/>
                <w:color w:val="auto"/>
                <w:w w:val="89"/>
              </w:rPr>
              <w:t>LIBO Rate Spread</w:t>
            </w:r>
          </w:p>
        </w:tc>
        <w:tc>
          <w:tcPr>
            <w:tcW w:w="1800" w:type="dxa"/>
            <w:vAlign w:val="bottom"/>
            <w:gridSpan w:val="2"/>
          </w:tcPr>
          <w:p>
            <w:pPr>
              <w:jc w:val="center"/>
              <w:ind w:right="800"/>
              <w:spacing w:after="0" w:line="140" w:lineRule="exact"/>
              <w:rPr>
                <w:sz w:val="20"/>
                <w:szCs w:val="20"/>
                <w:color w:val="auto"/>
              </w:rPr>
            </w:pPr>
            <w:r>
              <w:rPr>
                <w:rFonts w:ascii="Arial" w:cs="Arial" w:eastAsia="Arial" w:hAnsi="Arial"/>
                <w:sz w:val="14"/>
                <w:szCs w:val="14"/>
                <w:b w:val="1"/>
                <w:bCs w:val="1"/>
                <w:color w:val="auto"/>
                <w:w w:val="89"/>
              </w:rPr>
              <w:t>Initial Revolving</w:t>
            </w:r>
          </w:p>
        </w:tc>
        <w:tc>
          <w:tcPr>
            <w:tcW w:w="120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90"/>
              </w:rPr>
              <w:t>Spread for Initial</w:t>
            </w:r>
          </w:p>
        </w:tc>
        <w:tc>
          <w:tcPr>
            <w:tcW w:w="0" w:type="dxa"/>
            <w:vAlign w:val="bottom"/>
          </w:tcPr>
          <w:p>
            <w:pPr>
              <w:spacing w:after="0"/>
              <w:rPr>
                <w:sz w:val="1"/>
                <w:szCs w:val="1"/>
                <w:color w:val="auto"/>
              </w:rPr>
            </w:pPr>
          </w:p>
        </w:tc>
      </w:tr>
      <w:tr>
        <w:trPr>
          <w:trHeight w:val="168"/>
        </w:trPr>
        <w:tc>
          <w:tcPr>
            <w:tcW w:w="1220" w:type="dxa"/>
            <w:vAlign w:val="bottom"/>
            <w:tcBorders>
              <w:bottom w:val="single" w:sz="8" w:color="auto"/>
            </w:tcBorders>
            <w:gridSpan w:val="2"/>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720" w:type="dxa"/>
            <w:vAlign w:val="bottom"/>
            <w:gridSpan w:val="2"/>
          </w:tcPr>
          <w:p>
            <w:pPr>
              <w:jc w:val="right"/>
              <w:ind w:right="820"/>
              <w:spacing w:after="0" w:line="147" w:lineRule="exact"/>
              <w:rPr>
                <w:sz w:val="20"/>
                <w:szCs w:val="20"/>
                <w:color w:val="auto"/>
              </w:rPr>
            </w:pPr>
            <w:r>
              <w:rPr>
                <w:rFonts w:ascii="Arial" w:cs="Arial" w:eastAsia="Arial" w:hAnsi="Arial"/>
                <w:sz w:val="14"/>
                <w:szCs w:val="14"/>
                <w:b w:val="1"/>
                <w:bCs w:val="1"/>
                <w:color w:val="auto"/>
                <w:w w:val="86"/>
              </w:rPr>
              <w:t>for Term Loans</w:t>
            </w:r>
          </w:p>
        </w:tc>
        <w:tc>
          <w:tcPr>
            <w:tcW w:w="1900" w:type="dxa"/>
            <w:vAlign w:val="bottom"/>
            <w:gridSpan w:val="2"/>
          </w:tcPr>
          <w:p>
            <w:pPr>
              <w:jc w:val="right"/>
              <w:ind w:right="900"/>
              <w:spacing w:after="0" w:line="147" w:lineRule="exact"/>
              <w:rPr>
                <w:sz w:val="20"/>
                <w:szCs w:val="20"/>
                <w:color w:val="auto"/>
              </w:rPr>
            </w:pPr>
            <w:r>
              <w:rPr>
                <w:rFonts w:ascii="Arial" w:cs="Arial" w:eastAsia="Arial" w:hAnsi="Arial"/>
                <w:sz w:val="14"/>
                <w:szCs w:val="14"/>
                <w:b w:val="1"/>
                <w:bCs w:val="1"/>
                <w:color w:val="auto"/>
                <w:w w:val="96"/>
              </w:rPr>
              <w:t>for Term Loans</w:t>
            </w:r>
          </w:p>
        </w:tc>
        <w:tc>
          <w:tcPr>
            <w:tcW w:w="1800" w:type="dxa"/>
            <w:vAlign w:val="bottom"/>
            <w:gridSpan w:val="2"/>
          </w:tcPr>
          <w:p>
            <w:pPr>
              <w:jc w:val="center"/>
              <w:ind w:right="800"/>
              <w:spacing w:after="0" w:line="147" w:lineRule="exact"/>
              <w:rPr>
                <w:sz w:val="20"/>
                <w:szCs w:val="20"/>
                <w:color w:val="auto"/>
              </w:rPr>
            </w:pPr>
            <w:r>
              <w:rPr>
                <w:rFonts w:ascii="Arial" w:cs="Arial" w:eastAsia="Arial" w:hAnsi="Arial"/>
                <w:sz w:val="14"/>
                <w:szCs w:val="14"/>
                <w:b w:val="1"/>
                <w:bCs w:val="1"/>
                <w:color w:val="auto"/>
                <w:w w:val="87"/>
              </w:rPr>
              <w:t>Loans</w:t>
            </w:r>
          </w:p>
        </w:tc>
        <w:tc>
          <w:tcPr>
            <w:tcW w:w="12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85"/>
              </w:rPr>
              <w:t>Revolving Loans</w:t>
            </w:r>
          </w:p>
        </w:tc>
        <w:tc>
          <w:tcPr>
            <w:tcW w:w="0" w:type="dxa"/>
            <w:vAlign w:val="bottom"/>
          </w:tcPr>
          <w:p>
            <w:pPr>
              <w:spacing w:after="0"/>
              <w:rPr>
                <w:sz w:val="1"/>
                <w:szCs w:val="1"/>
                <w:color w:val="auto"/>
              </w:rPr>
            </w:pPr>
          </w:p>
        </w:tc>
      </w:tr>
      <w:tr>
        <w:trPr>
          <w:trHeight w:val="138"/>
        </w:trPr>
        <w:tc>
          <w:tcPr>
            <w:tcW w:w="2920" w:type="dxa"/>
            <w:vAlign w:val="bottom"/>
            <w:tcBorders>
              <w:top w:val="single" w:sz="8" w:color="CCEEFF"/>
            </w:tcBorders>
            <w:gridSpan w:val="3"/>
            <w:shd w:val="clear" w:color="auto" w:fill="CCEEFF"/>
          </w:tcPr>
          <w:p>
            <w:pPr>
              <w:spacing w:after="0" w:line="138" w:lineRule="exact"/>
              <w:rPr>
                <w:sz w:val="20"/>
                <w:szCs w:val="20"/>
                <w:color w:val="auto"/>
              </w:rPr>
            </w:pPr>
            <w:r>
              <w:rPr>
                <w:rFonts w:ascii="Arial" w:cs="Arial" w:eastAsia="Arial" w:hAnsi="Arial"/>
                <w:sz w:val="16"/>
                <w:szCs w:val="16"/>
                <w:color w:val="auto"/>
              </w:rPr>
              <w:t>Category 1</w:t>
            </w:r>
          </w:p>
        </w:tc>
        <w:tc>
          <w:tcPr>
            <w:tcW w:w="9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40" w:type="dxa"/>
            <w:vAlign w:val="bottom"/>
            <w:shd w:val="clear" w:color="auto" w:fill="000000"/>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4"/>
        </w:trPr>
        <w:tc>
          <w:tcPr>
            <w:tcW w:w="2920" w:type="dxa"/>
            <w:vAlign w:val="bottom"/>
            <w:gridSpan w:val="3"/>
          </w:tcPr>
          <w:p>
            <w:pPr>
              <w:spacing w:after="0"/>
              <w:rPr>
                <w:sz w:val="20"/>
                <w:szCs w:val="20"/>
                <w:color w:val="auto"/>
              </w:rPr>
            </w:pPr>
            <w:r>
              <w:rPr>
                <w:rFonts w:ascii="Arial" w:cs="Arial" w:eastAsia="Arial" w:hAnsi="Arial"/>
                <w:sz w:val="17"/>
                <w:szCs w:val="17"/>
                <w:color w:val="auto"/>
              </w:rPr>
              <w:t>Greater than 6.50 to 1.00</w:t>
            </w:r>
          </w:p>
        </w:tc>
        <w:tc>
          <w:tcPr>
            <w:tcW w:w="1720" w:type="dxa"/>
            <w:vAlign w:val="bottom"/>
            <w:gridSpan w:val="2"/>
          </w:tcPr>
          <w:p>
            <w:pPr>
              <w:jc w:val="right"/>
              <w:ind w:right="680"/>
              <w:spacing w:after="0"/>
              <w:rPr>
                <w:sz w:val="20"/>
                <w:szCs w:val="20"/>
                <w:color w:val="auto"/>
              </w:rPr>
            </w:pPr>
            <w:r>
              <w:rPr>
                <w:rFonts w:ascii="Arial" w:cs="Arial" w:eastAsia="Arial" w:hAnsi="Arial"/>
                <w:sz w:val="17"/>
                <w:szCs w:val="17"/>
                <w:color w:val="auto"/>
              </w:rPr>
              <w:t>4.50%</w:t>
            </w:r>
          </w:p>
        </w:tc>
        <w:tc>
          <w:tcPr>
            <w:tcW w:w="1900" w:type="dxa"/>
            <w:vAlign w:val="bottom"/>
            <w:gridSpan w:val="2"/>
          </w:tcPr>
          <w:p>
            <w:pPr>
              <w:jc w:val="right"/>
              <w:ind w:right="660"/>
              <w:spacing w:after="0"/>
              <w:rPr>
                <w:sz w:val="20"/>
                <w:szCs w:val="20"/>
                <w:color w:val="auto"/>
              </w:rPr>
            </w:pPr>
            <w:r>
              <w:rPr>
                <w:rFonts w:ascii="Arial" w:cs="Arial" w:eastAsia="Arial" w:hAnsi="Arial"/>
                <w:sz w:val="17"/>
                <w:szCs w:val="17"/>
                <w:color w:val="auto"/>
              </w:rPr>
              <w:t>5.50%</w:t>
            </w:r>
          </w:p>
        </w:tc>
        <w:tc>
          <w:tcPr>
            <w:tcW w:w="1800" w:type="dxa"/>
            <w:vAlign w:val="bottom"/>
            <w:gridSpan w:val="2"/>
          </w:tcPr>
          <w:p>
            <w:pPr>
              <w:jc w:val="right"/>
              <w:ind w:right="680"/>
              <w:spacing w:after="0"/>
              <w:rPr>
                <w:sz w:val="20"/>
                <w:szCs w:val="20"/>
                <w:color w:val="auto"/>
              </w:rPr>
            </w:pPr>
            <w:r>
              <w:rPr>
                <w:rFonts w:ascii="Arial" w:cs="Arial" w:eastAsia="Arial" w:hAnsi="Arial"/>
                <w:sz w:val="17"/>
                <w:szCs w:val="17"/>
                <w:color w:val="auto"/>
              </w:rPr>
              <w:t>4.50%</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5.50%</w:t>
            </w:r>
          </w:p>
        </w:tc>
        <w:tc>
          <w:tcPr>
            <w:tcW w:w="0" w:type="dxa"/>
            <w:vAlign w:val="bottom"/>
          </w:tcPr>
          <w:p>
            <w:pPr>
              <w:spacing w:after="0"/>
              <w:rPr>
                <w:sz w:val="1"/>
                <w:szCs w:val="1"/>
                <w:color w:val="auto"/>
              </w:rPr>
            </w:pPr>
          </w:p>
        </w:tc>
      </w:tr>
      <w:tr>
        <w:trPr>
          <w:trHeight w:val="165"/>
        </w:trPr>
        <w:tc>
          <w:tcPr>
            <w:tcW w:w="2920" w:type="dxa"/>
            <w:vAlign w:val="bottom"/>
            <w:gridSpan w:val="3"/>
            <w:shd w:val="clear" w:color="auto" w:fill="CCEEFF"/>
          </w:tcPr>
          <w:p>
            <w:pPr>
              <w:spacing w:after="0" w:line="166" w:lineRule="exact"/>
              <w:rPr>
                <w:sz w:val="20"/>
                <w:szCs w:val="20"/>
                <w:color w:val="auto"/>
              </w:rPr>
            </w:pPr>
            <w:r>
              <w:rPr>
                <w:rFonts w:ascii="Arial" w:cs="Arial" w:eastAsia="Arial" w:hAnsi="Arial"/>
                <w:sz w:val="17"/>
                <w:szCs w:val="17"/>
                <w:color w:val="auto"/>
              </w:rPr>
              <w:t>Category 2</w:t>
            </w: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740" w:type="dxa"/>
            <w:vAlign w:val="bottom"/>
            <w:shd w:val="clear" w:color="auto" w:fill="000000"/>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170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2920" w:type="dxa"/>
            <w:vAlign w:val="bottom"/>
            <w:gridSpan w:val="3"/>
          </w:tcPr>
          <w:p>
            <w:pPr>
              <w:spacing w:after="0" w:line="191" w:lineRule="exact"/>
              <w:rPr>
                <w:sz w:val="20"/>
                <w:szCs w:val="20"/>
                <w:color w:val="auto"/>
              </w:rPr>
            </w:pPr>
            <w:r>
              <w:rPr>
                <w:rFonts w:ascii="Arial" w:cs="Arial" w:eastAsia="Arial" w:hAnsi="Arial"/>
                <w:sz w:val="17"/>
                <w:szCs w:val="17"/>
                <w:color w:val="auto"/>
              </w:rPr>
              <w:t>Less than or equal to 6.50 to</w:t>
            </w:r>
          </w:p>
        </w:tc>
        <w:tc>
          <w:tcPr>
            <w:tcW w:w="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40" w:type="dxa"/>
            <w:vAlign w:val="bottom"/>
          </w:tcPr>
          <w:p>
            <w:pPr>
              <w:ind w:left="160"/>
              <w:spacing w:after="0"/>
              <w:rPr>
                <w:sz w:val="20"/>
                <w:szCs w:val="20"/>
                <w:color w:val="auto"/>
              </w:rPr>
            </w:pPr>
            <w:r>
              <w:rPr>
                <w:rFonts w:ascii="Arial" w:cs="Arial" w:eastAsia="Arial" w:hAnsi="Arial"/>
                <w:sz w:val="17"/>
                <w:szCs w:val="17"/>
                <w:color w:val="auto"/>
              </w:rPr>
              <w:t>1.00</w:t>
            </w: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20" w:type="dxa"/>
            <w:vAlign w:val="bottom"/>
            <w:gridSpan w:val="2"/>
          </w:tcPr>
          <w:p>
            <w:pPr>
              <w:jc w:val="right"/>
              <w:ind w:right="680"/>
              <w:spacing w:after="0"/>
              <w:rPr>
                <w:sz w:val="20"/>
                <w:szCs w:val="20"/>
                <w:color w:val="auto"/>
              </w:rPr>
            </w:pPr>
            <w:r>
              <w:rPr>
                <w:rFonts w:ascii="Arial" w:cs="Arial" w:eastAsia="Arial" w:hAnsi="Arial"/>
                <w:sz w:val="17"/>
                <w:szCs w:val="17"/>
                <w:color w:val="auto"/>
              </w:rPr>
              <w:t>4.25%</w:t>
            </w:r>
          </w:p>
        </w:tc>
        <w:tc>
          <w:tcPr>
            <w:tcW w:w="1900" w:type="dxa"/>
            <w:vAlign w:val="bottom"/>
            <w:gridSpan w:val="2"/>
          </w:tcPr>
          <w:p>
            <w:pPr>
              <w:jc w:val="right"/>
              <w:ind w:right="660"/>
              <w:spacing w:after="0"/>
              <w:rPr>
                <w:sz w:val="20"/>
                <w:szCs w:val="20"/>
                <w:color w:val="auto"/>
              </w:rPr>
            </w:pPr>
            <w:r>
              <w:rPr>
                <w:rFonts w:ascii="Arial" w:cs="Arial" w:eastAsia="Arial" w:hAnsi="Arial"/>
                <w:sz w:val="17"/>
                <w:szCs w:val="17"/>
                <w:color w:val="auto"/>
              </w:rPr>
              <w:t>5.25%</w:t>
            </w:r>
          </w:p>
        </w:tc>
        <w:tc>
          <w:tcPr>
            <w:tcW w:w="1800" w:type="dxa"/>
            <w:vAlign w:val="bottom"/>
            <w:gridSpan w:val="2"/>
          </w:tcPr>
          <w:p>
            <w:pPr>
              <w:jc w:val="right"/>
              <w:ind w:right="680"/>
              <w:spacing w:after="0"/>
              <w:rPr>
                <w:sz w:val="20"/>
                <w:szCs w:val="20"/>
                <w:color w:val="auto"/>
              </w:rPr>
            </w:pPr>
            <w:r>
              <w:rPr>
                <w:rFonts w:ascii="Arial" w:cs="Arial" w:eastAsia="Arial" w:hAnsi="Arial"/>
                <w:sz w:val="17"/>
                <w:szCs w:val="17"/>
                <w:color w:val="auto"/>
              </w:rPr>
              <w:t>4.25%</w:t>
            </w:r>
          </w:p>
        </w:tc>
        <w:tc>
          <w:tcPr>
            <w:tcW w:w="1200" w:type="dxa"/>
            <w:vAlign w:val="bottom"/>
            <w:gridSpan w:val="2"/>
          </w:tcPr>
          <w:p>
            <w:pPr>
              <w:jc w:val="right"/>
              <w:ind w:right="60"/>
              <w:spacing w:after="0"/>
              <w:rPr>
                <w:sz w:val="20"/>
                <w:szCs w:val="20"/>
                <w:color w:val="auto"/>
              </w:rPr>
            </w:pPr>
            <w:r>
              <w:rPr>
                <w:rFonts w:ascii="Arial" w:cs="Arial" w:eastAsia="Arial" w:hAnsi="Arial"/>
                <w:sz w:val="17"/>
                <w:szCs w:val="17"/>
                <w:color w:val="auto"/>
              </w:rPr>
              <w:t>5.25%</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Following the consummation of an initial public offering of the common equity of the Borrower or any parent company, the pricing of the Term Loans shall be further reduced by 0.25% at each level of the grid set forth above.</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fees are required to be paid under the Senior Credit Facilities:</w:t>
      </w:r>
    </w:p>
    <w:p>
      <w:pPr>
        <w:spacing w:after="0" w:line="123" w:lineRule="exact"/>
        <w:rPr>
          <w:sz w:val="20"/>
          <w:szCs w:val="20"/>
          <w:color w:val="auto"/>
        </w:rPr>
      </w:pPr>
    </w:p>
    <w:p>
      <w:pPr>
        <w:ind w:left="1360" w:right="120" w:hanging="519"/>
        <w:spacing w:after="0" w:line="273" w:lineRule="auto"/>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 commitment fee to each revolving lender payable quarterly in arrears at a rate equal to 0.50% per annum on the unused revolving credit commitment;</w:t>
      </w:r>
    </w:p>
    <w:p>
      <w:pPr>
        <w:spacing w:after="0" w:line="76" w:lineRule="exact"/>
        <w:rPr>
          <w:rFonts w:ascii="Arial" w:cs="Arial" w:eastAsia="Arial" w:hAnsi="Arial"/>
          <w:sz w:val="17"/>
          <w:szCs w:val="17"/>
          <w:color w:val="auto"/>
        </w:rPr>
      </w:pPr>
    </w:p>
    <w:p>
      <w:pPr>
        <w:ind w:left="1360" w:right="60" w:hanging="519"/>
        <w:spacing w:after="0" w:line="273" w:lineRule="auto"/>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 commitment fee to each delayed draw term lender payable quarterly in arrears at a rate equal to 1.00% per annum on the unused delayed draw term loan commitment;</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 annual administrative agency fee payable to the Administrative Agent;</w:t>
      </w:r>
    </w:p>
    <w:p>
      <w:pPr>
        <w:spacing w:after="0" w:line="122" w:lineRule="exact"/>
        <w:rPr>
          <w:rFonts w:ascii="Arial" w:cs="Arial" w:eastAsia="Arial" w:hAnsi="Arial"/>
          <w:sz w:val="17"/>
          <w:szCs w:val="17"/>
          <w:color w:val="auto"/>
        </w:rPr>
      </w:pPr>
    </w:p>
    <w:p>
      <w:pPr>
        <w:ind w:left="1360" w:right="500" w:hanging="519"/>
        <w:spacing w:after="0" w:line="273" w:lineRule="auto"/>
        <w:tabs>
          <w:tab w:leader="none" w:pos="13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 participation fee to each revolving lender payable quarterly in arrears at a rate equal to the applicable LIBO Rate margin for Initial Revolving Loans on the daily face amount of such revolving lender’s letter of credit exposure; and</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0800"/>
          </w:cols>
          <w:pgMar w:left="320" w:top="442" w:right="77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1360" w:right="60" w:hanging="519"/>
        <w:spacing w:after="0" w:line="312" w:lineRule="auto"/>
        <w:tabs>
          <w:tab w:leader="none" w:pos="136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a fronting fee to each issuing bank payable quarterly in arrears at a rate agreed to by the applicable issuing bank and the Borrower (not to exceed 0.125% per annum) on the daily face amount of such issuing bank’s letter of credit exposure and such issuing bank’s standard fees with respect to the issuance, amendment, renewal or extension of letters of credit or processing of drawings thereunder.</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Voluntary Prepayments</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Subject to certain notice requirements, the Borrower may voluntarily prepay outstanding loans under the Senior Credit Facilities in whole or in part without premium or penalty other than customary “breakage” costs with respect to LIBO Rate loans.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Amortization; Mandatory Prepayments; Final Maturity</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Initial Term Loans amortize at an annual rate equal to approximately 1.00% per annum, payable in equal quarterly installments of approximately 0.25% of the original principal amount of the Initial Term Loans. The Initial Delayed Draw Term Loans amortize at a rate calculated to equate to the then current Initial Term Loan amortization rate based on the next scheduled Initial Term Loans amortization payment and the then outstanding principal amount of the Initial Term Loans at the time of determination as set forth in the Credit Agreement. The Initial Revolving Loans do not require amortization payments.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In addition, the Credit Agreement requires mandatory prepayments of the Term Loans with:</w:t>
      </w:r>
    </w:p>
    <w:p>
      <w:pPr>
        <w:spacing w:after="0" w:line="123" w:lineRule="exact"/>
        <w:rPr>
          <w:sz w:val="20"/>
          <w:szCs w:val="20"/>
          <w:color w:val="auto"/>
        </w:rPr>
      </w:pPr>
    </w:p>
    <w:p>
      <w:pPr>
        <w:ind w:left="1360" w:right="60" w:hanging="519"/>
        <w:spacing w:after="0" w:line="302" w:lineRule="auto"/>
        <w:tabs>
          <w:tab w:leader="none" w:pos="136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Excess Cash Flow (as defined in the Credit Agreement) for any fiscal year if the total leverage ratio is greater than 6.50:1.00. If the total leverage ratio for such fiscal year is (i) greater than 7.00:1.00, 50% of the Excess Cash Flow is required to be applied to prepay the term loan or (ii) less than or equal to 7.00:1.00 and greater than 6.50:1.00, 25% of the Excess Cash Flow is required to be applied to prepay the term loan, in each case of the foregoing clauses (i) and (ii), to the extent the amount of such prepayment exceeds $5,000,000;</w:t>
      </w:r>
    </w:p>
    <w:p>
      <w:pPr>
        <w:spacing w:after="0" w:line="60" w:lineRule="exact"/>
        <w:rPr>
          <w:rFonts w:ascii="Arial" w:cs="Arial" w:eastAsia="Arial" w:hAnsi="Arial"/>
          <w:sz w:val="15"/>
          <w:szCs w:val="15"/>
          <w:color w:val="auto"/>
        </w:rPr>
      </w:pPr>
    </w:p>
    <w:p>
      <w:pPr>
        <w:ind w:left="1360" w:right="740" w:hanging="519"/>
        <w:spacing w:after="0" w:line="273" w:lineRule="auto"/>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100% of the net cash proceeds of certain asset sales and/or insurance/condemnation events above a threshold amount, subject to reinvestment rights and other exceptions; and</w:t>
      </w:r>
    </w:p>
    <w:p>
      <w:pPr>
        <w:spacing w:after="0" w:line="76" w:lineRule="exact"/>
        <w:rPr>
          <w:rFonts w:ascii="Arial" w:cs="Arial" w:eastAsia="Arial" w:hAnsi="Arial"/>
          <w:sz w:val="17"/>
          <w:szCs w:val="17"/>
          <w:color w:val="auto"/>
        </w:rPr>
      </w:pPr>
    </w:p>
    <w:p>
      <w:pPr>
        <w:ind w:left="1360" w:right="440" w:hanging="519"/>
        <w:spacing w:after="0" w:line="273" w:lineRule="auto"/>
        <w:tabs>
          <w:tab w:leader="none" w:pos="13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100% of the net cash proceeds of any issuance or incurrence of debt that is not permitted by the Credit Agreement, subject to certain exceptions.</w:t>
      </w:r>
    </w:p>
    <w:p>
      <w:pPr>
        <w:spacing w:after="0" w:line="166"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The Term Loans mature on July 16, 2026 and the Initial Revolving Loans mature on July 16, 2024. Undrawn commitments with respect to the Initial Delayed Draw Term Loans terminate on July 16, 2021.</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Guarantors</w:t>
      </w:r>
    </w:p>
    <w:p>
      <w:pPr>
        <w:spacing w:after="0" w:line="110"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The obligations of the Borrower under the Credit Agreement are required to be guaranteed by AIDH Buyer and, subject to customary exceptions, each existing and future wholly-owned subsidiary of the Borrower.</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Security</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The obligations of the Borrower under the Credit Agreement are secured by first-priority security interests in substantially all of the assets of the Borrower and the guarantors, subject to permitted liens and other customary exceptions.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Certain Covenants; Representations and Warranties</w:t>
      </w:r>
    </w:p>
    <w:p>
      <w:pPr>
        <w:spacing w:after="0" w:line="110"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color w:val="auto"/>
        </w:rPr>
        <w:t>The Credit Agreement contains customary affirmative covenants (including reporting obligations) and negative covenants and requires the Borrower to make customary representations and warranties. The negative</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0760"/>
          </w:cols>
          <w:pgMar w:left="320" w:top="442" w:right="81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covenants, among other things and subject to certain exceptions, limit the ability of the Borrower and certain of its subsidiaries to:</w:t>
      </w:r>
    </w:p>
    <w:p>
      <w:pPr>
        <w:spacing w:after="0" w:line="123" w:lineRule="exact"/>
        <w:rPr>
          <w:sz w:val="20"/>
          <w:szCs w:val="20"/>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incur or guarantee additional indebtedness;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create liens;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pay dividends or make other distributions in respect of equity;</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make payments in respect of certain debt;</w:t>
      </w:r>
    </w:p>
    <w:p>
      <w:pPr>
        <w:spacing w:after="0" w:line="122" w:lineRule="exact"/>
        <w:rPr>
          <w:rFonts w:ascii="Arial" w:cs="Arial" w:eastAsia="Arial" w:hAnsi="Arial"/>
          <w:sz w:val="17"/>
          <w:szCs w:val="17"/>
          <w:color w:val="auto"/>
        </w:rPr>
      </w:pPr>
    </w:p>
    <w:p>
      <w:pPr>
        <w:ind w:left="1360" w:right="380" w:hanging="519"/>
        <w:spacing w:after="0" w:line="273" w:lineRule="auto"/>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enter into burdensome agreements, including agreements with restrictions on the ability of loan parties to grant liens on their assets to secure the Senior Credit Facilities;</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make investments, including acquisitions, loans and advances;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consolidate, merge, liquidate, wind up or dissolve;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sell, transfer or otherwise dispose of assets;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engage in transactions with affiliates;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materially alter the business conducted by the Borrower and certain of its subsidiaries; and</w:t>
      </w:r>
    </w:p>
    <w:p>
      <w:pPr>
        <w:spacing w:after="0" w:line="122" w:lineRule="exact"/>
        <w:rPr>
          <w:rFonts w:ascii="Arial" w:cs="Arial" w:eastAsia="Arial" w:hAnsi="Arial"/>
          <w:sz w:val="17"/>
          <w:szCs w:val="17"/>
          <w:color w:val="auto"/>
        </w:rPr>
      </w:pPr>
    </w:p>
    <w:p>
      <w:pPr>
        <w:ind w:left="1360" w:right="180" w:hanging="519"/>
        <w:spacing w:after="0" w:line="273" w:lineRule="auto"/>
        <w:tabs>
          <w:tab w:leader="none" w:pos="136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amend or otherwise modify the subordination terms of the documentation governing certain restricted debt in a manner that is materially adverse to the Lenders.</w:t>
      </w:r>
    </w:p>
    <w:p>
      <w:pPr>
        <w:spacing w:after="0" w:line="166"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The negative covenants also limit the ability, subject to certain exceptions, of DH Holdings to incur or guarantee additional indebtedness, create liens, consolidate or merge and sell, transfer or otherwise dispose of assets .</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Financial Covenant</w:t>
      </w:r>
    </w:p>
    <w:p>
      <w:pPr>
        <w:spacing w:after="0" w:line="110"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The Credit Agreement contains a financial covenant, which requires the Borrower to maintain a total leverage ratio of consolidated net debt to Consolidated Adjusted EBITDA (as defined in the Credit Agreement) no greater than 12.0:1.0 (or 10.0:1.0 commencing on the last day of the fiscal quarter ending December 31, 2021). The financial covenant is subject to customary “equity cure” rights: upon the occurrence of an event of default as a result of the Borrower’s failure to comply with the financial covenant, the Borrower has the right to, at any time no later than the date that is fifteen business days after such occurrence of such event of default, issue qualified capital stock or other equity for cash or otherwise receive cash contributions for its qualified capital stock, which amount will increase Consolidated Adjusted EBITDA on a pro forma basis solely for the purpose of determining the Borrower’s compliance with the financial covenant. The Borrower may not exercise its equity cure right for more than two fiscal quarters in each four consecutive fiscal quarters. During the term of the Credit Agreement, the Borrower may exercise its equity cure right up to five times.</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Events of Default</w:t>
      </w:r>
    </w:p>
    <w:p>
      <w:pPr>
        <w:spacing w:after="0" w:line="110"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The Credit Agreement contains customary events of default, subject in certain circumstances to specified grace periods, thresholds and exceptions, including, among others, payment defaults, cross-defaults to certain material indebtedness, covenant defaults, material inaccuracy of representations and warranties, bankruptcy events, material judgments, material Employee Retirement Income Security Act events, change of control and material defects with respect to guarantees and collateral. If an event of default occurs, the specified threshold of lenders would be entitled to take various actions, including acceleration of the loans and termination of the commitments under the Credit Agreement, foreclosure on collateral and all other remedial actions available to a secured creditor. The failure to pay certain amounts owing under the Credit Agreement may result in an increased interest rate equal to 2.00% per annum plus, in the case of overdue principal or interest of any loan or unreimbursed letter of credit disbursement, the rate of interest otherwise applicable to the relevant loan or letter of credit disbursement or, in the case of any other amount, the rate applicable to Initial Revolving Loans that bear interest by reference to the Alternate Base Rate.</w:t>
      </w:r>
    </w:p>
    <w:p>
      <w:pPr>
        <w:spacing w:after="0" w:line="10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0800"/>
          </w:cols>
          <w:pgMar w:left="320" w:top="442" w:right="77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DESCRIPTION OF CAPITAL STOCK</w:t>
      </w:r>
    </w:p>
    <w:p>
      <w:pPr>
        <w:spacing w:after="0" w:line="216"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In connection with this offering, we will amend and restate our certificate of incorporation and our bylaws. The following is a description of the material terms of, and is qualified in its entirety by, our certificate of incorporation and bylaws, each of which will be in effect upon the consummation of this offering, the forms of which are filed as exhibits to the registration statement of which this prospectus forms a part. Under “Description of Capital Stock,” “we,” “us,” “our” and “our company” refer to Definitive Healthcare Corp.</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General</w:t>
      </w:r>
    </w:p>
    <w:p>
      <w:pPr>
        <w:spacing w:after="0" w:line="114" w:lineRule="exact"/>
        <w:rPr>
          <w:sz w:val="20"/>
          <w:szCs w:val="20"/>
          <w:color w:val="auto"/>
        </w:rPr>
      </w:pPr>
    </w:p>
    <w:p>
      <w:pPr>
        <w:ind w:left="440" w:right="360" w:firstLine="415"/>
        <w:spacing w:after="0" w:line="312" w:lineRule="auto"/>
        <w:rPr>
          <w:sz w:val="20"/>
          <w:szCs w:val="20"/>
          <w:color w:val="auto"/>
        </w:rPr>
      </w:pPr>
      <w:r>
        <w:rPr>
          <w:rFonts w:ascii="Arial" w:cs="Arial" w:eastAsia="Arial" w:hAnsi="Arial"/>
          <w:sz w:val="15"/>
          <w:szCs w:val="15"/>
          <w:color w:val="auto"/>
        </w:rPr>
        <w:t>Upon the consummation of this offering, our authorized capital stock will consist of 600 million shares of Class A common stock, par value $0.001 per share, 65 million shares of Class B common stock, no par value per share, and 10 million shares of preferred stock, par value $0.001 per share. Unless our board of directors determines otherwise, we will issue all shares of our capital stock in uncertificated form.</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Common stock</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110"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76" w:lineRule="exact"/>
        <w:rPr>
          <w:sz w:val="20"/>
          <w:szCs w:val="20"/>
          <w:color w:val="auto"/>
        </w:rPr>
      </w:pPr>
    </w:p>
    <w:p>
      <w:pPr>
        <w:jc w:val="both"/>
        <w:ind w:left="440" w:right="460" w:firstLine="415"/>
        <w:spacing w:after="0" w:line="261" w:lineRule="auto"/>
        <w:rPr>
          <w:sz w:val="20"/>
          <w:szCs w:val="20"/>
          <w:color w:val="auto"/>
        </w:rPr>
      </w:pPr>
      <w:r>
        <w:rPr>
          <w:rFonts w:ascii="Arial" w:cs="Arial" w:eastAsia="Arial" w:hAnsi="Arial"/>
          <w:sz w:val="17"/>
          <w:szCs w:val="17"/>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76" w:lineRule="exact"/>
        <w:rPr>
          <w:sz w:val="20"/>
          <w:szCs w:val="20"/>
          <w:color w:val="auto"/>
        </w:rPr>
      </w:pPr>
    </w:p>
    <w:p>
      <w:pPr>
        <w:ind w:left="440" w:right="420" w:firstLine="415"/>
        <w:spacing w:after="0" w:line="261"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76"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All shares of our Class A common stock that will be outstanding at the time of the completion of the offering will be fully paid and non-assessable. The Class A common stock will not be subject to further calls or assessments by us. The rights, powers and privileges of our Class A common stock will be subject to those of the holders of any shares of our preferred stock or any other series or class of stock we may authorize and issue in the future.</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 B Common Stock</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Each share of Class B common stock will entitle its holder to one vote per share on all matters submitted to a vote of our stockholders, including the election or removal of directors. The holders of our Class B common stock do not have cumulative voting rights in the election of directors. If at any time the ratio at which LLC Units are exchangeable for shares of our Class A common stock changes from one-for-one as described under “Certain Relationships and Related Party Transactions—Amended Definitive OpCo Agreement,” the number of votes to which Class B common stockholders are entitled will be adjusted accordingly.</w:t>
      </w:r>
    </w:p>
    <w:p>
      <w:pPr>
        <w:spacing w:after="0" w:line="183"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Except for transfers to us pursuant to the Amended LLC Agreement or to certain permitted transferees, the LLC Units and corresponding shares of Class B common stock may not be sold, transferred or otherwise disposed of. Holders of shares of our Class B common stock will vote together with holders of our Class A common stock as a single class on all matters on which stockholders are entitled to vote, except as otherwise required by law.</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0800"/>
          </w:cols>
          <w:pgMar w:left="320" w:top="442" w:right="77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jc w:val="both"/>
        <w:ind w:left="440" w:right="60" w:firstLine="415"/>
        <w:spacing w:after="0" w:line="255" w:lineRule="auto"/>
        <w:rPr>
          <w:sz w:val="20"/>
          <w:szCs w:val="20"/>
          <w:color w:val="auto"/>
        </w:rPr>
      </w:pPr>
      <w:r>
        <w:rPr>
          <w:rFonts w:ascii="Arial" w:cs="Arial" w:eastAsia="Arial" w:hAnsi="Arial"/>
          <w:sz w:val="17"/>
          <w:szCs w:val="17"/>
          <w:color w:val="auto"/>
        </w:rPr>
        <w:t>The Class B common stock is not entitled to economic interests in Definitive Healthcare Corp. Holders of our Class B common stock do not have any right to receive dividends or to receive a distribution upon a liquidation or winding up of Definitive Healthcare Corp. However, if Definitive OpCo makes distributions to Definitive Healthcare Corp., the other holders of LLC Units, including the Continuing Pre-IPO LLC Members, will be entitled to receive distributions pro rata in accordance with the percentages of their respective LLC Units. The Class B common stock will not be subject to further calls or assessment by us.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Voting Rights</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6"/>
          <w:szCs w:val="16"/>
          <w:color w:val="auto"/>
        </w:rPr>
        <w:t>Directors will be elected by a plurality of the votes cast by the holders of shares present in person or represented by proxy at the meeting and entitled to vote thereon. We have also adopted a majority voting policy in our corporate governance guidelines that will require that a director who fails to achieve a majority of votes cast in an uncontested election will be required to tender his or her resignation from the Board. The Nominating and Corporate Governance Committee will assess the appropriateness of such director’s continuing service on the Board and shall recommend to the Board the action to be taken with respect to the resignation. Vacancies created by resignations or otherwise may be filled by vote of the remaining directors. Our stockholders will not have cumulative voting rights.</w:t>
      </w:r>
    </w:p>
    <w:p>
      <w:pPr>
        <w:spacing w:after="0" w:line="169"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Except as otherwise provided in our amended and restated certificate of incorporation or as required by law, all matters to be voted on by our stockholders other than matters relating to the election and removal of directors must be approved by the affirmative vote of the holders of a majority in voting power of the shares of stock of the Company which are present in person or by proxy and entitled to vote thereon or, for so long as Advent and its affiliates collectively own 30% or more of the voting power of our then-outstanding common stock, by a written resolution of the stockholders representing the number of affirmative votes required for such matter at a meeting.</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Preferred Stock</w:t>
      </w:r>
    </w:p>
    <w:p>
      <w:pPr>
        <w:spacing w:after="0" w:line="114" w:lineRule="exact"/>
        <w:rPr>
          <w:sz w:val="20"/>
          <w:szCs w:val="20"/>
          <w:color w:val="auto"/>
        </w:rPr>
      </w:pPr>
    </w:p>
    <w:p>
      <w:pPr>
        <w:ind w:left="440" w:right="240" w:firstLine="415"/>
        <w:spacing w:after="0" w:line="254" w:lineRule="auto"/>
        <w:rPr>
          <w:sz w:val="20"/>
          <w:szCs w:val="20"/>
          <w:color w:val="auto"/>
        </w:rPr>
      </w:pPr>
      <w:r>
        <w:rPr>
          <w:rFonts w:ascii="Arial" w:cs="Arial" w:eastAsia="Arial" w:hAnsi="Arial"/>
          <w:sz w:val="17"/>
          <w:szCs w:val="17"/>
          <w:color w:val="auto"/>
        </w:rPr>
        <w:t>No shares of preferred stock will be issued or outstanding immediately after the offering contemplated by this prospectus. Our certificate of incorporation will authorize our board of directors to establish one or more series of preferred stock (including convertible preferred stock). Unless required by law or any stock exchange, the authorized shares of preferred stock will be available for issuance without further action by holders of our common stock. Our board of directors will be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94" w:lineRule="exact"/>
        <w:rPr>
          <w:sz w:val="20"/>
          <w:szCs w:val="20"/>
          <w:color w:val="auto"/>
        </w:rPr>
      </w:pPr>
    </w:p>
    <w:p>
      <w:pPr>
        <w:ind w:left="1360" w:hanging="519"/>
        <w:spacing w:after="0"/>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designation of the series;</w:t>
      </w:r>
    </w:p>
    <w:p>
      <w:pPr>
        <w:spacing w:after="0" w:line="122" w:lineRule="exact"/>
        <w:rPr>
          <w:rFonts w:ascii="Arial" w:cs="Arial" w:eastAsia="Arial" w:hAnsi="Arial"/>
          <w:sz w:val="17"/>
          <w:szCs w:val="17"/>
          <w:color w:val="auto"/>
        </w:rPr>
      </w:pPr>
    </w:p>
    <w:p>
      <w:pPr>
        <w:ind w:left="1360" w:right="140" w:hanging="519"/>
        <w:spacing w:after="0" w:line="261" w:lineRule="auto"/>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number of shares of the series, which our board of directors may, except where otherwise provided in the preferred stock designation, increase (but not above the total number of authorized share of the class) or decrease (but not below the number of shares then outstanding);</w:t>
      </w:r>
    </w:p>
    <w:p>
      <w:pPr>
        <w:spacing w:after="0" w:line="87" w:lineRule="exact"/>
        <w:rPr>
          <w:rFonts w:ascii="Arial" w:cs="Arial" w:eastAsia="Arial" w:hAnsi="Arial"/>
          <w:sz w:val="17"/>
          <w:szCs w:val="17"/>
          <w:color w:val="auto"/>
        </w:rPr>
      </w:pPr>
    </w:p>
    <w:p>
      <w:pPr>
        <w:ind w:left="1360" w:hanging="519"/>
        <w:spacing w:after="0"/>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whether dividends, if any, will be cumulative or non-cumulative and the dividend rate of the series;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dates at which dividends, if any, will be payable;</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exchange rights and price or prices, if any, for shares of the series;</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terms and amounts of any sinking fund provided for the purchase or exchange of shares of the series;</w:t>
      </w:r>
    </w:p>
    <w:p>
      <w:pPr>
        <w:spacing w:after="0" w:line="122" w:lineRule="exact"/>
        <w:rPr>
          <w:rFonts w:ascii="Arial" w:cs="Arial" w:eastAsia="Arial" w:hAnsi="Arial"/>
          <w:sz w:val="17"/>
          <w:szCs w:val="17"/>
          <w:color w:val="auto"/>
        </w:rPr>
      </w:pPr>
    </w:p>
    <w:p>
      <w:pPr>
        <w:ind w:left="1360" w:hanging="519"/>
        <w:spacing w:after="0" w:line="273" w:lineRule="auto"/>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amounts payable on shares of the series in the event of any voluntary or involuntary liquidation, dissolution or winding up of the affairs of our company;</w:t>
      </w:r>
    </w:p>
    <w:p>
      <w:pPr>
        <w:spacing w:after="0" w:line="76" w:lineRule="exact"/>
        <w:rPr>
          <w:rFonts w:ascii="Arial" w:cs="Arial" w:eastAsia="Arial" w:hAnsi="Arial"/>
          <w:sz w:val="17"/>
          <w:szCs w:val="17"/>
          <w:color w:val="auto"/>
        </w:rPr>
      </w:pPr>
    </w:p>
    <w:p>
      <w:pPr>
        <w:ind w:left="1360" w:right="40" w:hanging="519"/>
        <w:spacing w:after="0" w:line="257" w:lineRule="auto"/>
        <w:tabs>
          <w:tab w:leader="none" w:pos="136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0800"/>
          </w:cols>
          <w:pgMar w:left="320" w:top="442" w:right="77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1360" w:hanging="519"/>
        <w:spacing w:after="0"/>
        <w:tabs>
          <w:tab w:leader="none" w:pos="13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 and</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voting rights, if any, of the holders of the series.</w:t>
      </w:r>
    </w:p>
    <w:p>
      <w:pPr>
        <w:spacing w:after="0" w:line="212" w:lineRule="exact"/>
        <w:rPr>
          <w:sz w:val="20"/>
          <w:szCs w:val="20"/>
          <w:color w:val="auto"/>
        </w:rPr>
      </w:pPr>
    </w:p>
    <w:p>
      <w:pPr>
        <w:ind w:left="440" w:right="200" w:firstLine="415"/>
        <w:spacing w:after="0" w:line="254"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Authorized but Unissued Capital Stock</w:t>
      </w:r>
    </w:p>
    <w:p>
      <w:pPr>
        <w:spacing w:after="0" w:line="114"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so long as the shares of Class A common stock remains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of Class A common stock issuable upon exchange of outstanding LLC Units not held by Definitive Healthcare Corp.). These additional shares of Class A common stock may be used for a variety of corporate purposes, including future public offerings, to raise additional capital or to facilitate acquisitions.</w:t>
      </w:r>
    </w:p>
    <w:p>
      <w:pPr>
        <w:spacing w:after="0" w:line="169"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Dividends</w:t>
      </w:r>
    </w:p>
    <w:p>
      <w:pPr>
        <w:spacing w:after="0" w:line="114"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 See also “Dividend Policy.”</w:t>
      </w:r>
    </w:p>
    <w:p>
      <w:pPr>
        <w:spacing w:after="0" w:line="26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Transferability Exchange</w:t>
      </w:r>
    </w:p>
    <w:p>
      <w:pPr>
        <w:spacing w:after="0" w:line="114" w:lineRule="exact"/>
        <w:rPr>
          <w:sz w:val="20"/>
          <w:szCs w:val="20"/>
          <w:color w:val="auto"/>
        </w:rPr>
      </w:pPr>
    </w:p>
    <w:p>
      <w:pPr>
        <w:ind w:left="440" w:right="120" w:firstLine="415"/>
        <w:spacing w:after="0" w:line="295" w:lineRule="auto"/>
        <w:rPr>
          <w:sz w:val="20"/>
          <w:szCs w:val="20"/>
          <w:color w:val="auto"/>
        </w:rPr>
      </w:pPr>
      <w:r>
        <w:rPr>
          <w:rFonts w:ascii="Arial" w:cs="Arial" w:eastAsia="Arial" w:hAnsi="Arial"/>
          <w:sz w:val="15"/>
          <w:szCs w:val="15"/>
          <w:color w:val="auto"/>
        </w:rPr>
        <w:t>Under the Amended LLC Agreement, the holders of LLC Units will have the right, from and after the completion of this offering (subject to the terms of the Amended LLC Agreement), to require Definitive OpCo to exchange all or a portion of their LLC Units for newly issued shares of Class A common stock, which may consist of unregistered shares, on a one-for-one basis (subject to customary adjustments, including for stock splits, stock dividends and reclassifications) in accordance with the terms of the Amended LLC Agreement. Shares of Class B common stock will be canceled on a one-for-one basis if we, following an exchange request of a holder of LLC Units, exchange LLC Units of such holder of LLC Units pursuant to the terms of the Amended LLC Agreement. See “Certain Relationships and Related Party Transactions—Amended Definitive OpCo Agreement.”</w:t>
      </w:r>
    </w:p>
    <w:p>
      <w:pPr>
        <w:spacing w:after="0" w:line="8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0780"/>
          </w:cols>
          <w:pgMar w:left="320" w:top="442" w:right="79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Except for transfers to us pursuant to the Amended LLC Agreement or to certain permitted transferees, the LLC Units and corresponding shares of Class B common stock may not be sold, transferred or otherwise disposed of.</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Other Provisions</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Neither the Class A common stock nor the Class B common stock has any preemptive or other subscription rights.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There will be no redemption, conversion or sinking fund provisions applicable to the Class A common stock or Class B common stock.</w:t>
      </w:r>
    </w:p>
    <w:p>
      <w:pPr>
        <w:spacing w:after="0" w:line="223"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At such time when no LLC Units remain exchangeable for shares of our Class A common stock, our Class B common stock will be canceled.</w:t>
      </w:r>
    </w:p>
    <w:p>
      <w:pPr>
        <w:spacing w:after="0" w:line="32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Anti-takeover Provisions</w:t>
      </w:r>
    </w:p>
    <w:p>
      <w:pPr>
        <w:spacing w:after="0" w:line="114" w:lineRule="exact"/>
        <w:rPr>
          <w:sz w:val="20"/>
          <w:szCs w:val="20"/>
          <w:color w:val="auto"/>
        </w:rPr>
      </w:pPr>
    </w:p>
    <w:p>
      <w:pPr>
        <w:ind w:left="440" w:right="20" w:firstLine="415"/>
        <w:spacing w:after="0" w:line="293" w:lineRule="auto"/>
        <w:rPr>
          <w:sz w:val="20"/>
          <w:szCs w:val="20"/>
          <w:color w:val="auto"/>
        </w:rPr>
      </w:pPr>
      <w:r>
        <w:rPr>
          <w:rFonts w:ascii="Arial" w:cs="Arial" w:eastAsia="Arial" w:hAnsi="Arial"/>
          <w:sz w:val="15"/>
          <w:szCs w:val="15"/>
          <w:color w:val="auto"/>
        </w:rPr>
        <w:t>Our amended and restated certificate of incorporation and amended and restated bylaws will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will be designed to encourage persons seeking to acquire control of us to first negotiate with our Board, which we believe may result in an improvement of the terms of any such acquisition in favor of our stockholders. However, they will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Nominating Agreements</w:t>
      </w:r>
    </w:p>
    <w:p>
      <w:pPr>
        <w:spacing w:after="0" w:line="216"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So long as Advent and its affiliates own at least 21.5% of our outstanding common stock, (a) Advent and its affiliates have the right to nominate two designees to our Board; and (b) so long as each of Spectrum Equity and Jason Krantz together with their affiliates, own at least 5% of our outstanding common stock, respectively, Spectrum Equity and Jason Krantz, and their respective affiliates, each have the right to nominate one designee to our Board. After such time as Advent and its affiliates no longer beneficially own at least 21.5% of our outstanding common stock but so long as Advent and its affiliates are the beneficial owners of at least 5% of our common stock, Advent and its affiliates have the right to nominate one designee to our Board. So long as Advent, Spectrum Equity and Jason Krantz together with their respective affiliates beneficially own at least 5% of our outstanding common stock, Advent and its affiliates have the right to nominate a designee to our board to fill any vacancy of a director nominated by Advent and its affiliates due to death, resignation or removal. See “Certain Relationships and Related Party Transactions—Nominating Agreement.”</w:t>
      </w:r>
    </w:p>
    <w:p>
      <w:pPr>
        <w:spacing w:after="0" w:line="260"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110"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Our amended and restated certificate of incorporation and amended and restated bylaws will provide that special meetings of the stockholders may be called only upon the request of a majority of our Board, our Chair or upon the request of the Chief Executive Officer.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Advance Notice of Nominations and Other Business</w:t>
      </w:r>
    </w:p>
    <w:p>
      <w:pPr>
        <w:spacing w:after="0" w:line="11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Our amended and restated bylaws will establish advance notice procedures with respect to stockholder proposals and the nomination of candidates for election as directors, other than nominations made by or at the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0800"/>
          </w:cols>
          <w:pgMar w:left="320" w:top="442" w:right="77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
        <w:spacing w:after="0" w:line="273" w:lineRule="auto"/>
        <w:rPr>
          <w:sz w:val="20"/>
          <w:szCs w:val="20"/>
          <w:color w:val="auto"/>
        </w:rPr>
      </w:pPr>
      <w:r>
        <w:rPr>
          <w:rFonts w:ascii="Arial" w:cs="Arial" w:eastAsia="Arial" w:hAnsi="Arial"/>
          <w:sz w:val="16"/>
          <w:szCs w:val="16"/>
          <w:color w:val="auto"/>
        </w:rPr>
        <w:t>direction of our Board or a committee of our Board. In order for any matter to be “properly brought” before a meeting, a stockholder will have to comply with the advance notice requirements of directors, which may be filled only by a vote of a majority of directors then in office, even though less than a quorum, and not by the stockholders. Our amended and restated bylaws will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acquiror from conducting a solicitation of proxies to elect the acquiror’s own slate of directors or otherwise attempting to obtain control of our company.</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Classified Board of Directors and Related Provisions</w:t>
      </w:r>
    </w:p>
    <w:p>
      <w:pPr>
        <w:spacing w:after="0" w:line="110"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Our amended and restated certificate of incorporation will provide that our Board will be divided into three classes, with one class being elected at each annual meeting of stockholders with termination staggered according to class. The classified board provision will prevent a third-party who acquires control of a majority of our outstanding voting stock from obtaining control of our Board.</w:t>
      </w:r>
    </w:p>
    <w:p>
      <w:pPr>
        <w:spacing w:after="0" w:line="176" w:lineRule="exact"/>
        <w:rPr>
          <w:sz w:val="20"/>
          <w:szCs w:val="20"/>
          <w:color w:val="auto"/>
        </w:rPr>
      </w:pPr>
    </w:p>
    <w:p>
      <w:pPr>
        <w:ind w:left="440" w:right="80" w:firstLine="415"/>
        <w:spacing w:after="0" w:line="271" w:lineRule="auto"/>
        <w:rPr>
          <w:sz w:val="20"/>
          <w:szCs w:val="20"/>
          <w:color w:val="auto"/>
        </w:rPr>
      </w:pPr>
      <w:r>
        <w:rPr>
          <w:rFonts w:ascii="Arial" w:cs="Arial" w:eastAsia="Arial" w:hAnsi="Arial"/>
          <w:sz w:val="16"/>
          <w:szCs w:val="16"/>
          <w:color w:val="auto"/>
        </w:rPr>
        <w:t>The number of directors constituting our Board is determined from time to time by our Board. Our amended and restated certificate of incorporation will also provide that, subject to any rights of any preferred stock then outstanding, any director may be removed from office at any time but only for cause so long as the Board is classified and only by the affirmative vote of the holders of at least a majority of the voting power of the outstanding shares entitled to vote in the election of directors, considered for this purpose as one class. In addition, our amended and restated certificate of incorporation will provide that any vacancy on the Board, including a vacancy that results from an increase in the number of directors, may be filled only by a majority of the directors then in office or by an affirmative vote of the sole remaining director. This provision, in conjunction with the provisions of our amended and restated certificate of incorporation authorizing our Board to fill vacancies on the board of directors, will prevent stockholders from removing incumbent directors without cause and filling the resulting vacancies with their own nominees.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Stockholder Action by Written Consent</w:t>
      </w:r>
    </w:p>
    <w:p>
      <w:pPr>
        <w:spacing w:after="0" w:line="110" w:lineRule="exact"/>
        <w:rPr>
          <w:sz w:val="20"/>
          <w:szCs w:val="20"/>
          <w:color w:val="auto"/>
        </w:rPr>
      </w:pPr>
    </w:p>
    <w:p>
      <w:pPr>
        <w:ind w:left="440" w:right="60" w:firstLine="415"/>
        <w:spacing w:after="0" w:line="302" w:lineRule="auto"/>
        <w:rPr>
          <w:sz w:val="20"/>
          <w:szCs w:val="20"/>
          <w:color w:val="auto"/>
        </w:rPr>
      </w:pPr>
      <w:r>
        <w:rPr>
          <w:rFonts w:ascii="Arial" w:cs="Arial" w:eastAsia="Arial" w:hAnsi="Arial"/>
          <w:sz w:val="15"/>
          <w:szCs w:val="15"/>
          <w:color w:val="auto"/>
        </w:rPr>
        <w:t>Our amended and restated certificate of incorporation will provide that, from and after the time that Advent and its affiliates collectively own less than 30% of the voting power of our then-outstanding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Section 203 of the DGCL</w:t>
      </w:r>
    </w:p>
    <w:p>
      <w:pPr>
        <w:spacing w:after="0" w:line="110" w:lineRule="exact"/>
        <w:rPr>
          <w:sz w:val="20"/>
          <w:szCs w:val="20"/>
          <w:color w:val="auto"/>
        </w:rPr>
      </w:pPr>
    </w:p>
    <w:p>
      <w:pPr>
        <w:ind w:left="440" w:right="60" w:firstLine="415"/>
        <w:spacing w:after="0" w:line="291" w:lineRule="auto"/>
        <w:rPr>
          <w:sz w:val="20"/>
          <w:szCs w:val="20"/>
          <w:color w:val="auto"/>
        </w:rPr>
      </w:pPr>
      <w:r>
        <w:rPr>
          <w:rFonts w:ascii="Arial" w:cs="Arial" w:eastAsia="Arial" w:hAnsi="Arial"/>
          <w:sz w:val="15"/>
          <w:szCs w:val="15"/>
          <w:color w:val="auto"/>
        </w:rPr>
        <w:t>Our amended and restated certificate of incorporation will provide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will apply even if the business combination could be considered beneficial by some stockholders. Our amended and restated certificate of incorporation will contain provisions that have the same effect as Section 203 of the DGCL, but such provisions will not apply to Advent and Spectrum Equity and their affiliates. Although we have elected to opt out of the statute’s provisions, we could elect to be subject to Section 203 in the future.</w:t>
      </w:r>
    </w:p>
    <w:p>
      <w:pPr>
        <w:spacing w:after="0" w:line="9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0780"/>
          </w:cols>
          <w:pgMar w:left="320" w:top="442" w:right="79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Amendment to Bylaws and Certificate of Incorporation</w:t>
      </w:r>
    </w:p>
    <w:p>
      <w:pPr>
        <w:spacing w:after="0" w:line="114"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 by</w:t>
      </w:r>
    </w:p>
    <w:p>
      <w:pPr>
        <w:ind w:left="440" w:right="400" w:hanging="6"/>
        <w:spacing w:after="0" w:line="290" w:lineRule="auto"/>
        <w:tabs>
          <w:tab w:leader="none" w:pos="642"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affirmative vote of a majority of the directors, subject to any limitations set forth in the bylaws, without further stockholder action or (ii) the affirmative vote of at least a majority of the outstanding shares entitled to vote on the amendment, without further action by our Board.</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Exclusive Forum</w:t>
      </w:r>
    </w:p>
    <w:p>
      <w:pPr>
        <w:spacing w:after="0" w:line="114" w:lineRule="exact"/>
        <w:rPr>
          <w:sz w:val="20"/>
          <w:szCs w:val="20"/>
          <w:color w:val="auto"/>
        </w:rPr>
      </w:pPr>
    </w:p>
    <w:p>
      <w:pPr>
        <w:ind w:left="440" w:right="300" w:firstLine="415"/>
        <w:spacing w:after="0" w:line="295" w:lineRule="auto"/>
        <w:rPr>
          <w:sz w:val="20"/>
          <w:szCs w:val="20"/>
          <w:color w:val="auto"/>
        </w:rPr>
      </w:pPr>
      <w:r>
        <w:rPr>
          <w:rFonts w:ascii="Arial" w:cs="Arial" w:eastAsia="Arial" w:hAnsi="Arial"/>
          <w:sz w:val="15"/>
          <w:szCs w:val="15"/>
          <w:color w:val="auto"/>
        </w:rPr>
        <w:t>Our amended and restated certificate of incorporation will provide that, unless we consent in writing to an alternative forum, the Court of Chancery of the State of Delaware shall, to the fullest extent permitted by law, be the sole and exclusive forum for any (i) derivative action or proceeding brought on our behalf, (ii) action asserting a claim of breach of a fiduciary duty or other wrongdoing by any current or former director, officer, 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w:t>
      </w:r>
    </w:p>
    <w:p>
      <w:pPr>
        <w:spacing w:after="0" w:line="153"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Our amended and restated certificate of incorporation will also provide that the foregoing exclusive forum provision does not apply to actions brought to enforce any liability or duty created by the Securities Act or Exchange Act, or any other claim or cause of action for which the federal courts have exclusive jurisdiction.</w:t>
      </w:r>
    </w:p>
    <w:p>
      <w:pPr>
        <w:spacing w:after="0" w:line="176" w:lineRule="exact"/>
        <w:rPr>
          <w:sz w:val="20"/>
          <w:szCs w:val="20"/>
          <w:color w:val="auto"/>
        </w:rPr>
      </w:pPr>
    </w:p>
    <w:p>
      <w:pPr>
        <w:ind w:left="440" w:right="60" w:firstLine="415"/>
        <w:spacing w:after="0" w:line="279" w:lineRule="auto"/>
        <w:rPr>
          <w:sz w:val="20"/>
          <w:szCs w:val="20"/>
          <w:color w:val="auto"/>
        </w:rPr>
      </w:pPr>
      <w:r>
        <w:rPr>
          <w:rFonts w:ascii="Arial" w:cs="Arial" w:eastAsia="Arial" w:hAnsi="Arial"/>
          <w:sz w:val="16"/>
          <w:szCs w:val="16"/>
          <w:color w:val="auto"/>
        </w:rPr>
        <w:t>Additionally, because the Securities Act provides for concurrent federal and state jurisdiction, our amended and restated certificate of incorporation will also provide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62" w:lineRule="exact"/>
        <w:rPr>
          <w:sz w:val="20"/>
          <w:szCs w:val="20"/>
          <w:color w:val="auto"/>
        </w:rPr>
      </w:pPr>
    </w:p>
    <w:p>
      <w:pPr>
        <w:ind w:left="440" w:right="60" w:firstLine="415"/>
        <w:spacing w:after="0" w:line="253" w:lineRule="auto"/>
        <w:rPr>
          <w:sz w:val="20"/>
          <w:szCs w:val="20"/>
          <w:color w:val="auto"/>
        </w:rPr>
      </w:pPr>
      <w:r>
        <w:rPr>
          <w:rFonts w:ascii="Arial" w:cs="Arial" w:eastAsia="Arial" w:hAnsi="Arial"/>
          <w:sz w:val="17"/>
          <w:szCs w:val="17"/>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provide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81"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Corporate Opportunities</w:t>
      </w:r>
    </w:p>
    <w:p>
      <w:pPr>
        <w:spacing w:after="0" w:line="114" w:lineRule="exact"/>
        <w:rPr>
          <w:sz w:val="20"/>
          <w:szCs w:val="20"/>
          <w:color w:val="auto"/>
        </w:rPr>
      </w:pPr>
    </w:p>
    <w:p>
      <w:pPr>
        <w:jc w:val="both"/>
        <w:ind w:left="440" w:right="100" w:firstLine="415"/>
        <w:spacing w:after="0" w:line="279" w:lineRule="auto"/>
        <w:rPr>
          <w:sz w:val="20"/>
          <w:szCs w:val="20"/>
          <w:color w:val="auto"/>
        </w:rPr>
      </w:pPr>
      <w:r>
        <w:rPr>
          <w:rFonts w:ascii="Arial" w:cs="Arial" w:eastAsia="Arial" w:hAnsi="Arial"/>
          <w:sz w:val="16"/>
          <w:szCs w:val="16"/>
          <w:color w:val="auto"/>
        </w:rPr>
        <w:t>Our amended and restated certificate of incorporation will provide that neither our Sponsors nor a director affiliated with our Sponsors will have any obligation to offer us an opportunity to participate in business opportunities presented to such Sponsor even if the opportunity is one that we might reasonably have pursued (and therefore may be free to compete with us in the same business or similar businesses), and that, to the extent permitted by law, no Sponsor will be liable to us or our stockholders for breach of any duty by reason of any such activities.</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0780"/>
          </w:cols>
          <w:pgMar w:left="320" w:top="442" w:right="79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Listing</w:t>
      </w:r>
    </w:p>
    <w:p>
      <w:pPr>
        <w:spacing w:after="0" w:line="114" w:lineRule="exact"/>
        <w:rPr>
          <w:sz w:val="20"/>
          <w:szCs w:val="20"/>
          <w:color w:val="auto"/>
        </w:rPr>
      </w:pPr>
    </w:p>
    <w:p>
      <w:pPr>
        <w:jc w:val="right"/>
        <w:ind w:right="2099"/>
        <w:spacing w:after="0"/>
        <w:rPr>
          <w:sz w:val="20"/>
          <w:szCs w:val="20"/>
          <w:color w:val="auto"/>
        </w:rPr>
      </w:pPr>
      <w:r>
        <w:rPr>
          <w:rFonts w:ascii="Arial" w:cs="Arial" w:eastAsia="Arial" w:hAnsi="Arial"/>
          <w:sz w:val="17"/>
          <w:szCs w:val="17"/>
          <w:color w:val="auto"/>
        </w:rPr>
        <w:t>We will apply to have our Class A common stock approved for listing on Nasdaq under the symbol “DH.”</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Transfer Agent and Registrar</w:t>
      </w:r>
    </w:p>
    <w:p>
      <w:pPr>
        <w:spacing w:after="0" w:line="11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transfer agent and registrar for the Class A common stock is AST Financial.</w:t>
      </w:r>
    </w:p>
    <w:p>
      <w:pPr>
        <w:spacing w:after="0" w:line="148"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0139"/>
          </w:cols>
          <w:pgMar w:left="320" w:top="442" w:right="1440"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59"/>
        <w:spacing w:after="0"/>
        <w:rPr>
          <w:sz w:val="20"/>
          <w:szCs w:val="20"/>
          <w:color w:val="auto"/>
        </w:rPr>
      </w:pPr>
      <w:r>
        <w:rPr>
          <w:rFonts w:ascii="Arial" w:cs="Arial" w:eastAsia="Arial" w:hAnsi="Arial"/>
          <w:sz w:val="17"/>
          <w:szCs w:val="17"/>
          <w:b w:val="1"/>
          <w:bCs w:val="1"/>
          <w:color w:val="auto"/>
        </w:rPr>
        <w:t>SHARES ELIGIBLE FOR FUTURE SALE</w:t>
      </w:r>
    </w:p>
    <w:p>
      <w:pPr>
        <w:spacing w:after="0" w:line="216"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6"/>
          <w:szCs w:val="16"/>
          <w:color w:val="auto"/>
        </w:rPr>
        <w:t>Prior to this offering, there has been no public market for our Class A common stock. 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Factors—Risks Related to Our Class A common stock and This Offering—Future offerings of debt or equity securities by us may have a material adverse effect on the market price of our Class A common stock.”</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Sale of Restricted Shares</w:t>
      </w:r>
    </w:p>
    <w:p>
      <w:pPr>
        <w:spacing w:after="0" w:line="114"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Upon the consummation of this offering, we will have 87,522,796 shares of Class A common stock (or 88,266,945 shares if the underwriters exercise their option to purchase additional shares of Class A common stock in full) outstanding. Of these shares, the 15,555,555 shares sold in this offering (or 17,888,888 shares if the underwriters exercise their option to purchase additional shares of Class A common stock in full) will be freely tradable, without further restriction or registration under the Securities Act, except any shares held by our “affiliates,” as that term is defined in Rule 144 under the Securities Act, or any shares purchased in our directed share program which are subject to the lock-up agreements described in “Underwriting.” In the absence of registration under the Securities Act, shares held by affiliates may only be sold in compliance with the limitations of Rule 144 described below or another exemption from the registration requirements of the Securities Act. As defined in Rule 144, an affiliate of an issuer is a person that directly, or indirectly through one or more intermediaries, controls, is controlled by or is under common control with the issuer. Upon the completion of this offering, approximately 71,967,241 of our outstanding shares of Class A common stock will be deemed “restricted securities,” as that term is defined under Rule 144, and would also be subject to the “lock-up” period noted below.</w:t>
      </w:r>
    </w:p>
    <w:p>
      <w:pPr>
        <w:spacing w:after="0" w:line="177" w:lineRule="exact"/>
        <w:rPr>
          <w:sz w:val="20"/>
          <w:szCs w:val="20"/>
          <w:color w:val="auto"/>
        </w:rPr>
      </w:pPr>
    </w:p>
    <w:p>
      <w:pPr>
        <w:ind w:left="440" w:right="80" w:firstLine="415"/>
        <w:spacing w:after="0" w:line="253" w:lineRule="auto"/>
        <w:rPr>
          <w:sz w:val="20"/>
          <w:szCs w:val="20"/>
          <w:color w:val="auto"/>
        </w:rPr>
      </w:pPr>
      <w:r>
        <w:rPr>
          <w:rFonts w:ascii="Arial" w:cs="Arial" w:eastAsia="Arial" w:hAnsi="Arial"/>
          <w:sz w:val="17"/>
          <w:szCs w:val="17"/>
          <w:color w:val="auto"/>
        </w:rPr>
        <w:t>In addition, upon the consummation of the offering, the Continuing Pre-IPO LLC Members will own all of the 60,607,740 shares of our Class B common stock. The Continuing Pre-IPO LLC Members, from time to time following the offering may require Definitive OpCo to exchange all or a portion of their LLC Units for newly-issued shares of Class A common stock on a one-for-one basis. Shares of our Class B common stock will be canceled on a one-for-one basis if we, following an exchange request of a Continuing Pre-IPO LLC Member, exchange LLC Units of such Continuing Pre-IPO LLC Member pursuant to the terms of the Amended LLC Agreement. Shares of our Class A common stock issuable to the Continuing Pre-IPO LLC Members upon an exchange of LLC Units would be considered “restricted securities,” as that term is defined under Rule 144 and would also be subject to the “lock-up” period noted below.</w:t>
      </w:r>
    </w:p>
    <w:p>
      <w:pPr>
        <w:spacing w:after="0" w:line="186" w:lineRule="exact"/>
        <w:rPr>
          <w:sz w:val="20"/>
          <w:szCs w:val="20"/>
          <w:color w:val="auto"/>
        </w:rPr>
      </w:pPr>
    </w:p>
    <w:p>
      <w:pPr>
        <w:ind w:left="440" w:right="40" w:firstLine="415"/>
        <w:spacing w:after="0" w:line="295" w:lineRule="auto"/>
        <w:rPr>
          <w:sz w:val="20"/>
          <w:szCs w:val="20"/>
          <w:color w:val="auto"/>
        </w:rPr>
      </w:pPr>
      <w:r>
        <w:rPr>
          <w:rFonts w:ascii="Arial" w:cs="Arial" w:eastAsia="Arial" w:hAnsi="Arial"/>
          <w:sz w:val="15"/>
          <w:szCs w:val="15"/>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 under the Securities Act. Immediately following the consummation of this offering, the holders of approximately 71,967,241 shares of our Class A common stock (on an assumed as-exchanged basis) will be entitled to dispose of their shares following the expiration of an initial 180-day underwriter “lock-up” period pursuant to the holding period, volume and other restrictions of Rule 144. Goldman Sachs &amp; Co. LLC and J.P. Morgan Securities LLC are entitled to waive these lock-up provisions at their discretion prior to the expiration dates of such lock-up agreements.</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Lock-up Arrangements and Registration Rights</w:t>
      </w:r>
    </w:p>
    <w:p>
      <w:pPr>
        <w:spacing w:after="0" w:line="114" w:lineRule="exact"/>
        <w:rPr>
          <w:sz w:val="20"/>
          <w:szCs w:val="20"/>
          <w:color w:val="auto"/>
        </w:rPr>
      </w:pPr>
    </w:p>
    <w:p>
      <w:pPr>
        <w:ind w:left="440" w:right="260" w:firstLine="415"/>
        <w:spacing w:after="0" w:line="261" w:lineRule="auto"/>
        <w:rPr>
          <w:sz w:val="20"/>
          <w:szCs w:val="20"/>
          <w:color w:val="auto"/>
        </w:rPr>
      </w:pPr>
      <w:r>
        <w:rPr>
          <w:rFonts w:ascii="Arial" w:cs="Arial" w:eastAsia="Arial" w:hAnsi="Arial"/>
          <w:sz w:val="17"/>
          <w:szCs w:val="17"/>
          <w:color w:val="auto"/>
        </w:rPr>
        <w:t>In connection with this offering, we, each of our directors, executive officers and certain other stockholders, will enter into lock-up agreements that restrict the sale of our securities for up to 180 days after the date of this prospectus, subject to certain exceptions or an extension in certain circumstances.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0800"/>
          </w:cols>
          <w:pgMar w:left="320" w:top="442" w:right="77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In addition, following the expiration of the lock-up period, certain stockholders will have the right, subject to certain conditions, to require us to register the sale of their shares of our common stock under federal securities laws. See “Certain Relationships and Related Party Transactions — Registration Rights Agreement.” If these stockholders exercise this right, our other existing stockholders may require us to register their registrable securities.</w:t>
      </w:r>
    </w:p>
    <w:p>
      <w:pPr>
        <w:spacing w:after="0" w:line="180" w:lineRule="exact"/>
        <w:rPr>
          <w:sz w:val="20"/>
          <w:szCs w:val="20"/>
          <w:color w:val="auto"/>
        </w:rPr>
      </w:pPr>
    </w:p>
    <w:p>
      <w:pPr>
        <w:ind w:left="440" w:right="120" w:firstLine="415"/>
        <w:spacing w:after="0" w:line="306" w:lineRule="auto"/>
        <w:rPr>
          <w:sz w:val="20"/>
          <w:szCs w:val="20"/>
          <w:color w:val="auto"/>
        </w:rPr>
      </w:pPr>
      <w:r>
        <w:rPr>
          <w:rFonts w:ascii="Arial" w:cs="Arial" w:eastAsia="Arial" w:hAnsi="Arial"/>
          <w:sz w:val="16"/>
          <w:szCs w:val="16"/>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Lock-up Agreements</w:t>
      </w:r>
    </w:p>
    <w:p>
      <w:pPr>
        <w:spacing w:after="0" w:line="114"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Our executive officers, directors and certain of our stockholders have agreed that, for a period of 180 days from the date of this prospectus, they will not, without the prior written consent of the representatives of the underwriters, dispose of or hedge any shares of our common stock or any securities convertible into or exchangeable for our common stock (including LLC Units) subject to certain exceptions (including dispositions in connection with the Reorganization Transactions).</w:t>
      </w:r>
    </w:p>
    <w:p>
      <w:pPr>
        <w:spacing w:after="0" w:line="180"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Immediately following the consummation of this offering, stockholders subject to lock-up agreements will hold 71,967,241 shares of our Class A common stock (assuming the Continuing Pre-IPO LLC Members exchange all their Class B common stock and LLC Units for shares of our Class A common stock), representing approximately 82.2% of our then-outstanding shares of Class A common stock (or approximately 79.7% of our then-outstanding shares of Class A common stock if the underwriters exercise their option to purchase additional shares of Class A common stock in full and giving effect to the use of the net proceeds therefrom).</w:t>
      </w:r>
    </w:p>
    <w:p>
      <w:pPr>
        <w:spacing w:after="0" w:line="183" w:lineRule="exact"/>
        <w:rPr>
          <w:sz w:val="20"/>
          <w:szCs w:val="20"/>
          <w:color w:val="auto"/>
        </w:rPr>
      </w:pPr>
    </w:p>
    <w:p>
      <w:pPr>
        <w:jc w:val="both"/>
        <w:ind w:left="440" w:right="60" w:firstLine="415"/>
        <w:spacing w:after="0" w:line="342" w:lineRule="auto"/>
        <w:rPr>
          <w:sz w:val="20"/>
          <w:szCs w:val="20"/>
          <w:color w:val="auto"/>
        </w:rPr>
      </w:pPr>
      <w:r>
        <w:rPr>
          <w:rFonts w:ascii="Arial" w:cs="Arial" w:eastAsia="Arial" w:hAnsi="Arial"/>
          <w:sz w:val="15"/>
          <w:szCs w:val="15"/>
          <w:color w:val="auto"/>
        </w:rPr>
        <w:t>We have agreed, subject to certain exceptions, not to issue, sell or otherwise dispose of any shares of our Class A common stock or any securities convertible into or exchangeable for our Class A common stock (including LLC Units) during the 180-day period following the date of this prospectus.</w:t>
      </w:r>
    </w:p>
    <w:p>
      <w:pPr>
        <w:spacing w:after="0" w:line="2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Rule 144</w:t>
      </w:r>
    </w:p>
    <w:p>
      <w:pPr>
        <w:spacing w:after="0" w:line="114" w:lineRule="exact"/>
        <w:rPr>
          <w:sz w:val="20"/>
          <w:szCs w:val="20"/>
          <w:color w:val="auto"/>
        </w:rPr>
      </w:pPr>
    </w:p>
    <w:p>
      <w:pPr>
        <w:ind w:left="440" w:right="80" w:firstLine="415"/>
        <w:spacing w:after="0" w:line="275" w:lineRule="auto"/>
        <w:rPr>
          <w:sz w:val="20"/>
          <w:szCs w:val="20"/>
          <w:color w:val="auto"/>
        </w:rPr>
      </w:pPr>
      <w:r>
        <w:rPr>
          <w:rFonts w:ascii="Arial" w:cs="Arial" w:eastAsia="Arial" w:hAnsi="Arial"/>
          <w:sz w:val="16"/>
          <w:szCs w:val="16"/>
          <w:color w:val="auto"/>
        </w:rPr>
        <w:t>The shares of our Class A common stock sold in this offering will generally be freely transferable without restriction or further registration under the Securities Act, except that any shares of our Class A common stock held by an “affiliate” of ours may not be resold publicly except in compliance with the registration requirements of the Securities Act or under an exemption under Rule 144 or otherwise. Rule 144 permits our Class A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78" w:lineRule="exact"/>
        <w:rPr>
          <w:sz w:val="20"/>
          <w:szCs w:val="20"/>
          <w:color w:val="auto"/>
        </w:rPr>
      </w:pPr>
    </w:p>
    <w:p>
      <w:pPr>
        <w:ind w:left="1360" w:hanging="519"/>
        <w:spacing w:after="0"/>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one percent of the total number of shares of our Class A common stock outstanding; or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average weekly reported trading volume of our Class A common stock for the four calendar weeks prior to the sale.</w:t>
      </w:r>
    </w:p>
    <w:p>
      <w:pPr>
        <w:spacing w:after="0" w:line="212"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Such sales are also subject to specific manner of sale provisions, a six-month holding period requirement, notice requirements and the availability of current public information about us.</w:t>
      </w:r>
    </w:p>
    <w:p>
      <w:pPr>
        <w:spacing w:after="0" w:line="16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None of our Class A common stock that are not subject to lock-up arrangements described above will be eligible for sale under Rule 144 upon the closing.</w:t>
      </w:r>
    </w:p>
    <w:p>
      <w:pPr>
        <w:spacing w:after="0" w:line="166"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Rule 144 also provides that a person who is not deemed to have been an affiliate of ours at any time during the three months preceding a sale, and who has for at least six months beneficially owned shares of our Class A</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0760"/>
          </w:cols>
          <w:pgMar w:left="320" w:top="442" w:right="81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302" w:lineRule="auto"/>
        <w:rPr>
          <w:sz w:val="20"/>
          <w:szCs w:val="20"/>
          <w:color w:val="auto"/>
        </w:rPr>
      </w:pPr>
      <w:r>
        <w:rPr>
          <w:rFonts w:ascii="Arial" w:cs="Arial" w:eastAsia="Arial" w:hAnsi="Arial"/>
          <w:sz w:val="15"/>
          <w:szCs w:val="15"/>
          <w:color w:val="auto"/>
        </w:rPr>
        <w:t>common stock that are restricted securities, will be entitled to freely sell such shares of our Class A common stock subject only to the availability of current public information regarding us. A person who is not deemed to have been an affiliate of ours at any time during the three months preceding a sale, and who has beneficially owned for at least one year shares of our Class A common stock that are restricted securities, will be entitled to freely sell such shares of our Class A common stock under Rule 144 without regard to the current public information requirements of Rule 144.</w:t>
      </w:r>
    </w:p>
    <w:p>
      <w:pPr>
        <w:spacing w:after="0" w:line="24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Rule 701</w:t>
      </w:r>
    </w:p>
    <w:p>
      <w:pPr>
        <w:spacing w:after="0" w:line="114"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Stock Issued Under Employee Plans</w:t>
      </w:r>
    </w:p>
    <w:p>
      <w:pPr>
        <w:spacing w:after="0" w:line="114" w:lineRule="exact"/>
        <w:rPr>
          <w:sz w:val="20"/>
          <w:szCs w:val="20"/>
          <w:color w:val="auto"/>
        </w:rPr>
      </w:pPr>
    </w:p>
    <w:p>
      <w:pPr>
        <w:ind w:left="440" w:right="100" w:firstLine="415"/>
        <w:spacing w:after="0" w:line="255" w:lineRule="auto"/>
        <w:rPr>
          <w:sz w:val="20"/>
          <w:szCs w:val="20"/>
          <w:color w:val="auto"/>
        </w:rPr>
      </w:pPr>
      <w:r>
        <w:rPr>
          <w:rFonts w:ascii="Arial" w:cs="Arial" w:eastAsia="Arial" w:hAnsi="Arial"/>
          <w:sz w:val="17"/>
          <w:szCs w:val="17"/>
          <w:color w:val="auto"/>
        </w:rPr>
        <w:t>We intend to file a registration statement on Form S-8 under the Securities Act to register stock issuable pursuant to awards granted under our 2021 Plan. This registration statement on Form S-8 is expected to be filed following the effective date of the registration statement of which this prospectus is a part and will be effective upon filing. Accordingly, shares of Class A common stock registered under such registration statement will be available for sale in the open market following the effective date, unless such shares are subject to vesting restrictions with us, Rule 144 restrictions applicable to our affiliates or the lock-up restrictions described above.</w:t>
      </w:r>
    </w:p>
    <w:p>
      <w:pPr>
        <w:spacing w:after="0" w:line="28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Additional Registration Statements</w:t>
      </w:r>
    </w:p>
    <w:p>
      <w:pPr>
        <w:spacing w:after="0" w:line="114" w:lineRule="exact"/>
        <w:rPr>
          <w:sz w:val="20"/>
          <w:szCs w:val="20"/>
          <w:color w:val="auto"/>
        </w:rPr>
      </w:pPr>
    </w:p>
    <w:p>
      <w:pPr>
        <w:ind w:left="440" w:right="60" w:firstLine="415"/>
        <w:spacing w:after="0" w:line="275" w:lineRule="auto"/>
        <w:rPr>
          <w:sz w:val="20"/>
          <w:szCs w:val="20"/>
          <w:color w:val="auto"/>
        </w:rPr>
      </w:pPr>
      <w:r>
        <w:rPr>
          <w:rFonts w:ascii="Arial" w:cs="Arial" w:eastAsia="Arial" w:hAnsi="Arial"/>
          <w:sz w:val="16"/>
          <w:szCs w:val="16"/>
          <w:color w:val="auto"/>
        </w:rPr>
        <w:t>We intend to file a registration statement on Form S-8 under the Securities Act to register 8,982,524 shares of our Class A common stock to be issued or reserved for issuance under our equity incentive plans and 1,497,087 shares of Class A common stock to be issued or reserved for issuance under our employee stock purchase plan.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0780"/>
          </w:cols>
          <w:pgMar w:left="320" w:top="442" w:right="79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MATERIAL U.S. FEDERAL INCOME TAX CONSIDERATIONS FOR NON-U.S. HOLDERS</w:t>
      </w:r>
    </w:p>
    <w:p>
      <w:pPr>
        <w:spacing w:after="0" w:line="216" w:lineRule="exact"/>
        <w:rPr>
          <w:sz w:val="20"/>
          <w:szCs w:val="20"/>
          <w:color w:val="auto"/>
        </w:rPr>
      </w:pPr>
    </w:p>
    <w:p>
      <w:pPr>
        <w:ind w:left="440" w:firstLine="415"/>
        <w:spacing w:after="0" w:line="286" w:lineRule="auto"/>
        <w:rPr>
          <w:sz w:val="20"/>
          <w:szCs w:val="20"/>
          <w:color w:val="auto"/>
        </w:rPr>
      </w:pPr>
      <w:r>
        <w:rPr>
          <w:rFonts w:ascii="Arial" w:cs="Arial" w:eastAsia="Arial" w:hAnsi="Arial"/>
          <w:sz w:val="15"/>
          <w:szCs w:val="15"/>
          <w:color w:val="auto"/>
        </w:rPr>
        <w:t>The following is a general discussion of material U.S. federal income tax consequences to non-U.S. holders (as defined herein) of the purchase, ownership and disposition of our Class A common stock issued pursuant to this offering. This discussion does not provide a complete analysis of all potential U.S. federal income tax considerations relating thereto. This description is based on the Code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herein) who hold shares of our Class A common stock as capital assets within the meaning of Section 1221 of the Code (generally for investment). Moreover, this discussion is for general information only and does not address all of the U.S. federal income tax consequences that may be relevant to you in light of your particular circumstances, nor does it discuss special tax provisions, which may apply to you if you are a holder who is subject to special treatment under U.S. federal income tax laws, such as certain financial institutions or financial services entities, insurance companies, tax-exempt entities or governmental organizations, tax-qualified retirement plans, “qualified foreign pension funds” (and entities all of the interests of which are held by qualified foreign pension funds), dealers in securities or currencies, persons who have elected to mark securities to market, entities that are treated as partnerships or other pass-through entities for U.S. federal income tax purposes (and partners or beneficial owners thereof), foreign branches, “controlled foreign corporations,” “passive foreign investment companies,” former U.S. citizens or long-term residents, holders that acquired our ordinary shares in a compensatory transaction, holders subject to special tax accounting rules as a result of any item of gross income with respect to our ordinary shares being taken into account in an applicable financial statement, corporations that accumulate earnings to avoid U.S. federal income tax, persons deemed to sell our Class A common stock under the constructive sale provisions of the Code, and persons that hold our Class A common stock as part of a straddle, hedge, conversion transaction, or other integrated investment. In addition, this discussion does not address estate or gift taxes, the alternative minimum tax, the Medicare contribution tax or any state, local or foreign taxes or any U.S. federal tax laws other than U.S. federal income tax laws.</w:t>
      </w:r>
    </w:p>
    <w:p>
      <w:pPr>
        <w:spacing w:after="0" w:line="167" w:lineRule="exact"/>
        <w:rPr>
          <w:sz w:val="20"/>
          <w:szCs w:val="20"/>
          <w:color w:val="auto"/>
        </w:rPr>
      </w:pPr>
    </w:p>
    <w:p>
      <w:pPr>
        <w:ind w:left="440" w:right="180" w:firstLine="415"/>
        <w:spacing w:after="0" w:line="306" w:lineRule="auto"/>
        <w:rPr>
          <w:sz w:val="20"/>
          <w:szCs w:val="20"/>
          <w:color w:val="auto"/>
        </w:rPr>
      </w:pPr>
      <w:r>
        <w:rPr>
          <w:rFonts w:ascii="Arial" w:cs="Arial" w:eastAsia="Arial" w:hAnsi="Arial"/>
          <w:sz w:val="16"/>
          <w:szCs w:val="16"/>
          <w:color w:val="auto"/>
        </w:rPr>
        <w:t>You are urged to consult with your own tax advisor concerning the U.S. federal income tax consequences of acquiring, owning and disposing of our Class A common stock, as well as the application of any state, local, or foreign income and other tax laws or tax treaties.</w:t>
      </w:r>
    </w:p>
    <w:p>
      <w:pPr>
        <w:spacing w:after="0" w:line="141" w:lineRule="exact"/>
        <w:rPr>
          <w:sz w:val="20"/>
          <w:szCs w:val="20"/>
          <w:color w:val="auto"/>
        </w:rPr>
      </w:pPr>
    </w:p>
    <w:p>
      <w:pPr>
        <w:ind w:left="440" w:right="480" w:firstLine="415"/>
        <w:spacing w:after="0" w:line="306" w:lineRule="auto"/>
        <w:rPr>
          <w:sz w:val="20"/>
          <w:szCs w:val="20"/>
          <w:color w:val="auto"/>
        </w:rPr>
      </w:pPr>
      <w:r>
        <w:rPr>
          <w:rFonts w:ascii="Arial" w:cs="Arial" w:eastAsia="Arial" w:hAnsi="Arial"/>
          <w:sz w:val="16"/>
          <w:szCs w:val="16"/>
          <w:color w:val="auto"/>
        </w:rPr>
        <w:t>As used in this section, a “non-U.S. holder” is a beneficial owner of our Class A common stock (other than a partnership or any other entity treated as a pass-through entity for U.S. federal income tax purposes) that is not, for U.S. federal income tax purposes:</w:t>
      </w:r>
    </w:p>
    <w:p>
      <w:pPr>
        <w:spacing w:after="0" w:line="52" w:lineRule="exact"/>
        <w:rPr>
          <w:sz w:val="20"/>
          <w:szCs w:val="20"/>
          <w:color w:val="auto"/>
        </w:rPr>
      </w:pPr>
    </w:p>
    <w:p>
      <w:pPr>
        <w:ind w:left="1360" w:hanging="519"/>
        <w:spacing w:after="0"/>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U.S.,</w:t>
      </w:r>
    </w:p>
    <w:p>
      <w:pPr>
        <w:spacing w:after="0" w:line="122" w:lineRule="exact"/>
        <w:rPr>
          <w:rFonts w:ascii="Arial" w:cs="Arial" w:eastAsia="Arial" w:hAnsi="Arial"/>
          <w:sz w:val="17"/>
          <w:szCs w:val="17"/>
          <w:color w:val="auto"/>
        </w:rPr>
      </w:pPr>
    </w:p>
    <w:p>
      <w:pPr>
        <w:ind w:left="1360" w:right="340" w:hanging="519"/>
        <w:spacing w:after="0" w:line="273" w:lineRule="auto"/>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that is created or organized in or under the laws of the U.S., any state thereof or the District of Columbia,</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an estate the income of which is subject to U.S. federal income taxation regardless of its source, or</w:t>
      </w:r>
    </w:p>
    <w:p>
      <w:pPr>
        <w:spacing w:after="0" w:line="122" w:lineRule="exact"/>
        <w:rPr>
          <w:rFonts w:ascii="Arial" w:cs="Arial" w:eastAsia="Arial" w:hAnsi="Arial"/>
          <w:sz w:val="17"/>
          <w:szCs w:val="17"/>
          <w:color w:val="auto"/>
        </w:rPr>
      </w:pPr>
    </w:p>
    <w:p>
      <w:pPr>
        <w:ind w:left="1360" w:right="140" w:hanging="519"/>
        <w:spacing w:after="0" w:line="257" w:lineRule="auto"/>
        <w:tabs>
          <w:tab w:leader="none" w:pos="136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 trust if (i) a court within the U.S. is able to exercise primary supervision over the administration of the trust and one or more “United States persons” (within the meaning of Section 7701(a)(30) of the Code) have the authority to control all substantial decisions of the trust or (ii) it has a valid election in effect under applicable U.S. Treasury regulations to be treated as a United States person for U.S. federal income tax purposes.</w:t>
      </w:r>
    </w:p>
    <w:p>
      <w:pPr>
        <w:spacing w:after="0" w:line="180" w:lineRule="exact"/>
        <w:rPr>
          <w:sz w:val="20"/>
          <w:szCs w:val="20"/>
          <w:color w:val="auto"/>
        </w:rPr>
      </w:pPr>
    </w:p>
    <w:p>
      <w:pPr>
        <w:ind w:left="440" w:right="140" w:firstLine="415"/>
        <w:spacing w:after="0" w:line="312" w:lineRule="auto"/>
        <w:rPr>
          <w:sz w:val="20"/>
          <w:szCs w:val="20"/>
          <w:color w:val="auto"/>
        </w:rPr>
      </w:pPr>
      <w:r>
        <w:rPr>
          <w:rFonts w:ascii="Arial" w:cs="Arial" w:eastAsia="Arial" w:hAnsi="Arial"/>
          <w:sz w:val="15"/>
          <w:szCs w:val="15"/>
          <w:color w:val="auto"/>
        </w:rPr>
        <w:t>If a partnership or other entity treated as a pass-through entity for U.S. federal income tax purposes is a holder of our Class A common stock, the tax treatment of a partner in the partnership or an owner of the other pass-through entity will depend upon the status of the partner or owner and the activities of the partnership or other pass-through entity. Any partnership or other pass-through entity, and any partner in such a partnership or</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0800"/>
          </w:cols>
          <w:pgMar w:left="320" w:top="442" w:right="77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80"/>
        <w:spacing w:after="0" w:line="273" w:lineRule="auto"/>
        <w:rPr>
          <w:sz w:val="20"/>
          <w:szCs w:val="20"/>
          <w:color w:val="auto"/>
        </w:rPr>
      </w:pPr>
      <w:r>
        <w:rPr>
          <w:rFonts w:ascii="Arial" w:cs="Arial" w:eastAsia="Arial" w:hAnsi="Arial"/>
          <w:sz w:val="17"/>
          <w:szCs w:val="17"/>
          <w:color w:val="auto"/>
        </w:rPr>
        <w:t>owner of such a pass-through entity, holding shares of our Class A common stock is urged to consult its own tax advisor as to the particular U.S. federal income tax consequences applicable to it.</w:t>
      </w:r>
    </w:p>
    <w:p>
      <w:pPr>
        <w:spacing w:after="0" w:line="166" w:lineRule="exact"/>
        <w:rPr>
          <w:sz w:val="20"/>
          <w:szCs w:val="20"/>
          <w:color w:val="auto"/>
        </w:rPr>
      </w:pPr>
    </w:p>
    <w:p>
      <w:pPr>
        <w:jc w:val="both"/>
        <w:ind w:left="440" w:right="160" w:firstLine="415"/>
        <w:spacing w:after="0" w:line="285" w:lineRule="auto"/>
        <w:rPr>
          <w:sz w:val="20"/>
          <w:szCs w:val="20"/>
          <w:color w:val="auto"/>
        </w:rPr>
      </w:pPr>
      <w:r>
        <w:rPr>
          <w:rFonts w:ascii="Arial" w:cs="Arial" w:eastAsia="Arial" w:hAnsi="Arial"/>
          <w:sz w:val="16"/>
          <w:szCs w:val="16"/>
          <w:b w:val="1"/>
          <w:bCs w:val="1"/>
          <w:i w:val="1"/>
          <w:iCs w:val="1"/>
          <w:color w:val="auto"/>
        </w:rPr>
        <w:t>INVESTORS CONSIDERING THE PURCHASE OF OUR CLASS A COMMON STOCK ARE URGED TO CONSULT THEIR OWN TAX ADVISORS REGARDING THE APPLICATION OF U.S. FEDERAL INCOME TAX LAWS TO THEIR PARTICULAR SITUATIONS AND THE CONSEQUENCES OF OTHER FEDERAL, STATE, LOCAL AND FOREIGN TAX LAWS, AND APPLICABLE TAX TREATIES.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Distributions on Class A Common Stock</w:t>
      </w:r>
    </w:p>
    <w:p>
      <w:pPr>
        <w:spacing w:after="0" w:line="114"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If we pay distributions on shares of our Class A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Class A common stock. Any remaining excess will be treated as gain realized on the sale or other taxable disposition of our Class A common stock. See “—Sales or Other Taxable Dispositions of Class A Common Stock.”</w:t>
      </w:r>
    </w:p>
    <w:p>
      <w:pPr>
        <w:spacing w:after="0" w:line="150" w:lineRule="exact"/>
        <w:rPr>
          <w:sz w:val="20"/>
          <w:szCs w:val="20"/>
          <w:color w:val="auto"/>
        </w:rPr>
      </w:pPr>
    </w:p>
    <w:p>
      <w:pPr>
        <w:ind w:left="440" w:right="40" w:firstLine="415"/>
        <w:spacing w:after="0" w:line="288" w:lineRule="auto"/>
        <w:rPr>
          <w:sz w:val="20"/>
          <w:szCs w:val="20"/>
          <w:color w:val="auto"/>
        </w:rPr>
      </w:pPr>
      <w:r>
        <w:rPr>
          <w:rFonts w:ascii="Arial" w:cs="Arial" w:eastAsia="Arial" w:hAnsi="Arial"/>
          <w:sz w:val="15"/>
          <w:szCs w:val="15"/>
          <w:color w:val="auto"/>
        </w:rPr>
        <w:t>Any dividend paid to a non-U.S. holder on our Class A common stock will generally be subject to U.S. federal withholding tax at a 30% rate, subject to the discussion below regarding effectively connected income. The withholding tax might not apply, however, or might apply at a reduced rate, under the terms of an applicable income tax treaty between the U.S. and the non-U.S. holder’s country of residence. Generally, in order for the applicable withholding agent to withhold tax at a lower treaty rate, a non-U.S. holder must certify its entitlement to treaty benefits. A non-U.S. holder generally can meet this certification requirement by providing a valid Internal Revenue Service (“IRS”) Form W-8BEN or IRS Form W-8BEN-E (or other applicable form), as applicable, to the applicable withholding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the applicable withholding agent, either directly or through other intermediaries. Even if our current or accumulated earnings and profits are less than the amount of the distribution, the applicable withholding agent may elect to treat the entire distribution as a dividend for U.S. federal tax purposes. A non-U.S. holder that does not timely furnish the required documentation, but that qualifies for a reduced treaty rate, generally may obtain a refund of any excess amounts withheld by timely filing an appropriate claim for refund with the IRS. You are urged to consult your own tax advisors regarding your entitlement to benefits under a relevant income tax treaty.</w:t>
      </w:r>
    </w:p>
    <w:p>
      <w:pPr>
        <w:spacing w:after="0" w:line="162"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Dividends received by a non-U.S. holder that are effectively connected with a U.S. trade or business conducted by the non-U.S. holder and, if required by an applicable income tax treaty between the U.S. and the non-U.S. holder’s country of residence, are attributable to a permanent establishment (or, in certain cases involving individual holders, a fixed base) maintained by the non-U.S. holder in the U.S., are generally not subject to such withholding tax. To obtain this exemption, a non-U.S. holder must provide the applicable withholding agent with a valid IRS Form W-8ECI (or applicable successor form) properly certifying such exemption. Such effectively connected dividends, although generally not subject to withholding tax (provided certain certification and disclosure requirements are satisfied), are taxed at the same rates applicable to United States persons, net of certain deductions and credits. In addition to this tax, such effectively connected dividends, as adjusted for certain items, received by corporate non-U.S. holders may also be subject to a branch profits tax at a rate of 30% or such lower rate as may be specified by an applicable income tax treaty.</w:t>
      </w:r>
    </w:p>
    <w:p>
      <w:pPr>
        <w:spacing w:after="0" w:line="95"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0820"/>
          </w:cols>
          <w:pgMar w:left="320" w:top="442" w:right="75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Sales or Other Taxable Dispositions of Class A Common Stock</w:t>
      </w:r>
    </w:p>
    <w:p>
      <w:pPr>
        <w:spacing w:after="0" w:line="114" w:lineRule="exact"/>
        <w:rPr>
          <w:sz w:val="20"/>
          <w:szCs w:val="20"/>
          <w:color w:val="auto"/>
        </w:rPr>
      </w:pPr>
    </w:p>
    <w:p>
      <w:pPr>
        <w:ind w:left="440" w:right="400" w:firstLine="415"/>
        <w:spacing w:after="0" w:line="342" w:lineRule="auto"/>
        <w:rPr>
          <w:sz w:val="20"/>
          <w:szCs w:val="20"/>
          <w:color w:val="auto"/>
        </w:rPr>
      </w:pPr>
      <w:r>
        <w:rPr>
          <w:rFonts w:ascii="Arial" w:cs="Arial" w:eastAsia="Arial" w:hAnsi="Arial"/>
          <w:sz w:val="15"/>
          <w:szCs w:val="15"/>
          <w:color w:val="auto"/>
        </w:rPr>
        <w:t>Subject to the discussion below on backup withholding and other withholding requirements, gain realized by a non-U.S. holder on a sale, exchange or other taxable disposition of our Class A common stock generally will not be subject to U.S. federal income or withholding tax, unless:</w:t>
      </w:r>
    </w:p>
    <w:p>
      <w:pPr>
        <w:spacing w:after="0" w:line="30" w:lineRule="exact"/>
        <w:rPr>
          <w:sz w:val="20"/>
          <w:szCs w:val="20"/>
          <w:color w:val="auto"/>
        </w:rPr>
      </w:pPr>
    </w:p>
    <w:p>
      <w:pPr>
        <w:ind w:left="1360" w:right="20" w:hanging="519"/>
        <w:spacing w:after="0" w:line="257" w:lineRule="auto"/>
        <w:tabs>
          <w:tab w:leader="none" w:pos="13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U.S. and the non-U.S. holder’s country of residence, is attributable to a permanent establishment (or, in certain cases involving individual holders, a fixed base) maintained by the non-U.S. holder in the U.S. (in which case the special rules described below apply),</w:t>
      </w:r>
    </w:p>
    <w:p>
      <w:pPr>
        <w:spacing w:after="0" w:line="91" w:lineRule="exact"/>
        <w:rPr>
          <w:rFonts w:ascii="Arial" w:cs="Arial" w:eastAsia="Arial" w:hAnsi="Arial"/>
          <w:sz w:val="17"/>
          <w:szCs w:val="17"/>
          <w:color w:val="auto"/>
        </w:rPr>
      </w:pPr>
    </w:p>
    <w:p>
      <w:pPr>
        <w:ind w:left="1360" w:right="140" w:hanging="519"/>
        <w:spacing w:after="0" w:line="257" w:lineRule="auto"/>
        <w:tabs>
          <w:tab w:leader="none" w:pos="13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183 or more days in the taxable year of such disposition and certain other conditions are met (in which case the gain would be subject to a flat 30% tax, or such reduced rate as may be specified by an applicable income tax treaty, which may be offset by certain U.S. source capital losses, provided the non-U.S holder has timely filed U.S. federal income tax returns with respect to such losses), or</w:t>
      </w:r>
    </w:p>
    <w:p>
      <w:pPr>
        <w:spacing w:after="0" w:line="91" w:lineRule="exact"/>
        <w:rPr>
          <w:rFonts w:ascii="Arial" w:cs="Arial" w:eastAsia="Arial" w:hAnsi="Arial"/>
          <w:sz w:val="17"/>
          <w:szCs w:val="17"/>
          <w:color w:val="auto"/>
        </w:rPr>
      </w:pPr>
    </w:p>
    <w:p>
      <w:pPr>
        <w:ind w:left="1360" w:right="100" w:hanging="519"/>
        <w:spacing w:after="0" w:line="261" w:lineRule="auto"/>
        <w:tabs>
          <w:tab w:leader="none" w:pos="136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(a “USRPHC”) for U.S. federal income tax purposes at any time during the shorter of the five-year period ending on the date of such disposition of our Class A common stock and the non-U.S. holder’s holding period for our Class A common stock.</w:t>
      </w:r>
    </w:p>
    <w:p>
      <w:pPr>
        <w:spacing w:after="0" w:line="176" w:lineRule="exact"/>
        <w:rPr>
          <w:sz w:val="20"/>
          <w:szCs w:val="20"/>
          <w:color w:val="auto"/>
        </w:rPr>
      </w:pPr>
    </w:p>
    <w:p>
      <w:pPr>
        <w:ind w:left="440" w:right="40" w:firstLine="415"/>
        <w:spacing w:after="0" w:line="271"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a sale or other taxable disposition of stock in a USRPHC does not apply to a non-U.S. holder whose holdings, actual and constructive, amount to 5% or less of our Class A common stock at all times during the applicable period, provided that our Class A common stock is regularly traded on an established securities market. No assurance can be provided that our Class A common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You are urged to consult your own tax advisor about the consequences that could result if we have been, are or become a USRPHC.</w:t>
      </w:r>
    </w:p>
    <w:p>
      <w:pPr>
        <w:spacing w:after="0" w:line="170"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If any gain from the sale, exchange or other taxable disposition of our Class A common stock (1) is effectively connected with a U.S. trade or business conducted by a non-U.S. holder and (2) if required by an applicable income tax treaty between the U.S. and the non-U.S. holder’s country of residence, is attributable to a permanent establishment (or, in certain cases involving individuals, a fixed base) maintained by such non-U.S. holder in the U.S., then the gain generally will be subject to U.S. federal income tax on a net income basis at the same rates applicable to United States persons, net of certain deductions and credits. In addition to this tax, such effectively connected gain, as adjusted for certain items, realized by corporate non-U.S. holders may also be subject to a branch profits tax at a rate of 30% or such lower rate as may be specified by an applicable income tax treaty.</w:t>
      </w:r>
    </w:p>
    <w:p>
      <w:pPr>
        <w:spacing w:after="0" w:line="25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Backup Withholding and Information Reporting</w:t>
      </w:r>
    </w:p>
    <w:p>
      <w:pPr>
        <w:spacing w:after="0" w:line="114" w:lineRule="exact"/>
        <w:rPr>
          <w:sz w:val="20"/>
          <w:szCs w:val="20"/>
          <w:color w:val="auto"/>
        </w:rPr>
      </w:pPr>
    </w:p>
    <w:p>
      <w:pPr>
        <w:ind w:left="440" w:right="140" w:firstLine="415"/>
        <w:spacing w:after="0" w:line="295" w:lineRule="auto"/>
        <w:rPr>
          <w:sz w:val="20"/>
          <w:szCs w:val="20"/>
          <w:color w:val="auto"/>
        </w:rPr>
      </w:pPr>
      <w:r>
        <w:rPr>
          <w:rFonts w:ascii="Arial" w:cs="Arial" w:eastAsia="Arial" w:hAnsi="Arial"/>
          <w:sz w:val="15"/>
          <w:szCs w:val="15"/>
          <w:color w:val="auto"/>
        </w:rPr>
        <w:t>Any distributions that are paid to a non-U.S. holder must be reported annually to the IRS and to the non-U.S. holder, regardless of whether such distributions constitute dividends or whether any tax was actually withheld. Copies of these information returns also may be made available to the tax authorities of the country in which the non-U.S. holder resides or is established under the provisions of various treaties or agreements for the exchange of information. Dividends paid on our Class A common stock and the gross proceeds from a taxable disposition of our Class A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199</w:t>
      </w:r>
    </w:p>
    <w:p>
      <w:pPr>
        <w:sectPr>
          <w:pgSz w:w="11900" w:h="16838" w:orient="portrait"/>
          <w:cols w:equalWidth="0" w:num="1">
            <w:col w:w="10800"/>
          </w:cols>
          <w:pgMar w:left="320" w:top="442" w:right="77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700"/>
        <w:spacing w:after="0" w:line="273" w:lineRule="auto"/>
        <w:rPr>
          <w:sz w:val="20"/>
          <w:szCs w:val="20"/>
          <w:color w:val="auto"/>
        </w:rPr>
      </w:pPr>
      <w:r>
        <w:rPr>
          <w:rFonts w:ascii="Arial" w:cs="Arial" w:eastAsia="Arial" w:hAnsi="Arial"/>
          <w:sz w:val="17"/>
          <w:szCs w:val="17"/>
          <w:color w:val="auto"/>
        </w:rPr>
        <w:t>holder’s circumstances will generally satisfy the certification requirements necessary to avoid the additional information reporting and backup withholding.</w:t>
      </w:r>
    </w:p>
    <w:p>
      <w:pPr>
        <w:spacing w:after="0" w:line="166" w:lineRule="exact"/>
        <w:rPr>
          <w:sz w:val="20"/>
          <w:szCs w:val="20"/>
          <w:color w:val="auto"/>
        </w:rPr>
      </w:pPr>
    </w:p>
    <w:p>
      <w:pPr>
        <w:ind w:left="440" w:firstLine="415"/>
        <w:spacing w:after="0" w:line="306" w:lineRule="auto"/>
        <w:rPr>
          <w:sz w:val="20"/>
          <w:szCs w:val="20"/>
          <w:color w:val="auto"/>
        </w:rPr>
      </w:pPr>
      <w:r>
        <w:rPr>
          <w:rFonts w:ascii="Arial" w:cs="Arial" w:eastAsia="Arial" w:hAnsi="Arial"/>
          <w:sz w:val="16"/>
          <w:szCs w:val="16"/>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23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Other Withholding Taxes</w:t>
      </w:r>
    </w:p>
    <w:p>
      <w:pPr>
        <w:spacing w:after="0" w:line="114"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Provisions commonly referred to as “FATCA” impose withholding (separate and apart from, but without duplication of, the withholding tax described above) at a rate of 30% on payments of U.S.-source dividends (including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An intergovernmental agreement between the U.S. and an applicable foreign jurisdiction may modify these requirements. If FATCA withholding is imposed, a beneficial owner that is not a foreign financial institution generally will be entitled to a refund of any amounts withheld by filing a U.S. federal income tax return containing the required information (which may entail significant administrative burden). While withholding under FATCA would have applied also to payments of gross proceeds from the sale or other taxable disposition of our Class A common stock, proposed U.S. Treasury regulations eliminate FATCA withholding on payments of gross proceeds entirely. Taxpayers generally may rely on these proposed U.S. Treasury regulations until final Treasury regulations are issued. Non-U.S. holders are urged to consult their own tax advisors regarding the effects of FATCA on their investment in our Class A common stock.</w:t>
      </w:r>
    </w:p>
    <w:p>
      <w:pPr>
        <w:spacing w:after="0" w:line="174" w:lineRule="exact"/>
        <w:rPr>
          <w:sz w:val="20"/>
          <w:szCs w:val="20"/>
          <w:color w:val="auto"/>
        </w:rPr>
      </w:pPr>
    </w:p>
    <w:p>
      <w:pPr>
        <w:ind w:left="440" w:right="40"/>
        <w:spacing w:after="0" w:line="255" w:lineRule="auto"/>
        <w:rPr>
          <w:sz w:val="20"/>
          <w:szCs w:val="20"/>
          <w:color w:val="auto"/>
        </w:rPr>
      </w:pPr>
      <w:r>
        <w:rPr>
          <w:rFonts w:ascii="Arial" w:cs="Arial" w:eastAsia="Arial" w:hAnsi="Arial"/>
          <w:sz w:val="17"/>
          <w:szCs w:val="17"/>
          <w:b w:val="1"/>
          <w:bCs w:val="1"/>
          <w:i w:val="1"/>
          <w:iCs w:val="1"/>
          <w:color w:val="auto"/>
        </w:rPr>
        <w:t>THE PRECEDING DISCUSSION OF U.S. FEDERAL INCOME TAX CONSIDERATIONS IS FOR GENERAL INFORMATION ONLY. IT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0780"/>
          </w:cols>
          <w:pgMar w:left="320" w:top="442" w:right="79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UNDERWRITING</w:t>
      </w:r>
    </w:p>
    <w:p>
      <w:pPr>
        <w:spacing w:after="0" w:line="216" w:lineRule="exact"/>
        <w:rPr>
          <w:sz w:val="20"/>
          <w:szCs w:val="20"/>
          <w:color w:val="auto"/>
        </w:rPr>
      </w:pPr>
    </w:p>
    <w:p>
      <w:pPr>
        <w:jc w:val="both"/>
        <w:ind w:left="440" w:right="40" w:firstLine="415"/>
        <w:spacing w:after="0" w:line="312" w:lineRule="auto"/>
        <w:rPr>
          <w:sz w:val="20"/>
          <w:szCs w:val="20"/>
          <w:color w:val="auto"/>
        </w:rPr>
      </w:pPr>
      <w:r>
        <w:rPr>
          <w:rFonts w:ascii="Arial" w:cs="Arial" w:eastAsia="Arial" w:hAnsi="Arial"/>
          <w:sz w:val="15"/>
          <w:szCs w:val="15"/>
          <w:color w:val="auto"/>
        </w:rPr>
        <w:t>We and the underwriters named below have entered into an underwriting agreement with respect to the shares of our Class A common stock being offered. Subject to certain conditions, each underwriter has severally agreed to purchase the number of shares indicated in the following table. Goldman Sachs &amp; Co. LLC, J.P. Morgan Securities LLC, Morgan Stanley &amp; Co. LLC and Barclays Capital Inc. are acting as representatives of the underwriters.</w:t>
      </w:r>
    </w:p>
    <w:p>
      <w:pPr>
        <w:spacing w:after="0" w:line="158"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1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6"/>
              </w:rPr>
              <w:t>Number of Shares</w:t>
            </w: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189"/>
        </w:trPr>
        <w:tc>
          <w:tcPr>
            <w:tcW w:w="59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Goldman Sachs &amp; Co. LLC</w:t>
            </w: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J.P. Morgan Securities LLC</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Morgan Stanley &amp; Co. LLC</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Barclays Capital Inc.</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Credit Suisse Securities (USA) LLC</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Deutsche Bank Securities Inc.</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Canaccord Genuity LLC</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Raymond James &amp; Associates, Inc.</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Stifel, Nicolaus &amp; Company, Incorporated</w:t>
            </w: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4"/>
        </w:trPr>
        <w:tc>
          <w:tcPr>
            <w:tcW w:w="5940" w:type="dxa"/>
            <w:vAlign w:val="bottom"/>
            <w:gridSpan w:val="2"/>
          </w:tcPr>
          <w:p>
            <w:pPr>
              <w:spacing w:after="0"/>
              <w:rPr>
                <w:sz w:val="20"/>
                <w:szCs w:val="20"/>
                <w:color w:val="auto"/>
              </w:rPr>
            </w:pPr>
            <w:r>
              <w:rPr>
                <w:rFonts w:ascii="Arial" w:cs="Arial" w:eastAsia="Arial" w:hAnsi="Arial"/>
                <w:sz w:val="17"/>
                <w:szCs w:val="17"/>
                <w:color w:val="auto"/>
              </w:rPr>
              <w:t>Drexel Hamilton, LLC</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5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Loop Capital Markets LLC</w:t>
            </w:r>
          </w:p>
        </w:tc>
        <w:tc>
          <w:tcPr>
            <w:tcW w:w="1060" w:type="dxa"/>
            <w:vAlign w:val="bottom"/>
            <w:tcBorders>
              <w:bottom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5940" w:type="dxa"/>
            <w:vAlign w:val="bottom"/>
            <w:gridSpan w:val="2"/>
          </w:tcPr>
          <w:p>
            <w:pPr>
              <w:ind w:left="340"/>
              <w:spacing w:after="0"/>
              <w:rPr>
                <w:sz w:val="20"/>
                <w:szCs w:val="20"/>
                <w:color w:val="auto"/>
              </w:rPr>
            </w:pPr>
            <w:r>
              <w:rPr>
                <w:rFonts w:ascii="Arial" w:cs="Arial" w:eastAsia="Arial" w:hAnsi="Arial"/>
                <w:sz w:val="17"/>
                <w:szCs w:val="17"/>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15,555,555</w:t>
            </w:r>
          </w:p>
        </w:tc>
        <w:tc>
          <w:tcPr>
            <w:tcW w:w="40" w:type="dxa"/>
            <w:vAlign w:val="bottom"/>
          </w:tcPr>
          <w:p>
            <w:pPr>
              <w:spacing w:after="0"/>
              <w:rPr>
                <w:sz w:val="18"/>
                <w:szCs w:val="18"/>
                <w:color w:val="auto"/>
              </w:rPr>
            </w:pPr>
          </w:p>
        </w:tc>
      </w:tr>
      <w:tr>
        <w:trPr>
          <w:trHeight w:val="20"/>
        </w:trPr>
        <w:tc>
          <w:tcPr>
            <w:tcW w:w="7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The underwriters will be committed to take and pay for all of the shares of our Class A common stock being offered, if any are taken, other than the shares covered by the option described below unless and until this option is exercised.</w:t>
      </w:r>
    </w:p>
    <w:p>
      <w:pPr>
        <w:spacing w:after="0" w:line="166"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The underwriters have an option to buy up to an additional 2,333,333 shares of our Class A common stock from us to cover sales by the underwriters of a greater number of shares than the total number set forth in the table above. They may exercise that option for 30 days after the date of this prospectus. If any shares of our Class A common stock are purchased pursuant to this option, the underwriters will severally purchase shares in approximately the same proportion as set forth in the table above.</w:t>
      </w:r>
    </w:p>
    <w:p>
      <w:pPr>
        <w:spacing w:after="0" w:line="180"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The cornerstone investors have, severally and not jointly, indicated an interest in purchasing an aggregate of up to $40.0 million each (up to $80.0 million in the aggregate) of the shares of Class A common stock offered in this offering at the initial public offering price. Because this indication of interest is not a binding agreement or commitment to purchase, the cornerstone investors may decide to purchase more, less or no shares of our Class A common stock in this offering, or the underwriters may decide to sell more, less or no shares of our Class A common stock in this offering to the cornerstone investors. The underwriters will receive the same discount from any shares of Class A common stock sold to the cornerstone investors as they will from any other shares of Class A common stock sold to the public in this offering.</w:t>
      </w:r>
    </w:p>
    <w:p>
      <w:pPr>
        <w:spacing w:after="0" w:line="169" w:lineRule="exact"/>
        <w:rPr>
          <w:sz w:val="20"/>
          <w:szCs w:val="20"/>
          <w:color w:val="auto"/>
        </w:rPr>
      </w:pPr>
    </w:p>
    <w:p>
      <w:pPr>
        <w:ind w:left="440" w:right="60" w:firstLine="415"/>
        <w:spacing w:after="0" w:line="342" w:lineRule="auto"/>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us. Such amounts are shown assuming both no exercise and full exercise of the underwriters’ option to purchase 2,333,333 additional shares of our Class A common stock.</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8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Paid by Us</w:t>
            </w:r>
          </w:p>
        </w:tc>
        <w:tc>
          <w:tcPr>
            <w:tcW w:w="50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No Exercise</w:t>
            </w: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Full Exercise</w:t>
            </w:r>
          </w:p>
        </w:tc>
      </w:tr>
      <w:tr>
        <w:trPr>
          <w:trHeight w:val="189"/>
        </w:trPr>
        <w:tc>
          <w:tcPr>
            <w:tcW w:w="6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w w:val="84"/>
              </w:rPr>
              <w:t>Per share</w:t>
            </w:r>
          </w:p>
        </w:tc>
        <w:tc>
          <w:tcPr>
            <w:tcW w:w="504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ind w:right="649"/>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ind w:right="641"/>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6"/>
                <w:szCs w:val="16"/>
                <w:color w:val="auto"/>
              </w:rPr>
            </w:pPr>
          </w:p>
        </w:tc>
      </w:tr>
      <w:tr>
        <w:trPr>
          <w:trHeight w:val="215"/>
        </w:trPr>
        <w:tc>
          <w:tcPr>
            <w:tcW w:w="640" w:type="dxa"/>
            <w:vAlign w:val="bottom"/>
          </w:tcPr>
          <w:p>
            <w:pPr>
              <w:spacing w:after="0"/>
              <w:rPr>
                <w:sz w:val="20"/>
                <w:szCs w:val="20"/>
                <w:color w:val="auto"/>
              </w:rPr>
            </w:pPr>
            <w:r>
              <w:rPr>
                <w:rFonts w:ascii="Arial" w:cs="Arial" w:eastAsia="Arial" w:hAnsi="Arial"/>
                <w:sz w:val="17"/>
                <w:szCs w:val="17"/>
                <w:color w:val="auto"/>
              </w:rPr>
              <w:t>Total</w:t>
            </w:r>
          </w:p>
        </w:tc>
        <w:tc>
          <w:tcPr>
            <w:tcW w:w="5840" w:type="dxa"/>
            <w:vAlign w:val="bottom"/>
            <w:gridSpan w:val="2"/>
          </w:tcPr>
          <w:p>
            <w:pPr>
              <w:jc w:val="right"/>
              <w:ind w:right="649"/>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820" w:type="dxa"/>
            <w:vAlign w:val="bottom"/>
          </w:tcPr>
          <w:p>
            <w:pPr>
              <w:jc w:val="right"/>
              <w:ind w:right="641"/>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8"/>
                <w:szCs w:val="18"/>
                <w:color w:val="auto"/>
              </w:rPr>
            </w:pPr>
          </w:p>
        </w:tc>
      </w:tr>
    </w:tbl>
    <w:p>
      <w:pPr>
        <w:spacing w:after="0" w:line="18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Shares of our Class A common stock sold by the underwriters to the public will initially be offered at the IPO price set forth on the cover page of</w:t>
      </w:r>
    </w:p>
    <w:p>
      <w:pPr>
        <w:spacing w:after="0" w:line="43" w:lineRule="exact"/>
        <w:rPr>
          <w:sz w:val="20"/>
          <w:szCs w:val="20"/>
          <w:color w:val="auto"/>
        </w:rPr>
      </w:pPr>
    </w:p>
    <w:p>
      <w:pPr>
        <w:ind w:left="440"/>
        <w:spacing w:after="0" w:line="290" w:lineRule="auto"/>
        <w:rPr>
          <w:sz w:val="20"/>
          <w:szCs w:val="20"/>
          <w:color w:val="auto"/>
        </w:rPr>
      </w:pPr>
      <w:r>
        <w:rPr>
          <w:rFonts w:ascii="Arial" w:cs="Arial" w:eastAsia="Arial" w:hAnsi="Arial"/>
          <w:sz w:val="16"/>
          <w:szCs w:val="16"/>
          <w:color w:val="auto"/>
        </w:rPr>
        <w:t>this prospectus. Any shares of our Class A common stock sold by the underwriters to securities dealers may be sold at a discount of up to $ per share from the IPO price. After the initial offering of the shares, the representatives may change the offering price and the other selling</w:t>
      </w:r>
    </w:p>
    <w:p>
      <w:pPr>
        <w:spacing w:after="0" w:line="91"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0800"/>
          </w:cols>
          <w:pgMar w:left="320" w:top="442" w:right="77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40"/>
        <w:spacing w:after="0" w:line="273" w:lineRule="auto"/>
        <w:rPr>
          <w:sz w:val="20"/>
          <w:szCs w:val="20"/>
          <w:color w:val="auto"/>
        </w:rPr>
      </w:pPr>
      <w:r>
        <w:rPr>
          <w:rFonts w:ascii="Arial" w:cs="Arial" w:eastAsia="Arial" w:hAnsi="Arial"/>
          <w:sz w:val="17"/>
          <w:szCs w:val="17"/>
          <w:color w:val="auto"/>
        </w:rPr>
        <w:t>terms. The offering of the shares by the underwriters is subject to receipt and acceptance and subject to the underwriters’ right to reject any order in whole or in part.</w:t>
      </w:r>
    </w:p>
    <w:p>
      <w:pPr>
        <w:spacing w:after="0" w:line="166"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We and Definitive OpCo have agreed with the underwriters not to offer, pledge, sell, contract to sell, sell any option or contract to purchase, purchase any option or contract to sell, grant any option, right or warrant to purchase, lend or otherwise transfer or dispose of any shares of, or securities convertible into or exchangeable for shares of, our Class A common stock during the period from the date of this prospectus continuing through the date 180 days after the date of this prospectus (the “Lock-up Period”), except with the prior written consent of Goldman Sachs &amp; Co. LLC and J.P. Morgan Securities LLC. These restrictions do not apply to (i) the shares to be sold in the offering and securities issued, transferred, redeemed or exchanged in connection with the Reorganization Transactions; (ii) the issuance of shares of, or securities convertible into or exercisable for shares of, our Class A common stock pursuant to the conversion or exchange of convertible or exchangeable securities or the exercise of warrants or options or the settlement of RSUs, in each case outstanding on the date of the underwriting agreement; (iii) grants of equity awards and the issuance of shares of, or securities convertible into or exercisable or exchangeable for shares of, our Class A common stock pursuant to an equity compensation plan; (iv) the issuance of up to 10% of the outstanding shares of, or securities convertible into, exercisable for or which are otherwise exchangeable for, shares of our Class A common stock in acquisitions or other similar strategic transactions; (v) the establishment of a trading plan pursuant to Rule 10b5-1 under the Exchange Act, provided certain conditions are met; or (vi) the filing of any registration statement on Form S-8 relating to certain equity incentive plans; provided that we shall cause the recipient of any securities sold or issued pursuant to clauses (iii) and (iv) to agree in writing to be bound by the restrictions set forth in the lock-up agreement described below. Nor do the restrictions prohibit non-public submission to the SEC of any registration statements under the Securities Act, provided certain conditions are met.</w:t>
      </w:r>
    </w:p>
    <w:p>
      <w:pPr>
        <w:spacing w:after="0" w:line="162"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Our directors, executive officers and the holders of substantially all of our Class A common stock, and securities convertible into, exchangeable for or that represent the right to receive Class A common stock, have entered into lock-up agreements with the underwriters pursuant to which they have agreed that, during the Lock-up Period, and without the prior written consent of Goldman Sachs &amp; Co. LLC and J.P. Morgan Securities LLC, they will not (a) offer, pledge, sell, contract to sell, sell any option or contract to purchase, purchase any option or contract to sell, grant any option, right or warrant to purchase, lend, or otherwise transfer or dispose of, directly or indirectly, any shares of, or any securities convertible into or exercisable or exchangeable for, our common stock (the “Lock-up Securities”), (b) enter into any hedging or other agreement or transaction that transfers any of the economic consequences of ownership of the Lock-Up Securities (whether any such transaction described in clause (a) or (b) is to be settled by delivery of any Lock-Up Securities, in cash or otherwise) or (c) publicly disclose the intention to do any of the foregoing.</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restrictions described in the immediately preceding paragraph do not apply to:</w:t>
      </w:r>
    </w:p>
    <w:p>
      <w:pPr>
        <w:spacing w:after="0" w:line="110" w:lineRule="exact"/>
        <w:rPr>
          <w:sz w:val="20"/>
          <w:szCs w:val="20"/>
          <w:color w:val="auto"/>
        </w:rPr>
      </w:pPr>
    </w:p>
    <w:p>
      <w:pPr>
        <w:ind w:left="1960" w:hanging="592"/>
        <w:spacing w:after="0"/>
        <w:tabs>
          <w:tab w:leader="none" w:pos="196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sale of our Class A common stock to the underwriters in this offering;</w:t>
      </w:r>
    </w:p>
    <w:p>
      <w:pPr>
        <w:spacing w:after="0" w:line="211" w:lineRule="exact"/>
        <w:rPr>
          <w:rFonts w:ascii="Arial" w:cs="Arial" w:eastAsia="Arial" w:hAnsi="Arial"/>
          <w:sz w:val="17"/>
          <w:szCs w:val="17"/>
          <w:color w:val="auto"/>
        </w:rPr>
      </w:pPr>
    </w:p>
    <w:p>
      <w:pPr>
        <w:ind w:left="440" w:right="60" w:firstLine="928"/>
        <w:spacing w:after="0" w:line="275" w:lineRule="auto"/>
        <w:tabs>
          <w:tab w:leader="none" w:pos="2005"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transfers by will or intestacy; provided that (x) any such transfer shall not involve a disposition for value and each recipient shall agree in writing to be bound by the restrictions set forth in the lock-up agreements and (y) no public filing, report or announcement shall be voluntarily made, and if any filing under Section 16 of the Exchange Act, or other public filing, report or announcement reporting a reduction in beneficial ownership of shares of our Class A common stock in connection with such transfer shall be legally required during the Lock-up Period, such filing, report or announcement shall clearly indicate in the footnotes the nature and conditions of such transfer;</w:t>
      </w:r>
    </w:p>
    <w:p>
      <w:pPr>
        <w:spacing w:after="0" w:line="167" w:lineRule="exact"/>
        <w:rPr>
          <w:rFonts w:ascii="Arial" w:cs="Arial" w:eastAsia="Arial" w:hAnsi="Arial"/>
          <w:sz w:val="16"/>
          <w:szCs w:val="16"/>
          <w:color w:val="auto"/>
        </w:rPr>
      </w:pPr>
    </w:p>
    <w:p>
      <w:pPr>
        <w:ind w:left="440" w:right="140" w:firstLine="928"/>
        <w:spacing w:after="0" w:line="312" w:lineRule="auto"/>
        <w:tabs>
          <w:tab w:leader="none" w:pos="2052"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transfers (A) as a bona fide gift or gifts, (B) to any trust, partnership, limited liability company or other entity for the benefit of the holder, the immediate family of the holder, or if the holder is a trust, to a trustor or beneficiary of the trust or to the estate of a beneficiary of such trust, or any private foundation or similar charitable organization over which the holder has control, provided that any such transfers to a private</w:t>
      </w:r>
    </w:p>
    <w:p>
      <w:pPr>
        <w:spacing w:after="0" w:line="7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0780"/>
          </w:cols>
          <w:pgMar w:left="320" w:top="442" w:right="79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69" w:lineRule="auto"/>
        <w:rPr>
          <w:sz w:val="20"/>
          <w:szCs w:val="20"/>
          <w:color w:val="auto"/>
        </w:rPr>
      </w:pPr>
      <w:r>
        <w:rPr>
          <w:rFonts w:ascii="Arial" w:cs="Arial" w:eastAsia="Arial" w:hAnsi="Arial"/>
          <w:sz w:val="16"/>
          <w:szCs w:val="16"/>
          <w:color w:val="auto"/>
        </w:rPr>
        <w:t>foundation or similar charitable organization shall not, in the aggregate and together with any such transfers pursuant to any substantially similar lock-up agreement with the representatives of the underwriters, exceed 1.00% of the outstanding shares of our common stock immediately following the offering, (C) to any partnership, limited liability company or other entity of which the holder and the holder’s immediate family are the legal and beneficial owner of all of the outstanding equity securities or similar interests, (D) to any immediate family member or investment fund or other entity controlled or managed by the holder or (E) if the holder is a business entity, (1) to another business entity that is an affiliate of the holder, or to any investment fund or other entity controlling, controlled by, managing or managed by or under common control with the holder or affiliates of the holder or (2) as part of a distribution to limited partners, limited liability company members or shareholders of the holder, or holders of similar equity interests in the holder; provided, in each case, that (x) any such transfer shall not involve a disposition for value and each recipient shall agree in writing to be bound by the restrictions set forth in the lock-up agreements and (y) no filing by any party under the Exchange Act or other public announcement shall be required or made voluntarily in connection with such transfer;</w:t>
      </w:r>
    </w:p>
    <w:p>
      <w:pPr>
        <w:spacing w:after="0" w:line="177" w:lineRule="exact"/>
        <w:rPr>
          <w:sz w:val="20"/>
          <w:szCs w:val="20"/>
          <w:color w:val="auto"/>
        </w:rPr>
      </w:pPr>
    </w:p>
    <w:p>
      <w:pPr>
        <w:jc w:val="both"/>
        <w:ind w:left="440" w:right="80" w:firstLine="928"/>
        <w:spacing w:after="0" w:line="288" w:lineRule="auto"/>
        <w:tabs>
          <w:tab w:leader="none" w:pos="2043" w:val="left"/>
        </w:tabs>
        <w:numPr>
          <w:ilvl w:val="1"/>
          <w:numId w:val="163"/>
        </w:numPr>
        <w:rPr>
          <w:rFonts w:ascii="Arial" w:cs="Arial" w:eastAsia="Arial" w:hAnsi="Arial"/>
          <w:sz w:val="15"/>
          <w:szCs w:val="15"/>
          <w:color w:val="auto"/>
        </w:rPr>
      </w:pPr>
      <w:r>
        <w:rPr>
          <w:rFonts w:ascii="Arial" w:cs="Arial" w:eastAsia="Arial" w:hAnsi="Arial"/>
          <w:sz w:val="15"/>
          <w:szCs w:val="15"/>
          <w:color w:val="auto"/>
        </w:rPr>
        <w:t>transfers (A) by operation of law, (B) to a nominee or custodian of a person or entity to whom a disposition or transfer would be permissible under certain exceptions to the lock-up agreements, (C) pursuant to an order of certain courts or regulatory agencies; (D) as part of a sale of the holder’s Lock-Up Securities acquired in the offering (subject to certain exceptions) or open market transactions after the closing of the offering or</w:t>
      </w:r>
    </w:p>
    <w:p>
      <w:pPr>
        <w:spacing w:after="0" w:line="1" w:lineRule="exact"/>
        <w:rPr>
          <w:rFonts w:ascii="Arial" w:cs="Arial" w:eastAsia="Arial" w:hAnsi="Arial"/>
          <w:sz w:val="15"/>
          <w:szCs w:val="15"/>
          <w:color w:val="auto"/>
        </w:rPr>
      </w:pPr>
    </w:p>
    <w:p>
      <w:pPr>
        <w:ind w:left="440" w:right="40" w:hanging="6"/>
        <w:spacing w:after="0" w:line="251" w:lineRule="auto"/>
        <w:tabs>
          <w:tab w:leader="none" w:pos="69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to us in connection with the vesting, settlement or exercise of rights to purchase shares of our common stock, provided that any such shares received shall be subject to the terms of the lock-up agreements and that any such rights are held pursuant to certain equity incentive plans; provided, in each case, that no public filing, report or announcement shall be voluntarily made, and if any filing under Section 16 of the Exchange Act, or other public filing, report or announcement reporting a reduction in beneficial ownership of shares of our Class A common stock in connection with such transfer shall be legally required during the Lock-up Period, such filing, report or announcement shall clearly indicate in the footnotes the nature and conditions of such transfer;</w:t>
      </w:r>
    </w:p>
    <w:p>
      <w:pPr>
        <w:spacing w:after="0" w:line="186" w:lineRule="exact"/>
        <w:rPr>
          <w:rFonts w:ascii="Arial" w:cs="Arial" w:eastAsia="Arial" w:hAnsi="Arial"/>
          <w:sz w:val="17"/>
          <w:szCs w:val="17"/>
          <w:color w:val="auto"/>
        </w:rPr>
      </w:pPr>
    </w:p>
    <w:p>
      <w:pPr>
        <w:ind w:left="440" w:right="100" w:firstLine="928"/>
        <w:spacing w:after="0" w:line="306" w:lineRule="auto"/>
        <w:tabs>
          <w:tab w:leader="none" w:pos="1996"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transfers to us from one of our employees upon death, disability or termination of employment or other service relationship with us or the holder’s failure to meet certain conditions set out upon receipt of such securities, in each case, of such employee;</w:t>
      </w:r>
    </w:p>
    <w:p>
      <w:pPr>
        <w:spacing w:after="0" w:line="141" w:lineRule="exact"/>
        <w:rPr>
          <w:rFonts w:ascii="Arial" w:cs="Arial" w:eastAsia="Arial" w:hAnsi="Arial"/>
          <w:sz w:val="16"/>
          <w:szCs w:val="16"/>
          <w:color w:val="auto"/>
        </w:rPr>
      </w:pPr>
    </w:p>
    <w:p>
      <w:pPr>
        <w:ind w:left="440" w:right="40" w:firstLine="928"/>
        <w:spacing w:after="0" w:line="261" w:lineRule="auto"/>
        <w:tabs>
          <w:tab w:leader="none" w:pos="2043"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transfers pursuant to a bona fide third-party tender offer, merger, consolidation or other similar transaction made to all holders of our capital stock involving a change of control, provided that in the event that such transaction is not completed, the holder’s Lock-Up Securities shall remain subject to the restrictions set forth in the lock-up agreements;</w:t>
      </w:r>
    </w:p>
    <w:p>
      <w:pPr>
        <w:spacing w:after="0" w:line="176" w:lineRule="exact"/>
        <w:rPr>
          <w:rFonts w:ascii="Arial" w:cs="Arial" w:eastAsia="Arial" w:hAnsi="Arial"/>
          <w:sz w:val="17"/>
          <w:szCs w:val="17"/>
          <w:color w:val="auto"/>
        </w:rPr>
      </w:pPr>
    </w:p>
    <w:p>
      <w:pPr>
        <w:jc w:val="both"/>
        <w:ind w:left="440" w:right="100" w:firstLine="928"/>
        <w:spacing w:after="0" w:line="257" w:lineRule="auto"/>
        <w:tabs>
          <w:tab w:leader="none" w:pos="209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(A) the exercise of outstanding options or warrants or the settlement of other equity awards pursuant to certain equity incentive plans or (B) the conversion of outstanding shares of our preferred stock, warrants to acquire shares of our preferred stock or convertible securities into, or warrants to acquire shares of, our common stock; provided, in each case, that any securities received are subject to the terms of the lock-up agreements; or</w:t>
      </w:r>
    </w:p>
    <w:p>
      <w:pPr>
        <w:spacing w:after="0" w:line="180" w:lineRule="exact"/>
        <w:rPr>
          <w:rFonts w:ascii="Arial" w:cs="Arial" w:eastAsia="Arial" w:hAnsi="Arial"/>
          <w:sz w:val="17"/>
          <w:szCs w:val="17"/>
          <w:color w:val="auto"/>
        </w:rPr>
      </w:pPr>
    </w:p>
    <w:p>
      <w:pPr>
        <w:ind w:left="440" w:right="20" w:firstLine="928"/>
        <w:spacing w:after="0" w:line="255" w:lineRule="auto"/>
        <w:tabs>
          <w:tab w:leader="none" w:pos="2137" w:val="left"/>
        </w:tabs>
        <w:numPr>
          <w:ilvl w:val="1"/>
          <w:numId w:val="164"/>
        </w:numPr>
        <w:rPr>
          <w:rFonts w:ascii="Arial" w:cs="Arial" w:eastAsia="Arial" w:hAnsi="Arial"/>
          <w:sz w:val="17"/>
          <w:szCs w:val="17"/>
          <w:color w:val="auto"/>
        </w:rPr>
      </w:pPr>
      <w:r>
        <w:rPr>
          <w:rFonts w:ascii="Arial" w:cs="Arial" w:eastAsia="Arial" w:hAnsi="Arial"/>
          <w:sz w:val="17"/>
          <w:szCs w:val="17"/>
          <w:color w:val="auto"/>
        </w:rPr>
        <w:t>the establishment of a trading plan pursuant to Rule 10b5-1 under the Exchange Act, provided that (A) no such plan shall provide for the transfer of any Lock-Up Securities during the Lock-up Period and (B) no filing under the Exchange Act or other public announcement shall be required or voluntarily made in connection with such trading plan and any public announcement or public filing under the Exchange Act regarding the establishment of such plan shall include a statement that such individual is not permitted to transfer, sell or otherwise dispose of any Lock-up Securities during the Lock-up Period.</w:t>
      </w:r>
    </w:p>
    <w:p>
      <w:pPr>
        <w:spacing w:after="0" w:line="183" w:lineRule="exact"/>
        <w:rPr>
          <w:sz w:val="20"/>
          <w:szCs w:val="20"/>
          <w:color w:val="auto"/>
        </w:rPr>
      </w:pPr>
    </w:p>
    <w:p>
      <w:pPr>
        <w:ind w:left="440" w:right="20" w:firstLine="415"/>
        <w:spacing w:after="0" w:line="312" w:lineRule="auto"/>
        <w:rPr>
          <w:sz w:val="20"/>
          <w:szCs w:val="20"/>
          <w:color w:val="auto"/>
        </w:rPr>
      </w:pPr>
      <w:r>
        <w:rPr>
          <w:rFonts w:ascii="Arial" w:cs="Arial" w:eastAsia="Arial" w:hAnsi="Arial"/>
          <w:sz w:val="15"/>
          <w:szCs w:val="15"/>
          <w:color w:val="auto"/>
        </w:rPr>
        <w:t>In the event that, during the Lock-Up Period, Goldman Sachs &amp; Co. LLC and J.P. Morgan Securities LLC release or waive any prohibition set forth in the lock-up agreements (a “Triggering Release”), at the time of the request of the Triggering Release, and subject to certain exceptions, the same percentage of securities of the holder as the percentage of securities being released in the Triggering Release represents with respect to the</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0800"/>
          </w:cols>
          <w:pgMar w:left="320" w:top="442" w:right="77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5" w:lineRule="auto"/>
        <w:rPr>
          <w:sz w:val="20"/>
          <w:szCs w:val="20"/>
          <w:color w:val="auto"/>
        </w:rPr>
      </w:pPr>
      <w:r>
        <w:rPr>
          <w:rFonts w:ascii="Arial" w:cs="Arial" w:eastAsia="Arial" w:hAnsi="Arial"/>
          <w:sz w:val="17"/>
          <w:szCs w:val="17"/>
          <w:color w:val="auto"/>
        </w:rPr>
        <w:t>securities held directly or indirectly by each such holder shall be automatically and concurrently released from the lock-up agreement to the same extent; provided that, if such Triggering Release is effected in connection with an underwritten public offering that is a secondary offering of our Class A common stock, such securities shall only be released to the extent necessary to permit the offer, transfer and sale of such securities in the underwritten offering, and any securities subject to the lock-up agreement that are not actually sold in the underwritten offering will not be deemed released from the restrictions of the lock-up agreement.</w:t>
      </w:r>
    </w:p>
    <w:p>
      <w:pPr>
        <w:spacing w:after="0" w:line="183"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Prior to the offering, there has been no public market for the shares. The IPO price has been negotiated among the representatives and us. Among the factors to be considered in determining the IPO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0" w:lineRule="exact"/>
        <w:rPr>
          <w:sz w:val="20"/>
          <w:szCs w:val="20"/>
          <w:color w:val="auto"/>
        </w:rPr>
      </w:pPr>
    </w:p>
    <w:p>
      <w:pPr>
        <w:ind w:left="440" w:right="60" w:firstLine="415"/>
        <w:spacing w:after="0" w:line="275" w:lineRule="auto"/>
        <w:rPr>
          <w:sz w:val="20"/>
          <w:szCs w:val="20"/>
          <w:color w:val="auto"/>
        </w:rPr>
      </w:pPr>
      <w:r>
        <w:rPr>
          <w:rFonts w:ascii="Arial" w:cs="Arial" w:eastAsia="Arial" w:hAnsi="Arial"/>
          <w:sz w:val="16"/>
          <w:szCs w:val="16"/>
          <w:color w:val="auto"/>
        </w:rPr>
        <w:t>At our request, Goldman Sachs &amp; Co. LLC, a participating underwriter, has reserved for sale, at the IPO price, up to 5% of the shares offered by this prospectus for sale to our directors, officers and selected senior managers and any shares purchased by our directors, officers or selected senior managers pursuant to our directed share program will be subject to the lock-up agreements described above.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6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have applied to have our Class A common stock approved for listing on Nasdaq under the symbol “DH.”</w:t>
      </w:r>
    </w:p>
    <w:p>
      <w:pPr>
        <w:spacing w:after="0" w:line="212" w:lineRule="exact"/>
        <w:rPr>
          <w:sz w:val="20"/>
          <w:szCs w:val="20"/>
          <w:color w:val="auto"/>
        </w:rPr>
      </w:pPr>
    </w:p>
    <w:p>
      <w:pPr>
        <w:ind w:left="440" w:firstLine="415"/>
        <w:spacing w:after="0" w:line="268" w:lineRule="auto"/>
        <w:rPr>
          <w:sz w:val="20"/>
          <w:szCs w:val="20"/>
          <w:color w:val="auto"/>
        </w:rPr>
      </w:pPr>
      <w:r>
        <w:rPr>
          <w:rFonts w:ascii="Arial" w:cs="Arial" w:eastAsia="Arial" w:hAnsi="Arial"/>
          <w:sz w:val="16"/>
          <w:szCs w:val="16"/>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Class A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178"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440" w:right="20" w:firstLine="415"/>
        <w:spacing w:after="0" w:line="298" w:lineRule="auto"/>
        <w:rPr>
          <w:sz w:val="20"/>
          <w:szCs w:val="20"/>
          <w:color w:val="auto"/>
        </w:rPr>
      </w:pPr>
      <w:r>
        <w:rPr>
          <w:rFonts w:ascii="Arial" w:cs="Arial" w:eastAsia="Arial" w:hAnsi="Arial"/>
          <w:sz w:val="15"/>
          <w:szCs w:val="15"/>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8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0800"/>
          </w:cols>
          <w:pgMar w:left="320" w:top="442" w:right="77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80" w:firstLine="415"/>
        <w:spacing w:after="0" w:line="285" w:lineRule="auto"/>
        <w:rPr>
          <w:sz w:val="20"/>
          <w:szCs w:val="20"/>
          <w:color w:val="auto"/>
        </w:rPr>
      </w:pPr>
      <w:r>
        <w:rPr>
          <w:rFonts w:ascii="Arial" w:cs="Arial" w:eastAsia="Arial" w:hAnsi="Arial"/>
          <w:sz w:val="16"/>
          <w:szCs w:val="16"/>
          <w:color w:val="auto"/>
        </w:rPr>
        <w:t>We estimate that our share of the total expenses of this offering, excluding underwriting discounts and commissions, will be approximately $10.1 million. We have agreed to reimburse the underwriters for certain of their expenses in an amount of up to $35,000. The underwriters have agreed to reimburse us for certain expenses incurred by us in connection with this offering upon the closing of the offering.</w:t>
      </w:r>
    </w:p>
    <w:p>
      <w:pPr>
        <w:spacing w:after="0" w:line="15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For example, certain of the underwriters and their respective affiliates are expected to serve as arrangers in connection with our new senior credit facilities. See “Prospectus Summary—Debt Refinancing.”</w:t>
      </w:r>
    </w:p>
    <w:p>
      <w:pPr>
        <w:spacing w:after="0" w:line="169"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110" w:lineRule="exact"/>
        <w:rPr>
          <w:sz w:val="20"/>
          <w:szCs w:val="20"/>
          <w:color w:val="auto"/>
        </w:rPr>
      </w:pPr>
    </w:p>
    <w:p>
      <w:pPr>
        <w:ind w:left="440" w:right="140" w:firstLine="415"/>
        <w:spacing w:after="0" w:line="298" w:lineRule="auto"/>
        <w:rPr>
          <w:sz w:val="20"/>
          <w:szCs w:val="20"/>
          <w:color w:val="auto"/>
        </w:rPr>
      </w:pPr>
      <w:r>
        <w:rPr>
          <w:rFonts w:ascii="Arial" w:cs="Arial" w:eastAsia="Arial" w:hAnsi="Arial"/>
          <w:sz w:val="15"/>
          <w:szCs w:val="15"/>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Regulation, except that the shares may be offered to the public in that Relevant Member State at any time under the following exemptions under the EU Prospectus Regulation:</w:t>
      </w:r>
    </w:p>
    <w:p>
      <w:pPr>
        <w:spacing w:after="0" w:line="61" w:lineRule="exact"/>
        <w:rPr>
          <w:sz w:val="20"/>
          <w:szCs w:val="20"/>
          <w:color w:val="auto"/>
        </w:rPr>
      </w:pPr>
    </w:p>
    <w:p>
      <w:pPr>
        <w:ind w:left="1360" w:hanging="519"/>
        <w:spacing w:after="0"/>
        <w:tabs>
          <w:tab w:leader="none" w:pos="13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EU Prospectus Regulation;</w:t>
      </w:r>
    </w:p>
    <w:p>
      <w:pPr>
        <w:spacing w:after="0" w:line="122" w:lineRule="exact"/>
        <w:rPr>
          <w:rFonts w:ascii="Arial" w:cs="Arial" w:eastAsia="Arial" w:hAnsi="Arial"/>
          <w:sz w:val="17"/>
          <w:szCs w:val="17"/>
          <w:color w:val="auto"/>
        </w:rPr>
      </w:pPr>
    </w:p>
    <w:p>
      <w:pPr>
        <w:ind w:left="1360" w:right="540" w:hanging="519"/>
        <w:spacing w:after="0" w:line="273" w:lineRule="auto"/>
        <w:tabs>
          <w:tab w:leader="none" w:pos="13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EU Prospectus Regulation) subject to obtaining the prior consent of the representatives for any such offer; or</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EU Prospectus Regulation,</w:t>
      </w:r>
    </w:p>
    <w:p>
      <w:pPr>
        <w:spacing w:after="0" w:line="212" w:lineRule="exact"/>
        <w:rPr>
          <w:sz w:val="20"/>
          <w:szCs w:val="20"/>
          <w:color w:val="auto"/>
        </w:rPr>
      </w:pPr>
    </w:p>
    <w:p>
      <w:pPr>
        <w:ind w:left="440" w:right="720"/>
        <w:spacing w:after="0" w:line="273" w:lineRule="auto"/>
        <w:rPr>
          <w:sz w:val="20"/>
          <w:szCs w:val="20"/>
          <w:color w:val="auto"/>
        </w:rPr>
      </w:pPr>
      <w:r>
        <w:rPr>
          <w:rFonts w:ascii="Arial" w:cs="Arial" w:eastAsia="Arial" w:hAnsi="Arial"/>
          <w:sz w:val="17"/>
          <w:szCs w:val="17"/>
          <w:color w:val="auto"/>
        </w:rPr>
        <w:t>provided that no such offer of the shares shall require us or any underwriter to publish a prospectus pursuant to Article 3 of the EU Prospectus Regulation or supplement a prospectus pursuant to Article 23 of the EU Prospectus Regulation.</w:t>
      </w:r>
    </w:p>
    <w:p>
      <w:pPr>
        <w:spacing w:after="0" w:line="166"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‘EU Prospectus Regulation” means Regulation (EU) 2017/1129.</w:t>
      </w:r>
    </w:p>
    <w:p>
      <w:pPr>
        <w:spacing w:after="0" w:line="95"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0780"/>
          </w:cols>
          <w:pgMar w:left="320" w:top="442" w:right="79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80" w:firstLine="415"/>
        <w:spacing w:after="0" w:line="342" w:lineRule="auto"/>
        <w:rPr>
          <w:sz w:val="20"/>
          <w:szCs w:val="20"/>
          <w:color w:val="auto"/>
        </w:rPr>
      </w:pPr>
      <w:r>
        <w:rPr>
          <w:rFonts w:ascii="Arial" w:cs="Arial" w:eastAsia="Arial" w:hAnsi="Arial"/>
          <w:sz w:val="15"/>
          <w:szCs w:val="15"/>
          <w:color w:val="auto"/>
        </w:rPr>
        <w:t>Each person in a Relevant Member State who receives any communication in respect of, or who acquires any shares under, this offering contemplated hereby will be deemed to have represented, warranted and agreed to and with each of the underwriters and their affiliates and us that:</w:t>
      </w:r>
    </w:p>
    <w:p>
      <w:pPr>
        <w:spacing w:after="0" w:line="30" w:lineRule="exact"/>
        <w:rPr>
          <w:sz w:val="20"/>
          <w:szCs w:val="20"/>
          <w:color w:val="auto"/>
        </w:rPr>
      </w:pPr>
    </w:p>
    <w:p>
      <w:pPr>
        <w:ind w:left="1360" w:hanging="519"/>
        <w:spacing w:after="0"/>
        <w:tabs>
          <w:tab w:leader="none" w:pos="13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it is a qualified investor within the meaning of the EU Prospectus Regulation; and</w:t>
      </w:r>
    </w:p>
    <w:p>
      <w:pPr>
        <w:spacing w:after="0" w:line="122" w:lineRule="exact"/>
        <w:rPr>
          <w:rFonts w:ascii="Arial" w:cs="Arial" w:eastAsia="Arial" w:hAnsi="Arial"/>
          <w:sz w:val="17"/>
          <w:szCs w:val="17"/>
          <w:color w:val="auto"/>
        </w:rPr>
      </w:pPr>
    </w:p>
    <w:p>
      <w:pPr>
        <w:ind w:left="1360" w:right="20" w:hanging="519"/>
        <w:spacing w:after="0" w:line="272" w:lineRule="auto"/>
        <w:tabs>
          <w:tab w:leader="none" w:pos="13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the case of any shares acquired by it as a financial intermediary, as that term is used in Article 5 of the EU Prospectus Regulation, (i) the shares acquired by it in this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EU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EU Prospectus Regulation as having been made to such persons.</w:t>
      </w:r>
    </w:p>
    <w:p>
      <w:pPr>
        <w:spacing w:after="0" w:line="169" w:lineRule="exact"/>
        <w:rPr>
          <w:sz w:val="20"/>
          <w:szCs w:val="20"/>
          <w:color w:val="auto"/>
        </w:rPr>
      </w:pPr>
    </w:p>
    <w:p>
      <w:pPr>
        <w:ind w:left="440" w:right="200" w:firstLine="415"/>
        <w:spacing w:after="0" w:line="261" w:lineRule="auto"/>
        <w:rPr>
          <w:sz w:val="20"/>
          <w:szCs w:val="20"/>
          <w:color w:val="auto"/>
        </w:rPr>
      </w:pPr>
      <w:r>
        <w:rPr>
          <w:rFonts w:ascii="Arial" w:cs="Arial" w:eastAsia="Arial" w:hAnsi="Arial"/>
          <w:sz w:val="17"/>
          <w:szCs w:val="17"/>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this offering.</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United Kingdom</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No shares have been offered or will be offered pursuant to the offering to the public in the United Kingdom prior to the publication of a prospectus in relation to the shares which has been approved by the Financial Conduct Authority in accordance with the UK Prospectus Regulation, except that it may make an offer to the public in the United Kingdom of any shares at any time under the following exemptions under the UK Prospectus Regulation:</w:t>
      </w:r>
    </w:p>
    <w:p>
      <w:pPr>
        <w:spacing w:after="0" w:line="52" w:lineRule="exact"/>
        <w:rPr>
          <w:sz w:val="20"/>
          <w:szCs w:val="20"/>
          <w:color w:val="auto"/>
        </w:rPr>
      </w:pPr>
    </w:p>
    <w:p>
      <w:pPr>
        <w:ind w:left="1360" w:hanging="519"/>
        <w:spacing w:after="0"/>
        <w:tabs>
          <w:tab w:leader="none" w:pos="13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UK Prospectus Regulation;</w:t>
      </w:r>
    </w:p>
    <w:p>
      <w:pPr>
        <w:spacing w:after="0" w:line="122" w:lineRule="exact"/>
        <w:rPr>
          <w:rFonts w:ascii="Arial" w:cs="Arial" w:eastAsia="Arial" w:hAnsi="Arial"/>
          <w:sz w:val="17"/>
          <w:szCs w:val="17"/>
          <w:color w:val="auto"/>
        </w:rPr>
      </w:pPr>
    </w:p>
    <w:p>
      <w:pPr>
        <w:ind w:left="1360" w:right="500" w:hanging="519"/>
        <w:spacing w:after="0" w:line="273" w:lineRule="auto"/>
        <w:tabs>
          <w:tab w:leader="none" w:pos="13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the UK Prospectus Regulation), subject to obtaining the prior consent of the representatives for any such offer; or</w:t>
      </w:r>
    </w:p>
    <w:p>
      <w:pPr>
        <w:spacing w:after="0" w:line="76" w:lineRule="exact"/>
        <w:rPr>
          <w:rFonts w:ascii="Arial" w:cs="Arial" w:eastAsia="Arial" w:hAnsi="Arial"/>
          <w:sz w:val="17"/>
          <w:szCs w:val="17"/>
          <w:color w:val="auto"/>
        </w:rPr>
      </w:pPr>
    </w:p>
    <w:p>
      <w:pPr>
        <w:ind w:left="1360" w:hanging="519"/>
        <w:spacing w:after="0"/>
        <w:tabs>
          <w:tab w:leader="none" w:pos="136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UK Prospectus Regulation.</w:t>
      </w:r>
    </w:p>
    <w:p>
      <w:pPr>
        <w:spacing w:after="0" w:line="212" w:lineRule="exact"/>
        <w:rPr>
          <w:sz w:val="20"/>
          <w:szCs w:val="20"/>
          <w:color w:val="auto"/>
        </w:rPr>
      </w:pPr>
    </w:p>
    <w:p>
      <w:pPr>
        <w:ind w:left="440" w:right="720"/>
        <w:spacing w:after="0" w:line="273" w:lineRule="auto"/>
        <w:rPr>
          <w:sz w:val="20"/>
          <w:szCs w:val="20"/>
          <w:color w:val="auto"/>
        </w:rPr>
      </w:pPr>
      <w:r>
        <w:rPr>
          <w:rFonts w:ascii="Arial" w:cs="Arial" w:eastAsia="Arial" w:hAnsi="Arial"/>
          <w:sz w:val="17"/>
          <w:szCs w:val="17"/>
          <w:color w:val="auto"/>
        </w:rPr>
        <w:t>provided that no such offer of the shares shall require us or any underwriter to publish a prospectus pursuant to Article 3 of the UK Prospectus Regulation or supplement a prospectus pursuant to Article 23 of the UK Prospectus Regulation.</w:t>
      </w:r>
    </w:p>
    <w:p>
      <w:pPr>
        <w:spacing w:after="0" w:line="166" w:lineRule="exact"/>
        <w:rPr>
          <w:sz w:val="20"/>
          <w:szCs w:val="20"/>
          <w:color w:val="auto"/>
        </w:rPr>
      </w:pPr>
    </w:p>
    <w:p>
      <w:pPr>
        <w:jc w:val="both"/>
        <w:ind w:left="440" w:right="160" w:firstLine="415"/>
        <w:spacing w:after="0" w:line="287" w:lineRule="auto"/>
        <w:rPr>
          <w:sz w:val="20"/>
          <w:szCs w:val="20"/>
          <w:color w:val="auto"/>
        </w:rPr>
      </w:pPr>
      <w:r>
        <w:rPr>
          <w:rFonts w:ascii="Arial" w:cs="Arial" w:eastAsia="Arial" w:hAnsi="Arial"/>
          <w:sz w:val="15"/>
          <w:szCs w:val="15"/>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spacing w:after="0" w:line="1" w:lineRule="exact"/>
        <w:rPr>
          <w:sz w:val="20"/>
          <w:szCs w:val="20"/>
          <w:color w:val="auto"/>
        </w:rPr>
      </w:pPr>
    </w:p>
    <w:p>
      <w:pPr>
        <w:jc w:val="both"/>
        <w:ind w:left="440" w:hanging="6"/>
        <w:spacing w:after="0" w:line="254" w:lineRule="auto"/>
        <w:tabs>
          <w:tab w:leader="none" w:pos="737" w:val="left"/>
        </w:tabs>
        <w:numPr>
          <w:ilvl w:val="0"/>
          <w:numId w:val="168"/>
        </w:numPr>
        <w:rPr>
          <w:rFonts w:ascii="Arial" w:cs="Arial" w:eastAsia="Arial" w:hAnsi="Arial"/>
          <w:sz w:val="17"/>
          <w:szCs w:val="17"/>
          <w:color w:val="auto"/>
        </w:rPr>
      </w:pPr>
      <w:r>
        <w:rPr>
          <w:rFonts w:ascii="Arial" w:cs="Arial" w:eastAsia="Arial" w:hAnsi="Arial"/>
          <w:sz w:val="17"/>
          <w:szCs w:val="17"/>
          <w:color w:val="auto"/>
        </w:rPr>
        <w:t>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82" w:lineRule="exact"/>
        <w:rPr>
          <w:sz w:val="20"/>
          <w:szCs w:val="20"/>
          <w:color w:val="auto"/>
        </w:rPr>
      </w:pPr>
    </w:p>
    <w:p>
      <w:pPr>
        <w:ind w:left="440" w:right="420" w:firstLine="415"/>
        <w:spacing w:after="0" w:line="261"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0800"/>
          </w:cols>
          <w:pgMar w:left="320" w:top="442" w:right="77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520"/>
        <w:spacing w:after="0" w:line="306" w:lineRule="auto"/>
        <w:rPr>
          <w:sz w:val="20"/>
          <w:szCs w:val="20"/>
          <w:color w:val="auto"/>
        </w:rPr>
      </w:pPr>
      <w:r>
        <w:rPr>
          <w:rFonts w:ascii="Arial" w:cs="Arial" w:eastAsia="Arial" w:hAnsi="Arial"/>
          <w:sz w:val="16"/>
          <w:szCs w:val="16"/>
          <w:color w:val="auto"/>
        </w:rPr>
        <w:t>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Canada</w:t>
      </w:r>
    </w:p>
    <w:p>
      <w:pPr>
        <w:spacing w:after="0" w:line="110"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62" w:lineRule="exact"/>
        <w:rPr>
          <w:sz w:val="20"/>
          <w:szCs w:val="20"/>
          <w:color w:val="auto"/>
        </w:rPr>
      </w:pPr>
    </w:p>
    <w:p>
      <w:pPr>
        <w:ind w:left="440" w:right="220" w:firstLine="415"/>
        <w:spacing w:after="0" w:line="302"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9"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Hong Kong</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The shares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w:t>
      </w:r>
    </w:p>
    <w:p>
      <w:pPr>
        <w:spacing w:after="0" w:line="1" w:lineRule="exact"/>
        <w:rPr>
          <w:sz w:val="20"/>
          <w:szCs w:val="20"/>
          <w:color w:val="auto"/>
        </w:rPr>
      </w:pPr>
    </w:p>
    <w:p>
      <w:pPr>
        <w:ind w:left="440" w:right="80" w:hanging="6"/>
        <w:spacing w:after="0" w:line="270" w:lineRule="auto"/>
        <w:tabs>
          <w:tab w:leader="none" w:pos="737" w:val="left"/>
        </w:tabs>
        <w:numPr>
          <w:ilvl w:val="0"/>
          <w:numId w:val="169"/>
        </w:numPr>
        <w:rPr>
          <w:rFonts w:ascii="Arial" w:cs="Arial" w:eastAsia="Arial" w:hAnsi="Arial"/>
          <w:sz w:val="16"/>
          <w:szCs w:val="16"/>
          <w:color w:val="auto"/>
        </w:rPr>
      </w:pPr>
      <w:r>
        <w:rPr>
          <w:rFonts w:ascii="Arial" w:cs="Arial" w:eastAsia="Arial" w:hAnsi="Arial"/>
          <w:sz w:val="16"/>
          <w:szCs w:val="16"/>
          <w:color w:val="auto"/>
        </w:rPr>
        <w:t>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Singapore</w:t>
      </w:r>
    </w:p>
    <w:p>
      <w:pPr>
        <w:spacing w:after="0" w:line="110" w:lineRule="exact"/>
        <w:rPr>
          <w:sz w:val="20"/>
          <w:szCs w:val="20"/>
          <w:color w:val="auto"/>
        </w:rPr>
      </w:pPr>
    </w:p>
    <w:p>
      <w:pPr>
        <w:ind w:left="440" w:right="20" w:firstLine="415"/>
        <w:spacing w:after="0" w:line="293"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9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0780"/>
          </w:cols>
          <w:pgMar w:left="320" w:top="442" w:right="79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firstLine="415"/>
        <w:spacing w:after="0" w:line="271" w:lineRule="auto"/>
        <w:rPr>
          <w:sz w:val="20"/>
          <w:szCs w:val="20"/>
          <w:color w:val="auto"/>
        </w:rPr>
      </w:pPr>
      <w:r>
        <w:rPr>
          <w:rFonts w:ascii="Arial" w:cs="Arial" w:eastAsia="Arial" w:hAnsi="Arial"/>
          <w:sz w:val="16"/>
          <w:szCs w:val="16"/>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Where the shares are subscribed or purchased under Section 275 of the SFA by a relevant person which is a trust (where the trustee is not an</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accredited investor (as defined in Section 4A of the SFA)) whose sole purpose is to hold investments and each beneficiary of the trust is an accredited</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investor, the beneficiaries’ rights and interest (howsoever described) in that trust shall not be transferable for 6 months after that trust has acquired the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shares under Section 275 of the SFA except: (1) to an institutional investor under Section 274 of the SFA or to a relevant person (as defined in</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Section 275(2) of the SFA), (2) where such transfer arises from an offer that is made on terms that such rights or interest are acquired at a consideration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of not less than S$200,000 (or its equivalent in a foreign currency) for each transaction (whether such amount is to be paid for in cash or by exchange of</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securities or other assets), (3) where no consideration is or will be given for the transfer, (4) where the transfer is by operation of law, (5) as specified in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276(7) of the SFA, or (6) as specified in Regulation 32.</w:t>
      </w:r>
    </w:p>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Japan</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Switzerland</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83" w:lineRule="exact"/>
        <w:rPr>
          <w:sz w:val="20"/>
          <w:szCs w:val="20"/>
          <w:color w:val="auto"/>
        </w:rPr>
      </w:pPr>
    </w:p>
    <w:p>
      <w:pPr>
        <w:ind w:left="440" w:right="100" w:firstLine="415"/>
        <w:spacing w:after="0" w:line="255" w:lineRule="auto"/>
        <w:rPr>
          <w:sz w:val="20"/>
          <w:szCs w:val="20"/>
          <w:color w:val="auto"/>
        </w:rPr>
      </w:pPr>
      <w:r>
        <w:rPr>
          <w:rFonts w:ascii="Arial" w:cs="Arial" w:eastAsia="Arial" w:hAnsi="Arial"/>
          <w:sz w:val="17"/>
          <w:szCs w:val="17"/>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1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0800"/>
          </w:cols>
          <w:pgMar w:left="320" w:top="442" w:right="77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Monaco</w:t>
      </w:r>
    </w:p>
    <w:p>
      <w:pPr>
        <w:spacing w:after="0" w:line="110" w:lineRule="exact"/>
        <w:rPr>
          <w:sz w:val="20"/>
          <w:szCs w:val="20"/>
          <w:color w:val="auto"/>
        </w:rPr>
      </w:pPr>
    </w:p>
    <w:p>
      <w:pPr>
        <w:ind w:left="440" w:right="80" w:firstLine="415"/>
        <w:spacing w:after="0" w:line="288" w:lineRule="auto"/>
        <w:rPr>
          <w:sz w:val="20"/>
          <w:szCs w:val="20"/>
          <w:color w:val="auto"/>
        </w:rPr>
      </w:pPr>
      <w:r>
        <w:rPr>
          <w:rFonts w:ascii="Arial" w:cs="Arial" w:eastAsia="Arial" w:hAnsi="Arial"/>
          <w:sz w:val="15"/>
          <w:szCs w:val="15"/>
          <w:color w:val="auto"/>
        </w:rPr>
        <w:t>The shares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spacing w:after="0" w:line="1" w:lineRule="exact"/>
        <w:rPr>
          <w:sz w:val="20"/>
          <w:szCs w:val="20"/>
          <w:color w:val="auto"/>
        </w:rPr>
      </w:pPr>
    </w:p>
    <w:p>
      <w:pPr>
        <w:ind w:left="440" w:right="360" w:hanging="6"/>
        <w:spacing w:after="0" w:line="254" w:lineRule="auto"/>
        <w:tabs>
          <w:tab w:leader="none" w:pos="69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portfolio management companies duly licensed by the “Commission de Contrôle des Activités Financières” by virtue of Law n° 1.338, of September 7, 2007, and authorized under Law n° 1.144 of July 26, 1991. Such regulated intermediaries may in turn communicate this prospectus to potential investors.</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Australia</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This prospectus:</w:t>
      </w:r>
    </w:p>
    <w:p>
      <w:pPr>
        <w:spacing w:after="0" w:line="123" w:lineRule="exact"/>
        <w:rPr>
          <w:sz w:val="20"/>
          <w:szCs w:val="20"/>
          <w:color w:val="auto"/>
        </w:rPr>
      </w:pPr>
    </w:p>
    <w:p>
      <w:pPr>
        <w:ind w:left="1360" w:right="440" w:hanging="519"/>
        <w:spacing w:after="0" w:line="273" w:lineRule="auto"/>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does not constitute a disclosure document or a prospectus under Chapter 6D.2 of the Corporations Act 2001 (Cth) (the “Corporations Act”);</w:t>
      </w:r>
    </w:p>
    <w:p>
      <w:pPr>
        <w:spacing w:after="0" w:line="76" w:lineRule="exact"/>
        <w:rPr>
          <w:rFonts w:ascii="Arial" w:cs="Arial" w:eastAsia="Arial" w:hAnsi="Arial"/>
          <w:sz w:val="17"/>
          <w:szCs w:val="17"/>
          <w:color w:val="auto"/>
        </w:rPr>
      </w:pPr>
    </w:p>
    <w:p>
      <w:pPr>
        <w:ind w:left="1360" w:right="60" w:hanging="519"/>
        <w:spacing w:after="0" w:line="261" w:lineRule="auto"/>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7" w:lineRule="exact"/>
        <w:rPr>
          <w:rFonts w:ascii="Arial" w:cs="Arial" w:eastAsia="Arial" w:hAnsi="Arial"/>
          <w:sz w:val="17"/>
          <w:szCs w:val="17"/>
          <w:color w:val="auto"/>
        </w:rPr>
      </w:pPr>
    </w:p>
    <w:p>
      <w:pPr>
        <w:ind w:left="1360" w:right="360" w:hanging="519"/>
        <w:spacing w:after="0" w:line="273" w:lineRule="auto"/>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6" w:lineRule="exact"/>
        <w:rPr>
          <w:sz w:val="20"/>
          <w:szCs w:val="20"/>
          <w:color w:val="auto"/>
        </w:rPr>
      </w:pPr>
    </w:p>
    <w:p>
      <w:pPr>
        <w:ind w:left="440" w:right="20" w:firstLine="415"/>
        <w:spacing w:after="0" w:line="302" w:lineRule="auto"/>
        <w:rPr>
          <w:sz w:val="20"/>
          <w:szCs w:val="20"/>
          <w:color w:val="auto"/>
        </w:rPr>
      </w:pPr>
      <w:r>
        <w:rPr>
          <w:rFonts w:ascii="Arial" w:cs="Arial" w:eastAsia="Arial" w:hAnsi="Arial"/>
          <w:sz w:val="15"/>
          <w:szCs w:val="15"/>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49"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or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New Zealand</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This prospectus has not been registered, filed with or approved by any New Zealand regulatory authority under the Financial Markets Conduct Act</w:t>
      </w:r>
    </w:p>
    <w:p>
      <w:pPr>
        <w:spacing w:after="0" w:line="43" w:lineRule="exact"/>
        <w:rPr>
          <w:sz w:val="20"/>
          <w:szCs w:val="20"/>
          <w:color w:val="auto"/>
        </w:rPr>
      </w:pPr>
    </w:p>
    <w:p>
      <w:pPr>
        <w:ind w:left="440" w:right="220"/>
        <w:spacing w:after="0" w:line="259" w:lineRule="auto"/>
        <w:rPr>
          <w:sz w:val="20"/>
          <w:szCs w:val="20"/>
          <w:color w:val="auto"/>
        </w:rPr>
      </w:pPr>
      <w:r>
        <w:rPr>
          <w:rFonts w:ascii="Arial" w:cs="Arial" w:eastAsia="Arial" w:hAnsi="Arial"/>
          <w:sz w:val="17"/>
          <w:szCs w:val="17"/>
          <w:color w:val="auto"/>
        </w:rPr>
        <w:t>2013 (the “FMA Act”). The shares may only be offered or sold in New Zealand (or allotted with a view to being offered for sale in New Zealand) to a person who:</w:t>
      </w:r>
    </w:p>
    <w:p>
      <w:pPr>
        <w:spacing w:after="0" w:line="88" w:lineRule="exact"/>
        <w:rPr>
          <w:sz w:val="20"/>
          <w:szCs w:val="20"/>
          <w:color w:val="auto"/>
        </w:rPr>
      </w:pPr>
    </w:p>
    <w:p>
      <w:pPr>
        <w:ind w:left="1360" w:hanging="519"/>
        <w:spacing w:after="0"/>
        <w:tabs>
          <w:tab w:leader="none" w:pos="13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is an investment business within the meaning of clause 37 of Schedule 1 of the FMC Act;</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meets the investment activity criteria specified in clause 38 of Schedule 1 of the FMC Act;</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is large within the meaning of clause 39 of Schedule 1 of the FMC Act;</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is a government agency within the meaning of clause 40 of Schedule 1 of the FMC Act; or</w:t>
      </w:r>
    </w:p>
    <w:p>
      <w:pPr>
        <w:spacing w:after="0" w:line="122" w:lineRule="exact"/>
        <w:rPr>
          <w:rFonts w:ascii="Arial" w:cs="Arial" w:eastAsia="Arial" w:hAnsi="Arial"/>
          <w:sz w:val="17"/>
          <w:szCs w:val="17"/>
          <w:color w:val="auto"/>
        </w:rPr>
      </w:pPr>
    </w:p>
    <w:p>
      <w:pPr>
        <w:ind w:left="1360" w:hanging="519"/>
        <w:spacing w:after="0"/>
        <w:tabs>
          <w:tab w:leader="none" w:pos="13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is an eligible investor within the meaning of clause 41 of Schedule 1 of the FMC Act.</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0820"/>
          </w:cols>
          <w:pgMar w:left="320" w:top="442" w:right="75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China</w:t>
      </w:r>
    </w:p>
    <w:p>
      <w:pPr>
        <w:spacing w:after="0" w:line="11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This prospectus will not be circulated or distributed in the People’s Republic of China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Korea</w:t>
      </w:r>
    </w:p>
    <w:p>
      <w:pPr>
        <w:spacing w:after="0" w:line="110" w:lineRule="exact"/>
        <w:rPr>
          <w:sz w:val="20"/>
          <w:szCs w:val="20"/>
          <w:color w:val="auto"/>
        </w:rPr>
      </w:pPr>
    </w:p>
    <w:p>
      <w:pPr>
        <w:ind w:left="440" w:right="20" w:firstLine="415"/>
        <w:spacing w:after="0" w:line="271" w:lineRule="auto"/>
        <w:rPr>
          <w:sz w:val="20"/>
          <w:szCs w:val="20"/>
          <w:color w:val="auto"/>
        </w:rPr>
      </w:pPr>
      <w:r>
        <w:rPr>
          <w:rFonts w:ascii="Arial" w:cs="Arial" w:eastAsia="Arial" w:hAnsi="Arial"/>
          <w:sz w:val="16"/>
          <w:szCs w:val="16"/>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Malaysia</w:t>
      </w:r>
    </w:p>
    <w:p>
      <w:pPr>
        <w:spacing w:after="0" w:line="110" w:lineRule="exact"/>
        <w:rPr>
          <w:sz w:val="20"/>
          <w:szCs w:val="20"/>
          <w:color w:val="auto"/>
        </w:rPr>
      </w:pPr>
    </w:p>
    <w:p>
      <w:pPr>
        <w:ind w:left="440" w:firstLine="415"/>
        <w:spacing w:after="0" w:line="286" w:lineRule="auto"/>
        <w:rPr>
          <w:sz w:val="20"/>
          <w:szCs w:val="20"/>
          <w:color w:val="auto"/>
        </w:rPr>
      </w:pPr>
      <w:r>
        <w:rPr>
          <w:rFonts w:ascii="Arial" w:cs="Arial" w:eastAsia="Arial" w:hAnsi="Arial"/>
          <w:sz w:val="15"/>
          <w:szCs w:val="15"/>
          <w:color w:val="auto"/>
        </w:rPr>
        <w:t>No prospectus or other offering material or document in connection with the offer and sale of the shares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69"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Taiwan</w:t>
      </w:r>
    </w:p>
    <w:p>
      <w:pPr>
        <w:spacing w:after="0" w:line="110"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The shares have not been and will not be registered with the Financial Supervisory Commission of Taiwan pursuant to relevant securities laws and regulations and may not be sold, issued or offered within Taiwan through</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0800"/>
          </w:cols>
          <w:pgMar w:left="320" w:top="442" w:right="77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60"/>
        <w:spacing w:after="0" w:line="261" w:lineRule="auto"/>
        <w:rPr>
          <w:sz w:val="20"/>
          <w:szCs w:val="20"/>
          <w:color w:val="auto"/>
        </w:rPr>
      </w:pPr>
      <w:r>
        <w:rPr>
          <w:rFonts w:ascii="Arial" w:cs="Arial" w:eastAsia="Arial" w:hAnsi="Arial"/>
          <w:sz w:val="17"/>
          <w:szCs w:val="17"/>
          <w:color w:val="auto"/>
        </w:rPr>
        <w:t>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Saudi Arabia</w:t>
      </w:r>
    </w:p>
    <w:p>
      <w:pPr>
        <w:spacing w:after="0" w:line="110" w:lineRule="exact"/>
        <w:rPr>
          <w:sz w:val="20"/>
          <w:szCs w:val="20"/>
          <w:color w:val="auto"/>
        </w:rPr>
      </w:pPr>
    </w:p>
    <w:p>
      <w:pPr>
        <w:ind w:left="440" w:right="120" w:firstLine="415"/>
        <w:spacing w:after="0" w:line="295" w:lineRule="auto"/>
        <w:rPr>
          <w:sz w:val="20"/>
          <w:szCs w:val="20"/>
          <w:color w:val="auto"/>
        </w:rPr>
      </w:pPr>
      <w:r>
        <w:rPr>
          <w:rFonts w:ascii="Arial" w:cs="Arial" w:eastAsia="Arial" w:hAnsi="Arial"/>
          <w:sz w:val="15"/>
          <w:szCs w:val="15"/>
          <w:color w:val="auto"/>
        </w:rPr>
        <w:t>This prospectus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254"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Qatar</w:t>
      </w:r>
    </w:p>
    <w:p>
      <w:pPr>
        <w:spacing w:after="0" w:line="110" w:lineRule="exact"/>
        <w:rPr>
          <w:sz w:val="20"/>
          <w:szCs w:val="20"/>
          <w:color w:val="auto"/>
        </w:rPr>
      </w:pPr>
    </w:p>
    <w:p>
      <w:pPr>
        <w:ind w:left="440" w:right="60" w:firstLine="415"/>
        <w:spacing w:after="0" w:line="302" w:lineRule="auto"/>
        <w:rPr>
          <w:sz w:val="20"/>
          <w:szCs w:val="20"/>
          <w:color w:val="auto"/>
        </w:rPr>
      </w:pPr>
      <w:r>
        <w:rPr>
          <w:rFonts w:ascii="Arial" w:cs="Arial" w:eastAsia="Arial" w:hAnsi="Arial"/>
          <w:sz w:val="15"/>
          <w:szCs w:val="15"/>
          <w:color w:val="auto"/>
        </w:rPr>
        <w:t>The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5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Dubai International Financial Centre (“DIFC”)</w:t>
      </w:r>
    </w:p>
    <w:p>
      <w:pPr>
        <w:spacing w:after="0" w:line="110" w:lineRule="exact"/>
        <w:rPr>
          <w:sz w:val="20"/>
          <w:szCs w:val="20"/>
          <w:color w:val="auto"/>
        </w:rPr>
      </w:pPr>
    </w:p>
    <w:p>
      <w:pPr>
        <w:ind w:left="440" w:right="60" w:firstLine="415"/>
        <w:spacing w:after="0" w:line="295" w:lineRule="auto"/>
        <w:rPr>
          <w:sz w:val="20"/>
          <w:szCs w:val="20"/>
          <w:color w:val="auto"/>
        </w:rPr>
      </w:pPr>
      <w:r>
        <w:rPr>
          <w:rFonts w:ascii="Arial" w:cs="Arial" w:eastAsia="Arial" w:hAnsi="Arial"/>
          <w:sz w:val="15"/>
          <w:szCs w:val="15"/>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document relates may be illiquid and/or subject to restrictions on their resale. Prospective purchasers of the securities offered should conduct their own due diligence on the shares. If you do not understand the contents of this prospectus you should consult an authorized financial advisor.</w:t>
      </w:r>
    </w:p>
    <w:p>
      <w:pPr>
        <w:spacing w:after="0" w:line="153" w:lineRule="exact"/>
        <w:rPr>
          <w:sz w:val="20"/>
          <w:szCs w:val="20"/>
          <w:color w:val="auto"/>
        </w:rPr>
      </w:pPr>
    </w:p>
    <w:p>
      <w:pPr>
        <w:ind w:left="440" w:right="200" w:firstLine="415"/>
        <w:spacing w:after="0" w:line="261" w:lineRule="auto"/>
        <w:rPr>
          <w:sz w:val="20"/>
          <w:szCs w:val="20"/>
          <w:color w:val="auto"/>
        </w:rPr>
      </w:pPr>
      <w:r>
        <w:rPr>
          <w:rFonts w:ascii="Arial" w:cs="Arial" w:eastAsia="Arial" w:hAnsi="Arial"/>
          <w:sz w:val="17"/>
          <w:szCs w:val="17"/>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United Arab Emirates</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Dubai Financial Services Authority.</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211</w:t>
      </w:r>
    </w:p>
    <w:p>
      <w:pPr>
        <w:sectPr>
          <w:pgSz w:w="11900" w:h="16838" w:orient="portrait"/>
          <w:cols w:equalWidth="0" w:num="1">
            <w:col w:w="10800"/>
          </w:cols>
          <w:pgMar w:left="320" w:top="442" w:right="77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Bermuda</w:t>
      </w:r>
    </w:p>
    <w:p>
      <w:pPr>
        <w:spacing w:after="0" w:line="11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The 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British Virgin Islands</w:t>
      </w:r>
    </w:p>
    <w:p>
      <w:pPr>
        <w:spacing w:after="0" w:line="110" w:lineRule="exact"/>
        <w:rPr>
          <w:sz w:val="20"/>
          <w:szCs w:val="20"/>
          <w:color w:val="auto"/>
        </w:rPr>
      </w:pPr>
    </w:p>
    <w:p>
      <w:pPr>
        <w:ind w:left="440" w:right="120" w:firstLine="415"/>
        <w:spacing w:after="0" w:line="312" w:lineRule="auto"/>
        <w:rPr>
          <w:sz w:val="20"/>
          <w:szCs w:val="20"/>
          <w:color w:val="auto"/>
        </w:rPr>
      </w:pPr>
      <w:r>
        <w:rPr>
          <w:rFonts w:ascii="Arial" w:cs="Arial" w:eastAsia="Arial" w:hAnsi="Arial"/>
          <w:sz w:val="15"/>
          <w:szCs w:val="15"/>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43"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Bahamas</w:t>
      </w:r>
    </w:p>
    <w:p>
      <w:pPr>
        <w:spacing w:after="0" w:line="110"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The shares may not be offered or sold in the Bahamas via a public offer. The shares may not be offered or sold or otherwise disposed of in any way to any person(s) deemed “resident” for exchange control purposes by the Central Bank of the Bahamas.</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South Africa</w:t>
      </w:r>
    </w:p>
    <w:p>
      <w:pPr>
        <w:spacing w:after="0" w:line="110"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w:t>
      </w:r>
    </w:p>
    <w:p>
      <w:pPr>
        <w:spacing w:after="0" w:line="167"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shares are not offered, and the offer shall not be transferred, sold, renounced or delivered, in South Africa or to a person with an address in</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South Africa, unless one or other of the following exemptions stipulated in section 96 (1) applies:</w:t>
      </w:r>
    </w:p>
    <w:p>
      <w:pPr>
        <w:spacing w:after="0" w:line="225" w:lineRule="exact"/>
        <w:rPr>
          <w:sz w:val="20"/>
          <w:szCs w:val="20"/>
          <w:color w:val="auto"/>
        </w:rPr>
      </w:pPr>
    </w:p>
    <w:p>
      <w:pPr>
        <w:ind w:left="440"/>
        <w:spacing w:after="0"/>
        <w:tabs>
          <w:tab w:leader="none" w:pos="2080" w:val="left"/>
        </w:tabs>
        <w:rPr>
          <w:sz w:val="20"/>
          <w:szCs w:val="20"/>
          <w:color w:val="auto"/>
        </w:rPr>
      </w:pPr>
      <w:r>
        <w:rPr>
          <w:rFonts w:ascii="Arial" w:cs="Arial" w:eastAsia="Arial" w:hAnsi="Arial"/>
          <w:sz w:val="17"/>
          <w:szCs w:val="17"/>
          <w:color w:val="auto"/>
        </w:rPr>
        <w:t>Section 96(1)(a)</w:t>
      </w:r>
      <w:r>
        <w:rPr>
          <w:sz w:val="20"/>
          <w:szCs w:val="20"/>
          <w:color w:val="auto"/>
        </w:rPr>
        <w:tab/>
      </w:r>
      <w:r>
        <w:rPr>
          <w:rFonts w:ascii="Arial" w:cs="Arial" w:eastAsia="Arial" w:hAnsi="Arial"/>
          <w:sz w:val="15"/>
          <w:szCs w:val="15"/>
          <w:color w:val="auto"/>
        </w:rPr>
        <w:t>the offer, transfer, sale, renunciation or delivery is to:</w:t>
      </w:r>
    </w:p>
    <w:p>
      <w:pPr>
        <w:spacing w:after="0" w:line="237" w:lineRule="exact"/>
        <w:rPr>
          <w:sz w:val="20"/>
          <w:szCs w:val="20"/>
          <w:color w:val="auto"/>
        </w:rPr>
      </w:pPr>
    </w:p>
    <w:p>
      <w:pPr>
        <w:ind w:left="2300" w:hanging="199"/>
        <w:spacing w:after="0"/>
        <w:tabs>
          <w:tab w:leader="none" w:pos="230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persons whose ordinary business, or part of whose ordinary business, is to deal in securities, as principal or agent;</w:t>
      </w:r>
    </w:p>
    <w:p>
      <w:pPr>
        <w:spacing w:after="0" w:line="248" w:lineRule="exact"/>
        <w:rPr>
          <w:rFonts w:ascii="Arial" w:cs="Arial" w:eastAsia="Arial" w:hAnsi="Arial"/>
          <w:sz w:val="16"/>
          <w:szCs w:val="16"/>
          <w:color w:val="auto"/>
        </w:rPr>
      </w:pPr>
    </w:p>
    <w:p>
      <w:pPr>
        <w:ind w:left="2360" w:hanging="259"/>
        <w:spacing w:after="0"/>
        <w:tabs>
          <w:tab w:leader="none" w:pos="23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South African Public Investment Corporation;</w:t>
      </w:r>
    </w:p>
    <w:p>
      <w:pPr>
        <w:spacing w:after="0" w:line="237" w:lineRule="exact"/>
        <w:rPr>
          <w:rFonts w:ascii="Arial" w:cs="Arial" w:eastAsia="Arial" w:hAnsi="Arial"/>
          <w:sz w:val="17"/>
          <w:szCs w:val="17"/>
          <w:color w:val="auto"/>
        </w:rPr>
      </w:pPr>
    </w:p>
    <w:p>
      <w:pPr>
        <w:ind w:left="2400" w:hanging="299"/>
        <w:spacing w:after="0"/>
        <w:tabs>
          <w:tab w:leader="none" w:pos="24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persons or entities regulated by the Reserve Bank of South Africa;</w:t>
      </w:r>
    </w:p>
    <w:p>
      <w:pPr>
        <w:spacing w:after="0" w:line="237" w:lineRule="exact"/>
        <w:rPr>
          <w:rFonts w:ascii="Arial" w:cs="Arial" w:eastAsia="Arial" w:hAnsi="Arial"/>
          <w:sz w:val="17"/>
          <w:szCs w:val="17"/>
          <w:color w:val="auto"/>
        </w:rPr>
      </w:pPr>
    </w:p>
    <w:p>
      <w:pPr>
        <w:ind w:left="2380" w:hanging="279"/>
        <w:spacing w:after="0"/>
        <w:tabs>
          <w:tab w:leader="none" w:pos="23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authorized financial service providers under South African law;</w:t>
      </w:r>
    </w:p>
    <w:p>
      <w:pPr>
        <w:spacing w:after="0" w:line="237" w:lineRule="exact"/>
        <w:rPr>
          <w:rFonts w:ascii="Arial" w:cs="Arial" w:eastAsia="Arial" w:hAnsi="Arial"/>
          <w:sz w:val="17"/>
          <w:szCs w:val="17"/>
          <w:color w:val="auto"/>
        </w:rPr>
      </w:pPr>
    </w:p>
    <w:p>
      <w:pPr>
        <w:ind w:left="2340" w:hanging="239"/>
        <w:spacing w:after="0"/>
        <w:tabs>
          <w:tab w:leader="none" w:pos="23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financial institutions recognized as such under South African law;</w:t>
      </w:r>
    </w:p>
    <w:p>
      <w:pPr>
        <w:spacing w:after="0" w:line="237" w:lineRule="exact"/>
        <w:rPr>
          <w:rFonts w:ascii="Arial" w:cs="Arial" w:eastAsia="Arial" w:hAnsi="Arial"/>
          <w:sz w:val="17"/>
          <w:szCs w:val="17"/>
          <w:color w:val="auto"/>
        </w:rPr>
      </w:pPr>
    </w:p>
    <w:p>
      <w:pPr>
        <w:ind w:left="2100" w:right="20" w:firstLine="1"/>
        <w:spacing w:after="0" w:line="261" w:lineRule="auto"/>
        <w:tabs>
          <w:tab w:leader="none" w:pos="238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201" w:lineRule="exact"/>
        <w:rPr>
          <w:rFonts w:ascii="Arial" w:cs="Arial" w:eastAsia="Arial" w:hAnsi="Arial"/>
          <w:sz w:val="17"/>
          <w:szCs w:val="17"/>
          <w:color w:val="auto"/>
        </w:rPr>
      </w:pPr>
    </w:p>
    <w:p>
      <w:pPr>
        <w:ind w:left="2440" w:hanging="339"/>
        <w:spacing w:after="0"/>
        <w:tabs>
          <w:tab w:leader="none" w:pos="244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any combination of the person in (i) to (vi); or</w:t>
      </w:r>
    </w:p>
    <w:p>
      <w:pPr>
        <w:spacing w:after="0" w:line="16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212</w:t>
      </w:r>
    </w:p>
    <w:p>
      <w:pPr>
        <w:sectPr>
          <w:pgSz w:w="11900" w:h="16838" w:orient="portrait"/>
          <w:cols w:equalWidth="0" w:num="1">
            <w:col w:w="10780"/>
          </w:cols>
          <w:pgMar w:left="320" w:top="442" w:right="799" w:bottom="1440" w:gutter="0" w:footer="0" w:header="0"/>
        </w:sectPr>
      </w:pPr>
    </w:p>
    <w:bookmarkStart w:id="222" w:name="page223"/>
    <w:bookmarkEnd w:id="222"/>
    <w:p>
      <w:pPr>
        <w:spacing w:after="0"/>
        <w:rPr>
          <w:rFonts w:ascii="Arial" w:cs="Arial" w:eastAsia="Arial" w:hAnsi="Arial"/>
          <w:sz w:val="15"/>
          <w:szCs w:val="15"/>
          <w:b w:val="1"/>
          <w:bCs w:val="1"/>
          <w:u w:val="single" w:color="auto"/>
          <w:color w:val="0000EE"/>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5"/>
            <w:szCs w:val="15"/>
            <w:b w:val="1"/>
            <w:bCs w:val="1"/>
            <w:u w:val="single" w:color="auto"/>
            <w:color w:val="0000EE"/>
          </w:rPr>
          <w:t>Table of Contents</w:t>
        </w:r>
      </w:hyperlink>
    </w:p>
    <w:p>
      <w:pPr>
        <w:sectPr>
          <w:pgSz w:w="11900" w:h="16838" w:orient="portrait"/>
          <w:cols w:equalWidth="0" w:num="1">
            <w:col w:w="10760"/>
          </w:cols>
          <w:pgMar w:left="320" w:top="442" w:right="81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Section 96(1)(b)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76" w:lineRule="exact"/>
        <w:rPr>
          <w:sz w:val="20"/>
          <w:szCs w:val="20"/>
          <w:color w:val="auto"/>
        </w:rPr>
      </w:pPr>
    </w:p>
    <w:p>
      <w:pPr>
        <w:sectPr>
          <w:pgSz w:w="11900" w:h="16838" w:orient="portrait"/>
          <w:cols w:equalWidth="0" w:num="2">
            <w:col w:w="1560" w:space="540"/>
            <w:col w:w="8660"/>
          </w:cols>
          <w:pgMar w:left="320" w:top="442" w:right="819" w:bottom="1440" w:gutter="0" w:footer="0" w:header="0"/>
          <w:type w:val="continuous"/>
        </w:sectPr>
      </w:pPr>
    </w:p>
    <w:p>
      <w:pPr>
        <w:ind w:left="440" w:right="460" w:firstLine="415"/>
        <w:spacing w:after="0" w:line="273" w:lineRule="auto"/>
        <w:rPr>
          <w:sz w:val="20"/>
          <w:szCs w:val="20"/>
          <w:color w:val="auto"/>
        </w:rPr>
      </w:pPr>
      <w:r>
        <w:rPr>
          <w:rFonts w:ascii="Arial" w:cs="Arial" w:eastAsia="Arial" w:hAnsi="Arial"/>
          <w:sz w:val="17"/>
          <w:szCs w:val="17"/>
          <w:color w:val="auto"/>
        </w:rPr>
        <w:t>Information made available in this prospectus should not be considered as “advice” as defined in the South African Financial Advisory and Intermediary Services Act, 2002.</w:t>
      </w:r>
    </w:p>
    <w:p>
      <w:pPr>
        <w:spacing w:after="0" w:line="268"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Chile</w:t>
      </w:r>
    </w:p>
    <w:p>
      <w:pPr>
        <w:spacing w:after="0" w:line="110"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THE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83"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PURSUANT TO RULE 336 THE FOLLOWING INFORMATION IS PROVIDED IN CHILE TO PROSPECTIVE RESIDENT INVESTORS IN THE OFFERED SECURITIES:</w:t>
      </w:r>
    </w:p>
    <w:p>
      <w:pPr>
        <w:spacing w:after="0" w:line="77" w:lineRule="exact"/>
        <w:rPr>
          <w:sz w:val="20"/>
          <w:szCs w:val="20"/>
          <w:color w:val="auto"/>
        </w:rPr>
      </w:pPr>
    </w:p>
    <w:p>
      <w:pPr>
        <w:ind w:left="840"/>
        <w:spacing w:after="0"/>
        <w:tabs>
          <w:tab w:leader="none" w:pos="1340" w:val="left"/>
          <w:tab w:leader="none" w:pos="562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THE INITIATION OF THE OFFER IN CHILE IS</w:t>
      </w:r>
      <w:r>
        <w:rPr>
          <w:sz w:val="20"/>
          <w:szCs w:val="20"/>
          <w:color w:val="auto"/>
        </w:rPr>
        <w:tab/>
      </w:r>
      <w:r>
        <w:rPr>
          <w:rFonts w:ascii="Arial" w:cs="Arial" w:eastAsia="Arial" w:hAnsi="Arial"/>
          <w:sz w:val="14"/>
          <w:szCs w:val="14"/>
          <w:color w:val="auto"/>
        </w:rPr>
        <w:t>.</w:t>
      </w:r>
    </w:p>
    <w:p>
      <w:pPr>
        <w:spacing w:after="0" w:line="123" w:lineRule="exact"/>
        <w:rPr>
          <w:sz w:val="20"/>
          <w:szCs w:val="20"/>
          <w:color w:val="auto"/>
        </w:rPr>
      </w:pPr>
    </w:p>
    <w:p>
      <w:pPr>
        <w:ind w:left="1360" w:right="180" w:hanging="519"/>
        <w:spacing w:after="0" w:line="273" w:lineRule="auto"/>
        <w:tabs>
          <w:tab w:leader="none" w:pos="13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OFFER IS SUBJECT TO NCG 336 OF JUNE 27, 2012 ISSUED BY THE SUPERINTENDENCIA DE VALORES Y SEGUROS DE CHILE (SUPERINTENDENCY OF SECURITIES AND INSURANCE OF CHILE).</w:t>
      </w:r>
    </w:p>
    <w:p>
      <w:pPr>
        <w:spacing w:after="0" w:line="76" w:lineRule="exact"/>
        <w:rPr>
          <w:rFonts w:ascii="Arial" w:cs="Arial" w:eastAsia="Arial" w:hAnsi="Arial"/>
          <w:sz w:val="17"/>
          <w:szCs w:val="17"/>
          <w:color w:val="auto"/>
        </w:rPr>
      </w:pPr>
    </w:p>
    <w:p>
      <w:pPr>
        <w:ind w:left="1360" w:right="560" w:hanging="519"/>
        <w:spacing w:after="0" w:line="261" w:lineRule="auto"/>
        <w:tabs>
          <w:tab w:leader="none" w:pos="13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OFFER REFERS TO SECURITIES THAT ARE NOT REGISTERED IN THE REGISTRO DE VALORES (SECURITIES REGISTRY) OR THE REGISTRO DE VALORES EXTRANJEROS (FOREIGN SECURITIES REGISTRY) OF THE SVS AND THEREFORE:</w:t>
      </w:r>
    </w:p>
    <w:p>
      <w:pPr>
        <w:spacing w:after="0" w:line="87" w:lineRule="exact"/>
        <w:rPr>
          <w:rFonts w:ascii="Arial" w:cs="Arial" w:eastAsia="Arial" w:hAnsi="Arial"/>
          <w:sz w:val="17"/>
          <w:szCs w:val="17"/>
          <w:color w:val="auto"/>
        </w:rPr>
      </w:pPr>
    </w:p>
    <w:p>
      <w:pPr>
        <w:ind w:left="1760" w:hanging="397"/>
        <w:spacing w:after="0"/>
        <w:tabs>
          <w:tab w:leader="none" w:pos="176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SECURITIES ARE NOT SUBJECT TO THE OVERSIGHT OF THE SVS; AND</w:t>
      </w:r>
    </w:p>
    <w:p>
      <w:pPr>
        <w:spacing w:after="0" w:line="122" w:lineRule="exact"/>
        <w:rPr>
          <w:rFonts w:ascii="Arial" w:cs="Arial" w:eastAsia="Arial" w:hAnsi="Arial"/>
          <w:sz w:val="17"/>
          <w:szCs w:val="17"/>
          <w:color w:val="auto"/>
        </w:rPr>
      </w:pPr>
    </w:p>
    <w:p>
      <w:pPr>
        <w:ind w:left="1760" w:right="500" w:hanging="397"/>
        <w:spacing w:after="0" w:line="273" w:lineRule="auto"/>
        <w:tabs>
          <w:tab w:leader="none" w:pos="1760" w:val="left"/>
        </w:tabs>
        <w:numPr>
          <w:ilvl w:val="1"/>
          <w:numId w:val="174"/>
        </w:numPr>
        <w:rPr>
          <w:rFonts w:ascii="Arial" w:cs="Arial" w:eastAsia="Arial" w:hAnsi="Arial"/>
          <w:sz w:val="17"/>
          <w:szCs w:val="17"/>
          <w:color w:val="auto"/>
        </w:rPr>
      </w:pPr>
      <w:r>
        <w:rPr>
          <w:rFonts w:ascii="Arial" w:cs="Arial" w:eastAsia="Arial" w:hAnsi="Arial"/>
          <w:sz w:val="17"/>
          <w:szCs w:val="17"/>
          <w:color w:val="auto"/>
        </w:rPr>
        <w:t>THE ISSUER THEREFORE IS NOT SUBJECT TO REPORTING OBLIGATIONS WITH RESPECT TO ITSELF OR THE OFFERED SECURITIES</w:t>
      </w:r>
    </w:p>
    <w:p>
      <w:pPr>
        <w:spacing w:after="0" w:line="76" w:lineRule="exact"/>
        <w:rPr>
          <w:rFonts w:ascii="Arial" w:cs="Arial" w:eastAsia="Arial" w:hAnsi="Arial"/>
          <w:sz w:val="17"/>
          <w:szCs w:val="17"/>
          <w:color w:val="auto"/>
        </w:rPr>
      </w:pPr>
    </w:p>
    <w:p>
      <w:pPr>
        <w:ind w:left="1360" w:right="400" w:hanging="519"/>
        <w:spacing w:after="0" w:line="273" w:lineRule="auto"/>
        <w:tabs>
          <w:tab w:leader="none" w:pos="13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SECURITIES MAY NOT BE PUBLICLY OFFERED IN CHILE UNLESS AND UNTIL THEY ARE REGISTERED IN THE SECURITIES REGISTRY OF THE SVS.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INFORMACIÓN A LOS INVERSIONISTAS RESIDENTES EN CHILE</w:t>
      </w:r>
    </w:p>
    <w:p>
      <w:pPr>
        <w:spacing w:after="0" w:line="114"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83"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EN CUMPLIMIENTO DE LA NCG 336, LA SIGUIENTE INFORMACIÓN SE PROPORCIONA A LOS POTENCIALES INVERSIONISTAS RESIDENTES EN CHILE:</w:t>
      </w:r>
    </w:p>
    <w:p>
      <w:pPr>
        <w:spacing w:after="0" w:line="77" w:lineRule="exact"/>
        <w:rPr>
          <w:sz w:val="20"/>
          <w:szCs w:val="20"/>
          <w:color w:val="auto"/>
        </w:rPr>
      </w:pPr>
    </w:p>
    <w:p>
      <w:pPr>
        <w:ind w:left="440"/>
        <w:spacing w:after="0"/>
        <w:tabs>
          <w:tab w:leader="none" w:pos="820" w:val="left"/>
          <w:tab w:leader="none" w:pos="640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7"/>
          <w:szCs w:val="17"/>
          <w:color w:val="auto"/>
        </w:rPr>
        <w:t>LA OFERTA DE ESTOS VALORES EN CHILE COMIENZA EL DÍA</w:t>
      </w:r>
      <w:r>
        <w:rPr>
          <w:sz w:val="20"/>
          <w:szCs w:val="20"/>
          <w:color w:val="auto"/>
        </w:rPr>
        <w:tab/>
      </w:r>
      <w:r>
        <w:rPr>
          <w:rFonts w:ascii="Arial" w:cs="Arial" w:eastAsia="Arial" w:hAnsi="Arial"/>
          <w:sz w:val="14"/>
          <w:szCs w:val="14"/>
          <w:color w:val="auto"/>
        </w:rPr>
        <w:t>.</w:t>
      </w:r>
    </w:p>
    <w:p>
      <w:pPr>
        <w:spacing w:after="0" w:line="123" w:lineRule="exact"/>
        <w:rPr>
          <w:sz w:val="20"/>
          <w:szCs w:val="20"/>
          <w:color w:val="auto"/>
        </w:rPr>
      </w:pPr>
    </w:p>
    <w:p>
      <w:pPr>
        <w:ind w:left="840" w:right="1320" w:hanging="406"/>
        <w:spacing w:after="0" w:line="273" w:lineRule="auto"/>
        <w:tabs>
          <w:tab w:leader="none" w:pos="8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LA OFERTA SE ENCUENTRA ACOGIDA A LA NCG 336 DE FECHA ECHA 27 DE JUNIO DE 2012 EMITIDA POR LA SUPERINTENDENCIA DE VALORES Y SEGUROS.</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213</w:t>
      </w:r>
    </w:p>
    <w:p>
      <w:pPr>
        <w:sectPr>
          <w:pgSz w:w="11900" w:h="16838" w:orient="portrait"/>
          <w:cols w:equalWidth="0" w:num="1">
            <w:col w:w="10760"/>
          </w:cols>
          <w:pgMar w:left="320" w:top="442" w:right="819" w:bottom="1440" w:gutter="0" w:footer="0" w:header="0"/>
          <w:type w:val="continuous"/>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680" w:hanging="406"/>
        <w:spacing w:after="0" w:line="306" w:lineRule="auto"/>
        <w:tabs>
          <w:tab w:leader="none" w:pos="84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LA OFERTA VERSA SOBRE VALORES QUE NO SE ENCUENTRAN INSCRITOS EN EL REGISTRO DE VALORES NI EN EL REGISTRO DE VALORES EXTRANJEROS QUE LLEVA LA SUPERINTENDENCIA DE VALORES Y SEGUROS, POR LO QUE:</w:t>
      </w:r>
    </w:p>
    <w:p>
      <w:pPr>
        <w:spacing w:after="0" w:line="52" w:lineRule="exact"/>
        <w:rPr>
          <w:rFonts w:ascii="Arial" w:cs="Arial" w:eastAsia="Arial" w:hAnsi="Arial"/>
          <w:sz w:val="16"/>
          <w:szCs w:val="16"/>
          <w:color w:val="auto"/>
        </w:rPr>
      </w:pPr>
    </w:p>
    <w:p>
      <w:pPr>
        <w:ind w:left="1360" w:hanging="519"/>
        <w:spacing w:after="0"/>
        <w:tabs>
          <w:tab w:leader="none" w:pos="136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LOS VALORES NO ESTÁN SUJETOS A LA FISCALIZACIÓN DE ESA SUPERINTENDENCIA; Y</w:t>
      </w:r>
    </w:p>
    <w:p>
      <w:pPr>
        <w:spacing w:after="0" w:line="122" w:lineRule="exact"/>
        <w:rPr>
          <w:rFonts w:ascii="Arial" w:cs="Arial" w:eastAsia="Arial" w:hAnsi="Arial"/>
          <w:sz w:val="17"/>
          <w:szCs w:val="17"/>
          <w:color w:val="auto"/>
        </w:rPr>
      </w:pPr>
    </w:p>
    <w:p>
      <w:pPr>
        <w:ind w:left="1360" w:hanging="519"/>
        <w:spacing w:after="0" w:line="273" w:lineRule="auto"/>
        <w:tabs>
          <w:tab w:leader="none" w:pos="136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EL EMISOR DE LOS VALORES NO ESTÁ SUJETO A LA OBLIGACIÓN DE ENTREGAR INFORMACIÓN PÚBLICA SOBRE LOS VALORES OFRECIDOS NI SU EMISOR.</w:t>
      </w:r>
    </w:p>
    <w:p>
      <w:pPr>
        <w:spacing w:after="0" w:line="76" w:lineRule="exact"/>
        <w:rPr>
          <w:rFonts w:ascii="Arial" w:cs="Arial" w:eastAsia="Arial" w:hAnsi="Arial"/>
          <w:sz w:val="17"/>
          <w:szCs w:val="17"/>
          <w:color w:val="auto"/>
        </w:rPr>
      </w:pPr>
    </w:p>
    <w:p>
      <w:pPr>
        <w:ind w:left="840" w:right="220" w:hanging="406"/>
        <w:spacing w:after="0" w:line="273" w:lineRule="auto"/>
        <w:tabs>
          <w:tab w:leader="none" w:pos="84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LOS VALORES PRIVADAMENTE OFRECIDOS NO PODRÁN SER OBJETO DE OFERTA PÚBLICA EN CHILE MIENTRAS NO SEAN INSCRITOS EN EL REGISTRO DE VALORES CORRESPONDIENTE.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214</w:t>
      </w:r>
    </w:p>
    <w:p>
      <w:pPr>
        <w:sectPr>
          <w:pgSz w:w="11900" w:h="16838" w:orient="portrait"/>
          <w:cols w:equalWidth="0" w:num="1">
            <w:col w:w="10780"/>
          </w:cols>
          <w:pgMar w:left="320" w:top="442" w:right="79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679"/>
        <w:spacing w:after="0"/>
        <w:rPr>
          <w:sz w:val="20"/>
          <w:szCs w:val="20"/>
          <w:color w:val="auto"/>
        </w:rPr>
      </w:pPr>
      <w:r>
        <w:rPr>
          <w:rFonts w:ascii="Arial" w:cs="Arial" w:eastAsia="Arial" w:hAnsi="Arial"/>
          <w:sz w:val="17"/>
          <w:szCs w:val="17"/>
          <w:b w:val="1"/>
          <w:bCs w:val="1"/>
          <w:color w:val="auto"/>
        </w:rPr>
        <w:t>LEGAL MATTERS</w:t>
      </w:r>
    </w:p>
    <w:p>
      <w:pPr>
        <w:spacing w:after="0" w:line="21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Weil, Gotshal &amp; Manges LLP, New York, New York, has passed upon the validity of the Class A common stock offered hereby on behalf of us.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Certain legal matters will be passed upon on behalf of the underwriters by Latham &amp; Watkins LLP, Chicago, Illinois.</w:t>
      </w:r>
    </w:p>
    <w:p>
      <w:pPr>
        <w:spacing w:after="0" w:line="136"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215</w:t>
      </w:r>
    </w:p>
    <w:p>
      <w:pPr>
        <w:sectPr>
          <w:pgSz w:w="11900" w:h="16838" w:orient="portrait"/>
          <w:cols w:equalWidth="0" w:num="1">
            <w:col w:w="10580"/>
          </w:cols>
          <w:pgMar w:left="320" w:top="442" w:right="99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EXPERTS</w:t>
      </w:r>
    </w:p>
    <w:p>
      <w:pPr>
        <w:spacing w:after="0" w:line="216"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The financial statement as of May 24, 2021, of Definitive Healthcare Corp.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176"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consolidated financial statements of AIDH Topco, LLC as of December 31, 2020 and 2019 (Successor Company) and for the year ended December 31, 2020 (Successor Company) and the periods from July 16, 2019 to December 31, 2019 (Successor Company) and from January 1, 2019 to July 15, 2019 (Predecessor Company)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1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216</w:t>
      </w:r>
    </w:p>
    <w:p>
      <w:pPr>
        <w:sectPr>
          <w:pgSz w:w="11900" w:h="16838" w:orient="portrait"/>
          <w:cols w:equalWidth="0" w:num="1">
            <w:col w:w="10760"/>
          </w:cols>
          <w:pgMar w:left="320" w:top="442" w:right="81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6" w:lineRule="exact"/>
        <w:rPr>
          <w:sz w:val="20"/>
          <w:szCs w:val="20"/>
          <w:color w:val="auto"/>
        </w:rPr>
      </w:pPr>
    </w:p>
    <w:p>
      <w:pPr>
        <w:ind w:left="440" w:firstLine="415"/>
        <w:spacing w:after="0" w:line="293" w:lineRule="auto"/>
        <w:rPr>
          <w:sz w:val="20"/>
          <w:szCs w:val="20"/>
          <w:color w:val="auto"/>
        </w:rPr>
      </w:pPr>
      <w:r>
        <w:rPr>
          <w:rFonts w:ascii="Arial" w:cs="Arial" w:eastAsia="Arial" w:hAnsi="Arial"/>
          <w:sz w:val="15"/>
          <w:szCs w:val="15"/>
          <w:color w:val="auto"/>
        </w:rPr>
        <w:t>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54" w:lineRule="exact"/>
        <w:rPr>
          <w:sz w:val="20"/>
          <w:szCs w:val="20"/>
          <w:color w:val="auto"/>
        </w:rPr>
      </w:pPr>
    </w:p>
    <w:p>
      <w:pPr>
        <w:jc w:val="both"/>
        <w:ind w:left="440" w:right="40" w:firstLine="415"/>
        <w:spacing w:after="0" w:line="312" w:lineRule="auto"/>
        <w:rPr>
          <w:sz w:val="20"/>
          <w:szCs w:val="20"/>
          <w:color w:val="auto"/>
        </w:rPr>
      </w:pPr>
      <w:r>
        <w:rPr>
          <w:rFonts w:ascii="Arial" w:cs="Arial" w:eastAsia="Arial" w:hAnsi="Arial"/>
          <w:sz w:val="15"/>
          <w:szCs w:val="15"/>
          <w:color w:val="auto"/>
        </w:rPr>
        <w:t>This registration statement, including its exhibits and schedules, will be filed with the SEC. The SEC maintains a website at (</w:t>
      </w:r>
      <w:r>
        <w:rPr>
          <w:rFonts w:ascii="Arial" w:cs="Arial" w:eastAsia="Arial" w:hAnsi="Arial"/>
          <w:sz w:val="15"/>
          <w:szCs w:val="15"/>
          <w:i w:val="1"/>
          <w:iCs w:val="1"/>
          <w:color w:val="auto"/>
        </w:rPr>
        <w:t>http://www.sec.gov</w:t>
      </w:r>
      <w:r>
        <w:rPr>
          <w:rFonts w:ascii="Arial" w:cs="Arial" w:eastAsia="Arial" w:hAnsi="Arial"/>
          <w:sz w:val="15"/>
          <w:szCs w:val="15"/>
          <w:color w:val="auto"/>
        </w:rPr>
        <w:t>)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41" w:lineRule="exact"/>
        <w:rPr>
          <w:sz w:val="20"/>
          <w:szCs w:val="20"/>
          <w:color w:val="auto"/>
        </w:rPr>
      </w:pPr>
    </w:p>
    <w:p>
      <w:pPr>
        <w:ind w:left="440" w:right="60" w:firstLine="415"/>
        <w:spacing w:after="0" w:line="279" w:lineRule="auto"/>
        <w:rPr>
          <w:sz w:val="20"/>
          <w:szCs w:val="20"/>
          <w:color w:val="auto"/>
        </w:rPr>
      </w:pPr>
      <w:r>
        <w:rPr>
          <w:rFonts w:ascii="Arial" w:cs="Arial" w:eastAsia="Arial" w:hAnsi="Arial"/>
          <w:sz w:val="16"/>
          <w:szCs w:val="16"/>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98"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217</w:t>
      </w:r>
    </w:p>
    <w:p>
      <w:pPr>
        <w:sectPr>
          <w:pgSz w:w="11900" w:h="16838" w:orient="portrait"/>
          <w:cols w:equalWidth="0" w:num="1">
            <w:col w:w="10780"/>
          </w:cols>
          <w:pgMar w:left="320" w:top="442" w:right="79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40" w:type="dxa"/>
            <w:vAlign w:val="bottom"/>
            <w:gridSpan w:val="7"/>
          </w:tcPr>
          <w:p>
            <w:pPr>
              <w:jc w:val="center"/>
              <w:ind w:right="3580"/>
              <w:spacing w:after="0"/>
              <w:rPr>
                <w:sz w:val="20"/>
                <w:szCs w:val="20"/>
                <w:color w:val="auto"/>
              </w:rPr>
            </w:pPr>
            <w:r>
              <w:rPr>
                <w:rFonts w:ascii="Arial" w:cs="Arial" w:eastAsia="Arial" w:hAnsi="Arial"/>
                <w:sz w:val="17"/>
                <w:szCs w:val="17"/>
                <w:b w:val="1"/>
                <w:bCs w:val="1"/>
                <w:color w:val="auto"/>
                <w:w w:val="89"/>
              </w:rPr>
              <w:t>Index to Financial Statements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9940" w:type="dxa"/>
            <w:vAlign w:val="bottom"/>
            <w:gridSpan w:val="17"/>
            <w:vMerge w:val="restart"/>
          </w:tcPr>
          <w:p>
            <w:pPr>
              <w:spacing w:after="0"/>
              <w:rPr>
                <w:sz w:val="20"/>
                <w:szCs w:val="20"/>
                <w:color w:val="auto"/>
              </w:rPr>
            </w:pPr>
            <w:r>
              <w:rPr>
                <w:rFonts w:ascii="Arial" w:cs="Arial" w:eastAsia="Arial" w:hAnsi="Arial"/>
                <w:sz w:val="17"/>
                <w:szCs w:val="17"/>
                <w:b w:val="1"/>
                <w:bCs w:val="1"/>
                <w:color w:val="auto"/>
              </w:rPr>
              <w:t>CONSOLIDATED FINANCIAL STATEMENTS OF DEFINITIVE HEALTHCARE CORP.</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3"/>
        </w:trPr>
        <w:tc>
          <w:tcPr>
            <w:tcW w:w="9940" w:type="dxa"/>
            <w:vAlign w:val="bottom"/>
            <w:gridSpan w:val="17"/>
            <w:vMerge w:val="continue"/>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9940" w:type="dxa"/>
            <w:vAlign w:val="bottom"/>
            <w:gridSpan w:val="17"/>
          </w:tcPr>
          <w:p>
            <w:pPr>
              <w:spacing w:after="0"/>
              <w:rPr>
                <w:rFonts w:ascii="Arial" w:cs="Arial" w:eastAsia="Arial" w:hAnsi="Arial"/>
                <w:sz w:val="17"/>
                <w:szCs w:val="17"/>
                <w:color w:val="0000EE"/>
              </w:rPr>
            </w:pPr>
            <w:hyperlink w:anchor="page230">
              <w:r>
                <w:rPr>
                  <w:rFonts w:ascii="Arial" w:cs="Arial" w:eastAsia="Arial" w:hAnsi="Arial"/>
                  <w:sz w:val="17"/>
                  <w:szCs w:val="17"/>
                  <w:color w:val="0000EE"/>
                </w:rPr>
                <w:t>Report of Independent Registered Public Accounting Firm</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84"/>
        </w:trPr>
        <w:tc>
          <w:tcPr>
            <w:tcW w:w="2320" w:type="dxa"/>
            <w:vAlign w:val="bottom"/>
            <w:tcBorders>
              <w:top w:val="single" w:sz="8" w:color="0000EE"/>
              <w:bottom w:val="single" w:sz="8" w:color="0000EE"/>
            </w:tcBorders>
            <w:gridSpan w:val="3"/>
          </w:tcPr>
          <w:p>
            <w:pPr>
              <w:spacing w:after="0" w:line="184" w:lineRule="exact"/>
              <w:rPr>
                <w:rFonts w:ascii="Arial" w:cs="Arial" w:eastAsia="Arial" w:hAnsi="Arial"/>
                <w:sz w:val="17"/>
                <w:szCs w:val="17"/>
                <w:color w:val="0000EE"/>
                <w:w w:val="88"/>
              </w:rPr>
            </w:pPr>
            <w:hyperlink w:anchor="page231">
              <w:r>
                <w:rPr>
                  <w:rFonts w:ascii="Arial" w:cs="Arial" w:eastAsia="Arial" w:hAnsi="Arial"/>
                  <w:sz w:val="17"/>
                  <w:szCs w:val="17"/>
                  <w:color w:val="0000EE"/>
                  <w:w w:val="88"/>
                </w:rPr>
                <w:t>Balance Sheet as of May 24, 2021</w:t>
              </w:r>
            </w:hyperlink>
          </w:p>
        </w:tc>
        <w:tc>
          <w:tcPr>
            <w:tcW w:w="1640" w:type="dxa"/>
            <w:vAlign w:val="bottom"/>
            <w:tcBorders>
              <w:top w:val="single" w:sz="8" w:color="0000EE"/>
            </w:tcBorders>
            <w:gridSpan w:val="5"/>
          </w:tcPr>
          <w:p>
            <w:pPr>
              <w:spacing w:after="0"/>
              <w:rPr>
                <w:sz w:val="15"/>
                <w:szCs w:val="15"/>
                <w:color w:val="auto"/>
              </w:rPr>
            </w:pPr>
          </w:p>
        </w:tc>
        <w:tc>
          <w:tcPr>
            <w:tcW w:w="5980" w:type="dxa"/>
            <w:vAlign w:val="bottom"/>
            <w:gridSpan w:val="9"/>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84"/>
        </w:trPr>
        <w:tc>
          <w:tcPr>
            <w:tcW w:w="1580" w:type="dxa"/>
            <w:vAlign w:val="bottom"/>
            <w:tcBorders>
              <w:bottom w:val="single" w:sz="8" w:color="0000EE"/>
            </w:tcBorders>
            <w:gridSpan w:val="2"/>
          </w:tcPr>
          <w:p>
            <w:pPr>
              <w:spacing w:after="0" w:line="184" w:lineRule="exact"/>
              <w:rPr>
                <w:rFonts w:ascii="Arial" w:cs="Arial" w:eastAsia="Arial" w:hAnsi="Arial"/>
                <w:sz w:val="17"/>
                <w:szCs w:val="17"/>
                <w:color w:val="0000EE"/>
                <w:w w:val="87"/>
              </w:rPr>
            </w:pPr>
            <w:hyperlink w:anchor="page232">
              <w:r>
                <w:rPr>
                  <w:rFonts w:ascii="Arial" w:cs="Arial" w:eastAsia="Arial" w:hAnsi="Arial"/>
                  <w:sz w:val="17"/>
                  <w:szCs w:val="17"/>
                  <w:color w:val="0000EE"/>
                  <w:w w:val="87"/>
                </w:rPr>
                <w:t>Notes to Balance Sheet</w:t>
              </w:r>
            </w:hyperlink>
          </w:p>
        </w:tc>
        <w:tc>
          <w:tcPr>
            <w:tcW w:w="8360" w:type="dxa"/>
            <w:vAlign w:val="bottom"/>
            <w:gridSpan w:val="15"/>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424"/>
        </w:trPr>
        <w:tc>
          <w:tcPr>
            <w:tcW w:w="9940" w:type="dxa"/>
            <w:vAlign w:val="bottom"/>
            <w:gridSpan w:val="17"/>
          </w:tcPr>
          <w:p>
            <w:pPr>
              <w:spacing w:after="0"/>
              <w:rPr>
                <w:sz w:val="20"/>
                <w:szCs w:val="20"/>
                <w:color w:val="auto"/>
              </w:rPr>
            </w:pPr>
            <w:r>
              <w:rPr>
                <w:rFonts w:ascii="Arial" w:cs="Arial" w:eastAsia="Arial" w:hAnsi="Arial"/>
                <w:sz w:val="17"/>
                <w:szCs w:val="17"/>
                <w:b w:val="1"/>
                <w:bCs w:val="1"/>
                <w:color w:val="auto"/>
              </w:rPr>
              <w:t>CONSOLIDATED FINANCIAL STATEMENTS OF AIDH TOPCO, LLC (“DEFINITIVE OPCO”) AND SUBSIDIARIES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9940" w:type="dxa"/>
            <w:vAlign w:val="bottom"/>
            <w:gridSpan w:val="17"/>
          </w:tcPr>
          <w:p>
            <w:pPr>
              <w:spacing w:after="0"/>
              <w:rPr>
                <w:rFonts w:ascii="Arial" w:cs="Arial" w:eastAsia="Arial" w:hAnsi="Arial"/>
                <w:sz w:val="17"/>
                <w:szCs w:val="17"/>
                <w:color w:val="0000EE"/>
              </w:rPr>
            </w:pPr>
            <w:hyperlink w:anchor="page234">
              <w:r>
                <w:rPr>
                  <w:rFonts w:ascii="Arial" w:cs="Arial" w:eastAsia="Arial" w:hAnsi="Arial"/>
                  <w:sz w:val="17"/>
                  <w:szCs w:val="17"/>
                  <w:color w:val="0000EE"/>
                </w:rPr>
                <w:t>Report of Independent Registered Public Accounting Firm</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9940" w:type="dxa"/>
            <w:vAlign w:val="bottom"/>
            <w:gridSpan w:val="17"/>
          </w:tcPr>
          <w:p>
            <w:pPr>
              <w:spacing w:after="0" w:line="184" w:lineRule="exact"/>
              <w:rPr>
                <w:rFonts w:ascii="Arial" w:cs="Arial" w:eastAsia="Arial" w:hAnsi="Arial"/>
                <w:sz w:val="17"/>
                <w:szCs w:val="17"/>
                <w:color w:val="0000EE"/>
              </w:rPr>
            </w:pPr>
            <w:hyperlink w:anchor="page235">
              <w:r>
                <w:rPr>
                  <w:rFonts w:ascii="Arial" w:cs="Arial" w:eastAsia="Arial" w:hAnsi="Arial"/>
                  <w:sz w:val="17"/>
                  <w:szCs w:val="17"/>
                  <w:color w:val="0000EE"/>
                </w:rPr>
                <w:t xml:space="preserve">Consolidated Balance Sheets as of December 31, 2020 and 2019 </w:t>
              </w:r>
            </w:hyperlink>
            <w:r>
              <w:rPr>
                <w:rFonts w:ascii="Arial" w:cs="Arial" w:eastAsia="Arial" w:hAnsi="Arial"/>
                <w:sz w:val="17"/>
                <w:szCs w:val="17"/>
                <w:color w:val="000000"/>
              </w:rPr>
              <w:t>(Successor</w:t>
            </w:r>
            <w:r>
              <w:rPr>
                <w:rFonts w:ascii="Arial" w:cs="Arial" w:eastAsia="Arial" w:hAnsi="Arial"/>
                <w:sz w:val="17"/>
                <w:szCs w:val="17"/>
                <w:color w:val="0000EE"/>
              </w:rPr>
              <w:t xml:space="preserve"> </w:t>
            </w:r>
            <w:r>
              <w:rPr>
                <w:rFonts w:ascii="Arial" w:cs="Arial" w:eastAsia="Arial" w:hAnsi="Arial"/>
                <w:sz w:val="17"/>
                <w:szCs w:val="17"/>
                <w:color w:val="000000"/>
              </w:rPr>
              <w:t>Company)</w:t>
            </w: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184"/>
        </w:trPr>
        <w:tc>
          <w:tcPr>
            <w:tcW w:w="4380" w:type="dxa"/>
            <w:vAlign w:val="bottom"/>
            <w:tcBorders>
              <w:top w:val="single" w:sz="8" w:color="0000EE"/>
            </w:tcBorders>
            <w:gridSpan w:val="11"/>
          </w:tcPr>
          <w:p>
            <w:pPr>
              <w:spacing w:after="0" w:line="184" w:lineRule="exact"/>
              <w:rPr>
                <w:rFonts w:ascii="Arial" w:cs="Arial" w:eastAsia="Arial" w:hAnsi="Arial"/>
                <w:sz w:val="17"/>
                <w:szCs w:val="17"/>
                <w:color w:val="0000EE"/>
              </w:rPr>
            </w:pPr>
            <w:hyperlink w:anchor="page236">
              <w:r>
                <w:rPr>
                  <w:rFonts w:ascii="Arial" w:cs="Arial" w:eastAsia="Arial" w:hAnsi="Arial"/>
                  <w:sz w:val="17"/>
                  <w:szCs w:val="17"/>
                  <w:color w:val="0000EE"/>
                </w:rPr>
                <w:t>Consolidated Statements of Income (Loss)</w:t>
              </w:r>
            </w:hyperlink>
          </w:p>
        </w:tc>
        <w:tc>
          <w:tcPr>
            <w:tcW w:w="5560" w:type="dxa"/>
            <w:vAlign w:val="bottom"/>
            <w:gridSpan w:val="6"/>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60" w:type="dxa"/>
            <w:vAlign w:val="bottom"/>
          </w:tcPr>
          <w:p>
            <w:pPr>
              <w:spacing w:after="0"/>
              <w:rPr>
                <w:sz w:val="15"/>
                <w:szCs w:val="15"/>
                <w:color w:val="auto"/>
              </w:rPr>
            </w:pPr>
          </w:p>
        </w:tc>
        <w:tc>
          <w:tcPr>
            <w:tcW w:w="9780" w:type="dxa"/>
            <w:vAlign w:val="bottom"/>
            <w:gridSpan w:val="16"/>
          </w:tcPr>
          <w:p>
            <w:pPr>
              <w:spacing w:after="0" w:line="184" w:lineRule="exact"/>
              <w:rPr>
                <w:rFonts w:ascii="Arial" w:cs="Arial" w:eastAsia="Arial" w:hAnsi="Arial"/>
                <w:sz w:val="17"/>
                <w:szCs w:val="17"/>
                <w:color w:val="0000EE"/>
                <w:w w:val="95"/>
              </w:rPr>
            </w:pPr>
            <w:hyperlink w:anchor="page236">
              <w:r>
                <w:rPr>
                  <w:rFonts w:ascii="Arial" w:cs="Arial" w:eastAsia="Arial" w:hAnsi="Arial"/>
                  <w:sz w:val="17"/>
                  <w:szCs w:val="17"/>
                  <w:color w:val="0000EE"/>
                  <w:w w:val="95"/>
                </w:rPr>
                <w:t>for the Year Ended December 31, 2020 (Successor Company) and for the periods from July 16, 2019 to December 31, 2019 (Successor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16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236">
              <w:r>
                <w:rPr>
                  <w:rFonts w:ascii="Arial" w:cs="Arial" w:eastAsia="Arial" w:hAnsi="Arial"/>
                  <w:sz w:val="17"/>
                  <w:szCs w:val="17"/>
                  <w:color w:val="0000EE"/>
                </w:rPr>
                <w:t xml:space="preserve">Company) and January 1, 2019 to July 15, 2019 </w:t>
              </w:r>
              <w:r>
                <w:rPr>
                  <w:rFonts w:ascii="Arial" w:cs="Arial" w:eastAsia="Arial" w:hAnsi="Arial"/>
                  <w:sz w:val="17"/>
                  <w:szCs w:val="17"/>
                  <w:color w:val="000000"/>
                </w:rPr>
                <w:t>(Predecessor Company)</w:t>
              </w:r>
            </w:hyperlink>
          </w:p>
        </w:tc>
        <w:tc>
          <w:tcPr>
            <w:tcW w:w="62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000" w:type="dxa"/>
            <w:vAlign w:val="bottom"/>
            <w:tcBorders>
              <w:bottom w:val="single" w:sz="8" w:color="0000EE"/>
            </w:tcBorders>
            <w:gridSpan w:val="10"/>
          </w:tcPr>
          <w:p>
            <w:pPr>
              <w:spacing w:after="0" w:line="184" w:lineRule="exact"/>
              <w:rPr>
                <w:rFonts w:ascii="Arial" w:cs="Arial" w:eastAsia="Arial" w:hAnsi="Arial"/>
                <w:sz w:val="17"/>
                <w:szCs w:val="17"/>
                <w:color w:val="0000EE"/>
                <w:w w:val="89"/>
              </w:rPr>
            </w:pPr>
            <w:hyperlink w:anchor="page237">
              <w:r>
                <w:rPr>
                  <w:rFonts w:ascii="Arial" w:cs="Arial" w:eastAsia="Arial" w:hAnsi="Arial"/>
                  <w:sz w:val="17"/>
                  <w:szCs w:val="17"/>
                  <w:color w:val="0000EE"/>
                  <w:w w:val="89"/>
                </w:rPr>
                <w:t>Consolidated Statements of Comprehensive (Loss) Income</w:t>
              </w:r>
            </w:hyperlink>
          </w:p>
        </w:tc>
        <w:tc>
          <w:tcPr>
            <w:tcW w:w="5940" w:type="dxa"/>
            <w:vAlign w:val="bottom"/>
            <w:gridSpan w:val="7"/>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780" w:type="dxa"/>
            <w:vAlign w:val="bottom"/>
            <w:gridSpan w:val="16"/>
          </w:tcPr>
          <w:p>
            <w:pPr>
              <w:spacing w:after="0" w:line="184" w:lineRule="exact"/>
              <w:rPr>
                <w:rFonts w:ascii="Arial" w:cs="Arial" w:eastAsia="Arial" w:hAnsi="Arial"/>
                <w:sz w:val="17"/>
                <w:szCs w:val="17"/>
                <w:color w:val="0000EE"/>
                <w:w w:val="95"/>
              </w:rPr>
            </w:pPr>
            <w:hyperlink w:anchor="page237">
              <w:r>
                <w:rPr>
                  <w:rFonts w:ascii="Arial" w:cs="Arial" w:eastAsia="Arial" w:hAnsi="Arial"/>
                  <w:sz w:val="17"/>
                  <w:szCs w:val="17"/>
                  <w:color w:val="0000EE"/>
                  <w:w w:val="95"/>
                </w:rPr>
                <w:t>for the Year Ended December 31, 2020 (Successor Company) and for the periods from July 16, 2019 to December 31, 2019 (Successor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16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237">
              <w:r>
                <w:rPr>
                  <w:rFonts w:ascii="Arial" w:cs="Arial" w:eastAsia="Arial" w:hAnsi="Arial"/>
                  <w:sz w:val="17"/>
                  <w:szCs w:val="17"/>
                  <w:color w:val="0000EE"/>
                </w:rPr>
                <w:t xml:space="preserve">Company) and January 1, 2019 to July 15, 2019 </w:t>
              </w:r>
              <w:r>
                <w:rPr>
                  <w:rFonts w:ascii="Arial" w:cs="Arial" w:eastAsia="Arial" w:hAnsi="Arial"/>
                  <w:sz w:val="17"/>
                  <w:szCs w:val="17"/>
                  <w:color w:val="000000"/>
                </w:rPr>
                <w:t>(Predecessor Company)</w:t>
              </w:r>
            </w:hyperlink>
          </w:p>
        </w:tc>
        <w:tc>
          <w:tcPr>
            <w:tcW w:w="62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F-10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960" w:type="dxa"/>
            <w:vAlign w:val="bottom"/>
            <w:tcBorders>
              <w:bottom w:val="single" w:sz="8" w:color="0000EE"/>
            </w:tcBorders>
            <w:gridSpan w:val="8"/>
          </w:tcPr>
          <w:p>
            <w:pPr>
              <w:spacing w:after="0" w:line="184" w:lineRule="exact"/>
              <w:rPr>
                <w:rFonts w:ascii="Arial" w:cs="Arial" w:eastAsia="Arial" w:hAnsi="Arial"/>
                <w:sz w:val="17"/>
                <w:szCs w:val="17"/>
                <w:color w:val="0000EE"/>
                <w:w w:val="90"/>
              </w:rPr>
            </w:pPr>
            <w:hyperlink w:anchor="page238">
              <w:r>
                <w:rPr>
                  <w:rFonts w:ascii="Arial" w:cs="Arial" w:eastAsia="Arial" w:hAnsi="Arial"/>
                  <w:sz w:val="17"/>
                  <w:szCs w:val="17"/>
                  <w:color w:val="0000EE"/>
                  <w:w w:val="90"/>
                </w:rPr>
                <w:t>Consolidated Statements of Changes in Members’ Equity</w:t>
              </w:r>
            </w:hyperlink>
          </w:p>
        </w:tc>
        <w:tc>
          <w:tcPr>
            <w:tcW w:w="5980" w:type="dxa"/>
            <w:vAlign w:val="bottom"/>
            <w:gridSpan w:val="9"/>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780" w:type="dxa"/>
            <w:vAlign w:val="bottom"/>
            <w:gridSpan w:val="16"/>
          </w:tcPr>
          <w:p>
            <w:pPr>
              <w:spacing w:after="0" w:line="184" w:lineRule="exact"/>
              <w:rPr>
                <w:rFonts w:ascii="Arial" w:cs="Arial" w:eastAsia="Arial" w:hAnsi="Arial"/>
                <w:sz w:val="17"/>
                <w:szCs w:val="17"/>
                <w:color w:val="0000EE"/>
                <w:w w:val="95"/>
              </w:rPr>
            </w:pPr>
            <w:hyperlink w:anchor="page238">
              <w:r>
                <w:rPr>
                  <w:rFonts w:ascii="Arial" w:cs="Arial" w:eastAsia="Arial" w:hAnsi="Arial"/>
                  <w:sz w:val="17"/>
                  <w:szCs w:val="17"/>
                  <w:color w:val="0000EE"/>
                  <w:w w:val="95"/>
                </w:rPr>
                <w:t>for the Year Ended December 31, 2020 (Successor Company) and for the periods from July 16, 2019 to December 31, 2019 (Successor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16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238">
              <w:r>
                <w:rPr>
                  <w:rFonts w:ascii="Arial" w:cs="Arial" w:eastAsia="Arial" w:hAnsi="Arial"/>
                  <w:sz w:val="17"/>
                  <w:szCs w:val="17"/>
                  <w:color w:val="0000EE"/>
                </w:rPr>
                <w:t xml:space="preserve">Company) and January 1, 2019 to July 15, 2019 </w:t>
              </w:r>
              <w:r>
                <w:rPr>
                  <w:rFonts w:ascii="Arial" w:cs="Arial" w:eastAsia="Arial" w:hAnsi="Arial"/>
                  <w:sz w:val="17"/>
                  <w:szCs w:val="17"/>
                  <w:color w:val="000000"/>
                </w:rPr>
                <w:t>(Predecessor Company)</w:t>
              </w:r>
            </w:hyperlink>
          </w:p>
        </w:tc>
        <w:tc>
          <w:tcPr>
            <w:tcW w:w="62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F-11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00" w:type="dxa"/>
            <w:vAlign w:val="bottom"/>
            <w:tcBorders>
              <w:bottom w:val="single" w:sz="8" w:color="0000EE"/>
            </w:tcBorders>
            <w:gridSpan w:val="4"/>
          </w:tcPr>
          <w:p>
            <w:pPr>
              <w:spacing w:after="0" w:line="184" w:lineRule="exact"/>
              <w:rPr>
                <w:rFonts w:ascii="Arial" w:cs="Arial" w:eastAsia="Arial" w:hAnsi="Arial"/>
                <w:sz w:val="17"/>
                <w:szCs w:val="17"/>
                <w:color w:val="0000EE"/>
                <w:w w:val="88"/>
              </w:rPr>
            </w:pPr>
            <w:hyperlink w:anchor="page239">
              <w:r>
                <w:rPr>
                  <w:rFonts w:ascii="Arial" w:cs="Arial" w:eastAsia="Arial" w:hAnsi="Arial"/>
                  <w:sz w:val="17"/>
                  <w:szCs w:val="17"/>
                  <w:color w:val="0000EE"/>
                  <w:w w:val="88"/>
                </w:rPr>
                <w:t>Consolidated Statements of Cash Flows</w:t>
              </w:r>
            </w:hyperlink>
          </w:p>
        </w:tc>
        <w:tc>
          <w:tcPr>
            <w:tcW w:w="7240" w:type="dxa"/>
            <w:vAlign w:val="bottom"/>
            <w:gridSpan w:val="13"/>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780" w:type="dxa"/>
            <w:vAlign w:val="bottom"/>
            <w:gridSpan w:val="16"/>
          </w:tcPr>
          <w:p>
            <w:pPr>
              <w:spacing w:after="0" w:line="184" w:lineRule="exact"/>
              <w:rPr>
                <w:rFonts w:ascii="Arial" w:cs="Arial" w:eastAsia="Arial" w:hAnsi="Arial"/>
                <w:sz w:val="17"/>
                <w:szCs w:val="17"/>
                <w:color w:val="0000EE"/>
                <w:w w:val="95"/>
              </w:rPr>
            </w:pPr>
            <w:hyperlink w:anchor="page239">
              <w:r>
                <w:rPr>
                  <w:rFonts w:ascii="Arial" w:cs="Arial" w:eastAsia="Arial" w:hAnsi="Arial"/>
                  <w:sz w:val="17"/>
                  <w:szCs w:val="17"/>
                  <w:color w:val="0000EE"/>
                  <w:w w:val="95"/>
                </w:rPr>
                <w:t>for the Year Ended December 31, 2020 (Successor Company) and for the periods from July 16, 2019 to December 31, 2019 (Successor</w:t>
              </w:r>
            </w:hyperlink>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9160" w:type="dxa"/>
            <w:vAlign w:val="bottom"/>
            <w:tcBorders>
              <w:top w:val="single" w:sz="8" w:color="0000EE"/>
            </w:tcBorders>
            <w:gridSpan w:val="15"/>
          </w:tcPr>
          <w:p>
            <w:pPr>
              <w:spacing w:after="0" w:line="184" w:lineRule="exact"/>
              <w:rPr>
                <w:rFonts w:ascii="Arial" w:cs="Arial" w:eastAsia="Arial" w:hAnsi="Arial"/>
                <w:sz w:val="17"/>
                <w:szCs w:val="17"/>
                <w:color w:val="0000EE"/>
              </w:rPr>
            </w:pPr>
            <w:hyperlink w:anchor="page239">
              <w:r>
                <w:rPr>
                  <w:rFonts w:ascii="Arial" w:cs="Arial" w:eastAsia="Arial" w:hAnsi="Arial"/>
                  <w:sz w:val="17"/>
                  <w:szCs w:val="17"/>
                  <w:color w:val="0000EE"/>
                </w:rPr>
                <w:t xml:space="preserve">Company) and January 1, 2019 to July 15, 2019 </w:t>
              </w:r>
              <w:r>
                <w:rPr>
                  <w:rFonts w:ascii="Arial" w:cs="Arial" w:eastAsia="Arial" w:hAnsi="Arial"/>
                  <w:sz w:val="17"/>
                  <w:szCs w:val="17"/>
                  <w:color w:val="000000"/>
                </w:rPr>
                <w:t>(Predecessor Company)</w:t>
              </w:r>
            </w:hyperlink>
          </w:p>
        </w:tc>
        <w:tc>
          <w:tcPr>
            <w:tcW w:w="620" w:type="dxa"/>
            <w:vAlign w:val="bottom"/>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F-12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20" w:type="dxa"/>
            <w:vAlign w:val="bottom"/>
            <w:tcBorders>
              <w:bottom w:val="single" w:sz="8" w:color="0000EE"/>
            </w:tcBorders>
            <w:gridSpan w:val="6"/>
          </w:tcPr>
          <w:p>
            <w:pPr>
              <w:spacing w:after="0" w:line="184" w:lineRule="exact"/>
              <w:rPr>
                <w:rFonts w:ascii="Arial" w:cs="Arial" w:eastAsia="Arial" w:hAnsi="Arial"/>
                <w:sz w:val="17"/>
                <w:szCs w:val="17"/>
                <w:color w:val="0000EE"/>
                <w:w w:val="89"/>
              </w:rPr>
            </w:pPr>
            <w:hyperlink w:anchor="page241">
              <w:r>
                <w:rPr>
                  <w:rFonts w:ascii="Arial" w:cs="Arial" w:eastAsia="Arial" w:hAnsi="Arial"/>
                  <w:sz w:val="17"/>
                  <w:szCs w:val="17"/>
                  <w:color w:val="0000EE"/>
                  <w:w w:val="89"/>
                </w:rPr>
                <w:t>Notes to the Consolidated Financial Statements</w:t>
              </w:r>
            </w:hyperlink>
          </w:p>
        </w:tc>
        <w:tc>
          <w:tcPr>
            <w:tcW w:w="6720" w:type="dxa"/>
            <w:vAlign w:val="bottom"/>
            <w:gridSpan w:val="11"/>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F-14</w:t>
            </w:r>
          </w:p>
        </w:tc>
        <w:tc>
          <w:tcPr>
            <w:tcW w:w="0" w:type="dxa"/>
            <w:vAlign w:val="bottom"/>
          </w:tcPr>
          <w:p>
            <w:pPr>
              <w:spacing w:after="0"/>
              <w:rPr>
                <w:sz w:val="1"/>
                <w:szCs w:val="1"/>
                <w:color w:val="auto"/>
              </w:rPr>
            </w:pPr>
          </w:p>
        </w:tc>
      </w:tr>
      <w:tr>
        <w:trPr>
          <w:trHeight w:val="424"/>
        </w:trPr>
        <w:tc>
          <w:tcPr>
            <w:tcW w:w="9940" w:type="dxa"/>
            <w:vAlign w:val="bottom"/>
            <w:gridSpan w:val="17"/>
          </w:tcPr>
          <w:p>
            <w:pPr>
              <w:spacing w:after="0"/>
              <w:rPr>
                <w:sz w:val="20"/>
                <w:szCs w:val="20"/>
                <w:color w:val="auto"/>
              </w:rPr>
            </w:pPr>
            <w:r>
              <w:rPr>
                <w:rFonts w:ascii="Arial" w:cs="Arial" w:eastAsia="Arial" w:hAnsi="Arial"/>
                <w:sz w:val="17"/>
                <w:szCs w:val="17"/>
                <w:b w:val="1"/>
                <w:bCs w:val="1"/>
                <w:color w:val="auto"/>
              </w:rPr>
              <w:t>CONSOLIDATED FINANCIAL STATEMENTS OF DEFINITIVE OPCO AND SUBSIDIARIES (UNAUDITED)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9940" w:type="dxa"/>
            <w:vAlign w:val="bottom"/>
            <w:gridSpan w:val="17"/>
          </w:tcPr>
          <w:p>
            <w:pPr>
              <w:spacing w:after="0"/>
              <w:rPr>
                <w:rFonts w:ascii="Arial" w:cs="Arial" w:eastAsia="Arial" w:hAnsi="Arial"/>
                <w:sz w:val="17"/>
                <w:szCs w:val="17"/>
                <w:color w:val="0000EE"/>
              </w:rPr>
            </w:pPr>
            <w:hyperlink w:anchor="page275">
              <w:r>
                <w:rPr>
                  <w:rFonts w:ascii="Arial" w:cs="Arial" w:eastAsia="Arial" w:hAnsi="Arial"/>
                  <w:sz w:val="17"/>
                  <w:szCs w:val="17"/>
                  <w:color w:val="0000EE"/>
                </w:rPr>
                <w:t>Consolidated Balance Sheets as of June 30, 2021 and 2020</w:t>
              </w:r>
            </w:hyperlink>
          </w:p>
        </w:tc>
        <w:tc>
          <w:tcPr>
            <w:tcW w:w="380" w:type="dxa"/>
            <w:vAlign w:val="bottom"/>
          </w:tcPr>
          <w:p>
            <w:pPr>
              <w:jc w:val="right"/>
              <w:spacing w:after="0"/>
              <w:rPr>
                <w:sz w:val="20"/>
                <w:szCs w:val="20"/>
                <w:color w:val="auto"/>
              </w:rPr>
            </w:pPr>
            <w:r>
              <w:rPr>
                <w:rFonts w:ascii="Arial" w:cs="Arial" w:eastAsia="Arial" w:hAnsi="Arial"/>
                <w:sz w:val="17"/>
                <w:szCs w:val="17"/>
                <w:color w:val="auto"/>
              </w:rPr>
              <w:t>F-48</w:t>
            </w:r>
          </w:p>
        </w:tc>
        <w:tc>
          <w:tcPr>
            <w:tcW w:w="0" w:type="dxa"/>
            <w:vAlign w:val="bottom"/>
          </w:tcPr>
          <w:p>
            <w:pPr>
              <w:spacing w:after="0"/>
              <w:rPr>
                <w:sz w:val="1"/>
                <w:szCs w:val="1"/>
                <w:color w:val="auto"/>
              </w:rPr>
            </w:pPr>
          </w:p>
        </w:tc>
      </w:tr>
      <w:tr>
        <w:trPr>
          <w:trHeight w:val="20"/>
        </w:trPr>
        <w:tc>
          <w:tcPr>
            <w:tcW w:w="398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tcBorders>
              <w:bottom w:val="single" w:sz="8" w:color="0000EE"/>
            </w:tcBorders>
            <w:gridSpan w:val="13"/>
          </w:tcPr>
          <w:p>
            <w:pPr>
              <w:spacing w:after="0" w:line="184" w:lineRule="exact"/>
              <w:rPr>
                <w:rFonts w:ascii="Arial" w:cs="Arial" w:eastAsia="Arial" w:hAnsi="Arial"/>
                <w:sz w:val="17"/>
                <w:szCs w:val="17"/>
                <w:color w:val="0000EE"/>
                <w:w w:val="89"/>
              </w:rPr>
            </w:pPr>
            <w:hyperlink w:anchor="page276">
              <w:r>
                <w:rPr>
                  <w:rFonts w:ascii="Arial" w:cs="Arial" w:eastAsia="Arial" w:hAnsi="Arial"/>
                  <w:sz w:val="17"/>
                  <w:szCs w:val="17"/>
                  <w:color w:val="0000EE"/>
                  <w:w w:val="89"/>
                </w:rPr>
                <w:t>Consolidated Statements of Income (Loss) for the Six Months Ended June 30, 2021 and 2020</w:t>
              </w:r>
            </w:hyperlink>
          </w:p>
        </w:tc>
        <w:tc>
          <w:tcPr>
            <w:tcW w:w="3600" w:type="dxa"/>
            <w:vAlign w:val="bottom"/>
            <w:gridSpan w:val="4"/>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F-49</w:t>
            </w:r>
          </w:p>
        </w:tc>
        <w:tc>
          <w:tcPr>
            <w:tcW w:w="0" w:type="dxa"/>
            <w:vAlign w:val="bottom"/>
          </w:tcPr>
          <w:p>
            <w:pPr>
              <w:spacing w:after="0"/>
              <w:rPr>
                <w:sz w:val="1"/>
                <w:szCs w:val="1"/>
                <w:color w:val="auto"/>
              </w:rPr>
            </w:pPr>
          </w:p>
        </w:tc>
      </w:tr>
      <w:tr>
        <w:trPr>
          <w:trHeight w:val="184"/>
        </w:trPr>
        <w:tc>
          <w:tcPr>
            <w:tcW w:w="9940" w:type="dxa"/>
            <w:vAlign w:val="bottom"/>
            <w:gridSpan w:val="17"/>
          </w:tcPr>
          <w:p>
            <w:pPr>
              <w:spacing w:after="0" w:line="184" w:lineRule="exact"/>
              <w:rPr>
                <w:rFonts w:ascii="Arial" w:cs="Arial" w:eastAsia="Arial" w:hAnsi="Arial"/>
                <w:sz w:val="17"/>
                <w:szCs w:val="17"/>
                <w:color w:val="0000EE"/>
              </w:rPr>
            </w:pPr>
            <w:hyperlink w:anchor="page277">
              <w:r>
                <w:rPr>
                  <w:rFonts w:ascii="Arial" w:cs="Arial" w:eastAsia="Arial" w:hAnsi="Arial"/>
                  <w:sz w:val="17"/>
                  <w:szCs w:val="17"/>
                  <w:color w:val="0000EE"/>
                </w:rPr>
                <w:t>Consolidated Statements of Comprehensive (Loss) Income for the Six Months Ended June 30, 2021 and 2020</w:t>
              </w:r>
            </w:hyperlink>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F-50</w:t>
            </w:r>
          </w:p>
        </w:tc>
        <w:tc>
          <w:tcPr>
            <w:tcW w:w="0" w:type="dxa"/>
            <w:vAlign w:val="bottom"/>
          </w:tcPr>
          <w:p>
            <w:pPr>
              <w:spacing w:after="0"/>
              <w:rPr>
                <w:sz w:val="1"/>
                <w:szCs w:val="1"/>
                <w:color w:val="auto"/>
              </w:rPr>
            </w:pPr>
          </w:p>
        </w:tc>
      </w:tr>
      <w:tr>
        <w:trPr>
          <w:trHeight w:val="184"/>
        </w:trPr>
        <w:tc>
          <w:tcPr>
            <w:tcW w:w="7440" w:type="dxa"/>
            <w:vAlign w:val="bottom"/>
            <w:tcBorders>
              <w:top w:val="single" w:sz="8" w:color="0000EE"/>
            </w:tcBorders>
            <w:gridSpan w:val="15"/>
          </w:tcPr>
          <w:p>
            <w:pPr>
              <w:spacing w:after="0" w:line="184" w:lineRule="exact"/>
              <w:rPr>
                <w:rFonts w:ascii="Arial" w:cs="Arial" w:eastAsia="Arial" w:hAnsi="Arial"/>
                <w:sz w:val="17"/>
                <w:szCs w:val="17"/>
                <w:color w:val="0000EE"/>
                <w:w w:val="91"/>
              </w:rPr>
            </w:pPr>
            <w:hyperlink w:anchor="page278">
              <w:r>
                <w:rPr>
                  <w:rFonts w:ascii="Arial" w:cs="Arial" w:eastAsia="Arial" w:hAnsi="Arial"/>
                  <w:sz w:val="17"/>
                  <w:szCs w:val="17"/>
                  <w:color w:val="0000EE"/>
                  <w:w w:val="91"/>
                </w:rPr>
                <w:t>Consolidated Statements of Changes in Members’ Equity for the Six Months Ended June 30, 2021 and 2020</w:t>
              </w:r>
            </w:hyperlink>
          </w:p>
        </w:tc>
        <w:tc>
          <w:tcPr>
            <w:tcW w:w="2500" w:type="dxa"/>
            <w:vAlign w:val="bottom"/>
            <w:gridSpan w:val="2"/>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F-51</w:t>
            </w:r>
          </w:p>
        </w:tc>
        <w:tc>
          <w:tcPr>
            <w:tcW w:w="0" w:type="dxa"/>
            <w:vAlign w:val="bottom"/>
          </w:tcPr>
          <w:p>
            <w:pPr>
              <w:spacing w:after="0"/>
              <w:rPr>
                <w:sz w:val="1"/>
                <w:szCs w:val="1"/>
                <w:color w:val="auto"/>
              </w:rPr>
            </w:pPr>
          </w:p>
        </w:tc>
      </w:tr>
      <w:tr>
        <w:trPr>
          <w:trHeight w:val="184"/>
        </w:trPr>
        <w:tc>
          <w:tcPr>
            <w:tcW w:w="7340" w:type="dxa"/>
            <w:vAlign w:val="bottom"/>
            <w:tcBorders>
              <w:top w:val="single" w:sz="8" w:color="0000EE"/>
            </w:tcBorders>
            <w:gridSpan w:val="14"/>
          </w:tcPr>
          <w:p>
            <w:pPr>
              <w:spacing w:after="0" w:line="184" w:lineRule="exact"/>
              <w:rPr>
                <w:rFonts w:ascii="Arial" w:cs="Arial" w:eastAsia="Arial" w:hAnsi="Arial"/>
                <w:sz w:val="17"/>
                <w:szCs w:val="17"/>
                <w:color w:val="0000EE"/>
              </w:rPr>
            </w:pPr>
            <w:hyperlink w:anchor="page279">
              <w:r>
                <w:rPr>
                  <w:rFonts w:ascii="Arial" w:cs="Arial" w:eastAsia="Arial" w:hAnsi="Arial"/>
                  <w:sz w:val="17"/>
                  <w:szCs w:val="17"/>
                  <w:color w:val="0000EE"/>
                </w:rPr>
                <w:t>Consolidated Statements of Cash Flows for the Six Months Ended June 30, 2021 and 2020</w:t>
              </w:r>
            </w:hyperlink>
          </w:p>
        </w:tc>
        <w:tc>
          <w:tcPr>
            <w:tcW w:w="2600" w:type="dxa"/>
            <w:vAlign w:val="bottom"/>
            <w:gridSpan w:val="3"/>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F-52</w:t>
            </w:r>
          </w:p>
        </w:tc>
        <w:tc>
          <w:tcPr>
            <w:tcW w:w="0" w:type="dxa"/>
            <w:vAlign w:val="bottom"/>
          </w:tcPr>
          <w:p>
            <w:pPr>
              <w:spacing w:after="0"/>
              <w:rPr>
                <w:sz w:val="1"/>
                <w:szCs w:val="1"/>
                <w:color w:val="auto"/>
              </w:rPr>
            </w:pPr>
          </w:p>
        </w:tc>
      </w:tr>
      <w:tr>
        <w:trPr>
          <w:trHeight w:val="184"/>
        </w:trPr>
        <w:tc>
          <w:tcPr>
            <w:tcW w:w="6140" w:type="dxa"/>
            <w:vAlign w:val="bottom"/>
            <w:tcBorders>
              <w:top w:val="single" w:sz="8" w:color="0000EE"/>
            </w:tcBorders>
            <w:gridSpan w:val="12"/>
          </w:tcPr>
          <w:p>
            <w:pPr>
              <w:spacing w:after="0" w:line="184" w:lineRule="exact"/>
              <w:rPr>
                <w:rFonts w:ascii="Arial" w:cs="Arial" w:eastAsia="Arial" w:hAnsi="Arial"/>
                <w:sz w:val="17"/>
                <w:szCs w:val="17"/>
                <w:color w:val="0000EE"/>
              </w:rPr>
            </w:pPr>
            <w:hyperlink w:anchor="page281">
              <w:r>
                <w:rPr>
                  <w:rFonts w:ascii="Arial" w:cs="Arial" w:eastAsia="Arial" w:hAnsi="Arial"/>
                  <w:sz w:val="17"/>
                  <w:szCs w:val="17"/>
                  <w:color w:val="0000EE"/>
                </w:rPr>
                <w:t>Notes to the Condensed Consolidated Financial Statements</w:t>
              </w:r>
            </w:hyperlink>
          </w:p>
        </w:tc>
        <w:tc>
          <w:tcPr>
            <w:tcW w:w="3800" w:type="dxa"/>
            <w:vAlign w:val="bottom"/>
            <w:gridSpan w:val="5"/>
          </w:tcPr>
          <w:p>
            <w:pPr>
              <w:spacing w:after="0"/>
              <w:rPr>
                <w:sz w:val="15"/>
                <w:szCs w:val="15"/>
                <w:color w:val="auto"/>
              </w:rPr>
            </w:pPr>
          </w:p>
        </w:tc>
        <w:tc>
          <w:tcPr>
            <w:tcW w:w="380" w:type="dxa"/>
            <w:vAlign w:val="bottom"/>
          </w:tcPr>
          <w:p>
            <w:pPr>
              <w:jc w:val="right"/>
              <w:spacing w:after="0" w:line="184" w:lineRule="exact"/>
              <w:rPr>
                <w:sz w:val="20"/>
                <w:szCs w:val="20"/>
                <w:color w:val="auto"/>
              </w:rPr>
            </w:pPr>
            <w:r>
              <w:rPr>
                <w:rFonts w:ascii="Arial" w:cs="Arial" w:eastAsia="Arial" w:hAnsi="Arial"/>
                <w:sz w:val="17"/>
                <w:szCs w:val="17"/>
                <w:color w:val="auto"/>
              </w:rPr>
              <w:t>F-54</w:t>
            </w:r>
          </w:p>
        </w:tc>
        <w:tc>
          <w:tcPr>
            <w:tcW w:w="0" w:type="dxa"/>
            <w:vAlign w:val="bottom"/>
          </w:tcPr>
          <w:p>
            <w:pPr>
              <w:spacing w:after="0"/>
              <w:rPr>
                <w:sz w:val="1"/>
                <w:szCs w:val="1"/>
                <w:color w:val="auto"/>
              </w:rPr>
            </w:pPr>
          </w:p>
        </w:tc>
      </w:tr>
      <w:tr>
        <w:trPr>
          <w:trHeight w:val="361"/>
        </w:trPr>
        <w:tc>
          <w:tcPr>
            <w:tcW w:w="160" w:type="dxa"/>
            <w:vAlign w:val="bottom"/>
            <w:tcBorders>
              <w:top w:val="single" w:sz="8" w:color="0000EE"/>
            </w:tcBorders>
          </w:tcPr>
          <w:p>
            <w:pPr>
              <w:spacing w:after="0"/>
              <w:rPr>
                <w:sz w:val="24"/>
                <w:szCs w:val="24"/>
                <w:color w:val="auto"/>
              </w:rPr>
            </w:pPr>
          </w:p>
        </w:tc>
        <w:tc>
          <w:tcPr>
            <w:tcW w:w="14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560" w:type="dxa"/>
            <w:vAlign w:val="bottom"/>
            <w:gridSpan w:val="6"/>
          </w:tcPr>
          <w:p>
            <w:pPr>
              <w:jc w:val="center"/>
              <w:ind w:right="3960"/>
              <w:spacing w:after="0"/>
              <w:rPr>
                <w:sz w:val="20"/>
                <w:szCs w:val="20"/>
                <w:color w:val="auto"/>
              </w:rPr>
            </w:pPr>
            <w:r>
              <w:rPr>
                <w:rFonts w:ascii="Arial" w:cs="Arial" w:eastAsia="Arial" w:hAnsi="Arial"/>
                <w:sz w:val="17"/>
                <w:szCs w:val="17"/>
                <w:color w:val="auto"/>
                <w:w w:val="93"/>
              </w:rPr>
              <w:t>F-1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42" w:right="81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Definitive Healthcare Corp.</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Balance Sheet as of May 24, 2021 and Report of Independent Registered Public Accounting Firm</w:t>
      </w:r>
    </w:p>
    <w:p>
      <w:pPr>
        <w:spacing w:after="0" w:line="17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0139"/>
          </w:cols>
          <w:pgMar w:left="320" w:top="442" w:right="1440" w:bottom="1440" w:gutter="0" w:footer="0" w:header="0"/>
        </w:sectPr>
      </w:pPr>
    </w:p>
    <w:bookmarkStart w:id="229" w:name="page230"/>
    <w:bookmarkEnd w:id="2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right="4560"/>
        <w:spacing w:after="0" w:line="443"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shareholders and the Board of Directors of Definitive Healthcare Corp.</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Opinion on the Financial Statement</w:t>
      </w:r>
    </w:p>
    <w:p>
      <w:pPr>
        <w:spacing w:after="0" w:line="114" w:lineRule="exact"/>
        <w:rPr>
          <w:sz w:val="20"/>
          <w:szCs w:val="20"/>
          <w:color w:val="auto"/>
        </w:rPr>
      </w:pPr>
    </w:p>
    <w:p>
      <w:pPr>
        <w:ind w:left="440"/>
        <w:spacing w:after="0" w:line="285" w:lineRule="auto"/>
        <w:rPr>
          <w:sz w:val="20"/>
          <w:szCs w:val="20"/>
          <w:color w:val="auto"/>
        </w:rPr>
      </w:pPr>
      <w:r>
        <w:rPr>
          <w:rFonts w:ascii="Arial" w:cs="Arial" w:eastAsia="Arial" w:hAnsi="Arial"/>
          <w:sz w:val="16"/>
          <w:szCs w:val="16"/>
          <w:color w:val="auto"/>
        </w:rPr>
        <w:t>We have audited the accompanying balance sheet of Definitive Healthcare Corp. (the “Company”) as of May 24, 2021, and the related notes (collectively referred to as the “financial statement”). In our opinion, the financial statement presents fairly, in all material respects, the financial position of the Company as of May 24, 2021, in conformity with accounting principles generally accepted in the United States of America.</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Basis for Opinion</w:t>
      </w:r>
    </w:p>
    <w:p>
      <w:pPr>
        <w:spacing w:after="0" w:line="114" w:lineRule="exact"/>
        <w:rPr>
          <w:sz w:val="20"/>
          <w:szCs w:val="20"/>
          <w:color w:val="auto"/>
        </w:rPr>
      </w:pPr>
    </w:p>
    <w:p>
      <w:pPr>
        <w:ind w:left="440"/>
        <w:spacing w:after="0" w:line="257"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440"/>
        <w:spacing w:after="0" w:line="25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440" w:right="60"/>
        <w:spacing w:after="0" w:line="302" w:lineRule="auto"/>
        <w:rPr>
          <w:sz w:val="20"/>
          <w:szCs w:val="20"/>
          <w:color w:val="auto"/>
        </w:rPr>
      </w:pPr>
      <w:r>
        <w:rPr>
          <w:rFonts w:ascii="Arial" w:cs="Arial" w:eastAsia="Arial" w:hAnsi="Arial"/>
          <w:sz w:val="15"/>
          <w:szCs w:val="15"/>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 Deloitte &amp; Touche LLP</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Boston, Massachusetts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May 28, 2021</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served as the Company’s auditor since 2021.</w:t>
      </w:r>
    </w:p>
    <w:p>
      <w:pPr>
        <w:spacing w:after="0" w:line="14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0800"/>
          </w:cols>
          <w:pgMar w:left="320" w:top="442" w:right="779" w:bottom="1440" w:gutter="0" w:footer="0" w:header="0"/>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tbl>
      <w:tblPr>
        <w:tblLayout w:type="fixed"/>
        <w:tblInd w:w="440" w:type="dxa"/>
        <w:tblCellMar>
          <w:top w:w="0" w:type="dxa"/>
          <w:left w:w="0" w:type="dxa"/>
          <w:bottom w:w="0" w:type="dxa"/>
          <w:right w:w="0" w:type="dxa"/>
        </w:tblCellMar>
      </w:tblPr>
      <w:tr>
        <w:trPr>
          <w:trHeight w:val="219"/>
        </w:trPr>
        <w:tc>
          <w:tcPr>
            <w:tcW w:w="9540" w:type="dxa"/>
            <w:vAlign w:val="bottom"/>
          </w:tcPr>
          <w:p>
            <w:pPr>
              <w:jc w:val="center"/>
              <w:ind w:left="735"/>
              <w:spacing w:after="0"/>
              <w:rPr>
                <w:sz w:val="20"/>
                <w:szCs w:val="20"/>
                <w:color w:val="auto"/>
              </w:rPr>
            </w:pPr>
            <w:r>
              <w:rPr>
                <w:rFonts w:ascii="Arial" w:cs="Arial" w:eastAsia="Arial" w:hAnsi="Arial"/>
                <w:sz w:val="17"/>
                <w:szCs w:val="17"/>
                <w:b w:val="1"/>
                <w:bCs w:val="1"/>
                <w:color w:val="auto"/>
              </w:rPr>
              <w:t>DEFINITIVE HEALTHCARE CORP.</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9540" w:type="dxa"/>
            <w:vAlign w:val="bottom"/>
          </w:tcPr>
          <w:p>
            <w:pPr>
              <w:jc w:val="center"/>
              <w:ind w:left="735"/>
              <w:spacing w:after="0"/>
              <w:rPr>
                <w:sz w:val="20"/>
                <w:szCs w:val="20"/>
                <w:color w:val="auto"/>
              </w:rPr>
            </w:pPr>
            <w:r>
              <w:rPr>
                <w:rFonts w:ascii="Arial" w:cs="Arial" w:eastAsia="Arial" w:hAnsi="Arial"/>
                <w:sz w:val="17"/>
                <w:szCs w:val="17"/>
                <w:b w:val="1"/>
                <w:bCs w:val="1"/>
                <w:color w:val="auto"/>
                <w:w w:val="99"/>
              </w:rPr>
              <w:t>BALANCE SHEET</w:t>
            </w: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9540" w:type="dxa"/>
            <w:vAlign w:val="bottom"/>
          </w:tcPr>
          <w:p>
            <w:pPr>
              <w:jc w:val="center"/>
              <w:ind w:left="755"/>
              <w:spacing w:after="0"/>
              <w:rPr>
                <w:sz w:val="20"/>
                <w:szCs w:val="20"/>
                <w:color w:val="auto"/>
              </w:rPr>
            </w:pPr>
            <w:r>
              <w:rPr>
                <w:rFonts w:ascii="Arial" w:cs="Arial" w:eastAsia="Arial" w:hAnsi="Arial"/>
                <w:sz w:val="17"/>
                <w:szCs w:val="17"/>
                <w:i w:val="1"/>
                <w:iCs w:val="1"/>
                <w:color w:val="auto"/>
                <w:w w:val="92"/>
              </w:rPr>
              <w:t>(amounts in dollars)</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9540" w:type="dxa"/>
            <w:vAlign w:val="bottom"/>
          </w:tcPr>
          <w:p>
            <w:pPr>
              <w:spacing w:after="0"/>
              <w:rPr>
                <w:sz w:val="24"/>
                <w:szCs w:val="2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5"/>
              </w:rPr>
              <w:t>May 24, 2021</w:t>
            </w:r>
          </w:p>
        </w:tc>
        <w:tc>
          <w:tcPr>
            <w:tcW w:w="0" w:type="dxa"/>
            <w:vAlign w:val="bottom"/>
          </w:tcPr>
          <w:p>
            <w:pPr>
              <w:spacing w:after="0"/>
              <w:rPr>
                <w:sz w:val="1"/>
                <w:szCs w:val="1"/>
                <w:color w:val="auto"/>
              </w:rPr>
            </w:pPr>
          </w:p>
        </w:tc>
      </w:tr>
      <w:tr>
        <w:trPr>
          <w:trHeight w:val="184"/>
        </w:trPr>
        <w:tc>
          <w:tcPr>
            <w:tcW w:w="95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540" w:type="dxa"/>
            <w:vAlign w:val="bottom"/>
          </w:tcPr>
          <w:p>
            <w:pPr>
              <w:ind w:left="340"/>
              <w:spacing w:after="0"/>
              <w:rPr>
                <w:sz w:val="20"/>
                <w:szCs w:val="20"/>
                <w:color w:val="auto"/>
              </w:rPr>
            </w:pPr>
            <w:r>
              <w:rPr>
                <w:rFonts w:ascii="Arial" w:cs="Arial" w:eastAsia="Arial" w:hAnsi="Arial"/>
                <w:sz w:val="17"/>
                <w:szCs w:val="17"/>
                <w:color w:val="auto"/>
              </w:rPr>
              <w:t>Cash</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5"/>
        </w:trPr>
        <w:tc>
          <w:tcPr>
            <w:tcW w:w="9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54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assets</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9540" w:type="dxa"/>
            <w:vAlign w:val="bottom"/>
            <w:vMerge w:val="restart"/>
          </w:tcPr>
          <w:p>
            <w:pPr>
              <w:spacing w:after="0"/>
              <w:rPr>
                <w:sz w:val="20"/>
                <w:szCs w:val="20"/>
                <w:color w:val="auto"/>
              </w:rPr>
            </w:pPr>
            <w:r>
              <w:rPr>
                <w:rFonts w:ascii="Arial" w:cs="Arial" w:eastAsia="Arial" w:hAnsi="Arial"/>
                <w:sz w:val="17"/>
                <w:szCs w:val="17"/>
                <w:b w:val="1"/>
                <w:bCs w:val="1"/>
                <w:color w:val="auto"/>
              </w:rPr>
              <w:t>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95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Common stock, par value $0.01 per share, 100 shares authorized, 1 issued and outstanding</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9540" w:type="dxa"/>
            <w:vAlign w:val="bottom"/>
            <w:vMerge w:val="restart"/>
          </w:tcPr>
          <w:p>
            <w:pPr>
              <w:ind w:left="340"/>
              <w:spacing w:after="0"/>
              <w:rPr>
                <w:sz w:val="20"/>
                <w:szCs w:val="20"/>
                <w:color w:val="auto"/>
              </w:rPr>
            </w:pPr>
            <w:r>
              <w:rPr>
                <w:rFonts w:ascii="Arial" w:cs="Arial" w:eastAsia="Arial" w:hAnsi="Arial"/>
                <w:sz w:val="17"/>
                <w:szCs w:val="17"/>
                <w:color w:val="auto"/>
              </w:rPr>
              <w:t>Additional paid in capital</w:t>
            </w: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99.99</w:t>
            </w:r>
          </w:p>
        </w:tc>
        <w:tc>
          <w:tcPr>
            <w:tcW w:w="0" w:type="dxa"/>
            <w:vAlign w:val="bottom"/>
          </w:tcPr>
          <w:p>
            <w:pPr>
              <w:spacing w:after="0"/>
              <w:rPr>
                <w:sz w:val="1"/>
                <w:szCs w:val="1"/>
                <w:color w:val="auto"/>
              </w:rPr>
            </w:pPr>
          </w:p>
        </w:tc>
      </w:tr>
      <w:tr>
        <w:trPr>
          <w:trHeight w:val="26"/>
        </w:trPr>
        <w:tc>
          <w:tcPr>
            <w:tcW w:w="9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954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Total stockholder’s equity</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
        </w:trPr>
        <w:tc>
          <w:tcPr>
            <w:tcW w:w="9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financial statement</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0820"/>
          </w:cols>
          <w:pgMar w:left="320" w:top="442" w:right="75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DEFINITIVE HEALTHCARE CORP.</w:t>
      </w:r>
    </w:p>
    <w:p>
      <w:pPr>
        <w:spacing w:after="0" w:line="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NOTES TO THE FINANCIAL STATEMENT</w:t>
      </w:r>
    </w:p>
    <w:p>
      <w:pPr>
        <w:spacing w:after="0" w:line="225" w:lineRule="exact"/>
        <w:rPr>
          <w:sz w:val="20"/>
          <w:szCs w:val="20"/>
          <w:color w:val="auto"/>
        </w:rPr>
      </w:pPr>
    </w:p>
    <w:p>
      <w:pPr>
        <w:ind w:left="840" w:hanging="406"/>
        <w:spacing w:after="0"/>
        <w:tabs>
          <w:tab w:leader="none" w:pos="840" w:val="left"/>
        </w:tabs>
        <w:numPr>
          <w:ilvl w:val="0"/>
          <w:numId w:val="17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Organization</w:t>
      </w:r>
    </w:p>
    <w:p>
      <w:pPr>
        <w:spacing w:after="0" w:line="110"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Definitive Healthcare Corp. (the “Corporation”) was organized as a Delaware corporation on May 5, 2021 and its shares were funded at May 24, 2021. The Corporation’s fiscal year end is December 31. Pursuant to a reorganization into a holding corporation structure, the Corporation will become a holding corporation and its sole assets are expected to be an equity interest in AIDH TopCo, LLC.</w:t>
      </w:r>
    </w:p>
    <w:p>
      <w:pPr>
        <w:spacing w:after="0" w:line="176" w:lineRule="exact"/>
        <w:rPr>
          <w:sz w:val="20"/>
          <w:szCs w:val="20"/>
          <w:color w:val="auto"/>
        </w:rPr>
      </w:pPr>
    </w:p>
    <w:p>
      <w:pPr>
        <w:ind w:left="440" w:right="100" w:firstLine="415"/>
        <w:spacing w:after="0" w:line="306" w:lineRule="auto"/>
        <w:rPr>
          <w:sz w:val="20"/>
          <w:szCs w:val="20"/>
          <w:color w:val="auto"/>
        </w:rPr>
      </w:pPr>
      <w:r>
        <w:rPr>
          <w:rFonts w:ascii="Arial" w:cs="Arial" w:eastAsia="Arial" w:hAnsi="Arial"/>
          <w:sz w:val="16"/>
          <w:szCs w:val="16"/>
          <w:color w:val="auto"/>
        </w:rPr>
        <w:t>The Corporation will be the sole managing member of AIDH TopCo, LLC, and will operate and control all of the businesses and affairs of AIDH TopCo, LLC and, through AIDH TopCo, LLC and its subsidiaries, continue to conduct the business now conducted by these entities.</w:t>
      </w:r>
    </w:p>
    <w:p>
      <w:pPr>
        <w:spacing w:after="0" w:line="281" w:lineRule="exact"/>
        <w:rPr>
          <w:sz w:val="20"/>
          <w:szCs w:val="20"/>
          <w:color w:val="auto"/>
        </w:rPr>
      </w:pPr>
    </w:p>
    <w:p>
      <w:pPr>
        <w:ind w:left="440" w:right="6860" w:hanging="6"/>
        <w:spacing w:after="0" w:line="374" w:lineRule="auto"/>
        <w:tabs>
          <w:tab w:leader="none" w:pos="847" w:val="left"/>
        </w:tabs>
        <w:numPr>
          <w:ilvl w:val="0"/>
          <w:numId w:val="17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Summary of Significant Accounting Policies Basis of Accounting</w:t>
      </w:r>
    </w:p>
    <w:p>
      <w:pPr>
        <w:spacing w:after="0" w:line="1"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The Balance Sheet has been prepared in accordance with generally accepted accounting principles in the United States (“U.S. GAAP”). Separate statements of operations, changes in stockholders’ equity and cash flows have not been presented in the financial statement because there have been no activities in this entity or because the single transaction is fully disclosed below.</w:t>
      </w:r>
    </w:p>
    <w:p>
      <w:pPr>
        <w:spacing w:after="0" w:line="316" w:lineRule="exact"/>
        <w:rPr>
          <w:sz w:val="20"/>
          <w:szCs w:val="20"/>
          <w:color w:val="auto"/>
        </w:rPr>
      </w:pPr>
    </w:p>
    <w:p>
      <w:pPr>
        <w:ind w:left="840" w:hanging="406"/>
        <w:spacing w:after="0"/>
        <w:tabs>
          <w:tab w:leader="none" w:pos="840" w:val="left"/>
        </w:tabs>
        <w:numPr>
          <w:ilvl w:val="0"/>
          <w:numId w:val="17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Stockholder’s Equity</w:t>
      </w:r>
    </w:p>
    <w:p>
      <w:pPr>
        <w:spacing w:after="0" w:line="110"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Corporation is authorized to issue 100 shares of Common Stock, par value $0.01 per share. In exchange for $100, the Corporation has issued 1 share of common stock, which is held by Advent International GPE IX Limited Partnership as of May 24, 2021.</w:t>
      </w:r>
    </w:p>
    <w:p>
      <w:pPr>
        <w:spacing w:after="0" w:line="306" w:lineRule="exact"/>
        <w:rPr>
          <w:sz w:val="20"/>
          <w:szCs w:val="20"/>
          <w:color w:val="auto"/>
        </w:rPr>
      </w:pPr>
    </w:p>
    <w:p>
      <w:pPr>
        <w:ind w:left="840" w:hanging="406"/>
        <w:spacing w:after="0"/>
        <w:tabs>
          <w:tab w:leader="none" w:pos="840" w:val="left"/>
        </w:tabs>
        <w:numPr>
          <w:ilvl w:val="0"/>
          <w:numId w:val="18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Subsequent Events</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The Corporation has evaluated subsequent events through May 28, 2021, the date which the financial statement was issued, and did not identify any additional matters that require disclosure.</w:t>
      </w:r>
    </w:p>
    <w:p>
      <w:pPr>
        <w:spacing w:after="0" w:line="102"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0820"/>
          </w:cols>
          <w:pgMar w:left="320" w:top="442" w:right="759" w:bottom="1440" w:gutter="0" w:footer="0" w:header="0"/>
        </w:sectPr>
      </w:pPr>
    </w:p>
    <w:bookmarkStart w:id="232" w:name="page233"/>
    <w:bookmarkEnd w:id="2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AIDH TopCo, LLC</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and Subsidiaries</w:t>
      </w:r>
    </w:p>
    <w:p>
      <w:pPr>
        <w:spacing w:after="0" w:line="200" w:lineRule="exact"/>
        <w:rPr>
          <w:sz w:val="20"/>
          <w:szCs w:val="20"/>
          <w:color w:val="auto"/>
        </w:rPr>
      </w:pPr>
    </w:p>
    <w:p>
      <w:pPr>
        <w:ind w:left="440"/>
        <w:spacing w:after="0" w:line="261" w:lineRule="auto"/>
        <w:rPr>
          <w:sz w:val="20"/>
          <w:szCs w:val="20"/>
          <w:color w:val="auto"/>
        </w:rPr>
      </w:pPr>
      <w:r>
        <w:rPr>
          <w:rFonts w:ascii="Arial" w:cs="Arial" w:eastAsia="Arial" w:hAnsi="Arial"/>
          <w:sz w:val="17"/>
          <w:szCs w:val="17"/>
          <w:color w:val="auto"/>
        </w:rPr>
        <w:t>Consolidated Financial Statements as of December 31, 2020 and 2019 (Successor Company), and for the Year Ended December 31, 2020 (Successor Company), and Periods from July 16, 2019 to December 31, 2019 (Successor Company) and January 1, 2019 to July 15, 2019 (Predecessor Company), and Report of Independent Registered Public Accounting Firm</w:t>
      </w:r>
    </w:p>
    <w:p>
      <w:pPr>
        <w:spacing w:after="0" w:line="113"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0700"/>
          </w:cols>
          <w:pgMar w:left="320" w:top="442" w:right="879" w:bottom="1440" w:gutter="0" w:footer="0" w:header="0"/>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the shareholders and the Board of Directors of AIDH Topco, LLC</w:t>
      </w:r>
    </w:p>
    <w:p>
      <w:pPr>
        <w:spacing w:after="0" w:line="3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14" w:lineRule="exact"/>
        <w:rPr>
          <w:sz w:val="20"/>
          <w:szCs w:val="20"/>
          <w:color w:val="auto"/>
        </w:rPr>
      </w:pPr>
    </w:p>
    <w:p>
      <w:pPr>
        <w:ind w:left="440" w:right="40"/>
        <w:spacing w:after="0" w:line="271" w:lineRule="auto"/>
        <w:rPr>
          <w:sz w:val="20"/>
          <w:szCs w:val="20"/>
          <w:color w:val="auto"/>
        </w:rPr>
      </w:pPr>
      <w:r>
        <w:rPr>
          <w:rFonts w:ascii="Arial" w:cs="Arial" w:eastAsia="Arial" w:hAnsi="Arial"/>
          <w:sz w:val="16"/>
          <w:szCs w:val="16"/>
          <w:color w:val="auto"/>
        </w:rPr>
        <w:t>We have audited the accompanying consolidated balance sheets of AIDH TopCo, LLC and subsidiaries (the “Company”), as of December 31, 2020 and 2019 (Successor Company), and the related consolidated statements of (loss) income, comprehensive (loss) income, changes in members’ equity, and cash flows for the year ended December 31, 2020 (Successor Company) and for the periods from July 16, 2019 to December 31, 2019 (Successor Company) and January 1, 2019 to July 15, 2019 (Predecessor Company), and the related notes (collectively referred to as the “financial statements”). In our opinion, the financial statements present fairly, in all material respects, the financial position of the Company as of December 31, 2020 and 2019 (Successor Company), and the results of its operations and its cash flows for the year ended December 31, 2020 (Successor Company) and for the periods from July 16, 2019 to December 31, 2019 (Successor Company) and January 1, 2019 to July 15, 2019 (Predecessor Company), in conformity with accounting principles generally accepted in the United States of America.</w:t>
      </w:r>
    </w:p>
    <w:p>
      <w:pPr>
        <w:spacing w:after="0" w:line="26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Basis for Opinion</w:t>
      </w:r>
    </w:p>
    <w:p>
      <w:pPr>
        <w:spacing w:after="0" w:line="114" w:lineRule="exact"/>
        <w:rPr>
          <w:sz w:val="20"/>
          <w:szCs w:val="20"/>
          <w:color w:val="auto"/>
        </w:rPr>
      </w:pPr>
    </w:p>
    <w:p>
      <w:pPr>
        <w:ind w:left="440" w:right="60"/>
        <w:spacing w:after="0" w:line="25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440" w:right="20"/>
        <w:spacing w:after="0" w:line="254"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440"/>
        <w:spacing w:after="0" w:line="302"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 Deloitte &amp; Touche LLP</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Boston, Massachusetts</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May 28, 2021</w:t>
      </w:r>
    </w:p>
    <w:p>
      <w:pPr>
        <w:spacing w:after="0" w:line="20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have served as the Company’s auditor since 2020.</w:t>
      </w:r>
    </w:p>
    <w:p>
      <w:pPr>
        <w:spacing w:after="0" w:line="14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0780"/>
          </w:cols>
          <w:pgMar w:left="320" w:top="442" w:right="799" w:bottom="1440" w:gutter="0" w:footer="0" w:header="0"/>
        </w:sectPr>
      </w:pPr>
    </w:p>
    <w:bookmarkStart w:id="234" w:name="page235"/>
    <w:bookmarkEnd w:id="2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BALANCE SHEETS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(in thousands, except number of units)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Borders>
              <w:top w:val="single" w:sz="8" w:color="auto"/>
            </w:tcBorders>
            <w:gridSpan w:val="3"/>
          </w:tcPr>
          <w:p>
            <w:pPr>
              <w:ind w:left="20"/>
              <w:spacing w:after="0" w:line="113" w:lineRule="exact"/>
              <w:rPr>
                <w:sz w:val="20"/>
                <w:szCs w:val="20"/>
                <w:color w:val="auto"/>
              </w:rPr>
            </w:pPr>
            <w:r>
              <w:rPr>
                <w:rFonts w:ascii="Arial" w:cs="Arial" w:eastAsia="Arial" w:hAnsi="Arial"/>
                <w:sz w:val="12"/>
                <w:szCs w:val="12"/>
                <w:b w:val="1"/>
                <w:bCs w:val="1"/>
                <w:color w:val="auto"/>
              </w:rPr>
              <w:t>December 31,</w:t>
            </w:r>
          </w:p>
        </w:tc>
        <w:tc>
          <w:tcPr>
            <w:tcW w:w="840" w:type="dxa"/>
            <w:vAlign w:val="bottom"/>
            <w:tcBorders>
              <w:top w:val="single" w:sz="8" w:color="auto"/>
            </w:tcBorders>
            <w:gridSpan w:val="2"/>
          </w:tcPr>
          <w:p>
            <w:pPr>
              <w:jc w:val="right"/>
              <w:spacing w:after="0" w:line="113" w:lineRule="exact"/>
              <w:rPr>
                <w:sz w:val="20"/>
                <w:szCs w:val="20"/>
                <w:color w:val="auto"/>
              </w:rPr>
            </w:pPr>
            <w:r>
              <w:rPr>
                <w:rFonts w:ascii="Arial" w:cs="Arial" w:eastAsia="Arial" w:hAnsi="Arial"/>
                <w:sz w:val="12"/>
                <w:szCs w:val="12"/>
                <w:b w:val="1"/>
                <w:bCs w:val="1"/>
                <w:color w:val="auto"/>
              </w:rPr>
              <w:t>December 31,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10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Current assets: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24,774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8,618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33,108</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25,021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3,016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1,699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Current portion of deferred contract costs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2,947</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63,845</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36,107</w:t>
            </w:r>
          </w:p>
        </w:tc>
        <w:tc>
          <w:tcPr>
            <w:tcW w:w="0" w:type="dxa"/>
            <w:vAlign w:val="bottom"/>
          </w:tcPr>
          <w:p>
            <w:pPr>
              <w:spacing w:after="0"/>
              <w:rPr>
                <w:sz w:val="1"/>
                <w:szCs w:val="1"/>
                <w:color w:val="auto"/>
              </w:rPr>
            </w:pPr>
          </w:p>
        </w:tc>
      </w:tr>
      <w:tr>
        <w:trPr>
          <w:trHeight w:val="304"/>
        </w:trPr>
        <w:tc>
          <w:tcPr>
            <w:tcW w:w="812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3,248</w:t>
            </w:r>
          </w:p>
        </w:tc>
        <w:tc>
          <w:tcPr>
            <w:tcW w:w="12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2,558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472</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Deferred contract costs, net of current portion</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5,952</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2,116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spacing w:after="0"/>
              <w:rPr>
                <w:sz w:val="20"/>
                <w:szCs w:val="20"/>
                <w:color w:val="auto"/>
              </w:rPr>
            </w:pPr>
            <w:r>
              <w:rPr>
                <w:rFonts w:ascii="Arial" w:cs="Arial" w:eastAsia="Arial" w:hAnsi="Arial"/>
                <w:sz w:val="17"/>
                <w:szCs w:val="17"/>
                <w:color w:val="auto"/>
              </w:rPr>
              <w:t>Intangible assets, net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410,237</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446,381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1,233,173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1,745,359</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1,721,154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Members’ Capital</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812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5,662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17,321</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10,348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Members’ distribution payable</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Current portion of deferred 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61,060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45,977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term loan</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00" w:type="dxa"/>
            <w:vAlign w:val="bottom"/>
          </w:tcPr>
          <w:p>
            <w:pPr>
              <w:ind w:left="660"/>
              <w:spacing w:after="0"/>
              <w:rPr>
                <w:sz w:val="20"/>
                <w:szCs w:val="20"/>
                <w:color w:val="auto"/>
              </w:rPr>
            </w:pPr>
            <w:r>
              <w:rPr>
                <w:rFonts w:ascii="Arial" w:cs="Arial" w:eastAsia="Arial" w:hAnsi="Arial"/>
                <w:sz w:val="17"/>
                <w:szCs w:val="17"/>
                <w:b w:val="1"/>
                <w:bCs w:val="1"/>
                <w:color w:val="auto"/>
              </w:rPr>
              <w:t>Total 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88,723</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69,917</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Long term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7"/>
                <w:szCs w:val="17"/>
                <w:color w:val="auto"/>
              </w:rPr>
              <w:t>140</w:t>
            </w:r>
          </w:p>
        </w:tc>
        <w:tc>
          <w:tcPr>
            <w:tcW w:w="12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Term loan, net of current portion</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457,197</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434,849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Other long-term liabilities</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3,736</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549,796</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504,914</w:t>
            </w:r>
          </w:p>
        </w:tc>
        <w:tc>
          <w:tcPr>
            <w:tcW w:w="0" w:type="dxa"/>
            <w:vAlign w:val="bottom"/>
          </w:tcPr>
          <w:p>
            <w:pPr>
              <w:spacing w:after="0"/>
              <w:rPr>
                <w:sz w:val="1"/>
                <w:szCs w:val="1"/>
                <w:color w:val="auto"/>
              </w:rPr>
            </w:pPr>
          </w:p>
        </w:tc>
      </w:tr>
      <w:tr>
        <w:trPr>
          <w:trHeight w:val="266"/>
        </w:trPr>
        <w:tc>
          <w:tcPr>
            <w:tcW w:w="8120" w:type="dxa"/>
            <w:vAlign w:val="bottom"/>
            <w:gridSpan w:val="2"/>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7"/>
                <w:szCs w:val="17"/>
                <w:color w:val="auto"/>
              </w:rPr>
              <w:t>Members’ capital:</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100" w:type="dxa"/>
            <w:vAlign w:val="bottom"/>
          </w:tcPr>
          <w:p>
            <w:pPr>
              <w:ind w:left="320"/>
              <w:spacing w:after="0" w:line="191" w:lineRule="exact"/>
              <w:rPr>
                <w:sz w:val="20"/>
                <w:szCs w:val="20"/>
                <w:color w:val="auto"/>
              </w:rPr>
            </w:pPr>
            <w:r>
              <w:rPr>
                <w:rFonts w:ascii="Arial" w:cs="Arial" w:eastAsia="Arial" w:hAnsi="Arial"/>
                <w:sz w:val="17"/>
                <w:szCs w:val="17"/>
                <w:color w:val="auto"/>
                <w:w w:val="91"/>
              </w:rPr>
              <w:t>Class A units, 130,245,990 and 127,125,435 units authorized, issued and outstanding at December 31, 2020 and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80"/>
              <w:spacing w:after="0"/>
              <w:rPr>
                <w:sz w:val="20"/>
                <w:szCs w:val="20"/>
                <w:color w:val="auto"/>
              </w:rPr>
            </w:pPr>
            <w:r>
              <w:rPr>
                <w:rFonts w:ascii="Arial" w:cs="Arial" w:eastAsia="Arial" w:hAnsi="Arial"/>
                <w:sz w:val="17"/>
                <w:szCs w:val="17"/>
                <w:color w:val="auto"/>
              </w:rPr>
              <w:t>2019, respectively</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1,303,058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1,271,254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shd w:val="clear" w:color="auto" w:fill="CCEEFF"/>
          </w:tcPr>
          <w:p>
            <w:pPr>
              <w:ind w:left="320"/>
              <w:spacing w:after="0" w:line="192" w:lineRule="exact"/>
              <w:rPr>
                <w:sz w:val="20"/>
                <w:szCs w:val="20"/>
                <w:color w:val="auto"/>
              </w:rPr>
            </w:pPr>
            <w:r>
              <w:rPr>
                <w:rFonts w:ascii="Arial" w:cs="Arial" w:eastAsia="Arial" w:hAnsi="Arial"/>
                <w:sz w:val="17"/>
                <w:szCs w:val="17"/>
                <w:color w:val="auto"/>
                <w:w w:val="91"/>
              </w:rPr>
              <w:t>Class B units, 8,088,877 units authorized at December 31, 2020 and 2019; 3,720,063 and 3,799,364 units issued</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7"/>
                <w:szCs w:val="17"/>
                <w:color w:val="auto"/>
                <w:w w:val="91"/>
              </w:rPr>
              <w:t>at December 31, 2020 and 2019, respectively; and 474,920 and 0 units outstanding at December 31, 2020 and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1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2019, respectively</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2,491</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(109,855)</w:t>
            </w:r>
          </w:p>
        </w:tc>
        <w:tc>
          <w:tcPr>
            <w:tcW w:w="12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(55,758)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660"/>
              <w:spacing w:after="0"/>
              <w:rPr>
                <w:sz w:val="20"/>
                <w:szCs w:val="20"/>
                <w:color w:val="auto"/>
              </w:rPr>
            </w:pPr>
            <w:r>
              <w:rPr>
                <w:rFonts w:ascii="Arial" w:cs="Arial" w:eastAsia="Arial" w:hAnsi="Arial"/>
                <w:sz w:val="17"/>
                <w:szCs w:val="17"/>
                <w:b w:val="1"/>
                <w:bCs w:val="1"/>
                <w:color w:val="auto"/>
              </w:rPr>
              <w:t>Total members’ capital</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1,195,563</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1,216,240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10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members’ capital</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1,745,359</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1,721,154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0820"/>
          </w:cols>
          <w:pgMar w:left="320" w:top="442" w:right="759" w:bottom="1440" w:gutter="0" w:footer="0" w:header="0"/>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(LOSS) INCOME</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 except unit and per unit data)</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6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6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Borders>
              <w:right w:val="single" w:sz="8" w:color="auto"/>
            </w:tcBorders>
            <w:gridSpan w:val="6"/>
          </w:tcPr>
          <w:p>
            <w:pPr>
              <w:jc w:val="right"/>
              <w:ind w:right="860"/>
              <w:spacing w:after="0"/>
              <w:rPr>
                <w:sz w:val="20"/>
                <w:szCs w:val="20"/>
                <w:color w:val="auto"/>
              </w:rPr>
            </w:pPr>
            <w:r>
              <w:rPr>
                <w:rFonts w:ascii="Arial" w:cs="Arial" w:eastAsia="Arial" w:hAnsi="Arial"/>
                <w:sz w:val="14"/>
                <w:szCs w:val="14"/>
                <w:b w:val="1"/>
                <w:bCs w:val="1"/>
                <w:color w:val="auto"/>
              </w:rPr>
              <w:t>Successor Company</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60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40"/>
              <w:spacing w:after="0" w:line="113" w:lineRule="exact"/>
              <w:rPr>
                <w:sz w:val="20"/>
                <w:szCs w:val="20"/>
                <w:color w:val="auto"/>
              </w:rPr>
            </w:pPr>
            <w:r>
              <w:rPr>
                <w:rFonts w:ascii="Arial" w:cs="Arial" w:eastAsia="Arial" w:hAnsi="Arial"/>
                <w:sz w:val="12"/>
                <w:szCs w:val="12"/>
                <w:b w:val="1"/>
                <w:bCs w:val="1"/>
                <w:color w:val="auto"/>
              </w:rPr>
              <w:t>Period from</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460"/>
              <w:spacing w:after="0" w:line="140" w:lineRule="exact"/>
              <w:rPr>
                <w:sz w:val="20"/>
                <w:szCs w:val="20"/>
                <w:color w:val="auto"/>
              </w:rPr>
            </w:pPr>
            <w:r>
              <w:rPr>
                <w:rFonts w:ascii="Arial" w:cs="Arial" w:eastAsia="Arial" w:hAnsi="Arial"/>
                <w:sz w:val="14"/>
                <w:szCs w:val="14"/>
                <w:b w:val="1"/>
                <w:bCs w:val="1"/>
                <w:color w:val="auto"/>
                <w:w w:val="88"/>
              </w:rPr>
              <w:t>Year Ended</w:t>
            </w:r>
          </w:p>
        </w:tc>
        <w:tc>
          <w:tcPr>
            <w:tcW w:w="1260" w:type="dxa"/>
            <w:vAlign w:val="bottom"/>
            <w:tcBorders>
              <w:right w:val="single" w:sz="8" w:color="auto"/>
            </w:tcBorders>
            <w:gridSpan w:val="3"/>
          </w:tcPr>
          <w:p>
            <w:pPr>
              <w:ind w:left="20"/>
              <w:spacing w:after="0" w:line="140" w:lineRule="exact"/>
              <w:rPr>
                <w:sz w:val="20"/>
                <w:szCs w:val="20"/>
                <w:color w:val="auto"/>
              </w:rPr>
            </w:pPr>
            <w:r>
              <w:rPr>
                <w:rFonts w:ascii="Arial" w:cs="Arial" w:eastAsia="Arial" w:hAnsi="Arial"/>
                <w:sz w:val="14"/>
                <w:szCs w:val="14"/>
                <w:b w:val="1"/>
                <w:bCs w:val="1"/>
                <w:color w:val="auto"/>
              </w:rPr>
              <w:t>July 16, 2019 to</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0" w:lineRule="exact"/>
              <w:rPr>
                <w:sz w:val="20"/>
                <w:szCs w:val="20"/>
                <w:color w:val="auto"/>
              </w:rPr>
            </w:pPr>
            <w:r>
              <w:rPr>
                <w:rFonts w:ascii="Arial" w:cs="Arial" w:eastAsia="Arial" w:hAnsi="Arial"/>
                <w:sz w:val="14"/>
                <w:szCs w:val="14"/>
                <w:b w:val="1"/>
                <w:bCs w:val="1"/>
                <w:color w:val="auto"/>
                <w:w w:val="89"/>
              </w:rPr>
              <w:t>January 1,</w:t>
            </w:r>
          </w:p>
        </w:tc>
        <w:tc>
          <w:tcPr>
            <w:tcW w:w="0" w:type="dxa"/>
            <w:vAlign w:val="bottom"/>
          </w:tcPr>
          <w:p>
            <w:pPr>
              <w:spacing w:after="0"/>
              <w:rPr>
                <w:sz w:val="1"/>
                <w:szCs w:val="1"/>
                <w:color w:val="auto"/>
              </w:rPr>
            </w:pPr>
          </w:p>
        </w:tc>
      </w:tr>
      <w:tr>
        <w:trPr>
          <w:trHeight w:val="140"/>
        </w:trPr>
        <w:tc>
          <w:tcPr>
            <w:tcW w:w="6080" w:type="dxa"/>
            <w:vAlign w:val="bottom"/>
          </w:tcPr>
          <w:p>
            <w:pPr>
              <w:spacing w:after="0"/>
              <w:rPr>
                <w:sz w:val="12"/>
                <w:szCs w:val="12"/>
                <w:color w:val="auto"/>
              </w:rPr>
            </w:pPr>
          </w:p>
        </w:tc>
        <w:tc>
          <w:tcPr>
            <w:tcW w:w="1320" w:type="dxa"/>
            <w:vAlign w:val="bottom"/>
            <w:gridSpan w:val="4"/>
          </w:tcPr>
          <w:p>
            <w:pPr>
              <w:jc w:val="center"/>
              <w:ind w:right="360"/>
              <w:spacing w:after="0" w:line="140" w:lineRule="exact"/>
              <w:rPr>
                <w:sz w:val="20"/>
                <w:szCs w:val="20"/>
                <w:color w:val="auto"/>
              </w:rPr>
            </w:pPr>
            <w:r>
              <w:rPr>
                <w:rFonts w:ascii="Arial" w:cs="Arial" w:eastAsia="Arial" w:hAnsi="Arial"/>
                <w:sz w:val="14"/>
                <w:szCs w:val="14"/>
                <w:b w:val="1"/>
                <w:bCs w:val="1"/>
                <w:color w:val="auto"/>
                <w:w w:val="87"/>
              </w:rPr>
              <w:t>December 31,</w:t>
            </w:r>
          </w:p>
        </w:tc>
        <w:tc>
          <w:tcPr>
            <w:tcW w:w="1260" w:type="dxa"/>
            <w:vAlign w:val="bottom"/>
            <w:tcBorders>
              <w:right w:val="single" w:sz="8" w:color="auto"/>
            </w:tcBorders>
            <w:gridSpan w:val="3"/>
          </w:tcPr>
          <w:p>
            <w:pPr>
              <w:jc w:val="center"/>
              <w:ind w:right="300"/>
              <w:spacing w:after="0" w:line="140" w:lineRule="exact"/>
              <w:rPr>
                <w:sz w:val="20"/>
                <w:szCs w:val="20"/>
                <w:color w:val="auto"/>
              </w:rPr>
            </w:pPr>
            <w:r>
              <w:rPr>
                <w:rFonts w:ascii="Arial" w:cs="Arial" w:eastAsia="Arial" w:hAnsi="Arial"/>
                <w:sz w:val="14"/>
                <w:szCs w:val="14"/>
                <w:b w:val="1"/>
                <w:bCs w:val="1"/>
                <w:color w:val="auto"/>
                <w:w w:val="87"/>
              </w:rPr>
              <w:t>December 31,</w:t>
            </w:r>
          </w:p>
        </w:tc>
        <w:tc>
          <w:tcPr>
            <w:tcW w:w="700" w:type="dxa"/>
            <w:vAlign w:val="bottom"/>
          </w:tcPr>
          <w:p>
            <w:pPr>
              <w:spacing w:after="0"/>
              <w:rPr>
                <w:sz w:val="12"/>
                <w:szCs w:val="12"/>
                <w:color w:val="auto"/>
              </w:rPr>
            </w:pPr>
          </w:p>
        </w:tc>
        <w:tc>
          <w:tcPr>
            <w:tcW w:w="102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86"/>
              </w:rPr>
              <w:t>2019 to July 15,</w:t>
            </w:r>
          </w:p>
        </w:tc>
        <w:tc>
          <w:tcPr>
            <w:tcW w:w="0" w:type="dxa"/>
            <w:vAlign w:val="bottom"/>
          </w:tcPr>
          <w:p>
            <w:pPr>
              <w:spacing w:after="0"/>
              <w:rPr>
                <w:sz w:val="1"/>
                <w:szCs w:val="1"/>
                <w:color w:val="auto"/>
              </w:rPr>
            </w:pPr>
          </w:p>
        </w:tc>
      </w:tr>
      <w:tr>
        <w:trPr>
          <w:trHeight w:val="160"/>
        </w:trPr>
        <w:tc>
          <w:tcPr>
            <w:tcW w:w="60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right w:val="single" w:sz="8" w:color="auto"/>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118,317</w:t>
            </w:r>
          </w:p>
        </w:tc>
        <w:tc>
          <w:tcPr>
            <w:tcW w:w="3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30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Arial" w:cs="Arial" w:eastAsia="Arial" w:hAnsi="Arial"/>
                <w:sz w:val="17"/>
                <w:szCs w:val="17"/>
                <w:color w:val="auto"/>
              </w:rPr>
              <w:t>Cost of revenue:</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 exclusive of amortization shown below</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11,085</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4,668</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Amortization</w:t>
            </w:r>
          </w:p>
        </w:tc>
        <w:tc>
          <w:tcPr>
            <w:tcW w:w="100" w:type="dxa"/>
            <w:vAlign w:val="bottom"/>
          </w:tcPr>
          <w:p>
            <w:pPr>
              <w:spacing w:after="0"/>
              <w:rPr>
                <w:sz w:val="17"/>
                <w:szCs w:val="17"/>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7"/>
                <w:szCs w:val="17"/>
                <w:color w:val="auto"/>
              </w:rPr>
              <w:t>19,383</w:t>
            </w: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8,614</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498</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87,849</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26,763</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40,130</w:t>
            </w:r>
          </w:p>
        </w:tc>
        <w:tc>
          <w:tcPr>
            <w:tcW w:w="0" w:type="dxa"/>
            <w:vAlign w:val="bottom"/>
          </w:tcPr>
          <w:p>
            <w:pPr>
              <w:spacing w:after="0"/>
              <w:rPr>
                <w:sz w:val="1"/>
                <w:szCs w:val="1"/>
                <w:color w:val="auto"/>
              </w:rPr>
            </w:pPr>
          </w:p>
        </w:tc>
      </w:tr>
      <w:tr>
        <w:trPr>
          <w:trHeight w:val="209"/>
        </w:trPr>
        <w:tc>
          <w:tcPr>
            <w:tcW w:w="6080" w:type="dxa"/>
            <w:vAlign w:val="bottom"/>
          </w:tcPr>
          <w:p>
            <w:pPr>
              <w:spacing w:after="0"/>
              <w:rPr>
                <w:sz w:val="20"/>
                <w:szCs w:val="20"/>
                <w:color w:val="auto"/>
              </w:rPr>
            </w:pPr>
            <w:r>
              <w:rPr>
                <w:rFonts w:ascii="Arial" w:cs="Arial" w:eastAsia="Arial" w:hAnsi="Arial"/>
                <w:sz w:val="17"/>
                <w:szCs w:val="17"/>
                <w:color w:val="auto"/>
              </w:rPr>
              <w:t>Operating expenses:</w:t>
            </w: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Sales and marketing</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34,332</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10,814</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16,039</w:t>
            </w: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Product development</w:t>
            </w: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11,062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3,484</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General and administrative</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80"/>
              <w:spacing w:after="0"/>
              <w:rPr>
                <w:sz w:val="20"/>
                <w:szCs w:val="20"/>
                <w:color w:val="auto"/>
              </w:rPr>
            </w:pPr>
            <w:r>
              <w:rPr>
                <w:rFonts w:ascii="Arial" w:cs="Arial" w:eastAsia="Arial" w:hAnsi="Arial"/>
                <w:sz w:val="17"/>
                <w:szCs w:val="17"/>
                <w:color w:val="auto"/>
              </w:rPr>
              <w:t>12,927</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6,365</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7"/>
                <w:szCs w:val="17"/>
                <w:color w:val="auto"/>
              </w:rPr>
              <w:t>40,197</w:t>
            </w: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22,459</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1,967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Transaction expenses</w:t>
            </w: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3,776</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14,703</w:t>
            </w:r>
          </w:p>
        </w:tc>
        <w:tc>
          <w:tcPr>
            <w:tcW w:w="300" w:type="dxa"/>
            <w:vAlign w:val="bottom"/>
            <w:tcBorders>
              <w:right w:val="single" w:sz="8" w:color="auto"/>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080" w:type="dxa"/>
            <w:vAlign w:val="bottom"/>
          </w:tcPr>
          <w:p>
            <w:pPr>
              <w:ind w:left="680"/>
              <w:spacing w:after="0"/>
              <w:rPr>
                <w:sz w:val="20"/>
                <w:szCs w:val="20"/>
                <w:color w:val="auto"/>
              </w:rPr>
            </w:pPr>
            <w:r>
              <w:rPr>
                <w:rFonts w:ascii="Arial" w:cs="Arial" w:eastAsia="Arial" w:hAnsi="Arial"/>
                <w:sz w:val="17"/>
                <w:szCs w:val="17"/>
                <w:color w:val="auto"/>
              </w:rPr>
              <w:t>Total operating expenses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102,294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57,825</w:t>
            </w:r>
          </w:p>
        </w:tc>
        <w:tc>
          <w:tcPr>
            <w:tcW w:w="3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(Loss) income from operations</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(14,445)</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(31,062)</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13,033</w:t>
            </w:r>
          </w:p>
        </w:tc>
        <w:tc>
          <w:tcPr>
            <w:tcW w:w="0" w:type="dxa"/>
            <w:vAlign w:val="bottom"/>
          </w:tcPr>
          <w:p>
            <w:pPr>
              <w:spacing w:after="0"/>
              <w:rPr>
                <w:sz w:val="1"/>
                <w:szCs w:val="1"/>
                <w:color w:val="auto"/>
              </w:rPr>
            </w:pPr>
          </w:p>
        </w:tc>
      </w:tr>
      <w:tr>
        <w:trPr>
          <w:trHeight w:val="204"/>
        </w:trPr>
        <w:tc>
          <w:tcPr>
            <w:tcW w:w="6080" w:type="dxa"/>
            <w:vAlign w:val="bottom"/>
          </w:tcPr>
          <w:p>
            <w:pPr>
              <w:spacing w:after="0"/>
              <w:rPr>
                <w:sz w:val="20"/>
                <w:szCs w:val="20"/>
                <w:color w:val="auto"/>
              </w:rPr>
            </w:pPr>
            <w:r>
              <w:rPr>
                <w:rFonts w:ascii="Arial" w:cs="Arial" w:eastAsia="Arial" w:hAnsi="Arial"/>
                <w:sz w:val="17"/>
                <w:szCs w:val="17"/>
                <w:color w:val="auto"/>
              </w:rPr>
              <w:t>Other expense, net: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transaction loss</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Interest expense, net</w:t>
            </w:r>
          </w:p>
        </w:tc>
        <w:tc>
          <w:tcPr>
            <w:tcW w:w="100" w:type="dxa"/>
            <w:vAlign w:val="bottom"/>
          </w:tcPr>
          <w:p>
            <w:pPr>
              <w:spacing w:after="0"/>
              <w:rPr>
                <w:sz w:val="17"/>
                <w:szCs w:val="17"/>
                <w:color w:val="auto"/>
              </w:rPr>
            </w:pPr>
          </w:p>
        </w:tc>
        <w:tc>
          <w:tcPr>
            <w:tcW w:w="1220" w:type="dxa"/>
            <w:vAlign w:val="bottom"/>
            <w:gridSpan w:val="3"/>
          </w:tcPr>
          <w:p>
            <w:pPr>
              <w:jc w:val="right"/>
              <w:ind w:right="320"/>
              <w:spacing w:after="0"/>
              <w:rPr>
                <w:sz w:val="20"/>
                <w:szCs w:val="20"/>
                <w:color w:val="auto"/>
              </w:rPr>
            </w:pPr>
            <w:r>
              <w:rPr>
                <w:rFonts w:ascii="Arial" w:cs="Arial" w:eastAsia="Arial" w:hAnsi="Arial"/>
                <w:sz w:val="17"/>
                <w:szCs w:val="17"/>
                <w:color w:val="auto"/>
              </w:rPr>
              <w:t>(36,490)</w:t>
            </w: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(18,204)</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5"/>
        </w:trPr>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08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other expense, net</w:t>
            </w:r>
          </w:p>
        </w:tc>
        <w:tc>
          <w:tcPr>
            <w:tcW w:w="1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(36,712)</w:t>
            </w: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(18,204)</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80" w:type="dxa"/>
            <w:vAlign w:val="bottom"/>
          </w:tcPr>
          <w:p>
            <w:pPr>
              <w:ind w:left="1020"/>
              <w:spacing w:after="0"/>
              <w:rPr>
                <w:sz w:val="20"/>
                <w:szCs w:val="20"/>
                <w:color w:val="auto"/>
              </w:rPr>
            </w:pPr>
            <w:r>
              <w:rPr>
                <w:rFonts w:ascii="Arial" w:cs="Arial" w:eastAsia="Arial" w:hAnsi="Arial"/>
                <w:sz w:val="17"/>
                <w:szCs w:val="17"/>
                <w:color w:val="auto"/>
              </w:rPr>
              <w:t>Net (loss) income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3"/>
          </w:tcPr>
          <w:p>
            <w:pPr>
              <w:jc w:val="right"/>
              <w:ind w:right="320"/>
              <w:spacing w:after="0"/>
              <w:rPr>
                <w:sz w:val="20"/>
                <w:szCs w:val="20"/>
                <w:color w:val="auto"/>
              </w:rPr>
            </w:pPr>
            <w:r>
              <w:rPr>
                <w:rFonts w:ascii="Arial" w:cs="Arial" w:eastAsia="Arial" w:hAnsi="Arial"/>
                <w:sz w:val="17"/>
                <w:szCs w:val="17"/>
                <w:color w:val="auto"/>
              </w:rPr>
              <w:t>(51,157)</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(49,266)</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tcBorders>
              <w:right w:val="single" w:sz="8" w:color="auto"/>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3"/>
          </w:tcPr>
          <w:p>
            <w:pPr>
              <w:jc w:val="right"/>
              <w:ind w:right="320"/>
              <w:spacing w:after="0"/>
              <w:rPr>
                <w:sz w:val="20"/>
                <w:szCs w:val="20"/>
                <w:color w:val="auto"/>
              </w:rPr>
            </w:pPr>
            <w:r>
              <w:rPr>
                <w:rFonts w:ascii="Arial" w:cs="Arial" w:eastAsia="Arial" w:hAnsi="Arial"/>
                <w:sz w:val="17"/>
                <w:szCs w:val="17"/>
                <w:color w:val="auto"/>
              </w:rPr>
              <w:t>(0.40)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(0.39)</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6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common units outstanding:</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80" w:type="dxa"/>
            <w:vAlign w:val="bottom"/>
          </w:tcPr>
          <w:p>
            <w:pPr>
              <w:ind w:left="340"/>
              <w:spacing w:after="0"/>
              <w:rPr>
                <w:sz w:val="20"/>
                <w:szCs w:val="20"/>
                <w:color w:val="auto"/>
              </w:rPr>
            </w:pPr>
            <w:r>
              <w:rPr>
                <w:rFonts w:ascii="Arial" w:cs="Arial" w:eastAsia="Arial" w:hAnsi="Arial"/>
                <w:sz w:val="17"/>
                <w:szCs w:val="17"/>
                <w:color w:val="auto"/>
              </w:rPr>
              <w:t>Basic and diluted</w:t>
            </w: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86"/>
              </w:rPr>
              <w:t>127,682,376</w:t>
            </w: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126,794,329</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0820"/>
          </w:cols>
          <w:pgMar w:left="320" w:top="442" w:right="75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COMPREHENSIVE (LOSS) INCOME</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6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6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tcBorders>
              <w:right w:val="single" w:sz="8" w:color="auto"/>
            </w:tcBorders>
            <w:gridSpan w:val="7"/>
          </w:tcPr>
          <w:p>
            <w:pPr>
              <w:ind w:left="280"/>
              <w:spacing w:after="0"/>
              <w:rPr>
                <w:sz w:val="20"/>
                <w:szCs w:val="20"/>
                <w:color w:val="auto"/>
              </w:rPr>
            </w:pPr>
            <w:r>
              <w:rPr>
                <w:rFonts w:ascii="Arial" w:cs="Arial" w:eastAsia="Arial" w:hAnsi="Arial"/>
                <w:sz w:val="14"/>
                <w:szCs w:val="14"/>
                <w:b w:val="1"/>
                <w:bCs w:val="1"/>
                <w:color w:val="auto"/>
              </w:rPr>
              <w:t>Successor Company</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ind w:right="43"/>
              <w:spacing w:after="0" w:line="113" w:lineRule="exact"/>
              <w:rPr>
                <w:sz w:val="20"/>
                <w:szCs w:val="20"/>
                <w:color w:val="auto"/>
              </w:rPr>
            </w:pPr>
            <w:r>
              <w:rPr>
                <w:rFonts w:ascii="Arial" w:cs="Arial" w:eastAsia="Arial" w:hAnsi="Arial"/>
                <w:sz w:val="12"/>
                <w:szCs w:val="12"/>
                <w:b w:val="1"/>
                <w:bCs w:val="1"/>
                <w:color w:val="auto"/>
              </w:rPr>
              <w:t>Period from</w:t>
            </w:r>
          </w:p>
        </w:tc>
        <w:tc>
          <w:tcPr>
            <w:tcW w:w="30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260" w:type="dxa"/>
            <w:vAlign w:val="bottom"/>
          </w:tcPr>
          <w:p>
            <w:pPr>
              <w:spacing w:after="0"/>
              <w:rPr>
                <w:sz w:val="12"/>
                <w:szCs w:val="12"/>
                <w:color w:val="auto"/>
              </w:rPr>
            </w:pPr>
          </w:p>
        </w:tc>
        <w:tc>
          <w:tcPr>
            <w:tcW w:w="1020" w:type="dxa"/>
            <w:vAlign w:val="bottom"/>
            <w:gridSpan w:val="4"/>
          </w:tcPr>
          <w:p>
            <w:pPr>
              <w:ind w:left="60"/>
              <w:spacing w:after="0" w:line="140" w:lineRule="exact"/>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2"/>
                <w:szCs w:val="12"/>
                <w:color w:val="auto"/>
              </w:rPr>
            </w:pPr>
          </w:p>
        </w:tc>
        <w:tc>
          <w:tcPr>
            <w:tcW w:w="1220" w:type="dxa"/>
            <w:vAlign w:val="bottom"/>
            <w:tcBorders>
              <w:right w:val="single" w:sz="8" w:color="auto"/>
            </w:tcBorders>
            <w:gridSpan w:val="3"/>
          </w:tcPr>
          <w:p>
            <w:pPr>
              <w:jc w:val="center"/>
              <w:ind w:right="320"/>
              <w:spacing w:after="0" w:line="140" w:lineRule="exact"/>
              <w:rPr>
                <w:sz w:val="20"/>
                <w:szCs w:val="20"/>
                <w:color w:val="auto"/>
              </w:rPr>
            </w:pPr>
            <w:r>
              <w:rPr>
                <w:rFonts w:ascii="Arial" w:cs="Arial" w:eastAsia="Arial" w:hAnsi="Arial"/>
                <w:sz w:val="14"/>
                <w:szCs w:val="14"/>
                <w:b w:val="1"/>
                <w:bCs w:val="1"/>
                <w:color w:val="auto"/>
                <w:w w:val="86"/>
              </w:rPr>
              <w:t>July 16, 2019 to</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0"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0"/>
        </w:trPr>
        <w:tc>
          <w:tcPr>
            <w:tcW w:w="6260" w:type="dxa"/>
            <w:vAlign w:val="bottom"/>
          </w:tcPr>
          <w:p>
            <w:pPr>
              <w:spacing w:after="0"/>
              <w:rPr>
                <w:sz w:val="12"/>
                <w:szCs w:val="12"/>
                <w:color w:val="auto"/>
              </w:rPr>
            </w:pPr>
          </w:p>
        </w:tc>
        <w:tc>
          <w:tcPr>
            <w:tcW w:w="1020" w:type="dxa"/>
            <w:vAlign w:val="bottom"/>
            <w:gridSpan w:val="4"/>
          </w:tcPr>
          <w:p>
            <w:pPr>
              <w:spacing w:after="0" w:line="140"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220" w:type="dxa"/>
            <w:vAlign w:val="bottom"/>
            <w:tcBorders>
              <w:right w:val="single" w:sz="8" w:color="auto"/>
            </w:tcBorders>
            <w:gridSpan w:val="3"/>
          </w:tcPr>
          <w:p>
            <w:pPr>
              <w:jc w:val="center"/>
              <w:ind w:right="320"/>
              <w:spacing w:after="0" w:line="140" w:lineRule="exact"/>
              <w:rPr>
                <w:sz w:val="20"/>
                <w:szCs w:val="20"/>
                <w:color w:val="auto"/>
              </w:rPr>
            </w:pPr>
            <w:r>
              <w:rPr>
                <w:rFonts w:ascii="Arial" w:cs="Arial" w:eastAsia="Arial" w:hAnsi="Arial"/>
                <w:sz w:val="14"/>
                <w:szCs w:val="14"/>
                <w:b w:val="1"/>
                <w:bCs w:val="1"/>
                <w:color w:val="auto"/>
                <w:w w:val="85"/>
              </w:rPr>
              <w:t>December 31,</w:t>
            </w:r>
          </w:p>
        </w:tc>
        <w:tc>
          <w:tcPr>
            <w:tcW w:w="740" w:type="dxa"/>
            <w:vAlign w:val="bottom"/>
          </w:tcPr>
          <w:p>
            <w:pPr>
              <w:spacing w:after="0"/>
              <w:rPr>
                <w:sz w:val="12"/>
                <w:szCs w:val="12"/>
                <w:color w:val="auto"/>
              </w:rPr>
            </w:pPr>
          </w:p>
        </w:tc>
        <w:tc>
          <w:tcPr>
            <w:tcW w:w="980" w:type="dxa"/>
            <w:vAlign w:val="bottom"/>
            <w:gridSpan w:val="3"/>
          </w:tcPr>
          <w:p>
            <w:pPr>
              <w:jc w:val="center"/>
              <w:ind w:right="60"/>
              <w:spacing w:after="0" w:line="140" w:lineRule="exact"/>
              <w:rPr>
                <w:sz w:val="20"/>
                <w:szCs w:val="20"/>
                <w:color w:val="auto"/>
              </w:rPr>
            </w:pPr>
            <w:r>
              <w:rPr>
                <w:rFonts w:ascii="Arial" w:cs="Arial" w:eastAsia="Arial" w:hAnsi="Arial"/>
                <w:sz w:val="14"/>
                <w:szCs w:val="14"/>
                <w:b w:val="1"/>
                <w:bCs w:val="1"/>
                <w:color w:val="auto"/>
                <w:w w:val="88"/>
              </w:rPr>
              <w:t>January 1, 2019</w:t>
            </w:r>
          </w:p>
        </w:tc>
        <w:tc>
          <w:tcPr>
            <w:tcW w:w="0" w:type="dxa"/>
            <w:vAlign w:val="bottom"/>
          </w:tcPr>
          <w:p>
            <w:pPr>
              <w:spacing w:after="0"/>
              <w:rPr>
                <w:sz w:val="1"/>
                <w:szCs w:val="1"/>
                <w:color w:val="auto"/>
              </w:rPr>
            </w:pPr>
          </w:p>
        </w:tc>
      </w:tr>
      <w:tr>
        <w:trPr>
          <w:trHeight w:val="160"/>
        </w:trPr>
        <w:tc>
          <w:tcPr>
            <w:tcW w:w="6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43"/>
              <w:spacing w:after="0"/>
              <w:rPr>
                <w:sz w:val="20"/>
                <w:szCs w:val="20"/>
                <w:color w:val="auto"/>
              </w:rPr>
            </w:pPr>
            <w:r>
              <w:rPr>
                <w:rFonts w:ascii="Arial" w:cs="Arial" w:eastAsia="Arial" w:hAnsi="Arial"/>
                <w:sz w:val="14"/>
                <w:szCs w:val="14"/>
                <w:b w:val="1"/>
                <w:bCs w:val="1"/>
                <w:color w:val="auto"/>
                <w:w w:val="83"/>
              </w:rPr>
              <w:t>2019</w:t>
            </w:r>
          </w:p>
        </w:tc>
        <w:tc>
          <w:tcPr>
            <w:tcW w:w="30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to July 15, 2019</w:t>
            </w:r>
          </w:p>
        </w:tc>
        <w:tc>
          <w:tcPr>
            <w:tcW w:w="0" w:type="dxa"/>
            <w:vAlign w:val="bottom"/>
          </w:tcPr>
          <w:p>
            <w:pPr>
              <w:spacing w:after="0"/>
              <w:rPr>
                <w:sz w:val="1"/>
                <w:szCs w:val="1"/>
                <w:color w:val="auto"/>
              </w:rPr>
            </w:pPr>
          </w:p>
        </w:tc>
      </w:tr>
      <w:tr>
        <w:trPr>
          <w:trHeight w:val="196"/>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(51,157)</w:t>
            </w:r>
          </w:p>
        </w:tc>
        <w:tc>
          <w:tcPr>
            <w:tcW w:w="2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w w:val="82"/>
              </w:rPr>
              <w:t>(49,266)</w:t>
            </w:r>
          </w:p>
        </w:tc>
        <w:tc>
          <w:tcPr>
            <w:tcW w:w="300" w:type="dxa"/>
            <w:vAlign w:val="bottom"/>
            <w:tcBorders>
              <w:top w:val="single" w:sz="8" w:color="CCEEFF"/>
              <w:right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60" w:type="dxa"/>
            <w:vAlign w:val="bottom"/>
          </w:tcPr>
          <w:p>
            <w:pPr>
              <w:spacing w:after="0"/>
              <w:rPr>
                <w:sz w:val="20"/>
                <w:szCs w:val="20"/>
                <w:color w:val="auto"/>
              </w:rPr>
            </w:pPr>
            <w:r>
              <w:rPr>
                <w:rFonts w:ascii="Arial" w:cs="Arial" w:eastAsia="Arial" w:hAnsi="Arial"/>
                <w:sz w:val="17"/>
                <w:szCs w:val="17"/>
                <w:color w:val="auto"/>
              </w:rPr>
              <w:t>Other comprehensive loss: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2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translation adjustments</w:t>
            </w:r>
          </w:p>
        </w:tc>
        <w:tc>
          <w:tcPr>
            <w:tcW w:w="1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auto"/>
            </w:tcBorders>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680"/>
              <w:spacing w:after="0"/>
              <w:rPr>
                <w:sz w:val="20"/>
                <w:szCs w:val="20"/>
                <w:color w:val="auto"/>
              </w:rPr>
            </w:pPr>
            <w:r>
              <w:rPr>
                <w:rFonts w:ascii="Arial" w:cs="Arial" w:eastAsia="Arial" w:hAnsi="Arial"/>
                <w:sz w:val="17"/>
                <w:szCs w:val="17"/>
                <w:color w:val="auto"/>
              </w:rPr>
              <w:t>Comprehensive (loss) income</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60" w:type="dxa"/>
            <w:vAlign w:val="bottom"/>
            <w:vMerge w:val="continue"/>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ind w:right="160"/>
              <w:spacing w:after="0"/>
              <w:rPr>
                <w:sz w:val="20"/>
                <w:szCs w:val="20"/>
                <w:color w:val="auto"/>
              </w:rPr>
            </w:pPr>
            <w:r>
              <w:rPr>
                <w:rFonts w:ascii="Arial" w:cs="Arial" w:eastAsia="Arial" w:hAnsi="Arial"/>
                <w:sz w:val="17"/>
                <w:szCs w:val="17"/>
                <w:color w:val="auto"/>
              </w:rPr>
              <w:t>(51,288)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right w:val="single" w:sz="8" w:color="auto"/>
            </w:tcBorders>
            <w:gridSpan w:val="2"/>
          </w:tcPr>
          <w:p>
            <w:pPr>
              <w:ind w:left="280"/>
              <w:spacing w:after="0"/>
              <w:rPr>
                <w:sz w:val="20"/>
                <w:szCs w:val="20"/>
                <w:color w:val="auto"/>
              </w:rPr>
            </w:pPr>
            <w:r>
              <w:rPr>
                <w:rFonts w:ascii="Arial" w:cs="Arial" w:eastAsia="Arial" w:hAnsi="Arial"/>
                <w:sz w:val="17"/>
                <w:szCs w:val="17"/>
                <w:color w:val="auto"/>
              </w:rPr>
              <w:t>(49,266)</w:t>
            </w: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0820"/>
          </w:cols>
          <w:pgMar w:left="320" w:top="442" w:right="759" w:bottom="1440" w:gutter="0" w:footer="0" w:header="0"/>
        </w:sectPr>
      </w:pPr>
    </w:p>
    <w:bookmarkStart w:id="237" w:name="page238"/>
    <w:bookmarkEnd w:id="2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CHANGES IN MEMBERS’ EQUITY</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 except number of units)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Retained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80"/>
              <w:spacing w:after="0" w:line="140" w:lineRule="exact"/>
              <w:rPr>
                <w:sz w:val="20"/>
                <w:szCs w:val="20"/>
                <w:color w:val="auto"/>
              </w:rPr>
            </w:pPr>
            <w:r>
              <w:rPr>
                <w:rFonts w:ascii="Arial" w:cs="Arial" w:eastAsia="Arial" w:hAnsi="Arial"/>
                <w:sz w:val="14"/>
                <w:szCs w:val="14"/>
                <w:b w:val="1"/>
                <w:bCs w:val="1"/>
                <w:color w:val="auto"/>
                <w:w w:val="86"/>
              </w:rPr>
              <w:t>Legacy</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0" w:lineRule="exact"/>
              <w:rPr>
                <w:sz w:val="20"/>
                <w:szCs w:val="20"/>
                <w:color w:val="auto"/>
              </w:rPr>
            </w:pPr>
            <w:r>
              <w:rPr>
                <w:rFonts w:ascii="Arial" w:cs="Arial" w:eastAsia="Arial" w:hAnsi="Arial"/>
                <w:sz w:val="14"/>
                <w:szCs w:val="14"/>
                <w:b w:val="1"/>
                <w:bCs w:val="1"/>
                <w:color w:val="auto"/>
                <w:w w:val="99"/>
              </w:rPr>
              <w:t>Legacy</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840" w:type="dxa"/>
            <w:vAlign w:val="bottom"/>
            <w:gridSpan w:val="2"/>
          </w:tcPr>
          <w:p>
            <w:pPr>
              <w:jc w:val="center"/>
              <w:ind w:right="260"/>
              <w:spacing w:after="0" w:line="140" w:lineRule="exact"/>
              <w:rPr>
                <w:sz w:val="20"/>
                <w:szCs w:val="20"/>
                <w:color w:val="auto"/>
              </w:rPr>
            </w:pPr>
            <w:r>
              <w:rPr>
                <w:rFonts w:ascii="Arial" w:cs="Arial" w:eastAsia="Arial" w:hAnsi="Arial"/>
                <w:sz w:val="14"/>
                <w:szCs w:val="14"/>
                <w:b w:val="1"/>
                <w:bCs w:val="1"/>
                <w:color w:val="auto"/>
                <w:w w:val="90"/>
              </w:rPr>
              <w:t>Earnings</w:t>
            </w:r>
          </w:p>
        </w:tc>
        <w:tc>
          <w:tcPr>
            <w:tcW w:w="1000" w:type="dxa"/>
            <w:vAlign w:val="bottom"/>
            <w:gridSpan w:val="3"/>
          </w:tcPr>
          <w:p>
            <w:pPr>
              <w:ind w:left="60"/>
              <w:spacing w:after="0" w:line="140"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gridSpan w:val="2"/>
          </w:tcPr>
          <w:p>
            <w:pPr>
              <w:ind w:left="180"/>
              <w:spacing w:after="0" w:line="140" w:lineRule="exact"/>
              <w:rPr>
                <w:sz w:val="20"/>
                <w:szCs w:val="20"/>
                <w:color w:val="auto"/>
              </w:rPr>
            </w:pPr>
            <w:r>
              <w:rPr>
                <w:rFonts w:ascii="Arial" w:cs="Arial" w:eastAsia="Arial" w:hAnsi="Arial"/>
                <w:sz w:val="14"/>
                <w:szCs w:val="14"/>
                <w:b w:val="1"/>
                <w:bCs w:val="1"/>
                <w:color w:val="auto"/>
              </w:rPr>
              <w:t>Class A</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5"/>
              </w:rPr>
              <w:t>Class A</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220"/>
              <w:spacing w:after="0" w:line="140" w:lineRule="exact"/>
              <w:rPr>
                <w:sz w:val="20"/>
                <w:szCs w:val="20"/>
                <w:color w:val="auto"/>
              </w:rPr>
            </w:pPr>
            <w:r>
              <w:rPr>
                <w:rFonts w:ascii="Arial" w:cs="Arial" w:eastAsia="Arial" w:hAnsi="Arial"/>
                <w:sz w:val="14"/>
                <w:szCs w:val="14"/>
                <w:b w:val="1"/>
                <w:bCs w:val="1"/>
                <w:color w:val="auto"/>
                <w:w w:val="93"/>
              </w:rPr>
              <w:t>Class B</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40"/>
              <w:spacing w:after="0" w:line="140" w:lineRule="exact"/>
              <w:rPr>
                <w:sz w:val="20"/>
                <w:szCs w:val="20"/>
                <w:color w:val="auto"/>
              </w:rPr>
            </w:pPr>
            <w:r>
              <w:rPr>
                <w:rFonts w:ascii="Arial" w:cs="Arial" w:eastAsia="Arial" w:hAnsi="Arial"/>
                <w:sz w:val="14"/>
                <w:szCs w:val="14"/>
                <w:b w:val="1"/>
                <w:bCs w:val="1"/>
                <w:color w:val="auto"/>
                <w:w w:val="89"/>
              </w:rPr>
              <w:t>Paid-in</w:t>
            </w:r>
          </w:p>
        </w:tc>
        <w:tc>
          <w:tcPr>
            <w:tcW w:w="9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w w:val="93"/>
              </w:rPr>
              <w:t>Comprehensive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300"/>
              <w:spacing w:after="0" w:line="140"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gridSpan w:val="2"/>
          </w:tcPr>
          <w:p>
            <w:pPr>
              <w:ind w:left="2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Amount</w:t>
            </w: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Units</w:t>
            </w: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3"/>
                <w:szCs w:val="13"/>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Units</w:t>
            </w: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3"/>
                <w:szCs w:val="13"/>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Deficit)</w:t>
            </w:r>
          </w:p>
        </w:tc>
        <w:tc>
          <w:tcPr>
            <w:tcW w:w="200" w:type="dxa"/>
            <w:vAlign w:val="bottom"/>
          </w:tcPr>
          <w:p>
            <w:pPr>
              <w:spacing w:after="0"/>
              <w:rPr>
                <w:sz w:val="13"/>
                <w:szCs w:val="13"/>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160" w:type="dxa"/>
            <w:vAlign w:val="bottom"/>
            <w:tcBorders>
              <w:top w:val="single" w:sz="8" w:color="CCEEFF"/>
            </w:tcBorders>
            <w:shd w:val="clear" w:color="auto" w:fill="CCEEFF"/>
          </w:tcPr>
          <w:p>
            <w:pPr>
              <w:spacing w:after="0" w:line="163" w:lineRule="exact"/>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right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2018</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(Predecessor)</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7,750,000</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77,500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88,716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(42,598)</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38,925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73,827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Net income</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12,868</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12,868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Adoption of ASC</w:t>
            </w: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606 (See Note</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5,415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5,415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Unit-based</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compensation</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5,807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5,807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members</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(468)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(468)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w w:val="92"/>
              </w:rPr>
              <w:t>Vesting of Class B</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Units</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180,137</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July 15, 2019</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(Predecessor)</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7,750,000</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77,500</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268,853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(31,844)</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51,793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1180" w:type="dxa"/>
            <w:vAlign w:val="bottom"/>
            <w:gridSpan w:val="2"/>
          </w:tcPr>
          <w:p>
            <w:pPr>
              <w:spacing w:after="0"/>
              <w:rPr>
                <w:sz w:val="20"/>
                <w:szCs w:val="20"/>
                <w:color w:val="auto"/>
              </w:rPr>
            </w:pPr>
            <w:r>
              <w:rPr>
                <w:rFonts w:ascii="Arial" w:cs="Arial" w:eastAsia="Arial" w:hAnsi="Arial"/>
                <w:sz w:val="15"/>
                <w:szCs w:val="15"/>
                <w:color w:val="auto"/>
              </w:rPr>
              <w:t>Recapitalization</w:t>
            </w: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(See Note 12)</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(7,750,000)</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80"/>
              <w:spacing w:after="0"/>
              <w:rPr>
                <w:sz w:val="20"/>
                <w:szCs w:val="20"/>
                <w:color w:val="auto"/>
              </w:rPr>
            </w:pPr>
            <w:r>
              <w:rPr>
                <w:rFonts w:ascii="Arial" w:cs="Arial" w:eastAsia="Arial" w:hAnsi="Arial"/>
                <w:sz w:val="15"/>
                <w:szCs w:val="15"/>
                <w:color w:val="auto"/>
                <w:w w:val="93"/>
              </w:rPr>
              <w:t>(77,500)</w:t>
            </w:r>
          </w:p>
        </w:tc>
        <w:tc>
          <w:tcPr>
            <w:tcW w:w="72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(268,853)</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31,844</w:t>
            </w:r>
          </w:p>
        </w:tc>
        <w:tc>
          <w:tcPr>
            <w:tcW w:w="1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(51,793)</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(97,449)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Capital</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contribution</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w w:val="93"/>
              </w:rPr>
              <w:t>(See Note 3 and</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12)</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126,725,743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1,267,257</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1,267,257</w:t>
            </w:r>
          </w:p>
        </w:tc>
        <w:tc>
          <w:tcPr>
            <w:tcW w:w="0" w:type="dxa"/>
            <w:vAlign w:val="bottom"/>
          </w:tcPr>
          <w:p>
            <w:pPr>
              <w:spacing w:after="0"/>
              <w:rPr>
                <w:sz w:val="1"/>
                <w:szCs w:val="1"/>
                <w:color w:val="auto"/>
              </w:rPr>
            </w:pPr>
          </w:p>
        </w:tc>
      </w:tr>
      <w:tr>
        <w:trPr>
          <w:trHeight w:val="188"/>
        </w:trPr>
        <w:tc>
          <w:tcPr>
            <w:tcW w:w="1180" w:type="dxa"/>
            <w:vAlign w:val="bottom"/>
            <w:gridSpan w:val="2"/>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July 16, 2019</w:t>
            </w: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(Successor)</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w w:val="93"/>
              </w:rPr>
              <w:t>126,725,743</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w w:val="86"/>
              </w:rPr>
              <w:t>1,267,257</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ind w:left="60"/>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20"/>
                <w:szCs w:val="20"/>
                <w:color w:val="auto"/>
              </w:rPr>
            </w:pPr>
            <w:r>
              <w:rPr>
                <w:rFonts w:ascii="Arial" w:cs="Arial" w:eastAsia="Arial" w:hAnsi="Arial"/>
                <w:sz w:val="15"/>
                <w:szCs w:val="15"/>
                <w:color w:val="auto"/>
              </w:rPr>
              <w:t>$</w:t>
            </w: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w w:val="86"/>
              </w:rPr>
              <w:t>1,267,257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(49,266)</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(49,266)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Distribution to</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members</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(6,492)</w:t>
            </w: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(6,492)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Unit-based</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744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744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Capital</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contributions</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399,692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3,997</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3,997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2019</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(Successor)</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127,125,435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1,271,254</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744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(55,758)</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1,216,240</w:t>
            </w:r>
          </w:p>
        </w:tc>
        <w:tc>
          <w:tcPr>
            <w:tcW w:w="0" w:type="dxa"/>
            <w:vAlign w:val="bottom"/>
          </w:tcPr>
          <w:p>
            <w:pPr>
              <w:spacing w:after="0"/>
              <w:rPr>
                <w:sz w:val="1"/>
                <w:szCs w:val="1"/>
                <w:color w:val="auto"/>
              </w:rPr>
            </w:pPr>
          </w:p>
        </w:tc>
      </w:tr>
      <w:tr>
        <w:trPr>
          <w:trHeight w:val="20"/>
        </w:trPr>
        <w:tc>
          <w:tcPr>
            <w:tcW w:w="1180" w:type="dxa"/>
            <w:vAlign w:val="bottom"/>
            <w:gridSpan w:val="2"/>
            <w:vMerge w:val="restart"/>
          </w:tcPr>
          <w:p>
            <w:pPr>
              <w:spacing w:after="0"/>
              <w:rPr>
                <w:sz w:val="20"/>
                <w:szCs w:val="20"/>
                <w:color w:val="auto"/>
              </w:rPr>
            </w:pPr>
            <w:r>
              <w:rPr>
                <w:rFonts w:ascii="Arial" w:cs="Arial" w:eastAsia="Arial" w:hAnsi="Arial"/>
                <w:sz w:val="15"/>
                <w:szCs w:val="15"/>
                <w:color w:val="auto"/>
              </w:rPr>
              <w:t>Net loss</w:t>
            </w: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180" w:type="dxa"/>
            <w:vAlign w:val="bottom"/>
            <w:gridSpan w:val="2"/>
            <w:vMerge w:val="continue"/>
          </w:tcPr>
          <w:p>
            <w:pPr>
              <w:spacing w:after="0"/>
              <w:rPr>
                <w:sz w:val="16"/>
                <w:szCs w:val="16"/>
                <w:color w:val="auto"/>
              </w:rPr>
            </w:pPr>
          </w:p>
        </w:tc>
        <w:tc>
          <w:tcPr>
            <w:tcW w:w="800" w:type="dxa"/>
            <w:vAlign w:val="bottom"/>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540" w:type="dxa"/>
            <w:vAlign w:val="bottom"/>
          </w:tcPr>
          <w:p>
            <w:pPr>
              <w:ind w:lef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5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5"/>
                <w:szCs w:val="15"/>
                <w:color w:val="auto"/>
              </w:rPr>
              <w:t>(51,157)</w:t>
            </w: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(51,157)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members</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(2,940)</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(2,940)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Capital</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contributions</w:t>
            </w:r>
          </w:p>
        </w:tc>
        <w:tc>
          <w:tcPr>
            <w:tcW w:w="840" w:type="dxa"/>
            <w:vAlign w:val="bottom"/>
            <w:gridSpan w:val="2"/>
          </w:tcPr>
          <w:p>
            <w:pPr>
              <w:jc w:val="right"/>
              <w:ind w:right="40"/>
              <w:spacing w:after="0"/>
              <w:rPr>
                <w:sz w:val="20"/>
                <w:szCs w:val="20"/>
                <w:color w:val="auto"/>
              </w:rPr>
            </w:pPr>
            <w:r>
              <w:rPr>
                <w:rFonts w:ascii="Arial" w:cs="Arial" w:eastAsia="Arial" w:hAnsi="Arial"/>
                <w:sz w:val="15"/>
                <w:szCs w:val="15"/>
                <w:color w:val="auto"/>
              </w:rPr>
              <w:t>3,120,555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31,804</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31,804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w w:val="92"/>
              </w:rPr>
              <w:t>Vesting of Class B</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Units and unit-</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based</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2"/>
              </w:rPr>
              <w:t>474,920</w:t>
            </w: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1,747</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1,747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5"/>
                <w:szCs w:val="15"/>
                <w:color w:val="auto"/>
              </w:rPr>
              <w:t>Comprehensive</w:t>
            </w: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160" w:type="dxa"/>
            <w:vAlign w:val="bottom"/>
          </w:tcPr>
          <w:p>
            <w:pPr>
              <w:ind w:left="120"/>
              <w:spacing w:after="0"/>
              <w:rPr>
                <w:sz w:val="20"/>
                <w:szCs w:val="20"/>
                <w:color w:val="auto"/>
              </w:rPr>
            </w:pPr>
            <w:r>
              <w:rPr>
                <w:rFonts w:ascii="Arial" w:cs="Arial" w:eastAsia="Arial" w:hAnsi="Arial"/>
                <w:sz w:val="15"/>
                <w:szCs w:val="15"/>
                <w:color w:val="auto"/>
              </w:rPr>
              <w:t>loss</w:t>
            </w:r>
          </w:p>
        </w:tc>
        <w:tc>
          <w:tcPr>
            <w:tcW w:w="840" w:type="dxa"/>
            <w:vAlign w:val="bottom"/>
            <w:gridSpan w:val="2"/>
          </w:tcPr>
          <w:p>
            <w:pPr>
              <w:ind w:left="5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62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48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300" w:type="dxa"/>
            <w:vAlign w:val="bottom"/>
          </w:tcPr>
          <w:p>
            <w:pPr>
              <w:ind w:lef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00" w:type="dxa"/>
            <w:vAlign w:val="bottom"/>
            <w:gridSpan w:val="2"/>
          </w:tcPr>
          <w:p>
            <w:pPr>
              <w:ind w:left="420"/>
              <w:spacing w:after="0"/>
              <w:rPr>
                <w:sz w:val="20"/>
                <w:szCs w:val="20"/>
                <w:color w:val="auto"/>
              </w:rPr>
            </w:pPr>
            <w:r>
              <w:rPr>
                <w:rFonts w:ascii="Arial" w:cs="Arial" w:eastAsia="Arial" w:hAnsi="Arial"/>
                <w:sz w:val="15"/>
                <w:szCs w:val="15"/>
                <w:color w:val="auto"/>
              </w:rPr>
              <w:t>(131)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5"/>
                <w:szCs w:val="15"/>
                <w:color w:val="auto"/>
              </w:rPr>
              <w:t>Balance at</w:t>
            </w: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December 31,</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2020</w:t>
            </w: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(Successor)</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3"/>
              </w:rPr>
              <w:t>130,245,990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6"/>
              </w:rPr>
              <w:t>1,303,058</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2"/>
              </w:rPr>
              <w:t>474,920</w:t>
            </w: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2,491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(109,855)</w:t>
            </w:r>
          </w:p>
        </w:tc>
        <w:tc>
          <w:tcPr>
            <w:tcW w:w="20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(131)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86"/>
              </w:rPr>
              <w:t>1,195,563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0820"/>
          </w:cols>
          <w:pgMar w:left="320" w:top="442" w:right="759" w:bottom="1440" w:gutter="0" w:footer="0" w:header="0"/>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8" w:lineRule="exact"/>
        <w:rPr>
          <w:sz w:val="20"/>
          <w:szCs w:val="20"/>
          <w:color w:val="auto"/>
        </w:rPr>
      </w:pPr>
    </w:p>
    <w:p>
      <w:pPr>
        <w:jc w:val="center"/>
        <w:ind w:right="-419"/>
        <w:spacing w:after="0"/>
        <w:rPr>
          <w:sz w:val="20"/>
          <w:szCs w:val="20"/>
          <w:color w:val="auto"/>
        </w:rPr>
      </w:pPr>
      <w:r>
        <w:rPr>
          <w:rFonts w:ascii="Arial" w:cs="Arial" w:eastAsia="Arial" w:hAnsi="Arial"/>
          <w:sz w:val="14"/>
          <w:szCs w:val="14"/>
          <w:i w:val="1"/>
          <w:iCs w:val="1"/>
          <w:color w:val="auto"/>
        </w:rPr>
        <w:t>(amounts in thousands)</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tcBorders>
              <w:right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Successor Company</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0" w:type="dxa"/>
            <w:vAlign w:val="bottom"/>
            <w:gridSpan w:val="3"/>
          </w:tcPr>
          <w:p>
            <w:pPr>
              <w:jc w:val="right"/>
              <w:ind w:right="260"/>
              <w:spacing w:after="0" w:line="140"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2"/>
                <w:szCs w:val="12"/>
                <w:color w:val="auto"/>
              </w:rPr>
            </w:pPr>
          </w:p>
        </w:tc>
        <w:tc>
          <w:tcPr>
            <w:tcW w:w="1140" w:type="dxa"/>
            <w:vAlign w:val="bottom"/>
            <w:tcBorders>
              <w:right w:val="single" w:sz="8" w:color="auto"/>
            </w:tcBorders>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6"/>
              </w:rPr>
              <w:t>July 16, 2019 to</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140" w:type="dxa"/>
            <w:vAlign w:val="bottom"/>
            <w:tcBorders>
              <w:right w:val="single" w:sz="8" w:color="auto"/>
            </w:tcBorders>
            <w:gridSpan w:val="3"/>
          </w:tcPr>
          <w:p>
            <w:pPr>
              <w:jc w:val="center"/>
              <w:ind w:right="200"/>
              <w:spacing w:after="0" w:line="140" w:lineRule="exact"/>
              <w:rPr>
                <w:sz w:val="20"/>
                <w:szCs w:val="20"/>
                <w:color w:val="auto"/>
              </w:rPr>
            </w:pPr>
            <w:r>
              <w:rPr>
                <w:rFonts w:ascii="Arial" w:cs="Arial" w:eastAsia="Arial" w:hAnsi="Arial"/>
                <w:sz w:val="14"/>
                <w:szCs w:val="14"/>
                <w:b w:val="1"/>
                <w:bCs w:val="1"/>
                <w:color w:val="auto"/>
                <w:w w:val="85"/>
              </w:rPr>
              <w:t>December 31,</w:t>
            </w:r>
          </w:p>
        </w:tc>
        <w:tc>
          <w:tcPr>
            <w:tcW w:w="440" w:type="dxa"/>
            <w:vAlign w:val="bottom"/>
          </w:tcPr>
          <w:p>
            <w:pPr>
              <w:spacing w:after="0"/>
              <w:rPr>
                <w:sz w:val="12"/>
                <w:szCs w:val="12"/>
                <w:color w:val="auto"/>
              </w:rPr>
            </w:pPr>
          </w:p>
        </w:tc>
        <w:tc>
          <w:tcPr>
            <w:tcW w:w="118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87"/>
              </w:rPr>
              <w:t>January 1, 2019 to</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16"/>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July 15, 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4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Cash flows provided by (used in) operating activities:</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Net (loss) income</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(51,157)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(49,266)</w:t>
            </w:r>
          </w:p>
        </w:tc>
        <w:tc>
          <w:tcPr>
            <w:tcW w:w="4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12,868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40" w:type="dxa"/>
            <w:vAlign w:val="bottom"/>
            <w:shd w:val="clear" w:color="auto" w:fill="CCEEFF"/>
          </w:tcPr>
          <w:p>
            <w:pPr>
              <w:spacing w:after="0" w:line="191" w:lineRule="exact"/>
              <w:rPr>
                <w:sz w:val="20"/>
                <w:szCs w:val="20"/>
                <w:color w:val="auto"/>
              </w:rPr>
            </w:pPr>
            <w:r>
              <w:rPr>
                <w:rFonts w:ascii="Arial" w:cs="Arial" w:eastAsia="Arial" w:hAnsi="Arial"/>
                <w:sz w:val="17"/>
                <w:szCs w:val="17"/>
                <w:color w:val="auto"/>
                <w:w w:val="99"/>
              </w:rPr>
              <w:t>Adjustments to reconcile net (loss) income to net cash provided by (used in) operating</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activities: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Depreciation and amortization</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1,152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456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423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58,429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30,617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Amortization of deferred contract costs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1,671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189</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Unit-based compensation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744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Noncash paid in kind interest expense</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7,371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3,041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1,082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Changes in fair value of contingent consideration</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2,636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Provision for doubtful accounts receivable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333</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Accounts receivable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(12,494)</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(709)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w:t>
            </w: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Deferred contract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(7,685)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(3,075)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1000"/>
              <w:spacing w:after="0"/>
              <w:rPr>
                <w:sz w:val="20"/>
                <w:szCs w:val="20"/>
                <w:color w:val="auto"/>
              </w:rPr>
            </w:pPr>
            <w:r>
              <w:rPr>
                <w:rFonts w:ascii="Arial" w:cs="Arial" w:eastAsia="Arial" w:hAnsi="Arial"/>
                <w:sz w:val="17"/>
                <w:szCs w:val="17"/>
                <w:color w:val="auto"/>
              </w:rPr>
              <w:t>Accounts payable, accrued expenses and other current liabilities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2,996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7,396</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12,104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13,805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Net cash provided by (used in) operating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23,217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(7,133)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28,727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(1,395)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(1,171)</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Acquisitions, net of cash acquired</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(22,467)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(1,108,197)</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(23,862)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98"/>
              </w:rPr>
              <w:t>(1,109,368)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(30,560)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provided by (used in) financing activities:</w:t>
            </w: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Proceeds from Term Loan</w:t>
            </w:r>
          </w:p>
        </w:tc>
        <w:tc>
          <w:tcPr>
            <w:tcW w:w="16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450,000</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Delayed Draw Term Loan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Proceeds from Revolving Line of Credit</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Repayments on Term Loan and Delayed Draw Term Loan</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Repayments on Revolving Line of Credit</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(25,000)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 of debt issuance costs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(14,255)</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Members distributions</w:t>
            </w:r>
          </w:p>
        </w:tc>
        <w:tc>
          <w:tcPr>
            <w:tcW w:w="16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(2,940)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(6,492)</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Members contributions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6,365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696,991</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Net cash provided by (used in) financing activities</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16,655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1,125,119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(468)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Net increase (decrease) in cash and cash equivalents</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16,010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8,618</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ind w:left="320"/>
              <w:spacing w:after="0"/>
              <w:rPr>
                <w:sz w:val="20"/>
                <w:szCs w:val="20"/>
                <w:color w:val="auto"/>
              </w:rPr>
            </w:pPr>
            <w:r>
              <w:rPr>
                <w:rFonts w:ascii="Arial" w:cs="Arial" w:eastAsia="Arial" w:hAnsi="Arial"/>
                <w:sz w:val="17"/>
                <w:szCs w:val="17"/>
                <w:color w:val="auto"/>
              </w:rPr>
              <w:t>Effect of exchange rate changes on cash and cash equivalents</w:t>
            </w:r>
          </w:p>
        </w:tc>
        <w:tc>
          <w:tcPr>
            <w:tcW w:w="1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146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8,618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320"/>
              <w:spacing w:after="0"/>
              <w:rPr>
                <w:sz w:val="20"/>
                <w:szCs w:val="20"/>
                <w:color w:val="auto"/>
              </w:rPr>
            </w:pPr>
            <w:r>
              <w:rPr>
                <w:rFonts w:ascii="Arial" w:cs="Arial" w:eastAsia="Arial" w:hAnsi="Arial"/>
                <w:sz w:val="17"/>
                <w:szCs w:val="17"/>
                <w:color w:val="auto"/>
              </w:rPr>
              <w:t>Cash and cash equivalents, end of period</w:t>
            </w: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44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auto"/>
              </w:rPr>
              <w:t>24,774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8,618</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17,058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5000"/>
              <w:spacing w:after="0"/>
              <w:rPr>
                <w:sz w:val="20"/>
                <w:szCs w:val="20"/>
                <w:color w:val="auto"/>
              </w:rPr>
            </w:pPr>
            <w:r>
              <w:rPr>
                <w:rFonts w:ascii="Arial" w:cs="Arial" w:eastAsia="Arial" w:hAnsi="Arial"/>
                <w:sz w:val="17"/>
                <w:szCs w:val="17"/>
                <w:color w:val="auto"/>
              </w:rPr>
              <w:t>F-12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6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6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tcBorders>
              <w:right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rPr>
              <w:t>Successor Company</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2"/>
        </w:trPr>
        <w:tc>
          <w:tcPr>
            <w:tcW w:w="65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jc w:val="center"/>
              <w:spacing w:after="0" w:line="113" w:lineRule="exact"/>
              <w:rPr>
                <w:sz w:val="20"/>
                <w:szCs w:val="20"/>
                <w:color w:val="auto"/>
              </w:rPr>
            </w:pPr>
            <w:r>
              <w:rPr>
                <w:rFonts w:ascii="Arial" w:cs="Arial" w:eastAsia="Arial" w:hAnsi="Arial"/>
                <w:sz w:val="12"/>
                <w:szCs w:val="12"/>
                <w:b w:val="1"/>
                <w:bCs w:val="1"/>
                <w:color w:val="auto"/>
              </w:rPr>
              <w:t>Period from</w:t>
            </w:r>
          </w:p>
        </w:tc>
        <w:tc>
          <w:tcPr>
            <w:tcW w:w="220" w:type="dxa"/>
            <w:vAlign w:val="bottom"/>
            <w:tcBorders>
              <w:right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6500" w:type="dxa"/>
            <w:vAlign w:val="bottom"/>
          </w:tcPr>
          <w:p>
            <w:pPr>
              <w:spacing w:after="0"/>
              <w:rPr>
                <w:sz w:val="12"/>
                <w:szCs w:val="12"/>
                <w:color w:val="auto"/>
              </w:rPr>
            </w:pPr>
          </w:p>
        </w:tc>
        <w:tc>
          <w:tcPr>
            <w:tcW w:w="1160" w:type="dxa"/>
            <w:vAlign w:val="bottom"/>
            <w:gridSpan w:val="3"/>
          </w:tcPr>
          <w:p>
            <w:pPr>
              <w:jc w:val="right"/>
              <w:ind w:right="440"/>
              <w:spacing w:after="0" w:line="140" w:lineRule="exact"/>
              <w:rPr>
                <w:sz w:val="20"/>
                <w:szCs w:val="20"/>
                <w:color w:val="auto"/>
              </w:rPr>
            </w:pPr>
            <w:r>
              <w:rPr>
                <w:rFonts w:ascii="Arial" w:cs="Arial" w:eastAsia="Arial" w:hAnsi="Arial"/>
                <w:sz w:val="14"/>
                <w:szCs w:val="14"/>
                <w:b w:val="1"/>
                <w:bCs w:val="1"/>
                <w:color w:val="auto"/>
                <w:w w:val="90"/>
              </w:rPr>
              <w:t>Year Ended</w:t>
            </w:r>
          </w:p>
        </w:tc>
        <w:tc>
          <w:tcPr>
            <w:tcW w:w="1140" w:type="dxa"/>
            <w:vAlign w:val="bottom"/>
            <w:tcBorders>
              <w:right w:val="single" w:sz="8" w:color="auto"/>
            </w:tcBorders>
            <w:gridSpan w:val="3"/>
          </w:tcPr>
          <w:p>
            <w:pPr>
              <w:ind w:left="20"/>
              <w:spacing w:after="0" w:line="140" w:lineRule="exact"/>
              <w:rPr>
                <w:sz w:val="20"/>
                <w:szCs w:val="20"/>
                <w:color w:val="auto"/>
              </w:rPr>
            </w:pPr>
            <w:r>
              <w:rPr>
                <w:rFonts w:ascii="Arial" w:cs="Arial" w:eastAsia="Arial" w:hAnsi="Arial"/>
                <w:sz w:val="14"/>
                <w:szCs w:val="14"/>
                <w:b w:val="1"/>
                <w:bCs w:val="1"/>
                <w:color w:val="auto"/>
              </w:rPr>
              <w:t>July 16, 2019 to</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0"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0"/>
        </w:trPr>
        <w:tc>
          <w:tcPr>
            <w:tcW w:w="6500" w:type="dxa"/>
            <w:vAlign w:val="bottom"/>
          </w:tcPr>
          <w:p>
            <w:pPr>
              <w:spacing w:after="0"/>
              <w:rPr>
                <w:sz w:val="12"/>
                <w:szCs w:val="12"/>
                <w:color w:val="auto"/>
              </w:rPr>
            </w:pPr>
          </w:p>
        </w:tc>
        <w:tc>
          <w:tcPr>
            <w:tcW w:w="11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December 31,</w:t>
            </w:r>
          </w:p>
        </w:tc>
        <w:tc>
          <w:tcPr>
            <w:tcW w:w="1140" w:type="dxa"/>
            <w:vAlign w:val="bottom"/>
            <w:tcBorders>
              <w:right w:val="single" w:sz="8" w:color="auto"/>
            </w:tcBorders>
            <w:gridSpan w:val="3"/>
          </w:tcPr>
          <w:p>
            <w:pPr>
              <w:jc w:val="center"/>
              <w:ind w:right="220"/>
              <w:spacing w:after="0" w:line="140" w:lineRule="exact"/>
              <w:rPr>
                <w:sz w:val="20"/>
                <w:szCs w:val="20"/>
                <w:color w:val="auto"/>
              </w:rPr>
            </w:pPr>
            <w:r>
              <w:rPr>
                <w:rFonts w:ascii="Arial" w:cs="Arial" w:eastAsia="Arial" w:hAnsi="Arial"/>
                <w:sz w:val="14"/>
                <w:szCs w:val="14"/>
                <w:b w:val="1"/>
                <w:bCs w:val="1"/>
                <w:color w:val="auto"/>
                <w:w w:val="87"/>
              </w:rPr>
              <w:t>December 31,</w:t>
            </w:r>
          </w:p>
        </w:tc>
        <w:tc>
          <w:tcPr>
            <w:tcW w:w="440" w:type="dxa"/>
            <w:vAlign w:val="bottom"/>
          </w:tcPr>
          <w:p>
            <w:pPr>
              <w:spacing w:after="0"/>
              <w:rPr>
                <w:sz w:val="12"/>
                <w:szCs w:val="12"/>
                <w:color w:val="auto"/>
              </w:rPr>
            </w:pPr>
          </w:p>
        </w:tc>
        <w:tc>
          <w:tcPr>
            <w:tcW w:w="114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60"/>
        </w:trPr>
        <w:tc>
          <w:tcPr>
            <w:tcW w:w="6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July 15, 2019</w:t>
            </w:r>
          </w:p>
        </w:tc>
        <w:tc>
          <w:tcPr>
            <w:tcW w:w="0" w:type="dxa"/>
            <w:vAlign w:val="bottom"/>
          </w:tcPr>
          <w:p>
            <w:pPr>
              <w:spacing w:after="0"/>
              <w:rPr>
                <w:sz w:val="1"/>
                <w:szCs w:val="1"/>
                <w:color w:val="auto"/>
              </w:rPr>
            </w:pPr>
          </w:p>
        </w:tc>
      </w:tr>
      <w:tr>
        <w:trPr>
          <w:trHeight w:val="184"/>
        </w:trPr>
        <w:tc>
          <w:tcPr>
            <w:tcW w:w="65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Supplemental disclosures for cash flow information:</w:t>
            </w:r>
          </w:p>
        </w:tc>
        <w:tc>
          <w:tcPr>
            <w:tcW w:w="16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500" w:type="dxa"/>
            <w:vAlign w:val="bottom"/>
          </w:tcPr>
          <w:p>
            <w:pPr>
              <w:ind w:left="340"/>
              <w:spacing w:after="0"/>
              <w:rPr>
                <w:sz w:val="20"/>
                <w:szCs w:val="20"/>
                <w:color w:val="auto"/>
              </w:rPr>
            </w:pPr>
            <w:r>
              <w:rPr>
                <w:rFonts w:ascii="Arial" w:cs="Arial" w:eastAsia="Arial" w:hAnsi="Arial"/>
                <w:sz w:val="17"/>
                <w:szCs w:val="17"/>
                <w:color w:val="auto"/>
              </w:rPr>
              <w:t>Cash paid during the year for:</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25,958</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9,939</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277</w:t>
            </w:r>
          </w:p>
        </w:tc>
        <w:tc>
          <w:tcPr>
            <w:tcW w:w="0" w:type="dxa"/>
            <w:vAlign w:val="bottom"/>
          </w:tcPr>
          <w:p>
            <w:pPr>
              <w:spacing w:after="0"/>
              <w:rPr>
                <w:sz w:val="1"/>
                <w:szCs w:val="1"/>
                <w:color w:val="auto"/>
              </w:rPr>
            </w:pPr>
          </w:p>
        </w:tc>
      </w:tr>
      <w:tr>
        <w:trPr>
          <w:trHeight w:val="215"/>
        </w:trPr>
        <w:tc>
          <w:tcPr>
            <w:tcW w:w="6500" w:type="dxa"/>
            <w:vAlign w:val="bottom"/>
          </w:tcPr>
          <w:p>
            <w:pPr>
              <w:ind w:left="680"/>
              <w:spacing w:after="0"/>
              <w:rPr>
                <w:sz w:val="20"/>
                <w:szCs w:val="20"/>
                <w:color w:val="auto"/>
              </w:rPr>
            </w:pPr>
            <w:r>
              <w:rPr>
                <w:rFonts w:ascii="Arial" w:cs="Arial" w:eastAsia="Arial" w:hAnsi="Arial"/>
                <w:sz w:val="17"/>
                <w:szCs w:val="17"/>
                <w:color w:val="auto"/>
              </w:rPr>
              <w:t>Income taxes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noncash disclosures of investing activities: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tcPr>
          <w:p>
            <w:pPr>
              <w:spacing w:after="0"/>
              <w:rPr>
                <w:sz w:val="20"/>
                <w:szCs w:val="20"/>
                <w:color w:val="auto"/>
              </w:rPr>
            </w:pPr>
            <w:r>
              <w:rPr>
                <w:rFonts w:ascii="Arial" w:cs="Arial" w:eastAsia="Arial" w:hAnsi="Arial"/>
                <w:sz w:val="17"/>
                <w:szCs w:val="17"/>
                <w:color w:val="auto"/>
              </w:rPr>
              <w:t>Accrued purchases of data</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3,389</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40" w:type="dxa"/>
            <w:vAlign w:val="bottom"/>
            <w:tcBorders>
              <w:right w:val="single" w:sz="8" w:color="auto"/>
            </w:tcBorders>
            <w:gridSpan w:val="2"/>
          </w:tcPr>
          <w:p>
            <w:pPr>
              <w:jc w:val="right"/>
              <w:ind w:right="300"/>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investing activities:</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tcPr>
          <w:p>
            <w:pPr>
              <w:ind w:left="340"/>
              <w:spacing w:after="0"/>
              <w:rPr>
                <w:sz w:val="20"/>
                <w:szCs w:val="20"/>
                <w:color w:val="auto"/>
              </w:rPr>
            </w:pPr>
            <w:r>
              <w:rPr>
                <w:rFonts w:ascii="Arial" w:cs="Arial" w:eastAsia="Arial" w:hAnsi="Arial"/>
                <w:sz w:val="17"/>
                <w:szCs w:val="17"/>
                <w:color w:val="auto"/>
              </w:rPr>
              <w:t>Acquisitions:</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assets acquired, net of cash acquired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43,571</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1,689,395</w:t>
            </w:r>
          </w:p>
        </w:tc>
        <w:tc>
          <w:tcPr>
            <w:tcW w:w="220" w:type="dxa"/>
            <w:vAlign w:val="bottom"/>
            <w:tcBorders>
              <w:right w:val="single" w:sz="8" w:color="auto"/>
            </w:tcBorders>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4"/>
        </w:trPr>
        <w:tc>
          <w:tcPr>
            <w:tcW w:w="6500" w:type="dxa"/>
            <w:vAlign w:val="bottom"/>
          </w:tcPr>
          <w:p>
            <w:pPr>
              <w:ind w:left="680"/>
              <w:spacing w:after="0"/>
              <w:rPr>
                <w:sz w:val="20"/>
                <w:szCs w:val="20"/>
                <w:color w:val="auto"/>
              </w:rPr>
            </w:pPr>
            <w:r>
              <w:rPr>
                <w:rFonts w:ascii="Arial" w:cs="Arial" w:eastAsia="Arial" w:hAnsi="Arial"/>
                <w:sz w:val="17"/>
                <w:szCs w:val="17"/>
                <w:color w:val="auto"/>
              </w:rPr>
              <w:t>Capital contribution</w:t>
            </w:r>
          </w:p>
        </w:tc>
        <w:tc>
          <w:tcPr>
            <w:tcW w:w="16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(25,439)</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(574,263)</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5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Contingent consideration</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(2,600)</w:t>
            </w:r>
          </w:p>
        </w:tc>
        <w:tc>
          <w:tcPr>
            <w:tcW w:w="10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6500" w:type="dxa"/>
            <w:vAlign w:val="bottom"/>
          </w:tcPr>
          <w:p>
            <w:pPr>
              <w:ind w:left="680"/>
              <w:spacing w:after="0"/>
              <w:rPr>
                <w:sz w:val="20"/>
                <w:szCs w:val="20"/>
                <w:color w:val="auto"/>
              </w:rPr>
            </w:pPr>
            <w:r>
              <w:rPr>
                <w:rFonts w:ascii="Arial" w:cs="Arial" w:eastAsia="Arial" w:hAnsi="Arial"/>
                <w:sz w:val="17"/>
                <w:szCs w:val="17"/>
                <w:color w:val="auto"/>
              </w:rPr>
              <w:t>Consideration paid to former members included in accrued expenses</w:t>
            </w:r>
          </w:p>
        </w:tc>
        <w:tc>
          <w:tcPr>
            <w:tcW w:w="160" w:type="dxa"/>
            <w:vAlign w:val="bottom"/>
          </w:tcPr>
          <w:p>
            <w:pPr>
              <w:spacing w:after="0"/>
              <w:rPr>
                <w:sz w:val="17"/>
                <w:szCs w:val="17"/>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7"/>
                <w:szCs w:val="17"/>
                <w:color w:val="auto"/>
              </w:rPr>
              <w:t>6,935</w:t>
            </w:r>
          </w:p>
        </w:tc>
        <w:tc>
          <w:tcPr>
            <w:tcW w:w="10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(6,935)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50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Net cash paid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22,467</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1,108,197</w:t>
            </w:r>
          </w:p>
        </w:tc>
        <w:tc>
          <w:tcPr>
            <w:tcW w:w="220" w:type="dxa"/>
            <w:vAlign w:val="bottom"/>
            <w:tcBorders>
              <w:right w:val="single" w:sz="8" w:color="auto"/>
            </w:tcBorders>
            <w:shd w:val="clear" w:color="auto" w:fill="CCEEFF"/>
          </w:tcPr>
          <w:p>
            <w:pPr>
              <w:spacing w:after="0"/>
              <w:rPr>
                <w:sz w:val="17"/>
                <w:szCs w:val="17"/>
                <w:color w:val="auto"/>
              </w:rPr>
            </w:pP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29,831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0820"/>
          </w:cols>
          <w:pgMar w:left="320" w:top="442" w:right="759" w:bottom="1440" w:gutter="0" w:footer="0" w:header="0"/>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59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ind w:left="3200"/>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237" w:lineRule="exact"/>
        <w:rPr>
          <w:sz w:val="20"/>
          <w:szCs w:val="20"/>
          <w:color w:val="auto"/>
        </w:rPr>
      </w:pPr>
    </w:p>
    <w:p>
      <w:pPr>
        <w:ind w:left="840" w:hanging="406"/>
        <w:spacing w:after="0"/>
        <w:tabs>
          <w:tab w:leader="none" w:pos="840" w:val="left"/>
        </w:tabs>
        <w:numPr>
          <w:ilvl w:val="0"/>
          <w:numId w:val="181"/>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14" w:lineRule="exact"/>
        <w:rPr>
          <w:sz w:val="20"/>
          <w:szCs w:val="20"/>
          <w:color w:val="auto"/>
        </w:rPr>
      </w:pPr>
    </w:p>
    <w:p>
      <w:pPr>
        <w:ind w:left="440" w:right="40" w:firstLine="415"/>
        <w:spacing w:after="0" w:line="275" w:lineRule="auto"/>
        <w:rPr>
          <w:sz w:val="20"/>
          <w:szCs w:val="20"/>
          <w:color w:val="auto"/>
        </w:rPr>
      </w:pPr>
      <w:r>
        <w:rPr>
          <w:rFonts w:ascii="Arial" w:cs="Arial" w:eastAsia="Arial" w:hAnsi="Arial"/>
          <w:sz w:val="16"/>
          <w:szCs w:val="16"/>
          <w:color w:val="auto"/>
        </w:rPr>
        <w:t xml:space="preserve">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 Refer to Note 3. </w:t>
      </w:r>
      <w:r>
        <w:rPr>
          <w:rFonts w:ascii="Arial" w:cs="Arial" w:eastAsia="Arial" w:hAnsi="Arial"/>
          <w:sz w:val="16"/>
          <w:szCs w:val="16"/>
          <w:i w:val="1"/>
          <w:iCs w:val="1"/>
          <w:color w:val="auto"/>
        </w:rPr>
        <w:t>Business Combinations</w:t>
      </w:r>
      <w:r>
        <w:rPr>
          <w:rFonts w:ascii="Arial" w:cs="Arial" w:eastAsia="Arial" w:hAnsi="Arial"/>
          <w:sz w:val="16"/>
          <w:szCs w:val="16"/>
          <w:color w:val="auto"/>
        </w:rPr>
        <w:t>, for additional information.</w:t>
      </w:r>
    </w:p>
    <w:p>
      <w:pPr>
        <w:spacing w:after="0" w:line="167" w:lineRule="exact"/>
        <w:rPr>
          <w:sz w:val="20"/>
          <w:szCs w:val="20"/>
          <w:color w:val="auto"/>
        </w:rPr>
      </w:pPr>
    </w:p>
    <w:p>
      <w:pPr>
        <w:ind w:left="440" w:right="20" w:firstLine="415"/>
        <w:spacing w:after="0" w:line="279" w:lineRule="auto"/>
        <w:rPr>
          <w:sz w:val="20"/>
          <w:szCs w:val="20"/>
          <w:color w:val="auto"/>
        </w:rPr>
      </w:pPr>
      <w:r>
        <w:rPr>
          <w:rFonts w:ascii="Arial" w:cs="Arial" w:eastAsia="Arial" w:hAnsi="Arial"/>
          <w:sz w:val="16"/>
          <w:szCs w:val="16"/>
          <w:color w:val="auto"/>
        </w:rPr>
        <w:t>References to “Successor” or “Successor Company” relate to the financial position and results of operations of the Company after the Definitive Holdco Acquisition. References to “Predecessor” or “Predecessor Company” refer to the financial position and results of operations of the legacy Definitive Holdco. Definitive Holdco was formed in 2015 for the purpose of acquiring Definitive, which was founded in 2011 to provide healthcare commercial intelligence that enables all companies that compete within or sell into the healthcare ecosystem to be more successful.</w:t>
      </w:r>
    </w:p>
    <w:p>
      <w:pPr>
        <w:spacing w:after="0" w:line="162" w:lineRule="exact"/>
        <w:rPr>
          <w:sz w:val="20"/>
          <w:szCs w:val="20"/>
          <w:color w:val="auto"/>
        </w:rPr>
      </w:pPr>
    </w:p>
    <w:p>
      <w:pPr>
        <w:ind w:left="440" w:right="480" w:firstLine="415"/>
        <w:spacing w:after="0" w:line="306" w:lineRule="auto"/>
        <w:rPr>
          <w:sz w:val="20"/>
          <w:szCs w:val="20"/>
          <w:color w:val="auto"/>
        </w:rPr>
      </w:pPr>
      <w:r>
        <w:rPr>
          <w:rFonts w:ascii="Arial" w:cs="Arial" w:eastAsia="Arial" w:hAnsi="Arial"/>
          <w:sz w:val="16"/>
          <w:szCs w:val="16"/>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1"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The Company’s headquarters are located in Framingham, MA, with operations in three offices throughout the United States and one office in Sweden.</w:t>
      </w:r>
    </w:p>
    <w:p>
      <w:pPr>
        <w:spacing w:after="0" w:line="166"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 xml:space="preserve">On January 16, 2019, Definitive acquired substantially all of the assets and assumed substantially all of the liabilities of HIMSS Analytics, LLC (“HIMSS”).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On December 2, 2019, the Company acquired all of the outstanding common and preferred stock of Healthcare Sales Enablement, Inc. (“HSE”).</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200"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7"/>
          <w:szCs w:val="17"/>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302" w:lineRule="exact"/>
        <w:rPr>
          <w:sz w:val="20"/>
          <w:szCs w:val="20"/>
          <w:color w:val="auto"/>
        </w:rPr>
      </w:pPr>
    </w:p>
    <w:p>
      <w:pPr>
        <w:ind w:left="840" w:right="6640" w:hanging="406"/>
        <w:spacing w:after="0" w:line="377" w:lineRule="auto"/>
        <w:tabs>
          <w:tab w:leader="none" w:pos="832"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ind w:left="440" w:right="120" w:firstLine="415"/>
        <w:spacing w:after="0" w:line="279" w:lineRule="auto"/>
        <w:rPr>
          <w:sz w:val="20"/>
          <w:szCs w:val="20"/>
          <w:color w:val="auto"/>
        </w:rPr>
      </w:pPr>
      <w:r>
        <w:rPr>
          <w:rFonts w:ascii="Arial" w:cs="Arial" w:eastAsia="Arial" w:hAnsi="Arial"/>
          <w:sz w:val="16"/>
          <w:szCs w:val="16"/>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0" w:lineRule="exact"/>
        <w:rPr>
          <w:sz w:val="20"/>
          <w:szCs w:val="20"/>
          <w:color w:val="auto"/>
        </w:rPr>
      </w:pPr>
    </w:p>
    <w:p>
      <w:pPr>
        <w:ind w:left="440" w:right="420" w:firstLine="415"/>
        <w:spacing w:after="0" w:line="273" w:lineRule="auto"/>
        <w:rPr>
          <w:sz w:val="20"/>
          <w:szCs w:val="20"/>
          <w:color w:val="auto"/>
        </w:rPr>
      </w:pPr>
      <w:r>
        <w:rPr>
          <w:rFonts w:ascii="Arial" w:cs="Arial" w:eastAsia="Arial" w:hAnsi="Arial"/>
          <w:sz w:val="17"/>
          <w:szCs w:val="17"/>
          <w:color w:val="auto"/>
        </w:rPr>
        <w:t>The consolidated financial statements include the accounts of the Company and its consolidated subsidiaries. All significant intercompany accounts and transactions have been eliminated in consolidation.</w:t>
      </w:r>
    </w:p>
    <w:p>
      <w:pPr>
        <w:spacing w:after="0" w:line="10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0660"/>
          </w:cols>
          <w:pgMar w:left="320" w:top="442" w:right="919" w:bottom="1440" w:gutter="0" w:footer="0" w:header="0"/>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Use of Estimates in the Preparation of Financial Statements</w:t>
      </w:r>
    </w:p>
    <w:p>
      <w:pPr>
        <w:spacing w:after="0" w:line="110" w:lineRule="exact"/>
        <w:rPr>
          <w:sz w:val="20"/>
          <w:szCs w:val="20"/>
          <w:color w:val="auto"/>
        </w:rPr>
      </w:pPr>
    </w:p>
    <w:p>
      <w:pPr>
        <w:ind w:left="440" w:firstLine="415"/>
        <w:spacing w:after="0" w:line="275"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69"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1"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The Company recognizes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6"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76" w:lineRule="exact"/>
        <w:rPr>
          <w:sz w:val="20"/>
          <w:szCs w:val="20"/>
          <w:color w:val="auto"/>
        </w:rPr>
      </w:pPr>
    </w:p>
    <w:p>
      <w:pPr>
        <w:jc w:val="both"/>
        <w:ind w:left="440" w:right="180" w:firstLine="415"/>
        <w:spacing w:after="0" w:line="257" w:lineRule="auto"/>
        <w:rPr>
          <w:sz w:val="20"/>
          <w:szCs w:val="20"/>
          <w:color w:val="auto"/>
        </w:rPr>
      </w:pPr>
      <w:r>
        <w:rPr>
          <w:rFonts w:ascii="Arial" w:cs="Arial" w:eastAsia="Arial" w:hAnsi="Arial"/>
          <w:sz w:val="17"/>
          <w:szCs w:val="17"/>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0" w:lineRule="exact"/>
        <w:rPr>
          <w:sz w:val="20"/>
          <w:szCs w:val="20"/>
          <w:color w:val="auto"/>
        </w:rPr>
      </w:pPr>
    </w:p>
    <w:p>
      <w:pPr>
        <w:ind w:left="440" w:firstLine="415"/>
        <w:spacing w:after="0" w:line="252" w:lineRule="auto"/>
        <w:rPr>
          <w:sz w:val="20"/>
          <w:szCs w:val="20"/>
          <w:color w:val="auto"/>
        </w:rPr>
      </w:pPr>
      <w:r>
        <w:rPr>
          <w:rFonts w:ascii="Arial" w:cs="Arial" w:eastAsia="Arial" w:hAnsi="Arial"/>
          <w:sz w:val="17"/>
          <w:szCs w:val="17"/>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88"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7"/>
          <w:szCs w:val="17"/>
          <w:color w:val="auto"/>
        </w:rPr>
        <w:t>The Company arrangements typically do not contain variable consideration. However, certain contracts with customers may include service level agreements that entitle the customer to receive service credits, and in certain</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0780"/>
          </w:cols>
          <w:pgMar w:left="320" w:top="442" w:right="799" w:bottom="1440" w:gutter="0" w:footer="0" w:header="0"/>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spacing w:after="0" w:line="255" w:lineRule="auto"/>
        <w:rPr>
          <w:sz w:val="20"/>
          <w:szCs w:val="20"/>
          <w:color w:val="auto"/>
        </w:rPr>
      </w:pPr>
      <w:r>
        <w:rPr>
          <w:rFonts w:ascii="Arial" w:cs="Arial" w:eastAsia="Arial" w:hAnsi="Arial"/>
          <w:sz w:val="17"/>
          <w:szCs w:val="17"/>
          <w:color w:val="auto"/>
        </w:rPr>
        <w:t>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3" w:lineRule="exact"/>
        <w:rPr>
          <w:sz w:val="20"/>
          <w:szCs w:val="20"/>
          <w:color w:val="auto"/>
        </w:rPr>
      </w:pPr>
    </w:p>
    <w:p>
      <w:pPr>
        <w:ind w:left="840" w:right="2200"/>
        <w:spacing w:after="0" w:line="256" w:lineRule="auto"/>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 Level 2 - Other inputs that are directly or indirectly observable in the marketplace</w:t>
      </w:r>
    </w:p>
    <w:p>
      <w:pPr>
        <w:spacing w:after="0" w:line="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value.</w:t>
      </w:r>
    </w:p>
    <w:p>
      <w:pPr>
        <w:spacing w:after="0" w:line="302"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considers all short-term, highly liquid investments with an original maturity of three months or less to be cash and cash equivalents.</w:t>
      </w:r>
    </w:p>
    <w:p>
      <w:pPr>
        <w:spacing w:after="0" w:line="33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Concentration of Credit Risk and Significant Customers</w:t>
      </w:r>
    </w:p>
    <w:p>
      <w:pPr>
        <w:spacing w:after="0" w:line="110"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83" w:lineRule="exact"/>
        <w:rPr>
          <w:sz w:val="20"/>
          <w:szCs w:val="20"/>
          <w:color w:val="auto"/>
        </w:rPr>
      </w:pPr>
    </w:p>
    <w:p>
      <w:pPr>
        <w:ind w:left="440" w:right="20" w:firstLine="415"/>
        <w:spacing w:after="0" w:line="306" w:lineRule="auto"/>
        <w:rPr>
          <w:sz w:val="20"/>
          <w:szCs w:val="20"/>
          <w:color w:val="auto"/>
        </w:rPr>
      </w:pPr>
      <w:r>
        <w:rPr>
          <w:rFonts w:ascii="Arial" w:cs="Arial" w:eastAsia="Arial" w:hAnsi="Arial"/>
          <w:sz w:val="16"/>
          <w:szCs w:val="16"/>
          <w:color w:val="auto"/>
        </w:rPr>
        <w:t>Concentrations of credit risk with respect to trade account receivables are limited due to the large number of customers comprising the Company’s customer base. No single customer accounted for more than 10% of total net sales or accounts receivable in 2020 and 2019.</w:t>
      </w:r>
    </w:p>
    <w:p>
      <w:pPr>
        <w:spacing w:after="0" w:line="24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Accounts Receivable, Net and Contract Assets</w:t>
      </w:r>
    </w:p>
    <w:p>
      <w:pPr>
        <w:spacing w:after="0" w:line="110" w:lineRule="exact"/>
        <w:rPr>
          <w:sz w:val="20"/>
          <w:szCs w:val="20"/>
          <w:color w:val="auto"/>
        </w:rPr>
      </w:pPr>
    </w:p>
    <w:p>
      <w:pPr>
        <w:ind w:left="440" w:right="340" w:firstLine="415"/>
        <w:spacing w:after="0" w:line="275" w:lineRule="auto"/>
        <w:rPr>
          <w:sz w:val="20"/>
          <w:szCs w:val="20"/>
          <w:color w:val="auto"/>
        </w:rPr>
      </w:pPr>
      <w:r>
        <w:rPr>
          <w:rFonts w:ascii="Arial" w:cs="Arial" w:eastAsia="Arial" w:hAnsi="Arial"/>
          <w:sz w:val="16"/>
          <w:szCs w:val="16"/>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2020 and 2019, the allowance for doubtful accounts was $0.9 million and $0.5 million, respectively.</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0800"/>
          </w:cols>
          <w:pgMar w:left="320" w:top="442" w:right="779" w:bottom="1440" w:gutter="0" w:footer="0" w:header="0"/>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80" w:firstLine="415"/>
        <w:spacing w:after="0" w:line="279" w:lineRule="auto"/>
        <w:rPr>
          <w:sz w:val="20"/>
          <w:szCs w:val="20"/>
          <w:color w:val="auto"/>
        </w:rPr>
      </w:pPr>
      <w:r>
        <w:rPr>
          <w:rFonts w:ascii="Arial" w:cs="Arial" w:eastAsia="Arial" w:hAnsi="Arial"/>
          <w:sz w:val="16"/>
          <w:szCs w:val="16"/>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0"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straight-basis over 2 years, which reflects the average renewal period. Renewal contracts with a term of one year or less are expensed.</w:t>
      </w:r>
    </w:p>
    <w:p>
      <w:pPr>
        <w:spacing w:after="0" w:line="183" w:lineRule="exact"/>
        <w:rPr>
          <w:sz w:val="20"/>
          <w:szCs w:val="20"/>
          <w:color w:val="auto"/>
        </w:rPr>
      </w:pPr>
    </w:p>
    <w:p>
      <w:pPr>
        <w:ind w:left="440" w:right="40" w:firstLine="415"/>
        <w:spacing w:after="0" w:line="253"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income (loss). Costs capitalized to obtain a revenue contract, net on the Company’s consolidated balance sheets totaled $8.9 million and $2.9 million at December 31, 2020 and 2019, respectively and are included in current portion of deferred contract costs ($2.9 million and $0.8 million, as of December 31, 2020 and 2019, respectively) and deferred contract costs, net of current portion ($6.0 million and $2.1 million, as of December 31, 2020 and 2019, respectively) in the accompanying consolidated balance sheets. There were no impairments of costs to obtain revenue contracts in the years ended December 31, 2020 and 2019.</w:t>
      </w:r>
    </w:p>
    <w:p>
      <w:pPr>
        <w:spacing w:after="0" w:line="287"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0"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0800"/>
          </w:cols>
          <w:pgMar w:left="320" w:top="442" w:right="779" w:bottom="1440" w:gutter="0" w:footer="0" w:header="0"/>
        </w:sectPr>
      </w:pPr>
    </w:p>
    <w:p>
      <w:pPr>
        <w:spacing w:after="0" w:line="191"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Furniture and equipment</w:t>
      </w:r>
    </w:p>
    <w:p>
      <w:pPr>
        <w:spacing w:after="0" w:line="43"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Computers and software</w:t>
      </w:r>
    </w:p>
    <w:p>
      <w:pPr>
        <w:spacing w:after="0" w:line="31"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 years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Lesser of the asset life or lease term</w:t>
      </w:r>
    </w:p>
    <w:p>
      <w:pPr>
        <w:spacing w:after="0" w:line="200" w:lineRule="exact"/>
        <w:rPr>
          <w:sz w:val="20"/>
          <w:szCs w:val="20"/>
          <w:color w:val="auto"/>
        </w:rPr>
      </w:pPr>
    </w:p>
    <w:p>
      <w:pPr>
        <w:sectPr>
          <w:pgSz w:w="11900" w:h="16838" w:orient="portrait"/>
          <w:cols w:equalWidth="0" w:num="2">
            <w:col w:w="4960" w:space="720"/>
            <w:col w:w="5120"/>
          </w:cols>
          <w:pgMar w:left="320" w:top="442" w:right="779" w:bottom="1440" w:gutter="0" w:footer="0" w:header="0"/>
          <w:type w:val="continuous"/>
        </w:sectPr>
      </w:pPr>
    </w:p>
    <w:p>
      <w:pPr>
        <w:spacing w:after="0" w:line="23"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Upon retirement or sale, the cost of assets disposed and the related accumulated depreciation are removed from the accounts and any resulting gain or loss is recognized as gain or loss on disposal of assets in the consolidated statements of income (loss). Major replacements and improvements are capitalized, while general repairs and maintenance are charged to expense as incurred.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Advertising and Promotional Expenses</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The Company expenses advertising costs as incurred in accordance with ASC 720—</w:t>
      </w:r>
      <w:r>
        <w:rPr>
          <w:rFonts w:ascii="Arial" w:cs="Arial" w:eastAsia="Arial" w:hAnsi="Arial"/>
          <w:sz w:val="17"/>
          <w:szCs w:val="17"/>
          <w:i w:val="1"/>
          <w:iCs w:val="1"/>
          <w:color w:val="auto"/>
        </w:rPr>
        <w:t>Other Expenses – Advertising Cost</w:t>
      </w:r>
      <w:r>
        <w:rPr>
          <w:rFonts w:ascii="Arial" w:cs="Arial" w:eastAsia="Arial" w:hAnsi="Arial"/>
          <w:sz w:val="17"/>
          <w:szCs w:val="17"/>
          <w:color w:val="auto"/>
        </w:rPr>
        <w:t>. Advertising expenses of $0.6 million for the year ended December 31, 2020 (Successor) and $0.2 million and $0.2 million for the periods from July 16, 2019 through December 31, 2019 (Successor), and from January 1, 2019 through July 15, 2019 (Predecessor), respectively, are included in sales and marketing on the consolidated statements of income (loss).</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0800"/>
          </w:cols>
          <w:pgMar w:left="320" w:top="442" w:right="779" w:bottom="1440" w:gutter="0" w:footer="0" w:header="0"/>
          <w:type w:val="continuous"/>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10" w:lineRule="exact"/>
        <w:rPr>
          <w:sz w:val="20"/>
          <w:szCs w:val="20"/>
          <w:color w:val="auto"/>
        </w:rPr>
      </w:pPr>
    </w:p>
    <w:p>
      <w:pPr>
        <w:ind w:left="440" w:right="100" w:firstLine="415"/>
        <w:spacing w:after="0" w:line="254" w:lineRule="auto"/>
        <w:rPr>
          <w:sz w:val="20"/>
          <w:szCs w:val="20"/>
          <w:color w:val="auto"/>
        </w:rPr>
      </w:pPr>
      <w:r>
        <w:rPr>
          <w:rFonts w:ascii="Arial" w:cs="Arial" w:eastAsia="Arial" w:hAnsi="Arial"/>
          <w:sz w:val="17"/>
          <w:szCs w:val="17"/>
          <w:color w:val="auto"/>
        </w:rPr>
        <w:t xml:space="preserve">The Company accounts for its software development costs in accordance with the guidance set forth in ASC 350-40, </w:t>
      </w:r>
      <w:r>
        <w:rPr>
          <w:rFonts w:ascii="Arial" w:cs="Arial" w:eastAsia="Arial" w:hAnsi="Arial"/>
          <w:sz w:val="17"/>
          <w:szCs w:val="17"/>
          <w:i w:val="1"/>
          <w:iCs w:val="1"/>
          <w:color w:val="auto"/>
        </w:rPr>
        <w:t>Intangibles – Goodwill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 Internal Use Software. </w:t>
      </w:r>
      <w:r>
        <w:rPr>
          <w:rFonts w:ascii="Arial" w:cs="Arial" w:eastAsia="Arial" w:hAnsi="Arial"/>
          <w:sz w:val="17"/>
          <w:szCs w:val="17"/>
          <w:color w:val="auto"/>
        </w:rPr>
        <w:t>The Company capitalizes costs to develop software for internal use incurred during the application development stage.</w:t>
      </w:r>
      <w:r>
        <w:rPr>
          <w:rFonts w:ascii="Arial" w:cs="Arial" w:eastAsia="Arial" w:hAnsi="Arial"/>
          <w:sz w:val="17"/>
          <w:szCs w:val="17"/>
          <w:i w:val="1"/>
          <w:iCs w:val="1"/>
          <w:color w:val="auto"/>
        </w:rPr>
        <w:t xml:space="preserve"> </w:t>
      </w:r>
      <w:r>
        <w:rPr>
          <w:rFonts w:ascii="Arial" w:cs="Arial" w:eastAsia="Arial" w:hAnsi="Arial"/>
          <w:sz w:val="17"/>
          <w:szCs w:val="17"/>
          <w:color w:val="auto"/>
        </w:rPr>
        <w:t>Costs related to preliminary project activities and post implementation activities are expensed as incurred. Capitalized costs of $0.1 million for the year ended December 31, 2020, are included in property and equipment, net. Software development costs are amortized over a period of 3 years once in service. No software development costs were capitalized during the periods from July 16, 2019 to December 31, 2019 (Successor) or from January 1, 2019 through July 15, 2019 (Predecessor).</w:t>
      </w:r>
    </w:p>
    <w:p>
      <w:pPr>
        <w:spacing w:after="0" w:line="285"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80" w:firstLine="415"/>
        <w:spacing w:after="0" w:line="290" w:lineRule="auto"/>
        <w:rPr>
          <w:sz w:val="20"/>
          <w:szCs w:val="20"/>
          <w:color w:val="auto"/>
        </w:rPr>
      </w:pPr>
      <w:r>
        <w:rPr>
          <w:rFonts w:ascii="Arial" w:cs="Arial" w:eastAsia="Arial" w:hAnsi="Arial"/>
          <w:sz w:val="15"/>
          <w:szCs w:val="15"/>
          <w:color w:val="auto"/>
        </w:rPr>
        <w:t xml:space="preserve">The Company accounts for business combinations using the acquisition method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59" w:lineRule="exact"/>
        <w:rPr>
          <w:sz w:val="20"/>
          <w:szCs w:val="20"/>
          <w:color w:val="auto"/>
        </w:rPr>
      </w:pPr>
    </w:p>
    <w:p>
      <w:pPr>
        <w:ind w:left="440" w:right="180" w:firstLine="415"/>
        <w:spacing w:after="0" w:line="255"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3"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49" w:lineRule="exact"/>
        <w:rPr>
          <w:sz w:val="20"/>
          <w:szCs w:val="20"/>
          <w:color w:val="auto"/>
        </w:rPr>
      </w:pPr>
    </w:p>
    <w:p>
      <w:pPr>
        <w:ind w:left="440" w:right="180" w:firstLine="415"/>
        <w:spacing w:after="0" w:line="261" w:lineRule="auto"/>
        <w:rPr>
          <w:sz w:val="20"/>
          <w:szCs w:val="20"/>
          <w:color w:val="auto"/>
        </w:rPr>
      </w:pPr>
      <w:r>
        <w:rPr>
          <w:rFonts w:ascii="Arial" w:cs="Arial" w:eastAsia="Arial" w:hAnsi="Arial"/>
          <w:sz w:val="17"/>
          <w:szCs w:val="17"/>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10"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0800"/>
          </w:cols>
          <w:pgMar w:left="320" w:top="442" w:right="77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59"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06" w:lineRule="exact"/>
        <w:rPr>
          <w:sz w:val="20"/>
          <w:szCs w:val="20"/>
          <w:color w:val="auto"/>
        </w:rPr>
      </w:pPr>
    </w:p>
    <w:tbl>
      <w:tblPr>
        <w:tblLayout w:type="fixed"/>
        <w:tblInd w:w="780" w:type="dxa"/>
        <w:tblCellMar>
          <w:top w:w="0" w:type="dxa"/>
          <w:left w:w="0" w:type="dxa"/>
          <w:bottom w:w="0" w:type="dxa"/>
          <w:right w:w="0" w:type="dxa"/>
        </w:tblCellMar>
      </w:tblP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960" w:type="dxa"/>
            <w:vAlign w:val="bottom"/>
          </w:tcPr>
          <w:p>
            <w:pPr>
              <w:ind w:left="1760"/>
              <w:spacing w:after="0"/>
              <w:rPr>
                <w:sz w:val="20"/>
                <w:szCs w:val="20"/>
                <w:color w:val="auto"/>
              </w:rPr>
            </w:pPr>
            <w:r>
              <w:rPr>
                <w:rFonts w:ascii="Arial" w:cs="Arial" w:eastAsia="Arial" w:hAnsi="Arial"/>
                <w:sz w:val="17"/>
                <w:szCs w:val="17"/>
                <w:color w:val="auto"/>
                <w:w w:val="94"/>
              </w:rPr>
              <w:t>14</w:t>
            </w:r>
          </w:p>
        </w:tc>
        <w:tc>
          <w:tcPr>
            <w:tcW w:w="720" w:type="dxa"/>
            <w:vAlign w:val="bottom"/>
          </w:tcPr>
          <w:p>
            <w:pPr>
              <w:ind w:left="20"/>
              <w:spacing w:after="0"/>
              <w:rPr>
                <w:sz w:val="20"/>
                <w:szCs w:val="20"/>
                <w:color w:val="auto"/>
              </w:rPr>
            </w:pPr>
            <w:r>
              <w:rPr>
                <w:rFonts w:ascii="Arial" w:cs="Arial" w:eastAsia="Arial" w:hAnsi="Arial"/>
                <w:sz w:val="17"/>
                <w:szCs w:val="17"/>
                <w:color w:val="auto"/>
                <w:w w:val="85"/>
              </w:rPr>
              <w:t>– 15 years</w:t>
            </w:r>
          </w:p>
        </w:tc>
      </w:t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Technology</w:t>
            </w:r>
          </w:p>
        </w:tc>
        <w:tc>
          <w:tcPr>
            <w:tcW w:w="2680" w:type="dxa"/>
            <w:vAlign w:val="bottom"/>
            <w:gridSpan w:val="2"/>
          </w:tcPr>
          <w:p>
            <w:pPr>
              <w:ind w:left="1760"/>
              <w:spacing w:after="0"/>
              <w:rPr>
                <w:sz w:val="20"/>
                <w:szCs w:val="20"/>
                <w:color w:val="auto"/>
              </w:rPr>
            </w:pPr>
            <w:r>
              <w:rPr>
                <w:rFonts w:ascii="Arial" w:cs="Arial" w:eastAsia="Arial" w:hAnsi="Arial"/>
                <w:sz w:val="17"/>
                <w:szCs w:val="17"/>
                <w:color w:val="auto"/>
              </w:rPr>
              <w:t>7 – 8 years</w:t>
            </w:r>
          </w:p>
        </w:tc>
      </w:t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Tradenames / trademark</w:t>
            </w:r>
          </w:p>
        </w:tc>
        <w:tc>
          <w:tcPr>
            <w:tcW w:w="1960" w:type="dxa"/>
            <w:vAlign w:val="bottom"/>
          </w:tcPr>
          <w:p>
            <w:pPr>
              <w:ind w:left="1760"/>
              <w:spacing w:after="0"/>
              <w:rPr>
                <w:sz w:val="20"/>
                <w:szCs w:val="20"/>
                <w:color w:val="auto"/>
              </w:rPr>
            </w:pPr>
            <w:r>
              <w:rPr>
                <w:rFonts w:ascii="Arial" w:cs="Arial" w:eastAsia="Arial" w:hAnsi="Arial"/>
                <w:sz w:val="17"/>
                <w:szCs w:val="17"/>
                <w:color w:val="auto"/>
                <w:w w:val="94"/>
              </w:rPr>
              <w:t>17</w:t>
            </w:r>
          </w:p>
        </w:tc>
        <w:tc>
          <w:tcPr>
            <w:tcW w:w="720" w:type="dxa"/>
            <w:vAlign w:val="bottom"/>
          </w:tcPr>
          <w:p>
            <w:pPr>
              <w:ind w:left="20"/>
              <w:spacing w:after="0"/>
              <w:rPr>
                <w:sz w:val="20"/>
                <w:szCs w:val="20"/>
                <w:color w:val="auto"/>
              </w:rPr>
            </w:pPr>
            <w:r>
              <w:rPr>
                <w:rFonts w:ascii="Arial" w:cs="Arial" w:eastAsia="Arial" w:hAnsi="Arial"/>
                <w:sz w:val="17"/>
                <w:szCs w:val="17"/>
                <w:color w:val="auto"/>
                <w:w w:val="85"/>
              </w:rPr>
              <w:t>– 19 years</w:t>
            </w:r>
          </w:p>
        </w:tc>
      </w:tr>
      <w:tr>
        <w:trPr>
          <w:trHeight w:val="215"/>
        </w:trPr>
        <w:tc>
          <w:tcPr>
            <w:tcW w:w="3400" w:type="dxa"/>
            <w:vAlign w:val="bottom"/>
          </w:tcPr>
          <w:p>
            <w:pPr>
              <w:spacing w:after="0"/>
              <w:rPr>
                <w:sz w:val="20"/>
                <w:szCs w:val="20"/>
                <w:color w:val="auto"/>
              </w:rPr>
            </w:pPr>
            <w:r>
              <w:rPr>
                <w:rFonts w:ascii="Arial" w:cs="Arial" w:eastAsia="Arial" w:hAnsi="Arial"/>
                <w:sz w:val="17"/>
                <w:szCs w:val="17"/>
                <w:color w:val="auto"/>
              </w:rPr>
              <w:t>Data</w:t>
            </w:r>
          </w:p>
        </w:tc>
        <w:tc>
          <w:tcPr>
            <w:tcW w:w="2680" w:type="dxa"/>
            <w:vAlign w:val="bottom"/>
            <w:gridSpan w:val="2"/>
          </w:tcPr>
          <w:p>
            <w:pPr>
              <w:ind w:left="1760"/>
              <w:spacing w:after="0"/>
              <w:rPr>
                <w:sz w:val="20"/>
                <w:szCs w:val="20"/>
                <w:color w:val="auto"/>
              </w:rPr>
            </w:pPr>
            <w:r>
              <w:rPr>
                <w:rFonts w:ascii="Arial" w:cs="Arial" w:eastAsia="Arial" w:hAnsi="Arial"/>
                <w:sz w:val="17"/>
                <w:szCs w:val="17"/>
                <w:color w:val="auto"/>
              </w:rPr>
              <w:t>1– 4 years</w:t>
            </w:r>
          </w:p>
        </w:tc>
      </w:tr>
    </w:tbl>
    <w:p>
      <w:pPr>
        <w:spacing w:after="0" w:line="29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0" w:lineRule="exact"/>
        <w:rPr>
          <w:sz w:val="20"/>
          <w:szCs w:val="20"/>
          <w:color w:val="auto"/>
        </w:rPr>
      </w:pPr>
    </w:p>
    <w:p>
      <w:pPr>
        <w:ind w:left="440" w:right="120" w:firstLine="415"/>
        <w:spacing w:after="0" w:line="302" w:lineRule="auto"/>
        <w:rPr>
          <w:sz w:val="20"/>
          <w:szCs w:val="20"/>
          <w:color w:val="auto"/>
        </w:rPr>
      </w:pPr>
      <w:r>
        <w:rPr>
          <w:rFonts w:ascii="Arial" w:cs="Arial" w:eastAsia="Arial" w:hAnsi="Arial"/>
          <w:sz w:val="15"/>
          <w:szCs w:val="15"/>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5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10" w:lineRule="exact"/>
        <w:rPr>
          <w:sz w:val="20"/>
          <w:szCs w:val="20"/>
          <w:color w:val="auto"/>
        </w:rPr>
      </w:pPr>
    </w:p>
    <w:p>
      <w:pPr>
        <w:jc w:val="both"/>
        <w:ind w:left="440" w:right="60" w:firstLine="415"/>
        <w:spacing w:after="0" w:line="312" w:lineRule="auto"/>
        <w:rPr>
          <w:sz w:val="20"/>
          <w:szCs w:val="20"/>
          <w:color w:val="auto"/>
        </w:rPr>
      </w:pPr>
      <w:r>
        <w:rPr>
          <w:rFonts w:ascii="Arial" w:cs="Arial" w:eastAsia="Arial" w:hAnsi="Arial"/>
          <w:sz w:val="15"/>
          <w:szCs w:val="15"/>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4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10" w:lineRule="exact"/>
        <w:rPr>
          <w:sz w:val="20"/>
          <w:szCs w:val="20"/>
          <w:color w:val="auto"/>
        </w:rPr>
      </w:pPr>
    </w:p>
    <w:p>
      <w:pPr>
        <w:ind w:left="440" w:right="40" w:firstLine="415"/>
        <w:spacing w:after="0" w:line="270"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2020 and 2019, the Company had $10.9 million and $12.6 million, respectively, of unamortized deferred financing costs related to its non-revolving credit facilities.</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0760"/>
          </w:cols>
          <w:pgMar w:left="320" w:top="442" w:right="81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The Company capitalizes deferred initial public offering (“IPO”) costs, which primarily consist of direct, incremental legal, professional, accounting and other third-party fees relating to the Company’s initial public offering, within other non-current assets. The deferred IPO costs will be offset against IPO proceeds upon the consummation of an offering. Should the planned IPO be abandoned, the deferred issuance costs will be expensed immediately as a charge to operating expenses in the consolidated statement of (loss) income. There were no deferred IPO costs as of December 31, 2020.</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Sales Tax</w:t>
      </w:r>
    </w:p>
    <w:p>
      <w:pPr>
        <w:spacing w:after="0" w:line="110"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Income Taxes</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tax years ended December 31, 2020 and 2019, nor was it subject to state income taxes in certain jurisdictions for the tax years ended December 31, 2020 and 2019.</w:t>
      </w:r>
    </w:p>
    <w:p>
      <w:pPr>
        <w:spacing w:after="0" w:line="183"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 of operations.</w:t>
      </w:r>
    </w:p>
    <w:p>
      <w:pPr>
        <w:spacing w:after="0" w:line="169" w:lineRule="exact"/>
        <w:rPr>
          <w:sz w:val="20"/>
          <w:szCs w:val="20"/>
          <w:color w:val="auto"/>
        </w:rPr>
      </w:pPr>
    </w:p>
    <w:p>
      <w:pPr>
        <w:ind w:left="440" w:right="40" w:firstLine="415"/>
        <w:spacing w:after="0" w:line="279" w:lineRule="auto"/>
        <w:rPr>
          <w:sz w:val="20"/>
          <w:szCs w:val="20"/>
          <w:color w:val="auto"/>
        </w:rPr>
      </w:pPr>
      <w:r>
        <w:rPr>
          <w:rFonts w:ascii="Arial" w:cs="Arial" w:eastAsia="Arial" w:hAnsi="Arial"/>
          <w:sz w:val="16"/>
          <w:szCs w:val="16"/>
          <w:color w:val="auto"/>
        </w:rPr>
        <w:t>Under the provisions of ASC 740</w:t>
      </w:r>
      <w:r>
        <w:rPr>
          <w:rFonts w:ascii="Arial" w:cs="Arial" w:eastAsia="Arial" w:hAnsi="Arial"/>
          <w:sz w:val="16"/>
          <w:szCs w:val="16"/>
          <w:i w:val="1"/>
          <w:iCs w:val="1"/>
          <w:color w:val="auto"/>
        </w:rPr>
        <w:t>, Income Taxes</w:t>
      </w:r>
      <w:r>
        <w:rPr>
          <w:rFonts w:ascii="Arial" w:cs="Arial" w:eastAsia="Arial" w:hAnsi="Arial"/>
          <w:sz w:val="16"/>
          <w:szCs w:val="16"/>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the Company did not have any uncertain tax positions.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Net Loss Per Unit</w:t>
      </w:r>
    </w:p>
    <w:p>
      <w:pPr>
        <w:spacing w:after="0" w:line="110"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3" w:lineRule="exact"/>
        <w:rPr>
          <w:sz w:val="20"/>
          <w:szCs w:val="20"/>
          <w:color w:val="auto"/>
        </w:rPr>
      </w:pPr>
    </w:p>
    <w:p>
      <w:pPr>
        <w:ind w:left="440" w:right="620" w:firstLine="415"/>
        <w:spacing w:after="0" w:line="273" w:lineRule="auto"/>
        <w:rPr>
          <w:sz w:val="20"/>
          <w:szCs w:val="20"/>
          <w:color w:val="auto"/>
        </w:rPr>
      </w:pPr>
      <w:r>
        <w:rPr>
          <w:rFonts w:ascii="Arial" w:cs="Arial" w:eastAsia="Arial" w:hAnsi="Arial"/>
          <w:sz w:val="17"/>
          <w:szCs w:val="17"/>
          <w:color w:val="auto"/>
        </w:rPr>
        <w:t>Basic net income or loss per unit is computed by dividing the net income or loss by the weighted-average number of common units of the Company outstanding during the period. Diluted net income or loss per unit is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F-20</w:t>
      </w:r>
    </w:p>
    <w:p>
      <w:pPr>
        <w:sectPr>
          <w:pgSz w:w="11900" w:h="16838" w:orient="portrait"/>
          <w:cols w:equalWidth="0" w:num="1">
            <w:col w:w="10800"/>
          </w:cols>
          <w:pgMar w:left="320" w:top="442" w:right="779" w:bottom="1440" w:gutter="0" w:footer="0" w:header="0"/>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7" w:lineRule="auto"/>
        <w:rPr>
          <w:sz w:val="20"/>
          <w:szCs w:val="20"/>
          <w:color w:val="auto"/>
        </w:rPr>
      </w:pPr>
      <w:r>
        <w:rPr>
          <w:rFonts w:ascii="Arial" w:cs="Arial" w:eastAsia="Arial" w:hAnsi="Arial"/>
          <w:sz w:val="17"/>
          <w:szCs w:val="17"/>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80" w:lineRule="exact"/>
        <w:rPr>
          <w:sz w:val="20"/>
          <w:szCs w:val="20"/>
          <w:color w:val="auto"/>
        </w:rPr>
      </w:pPr>
    </w:p>
    <w:p>
      <w:pPr>
        <w:ind w:left="440" w:right="200" w:firstLine="415"/>
        <w:spacing w:after="0" w:line="255" w:lineRule="auto"/>
        <w:rPr>
          <w:sz w:val="20"/>
          <w:szCs w:val="20"/>
          <w:color w:val="auto"/>
        </w:rPr>
      </w:pPr>
      <w:r>
        <w:rPr>
          <w:rFonts w:ascii="Arial" w:cs="Arial" w:eastAsia="Arial" w:hAnsi="Arial"/>
          <w:sz w:val="17"/>
          <w:szCs w:val="17"/>
          <w:color w:val="auto"/>
        </w:rPr>
        <w:t xml:space="preserve">All net earnings (loss) for the Predecessor period from January 1, 2019 to July 15, 2019 were entirely allocable to Predecessor members. Additionally, due to the impact of the Definitive Holdco Acquisition, the Company’s capital structure for the Predecessor and Successor periods is not comparable. As a result, the presentation of earnings (loss) per share for the periods prior to such transaction is not meaningful and only earnings (loss) per unit for periods subsequent to the Definitive Holdco Acquisition are presented herein. See Note 16. </w:t>
      </w:r>
      <w:r>
        <w:rPr>
          <w:rFonts w:ascii="Arial" w:cs="Arial" w:eastAsia="Arial" w:hAnsi="Arial"/>
          <w:sz w:val="17"/>
          <w:szCs w:val="17"/>
          <w:i w:val="1"/>
          <w:iCs w:val="1"/>
          <w:color w:val="auto"/>
        </w:rPr>
        <w:t>Net Loss Per Unit</w:t>
      </w:r>
      <w:r>
        <w:rPr>
          <w:rFonts w:ascii="Arial" w:cs="Arial" w:eastAsia="Arial" w:hAnsi="Arial"/>
          <w:sz w:val="17"/>
          <w:szCs w:val="17"/>
          <w:color w:val="auto"/>
        </w:rPr>
        <w:t xml:space="preserve"> for additional information on dilutive securities.</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160" w:firstLine="415"/>
        <w:spacing w:after="0" w:line="312" w:lineRule="auto"/>
        <w:rPr>
          <w:sz w:val="20"/>
          <w:szCs w:val="20"/>
          <w:color w:val="auto"/>
        </w:rPr>
      </w:pPr>
      <w:r>
        <w:rPr>
          <w:rFonts w:ascii="Arial" w:cs="Arial" w:eastAsia="Arial" w:hAnsi="Arial"/>
          <w:sz w:val="15"/>
          <w:szCs w:val="15"/>
          <w:color w:val="auto"/>
        </w:rPr>
        <w:t>The Company periodically grants equity units to employees, consultants, directors, managers, or others providing service. These units are considered profit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1" w:lineRule="exact"/>
        <w:rPr>
          <w:sz w:val="20"/>
          <w:szCs w:val="20"/>
          <w:color w:val="auto"/>
        </w:rPr>
      </w:pPr>
    </w:p>
    <w:p>
      <w:pPr>
        <w:ind w:left="440" w:right="80" w:firstLine="415"/>
        <w:spacing w:after="0" w:line="275" w:lineRule="auto"/>
        <w:rPr>
          <w:sz w:val="20"/>
          <w:szCs w:val="20"/>
          <w:color w:val="auto"/>
        </w:rPr>
      </w:pPr>
      <w:r>
        <w:rPr>
          <w:rFonts w:ascii="Arial" w:cs="Arial" w:eastAsia="Arial" w:hAnsi="Arial"/>
          <w:sz w:val="16"/>
          <w:szCs w:val="16"/>
          <w:color w:val="auto"/>
        </w:rPr>
        <w:t>The Company accounts for these profit interest units in accordance with ASC 718—</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67"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The Company classifies equity-based compensation expense in its consolidated statements of (loss) income in the same manner in which the award recipient’s salary and related costs are classified.</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Adoption of Recently Issued Financial Accounting Standards</w:t>
      </w:r>
    </w:p>
    <w:p>
      <w:pPr>
        <w:spacing w:after="0" w:line="110" w:lineRule="exact"/>
        <w:rPr>
          <w:sz w:val="20"/>
          <w:szCs w:val="20"/>
          <w:color w:val="auto"/>
        </w:rPr>
      </w:pPr>
    </w:p>
    <w:p>
      <w:pPr>
        <w:ind w:left="440" w:right="60" w:firstLine="415"/>
        <w:spacing w:after="0" w:line="295" w:lineRule="auto"/>
        <w:rPr>
          <w:sz w:val="20"/>
          <w:szCs w:val="20"/>
          <w:color w:val="auto"/>
        </w:rPr>
      </w:pPr>
      <w:r>
        <w:rPr>
          <w:rFonts w:ascii="Arial" w:cs="Arial" w:eastAsia="Arial" w:hAnsi="Arial"/>
          <w:sz w:val="15"/>
          <w:szCs w:val="15"/>
          <w:color w:val="auto"/>
        </w:rPr>
        <w:t>In May 2014, the FASB issued ASC 606—</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which amended the accounting standards for revenue recognition and expanded the Company’s disclosure requirements. The core principle of the guidance is that an entity should recognize revenue to depict the transfer of promised goods or services to customers in an amount that reflects the consideration to which the entity expects to be entitled in exchange for those goods or services. ASC 606 also includes Subtopic 340-40, </w:t>
      </w:r>
      <w:r>
        <w:rPr>
          <w:rFonts w:ascii="Arial" w:cs="Arial" w:eastAsia="Arial" w:hAnsi="Arial"/>
          <w:sz w:val="15"/>
          <w:szCs w:val="15"/>
          <w:i w:val="1"/>
          <w:iCs w:val="1"/>
          <w:color w:val="auto"/>
        </w:rPr>
        <w:t>Other Assets and Deferred Costs – Contracts with Customers</w:t>
      </w:r>
      <w:r>
        <w:rPr>
          <w:rFonts w:ascii="Arial" w:cs="Arial" w:eastAsia="Arial" w:hAnsi="Arial"/>
          <w:sz w:val="15"/>
          <w:szCs w:val="15"/>
          <w:color w:val="auto"/>
        </w:rPr>
        <w:t>, which requires the deferral of incremental costs of obtaining a contract with a customer. This standard also requires additional disclosure about the nature, amount, timing and uncertainty of revenue and cash flows arising from customer contracts, including significant judgments and changes in judgments.</w:t>
      </w:r>
    </w:p>
    <w:p>
      <w:pPr>
        <w:spacing w:after="0" w:line="153" w:lineRule="exact"/>
        <w:rPr>
          <w:sz w:val="20"/>
          <w:szCs w:val="20"/>
          <w:color w:val="auto"/>
        </w:rPr>
      </w:pPr>
    </w:p>
    <w:p>
      <w:pPr>
        <w:ind w:left="440" w:right="60" w:firstLine="415"/>
        <w:spacing w:after="0" w:line="342" w:lineRule="auto"/>
        <w:rPr>
          <w:sz w:val="20"/>
          <w:szCs w:val="20"/>
          <w:color w:val="auto"/>
        </w:rPr>
      </w:pPr>
      <w:r>
        <w:rPr>
          <w:rFonts w:ascii="Arial" w:cs="Arial" w:eastAsia="Arial" w:hAnsi="Arial"/>
          <w:sz w:val="15"/>
          <w:szCs w:val="15"/>
          <w:color w:val="auto"/>
        </w:rPr>
        <w:t>The Company adopted ASC 606 effective January 1, 2019 under the modified retrospective method, which resulted in an adjustment at January 1, 2019 of $5.4 million to members’ capital for the cumulative effect of applying the standard to all contracts not completed as of the adoption date.</w:t>
      </w:r>
    </w:p>
    <w:p>
      <w:pPr>
        <w:spacing w:after="0" w:line="119" w:lineRule="exact"/>
        <w:rPr>
          <w:sz w:val="20"/>
          <w:szCs w:val="20"/>
          <w:color w:val="auto"/>
        </w:rPr>
      </w:pPr>
    </w:p>
    <w:p>
      <w:pPr>
        <w:ind w:left="440" w:right="40" w:firstLine="415"/>
        <w:spacing w:after="0" w:line="255" w:lineRule="auto"/>
        <w:rPr>
          <w:sz w:val="20"/>
          <w:szCs w:val="20"/>
          <w:color w:val="auto"/>
        </w:rPr>
      </w:pPr>
      <w:r>
        <w:rPr>
          <w:rFonts w:ascii="Arial" w:cs="Arial" w:eastAsia="Arial" w:hAnsi="Arial"/>
          <w:sz w:val="17"/>
          <w:szCs w:val="17"/>
          <w:color w:val="auto"/>
        </w:rPr>
        <w:t>The adjustment primarily related to deferred contract costs, including incremental employee sales commissions and other employee compensation arrangements, and adjustments to deferred and unbilled revenues of $4.3 million and $1.1 million, respectively. The cost of all incremental commissions and other employee compensation arrangements are deferred and amortized on a straight-line basis over the expected period of benefit, generally between two and four years. The deferred and unbilled revenues were adjusted upon adoption to better align the recognition of revenues with the timing of transfer of control to the customer.</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F-21</w:t>
      </w:r>
    </w:p>
    <w:p>
      <w:pPr>
        <w:sectPr>
          <w:pgSz w:w="11900" w:h="16838" w:orient="portrait"/>
          <w:cols w:equalWidth="0" w:num="1">
            <w:col w:w="10820"/>
          </w:cols>
          <w:pgMar w:left="320" w:top="442" w:right="75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cumulative effect of applying the new guidance was recorded as an adjustment to members’ capital as of the adoption date.</w:t>
      </w:r>
    </w:p>
    <w:p>
      <w:pPr>
        <w:spacing w:after="0" w:line="212"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As a result of applying the modified retrospective method to adopt the new revenue guidance, the following adjustments were made to the consolidated balance sheet as of January 1, 2019.</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w w:val="96"/>
              </w:rPr>
              <w:t>As reported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right"/>
              <w:ind w:right="840"/>
              <w:spacing w:after="0"/>
              <w:rPr>
                <w:sz w:val="20"/>
                <w:szCs w:val="20"/>
                <w:color w:val="auto"/>
              </w:rPr>
            </w:pPr>
            <w:r>
              <w:rPr>
                <w:rFonts w:ascii="Arial" w:cs="Arial" w:eastAsia="Arial" w:hAnsi="Arial"/>
                <w:sz w:val="14"/>
                <w:szCs w:val="14"/>
                <w:color w:val="auto"/>
                <w:w w:val="85"/>
              </w:rPr>
              <w:t>ASC 606</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w w:val="88"/>
              </w:rPr>
              <w:t>As Adjusted</w:t>
            </w:r>
          </w:p>
        </w:tc>
        <w:tc>
          <w:tcPr>
            <w:tcW w:w="0" w:type="dxa"/>
            <w:vAlign w:val="bottom"/>
          </w:tcPr>
          <w:p>
            <w:pPr>
              <w:spacing w:after="0"/>
              <w:rPr>
                <w:sz w:val="1"/>
                <w:szCs w:val="1"/>
                <w:color w:val="auto"/>
              </w:rPr>
            </w:pPr>
          </w:p>
        </w:tc>
      </w:tr>
      <w:tr>
        <w:trPr>
          <w:trHeight w:val="158"/>
        </w:trPr>
        <w:tc>
          <w:tcPr>
            <w:tcW w:w="6280" w:type="dxa"/>
            <w:vAlign w:val="bottom"/>
          </w:tcPr>
          <w:p>
            <w:pPr>
              <w:spacing w:after="0"/>
              <w:rPr>
                <w:sz w:val="13"/>
                <w:szCs w:val="13"/>
                <w:color w:val="auto"/>
              </w:rPr>
            </w:pPr>
          </w:p>
        </w:tc>
        <w:tc>
          <w:tcPr>
            <w:tcW w:w="1400" w:type="dxa"/>
            <w:vAlign w:val="bottom"/>
            <w:gridSpan w:val="3"/>
          </w:tcPr>
          <w:p>
            <w:pPr>
              <w:spacing w:after="0" w:line="158" w:lineRule="exact"/>
              <w:rPr>
                <w:sz w:val="20"/>
                <w:szCs w:val="20"/>
                <w:color w:val="auto"/>
              </w:rPr>
            </w:pPr>
            <w:r>
              <w:rPr>
                <w:rFonts w:ascii="Arial" w:cs="Arial" w:eastAsia="Arial" w:hAnsi="Arial"/>
                <w:sz w:val="14"/>
                <w:szCs w:val="14"/>
                <w:color w:val="auto"/>
              </w:rPr>
              <w:t>December 31, 2018</w:t>
            </w:r>
          </w:p>
        </w:tc>
        <w:tc>
          <w:tcPr>
            <w:tcW w:w="360" w:type="dxa"/>
            <w:vAlign w:val="bottom"/>
          </w:tcPr>
          <w:p>
            <w:pPr>
              <w:spacing w:after="0"/>
              <w:rPr>
                <w:sz w:val="13"/>
                <w:szCs w:val="13"/>
                <w:color w:val="auto"/>
              </w:rPr>
            </w:pPr>
          </w:p>
        </w:tc>
        <w:tc>
          <w:tcPr>
            <w:tcW w:w="1420" w:type="dxa"/>
            <w:vAlign w:val="bottom"/>
            <w:gridSpan w:val="3"/>
          </w:tcPr>
          <w:p>
            <w:pPr>
              <w:spacing w:after="0" w:line="158" w:lineRule="exact"/>
              <w:rPr>
                <w:sz w:val="20"/>
                <w:szCs w:val="20"/>
                <w:color w:val="auto"/>
              </w:rPr>
            </w:pPr>
            <w:r>
              <w:rPr>
                <w:rFonts w:ascii="Arial" w:cs="Arial" w:eastAsia="Arial" w:hAnsi="Arial"/>
                <w:sz w:val="14"/>
                <w:szCs w:val="14"/>
                <w:color w:val="auto"/>
              </w:rPr>
              <w:t>Adjustments</w:t>
            </w:r>
          </w:p>
        </w:tc>
        <w:tc>
          <w:tcPr>
            <w:tcW w:w="920" w:type="dxa"/>
            <w:vAlign w:val="bottom"/>
            <w:gridSpan w:val="3"/>
          </w:tcPr>
          <w:p>
            <w:pPr>
              <w:spacing w:after="0" w:line="158"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84"/>
        </w:trPr>
        <w:tc>
          <w:tcPr>
            <w:tcW w:w="628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Consolidated Balance Sheet:</w:t>
            </w:r>
          </w:p>
        </w:tc>
        <w:tc>
          <w:tcPr>
            <w:tcW w:w="1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14,932</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367</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15,299</w:t>
            </w: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contract costs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1,346</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Arial" w:cs="Arial" w:eastAsia="Arial" w:hAnsi="Arial"/>
                <w:sz w:val="17"/>
                <w:szCs w:val="17"/>
                <w:color w:val="auto"/>
              </w:rPr>
              <w:t>Total current assets</w:t>
            </w:r>
          </w:p>
        </w:tc>
        <w:tc>
          <w:tcPr>
            <w:tcW w:w="1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35,176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1,713</w:t>
            </w: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36,889</w:t>
            </w: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costs, net of current portion</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2,973</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340"/>
              <w:spacing w:after="0"/>
              <w:rPr>
                <w:sz w:val="20"/>
                <w:szCs w:val="20"/>
                <w:color w:val="auto"/>
              </w:rPr>
            </w:pPr>
            <w:r>
              <w:rPr>
                <w:rFonts w:ascii="Arial" w:cs="Arial" w:eastAsia="Arial" w:hAnsi="Arial"/>
                <w:sz w:val="17"/>
                <w:szCs w:val="17"/>
                <w:color w:val="auto"/>
              </w:rPr>
              <w:t>Total assets</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80" w:type="dxa"/>
            <w:vAlign w:val="bottom"/>
            <w:vMerge w:val="continue"/>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87,061</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4,686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91,747</w:t>
            </w:r>
          </w:p>
        </w:tc>
        <w:tc>
          <w:tcPr>
            <w:tcW w:w="0" w:type="dxa"/>
            <w:vAlign w:val="bottom"/>
          </w:tcPr>
          <w:p>
            <w:pPr>
              <w:spacing w:after="0"/>
              <w:rPr>
                <w:sz w:val="1"/>
                <w:szCs w:val="1"/>
                <w:color w:val="auto"/>
              </w:rPr>
            </w:pPr>
          </w:p>
        </w:tc>
      </w:tr>
      <w:tr>
        <w:trPr>
          <w:trHeight w:val="204"/>
        </w:trPr>
        <w:tc>
          <w:tcPr>
            <w:tcW w:w="628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revenue</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32,187</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(729)</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31,458</w:t>
            </w:r>
          </w:p>
        </w:tc>
        <w:tc>
          <w:tcPr>
            <w:tcW w:w="0" w:type="dxa"/>
            <w:vAlign w:val="bottom"/>
          </w:tcPr>
          <w:p>
            <w:pPr>
              <w:spacing w:after="0"/>
              <w:rPr>
                <w:sz w:val="1"/>
                <w:szCs w:val="1"/>
                <w:color w:val="auto"/>
              </w:rPr>
            </w:pPr>
          </w:p>
        </w:tc>
      </w:tr>
      <w:tr>
        <w:trPr>
          <w:trHeight w:val="204"/>
        </w:trPr>
        <w:tc>
          <w:tcPr>
            <w:tcW w:w="628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36,676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7"/>
                <w:szCs w:val="17"/>
                <w:color w:val="auto"/>
              </w:rPr>
              <w:t>(729)</w:t>
            </w: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35,947</w:t>
            </w: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36,676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(729)</w:t>
            </w: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35,947</w:t>
            </w:r>
          </w:p>
        </w:tc>
        <w:tc>
          <w:tcPr>
            <w:tcW w:w="0" w:type="dxa"/>
            <w:vAlign w:val="bottom"/>
          </w:tcPr>
          <w:p>
            <w:pPr>
              <w:spacing w:after="0"/>
              <w:rPr>
                <w:sz w:val="1"/>
                <w:szCs w:val="1"/>
                <w:color w:val="auto"/>
              </w:rPr>
            </w:pPr>
          </w:p>
        </w:tc>
      </w:tr>
      <w:tr>
        <w:trPr>
          <w:trHeight w:val="204"/>
        </w:trPr>
        <w:tc>
          <w:tcPr>
            <w:tcW w:w="6280" w:type="dxa"/>
            <w:vAlign w:val="bottom"/>
          </w:tcPr>
          <w:p>
            <w:pPr>
              <w:ind w:left="340"/>
              <w:spacing w:after="0"/>
              <w:rPr>
                <w:sz w:val="20"/>
                <w:szCs w:val="20"/>
                <w:color w:val="auto"/>
              </w:rPr>
            </w:pPr>
            <w:r>
              <w:rPr>
                <w:rFonts w:ascii="Arial" w:cs="Arial" w:eastAsia="Arial" w:hAnsi="Arial"/>
                <w:sz w:val="17"/>
                <w:szCs w:val="17"/>
                <w:color w:val="auto"/>
              </w:rPr>
              <w:t>Members’ capital</w:t>
            </w:r>
          </w:p>
        </w:tc>
        <w:tc>
          <w:tcPr>
            <w:tcW w:w="140" w:type="dxa"/>
            <w:vAlign w:val="bottom"/>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50,385</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7"/>
                <w:szCs w:val="17"/>
                <w:color w:val="auto"/>
              </w:rPr>
              <w:t>5,415</w:t>
            </w:r>
          </w:p>
        </w:tc>
        <w:tc>
          <w:tcPr>
            <w:tcW w:w="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auto"/>
              </w:rPr>
              <w:t>55,800</w:t>
            </w: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and members’ capital</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87,061</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4,686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91,747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The following tables compare the reported consolidated balance sheet as of December 31, 2019 and statements of (loss) income for the periods from July 16, 2019 to December 31, 2019 and January 1, 2019 to July 15, 2019, to the adjusted amounts had ASC 605</w:t>
      </w:r>
      <w:r>
        <w:rPr>
          <w:rFonts w:ascii="Arial" w:cs="Arial" w:eastAsia="Arial" w:hAnsi="Arial"/>
          <w:sz w:val="17"/>
          <w:szCs w:val="17"/>
          <w:i w:val="1"/>
          <w:iCs w:val="1"/>
          <w:color w:val="auto"/>
        </w:rPr>
        <w:t>,</w:t>
      </w:r>
      <w:r>
        <w:rPr>
          <w:rFonts w:ascii="Arial" w:cs="Arial" w:eastAsia="Arial" w:hAnsi="Arial"/>
          <w:sz w:val="17"/>
          <w:szCs w:val="17"/>
          <w:color w:val="auto"/>
        </w:rPr>
        <w:t xml:space="preserve"> the previous revenue recognition standard, been in effect:</w:t>
      </w:r>
    </w:p>
    <w:p>
      <w:pPr>
        <w:spacing w:after="0" w:line="17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4"/>
                <w:szCs w:val="14"/>
                <w:color w:val="auto"/>
                <w:w w:val="87"/>
              </w:rPr>
              <w:t>As Reported</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w w:val="96"/>
              </w:rPr>
              <w:t>As Adjusted</w:t>
            </w:r>
          </w:p>
        </w:tc>
        <w:tc>
          <w:tcPr>
            <w:tcW w:w="0" w:type="dxa"/>
            <w:vAlign w:val="bottom"/>
          </w:tcPr>
          <w:p>
            <w:pPr>
              <w:spacing w:after="0"/>
              <w:rPr>
                <w:sz w:val="1"/>
                <w:szCs w:val="1"/>
                <w:color w:val="auto"/>
              </w:rPr>
            </w:pPr>
          </w:p>
        </w:tc>
      </w:tr>
      <w:tr>
        <w:trPr>
          <w:trHeight w:val="140"/>
        </w:trPr>
        <w:tc>
          <w:tcPr>
            <w:tcW w:w="48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80" w:type="dxa"/>
            <w:vAlign w:val="bottom"/>
            <w:gridSpan w:val="3"/>
          </w:tcPr>
          <w:p>
            <w:pPr>
              <w:spacing w:after="0" w:line="140" w:lineRule="exact"/>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ind w:left="20"/>
              <w:spacing w:after="0" w:line="140"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57"/>
              <w:spacing w:after="0" w:line="158" w:lineRule="exact"/>
              <w:rPr>
                <w:sz w:val="20"/>
                <w:szCs w:val="20"/>
                <w:color w:val="auto"/>
              </w:rPr>
            </w:pPr>
            <w:r>
              <w:rPr>
                <w:rFonts w:ascii="Arial" w:cs="Arial" w:eastAsia="Arial" w:hAnsi="Arial"/>
                <w:sz w:val="14"/>
                <w:szCs w:val="14"/>
                <w:color w:val="auto"/>
              </w:rPr>
              <w:t>2019</w:t>
            </w:r>
          </w:p>
        </w:tc>
        <w:tc>
          <w:tcPr>
            <w:tcW w:w="520" w:type="dxa"/>
            <w:vAlign w:val="bottom"/>
          </w:tcPr>
          <w:p>
            <w:pPr>
              <w:spacing w:after="0"/>
              <w:rPr>
                <w:sz w:val="13"/>
                <w:szCs w:val="13"/>
                <w:color w:val="auto"/>
              </w:rPr>
            </w:pPr>
          </w:p>
        </w:tc>
        <w:tc>
          <w:tcPr>
            <w:tcW w:w="1260" w:type="dxa"/>
            <w:vAlign w:val="bottom"/>
            <w:gridSpan w:val="3"/>
          </w:tcPr>
          <w:p>
            <w:pPr>
              <w:spacing w:after="0" w:line="158" w:lineRule="exact"/>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3"/>
                <w:szCs w:val="13"/>
                <w:color w:val="auto"/>
              </w:rPr>
            </w:pPr>
          </w:p>
        </w:tc>
        <w:tc>
          <w:tcPr>
            <w:tcW w:w="680" w:type="dxa"/>
            <w:vAlign w:val="bottom"/>
          </w:tcPr>
          <w:p>
            <w:pPr>
              <w:jc w:val="right"/>
              <w:ind w:right="157"/>
              <w:spacing w:after="0" w:line="158"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Consolidated Balance Sheet:</w:t>
            </w:r>
          </w:p>
        </w:tc>
        <w:tc>
          <w:tcPr>
            <w:tcW w:w="1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00" w:type="dxa"/>
            <w:vAlign w:val="bottom"/>
          </w:tcPr>
          <w:p>
            <w:pPr>
              <w:spacing w:after="0"/>
              <w:rPr>
                <w:sz w:val="20"/>
                <w:szCs w:val="20"/>
                <w:color w:val="auto"/>
              </w:rPr>
            </w:pPr>
            <w:r>
              <w:rPr>
                <w:rFonts w:ascii="Arial" w:cs="Arial" w:eastAsia="Arial" w:hAnsi="Arial"/>
                <w:sz w:val="17"/>
                <w:szCs w:val="17"/>
                <w:color w:val="auto"/>
              </w:rPr>
              <w:t>Accounts receivable, net</w:t>
            </w:r>
          </w:p>
        </w:tc>
        <w:tc>
          <w:tcPr>
            <w:tcW w:w="1440" w:type="dxa"/>
            <w:vAlign w:val="bottom"/>
            <w:gridSpan w:val="2"/>
          </w:tcPr>
          <w:p>
            <w:pPr>
              <w:ind w:left="136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25,021</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24,771</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contract assets</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769</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(769)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800" w:type="dxa"/>
            <w:vAlign w:val="bottom"/>
            <w:vMerge w:val="restart"/>
          </w:tcPr>
          <w:p>
            <w:pPr>
              <w:ind w:left="340"/>
              <w:spacing w:after="0"/>
              <w:rPr>
                <w:sz w:val="20"/>
                <w:szCs w:val="20"/>
                <w:color w:val="auto"/>
              </w:rPr>
            </w:pPr>
            <w:r>
              <w:rPr>
                <w:rFonts w:ascii="Arial" w:cs="Arial" w:eastAsia="Arial" w:hAnsi="Arial"/>
                <w:sz w:val="17"/>
                <w:szCs w:val="17"/>
                <w:color w:val="auto"/>
              </w:rPr>
              <w:t>Total current assets</w:t>
            </w:r>
          </w:p>
        </w:tc>
        <w:tc>
          <w:tcPr>
            <w:tcW w:w="1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36,107</w:t>
            </w:r>
          </w:p>
        </w:tc>
        <w:tc>
          <w:tcPr>
            <w:tcW w:w="18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35,088</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Contract assets, net of current portion</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2,116</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(2,116)</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800" w:type="dxa"/>
            <w:vAlign w:val="bottom"/>
          </w:tcPr>
          <w:p>
            <w:pPr>
              <w:spacing w:after="0"/>
              <w:rPr>
                <w:sz w:val="20"/>
                <w:szCs w:val="20"/>
                <w:color w:val="auto"/>
              </w:rPr>
            </w:pPr>
            <w:r>
              <w:rPr>
                <w:rFonts w:ascii="Arial" w:cs="Arial" w:eastAsia="Arial" w:hAnsi="Arial"/>
                <w:sz w:val="17"/>
                <w:szCs w:val="17"/>
                <w:color w:val="auto"/>
              </w:rPr>
              <w:t>Total assets</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1,721,154</w:t>
            </w:r>
          </w:p>
        </w:tc>
        <w:tc>
          <w:tcPr>
            <w:tcW w:w="1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(3,135)</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1,718,019</w:t>
            </w: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deferred revenue</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45,977</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46,967</w:t>
            </w:r>
          </w:p>
        </w:tc>
        <w:tc>
          <w:tcPr>
            <w:tcW w:w="0" w:type="dxa"/>
            <w:vAlign w:val="bottom"/>
          </w:tcPr>
          <w:p>
            <w:pPr>
              <w:spacing w:after="0"/>
              <w:rPr>
                <w:sz w:val="1"/>
                <w:szCs w:val="1"/>
                <w:color w:val="auto"/>
              </w:rPr>
            </w:pPr>
          </w:p>
        </w:tc>
      </w:tr>
      <w:tr>
        <w:trPr>
          <w:trHeight w:val="204"/>
        </w:trPr>
        <w:tc>
          <w:tcPr>
            <w:tcW w:w="4800" w:type="dxa"/>
            <w:vAlign w:val="bottom"/>
          </w:tcPr>
          <w:p>
            <w:pPr>
              <w:ind w:left="340"/>
              <w:spacing w:after="0"/>
              <w:rPr>
                <w:sz w:val="20"/>
                <w:szCs w:val="20"/>
                <w:color w:val="auto"/>
              </w:rPr>
            </w:pPr>
            <w:r>
              <w:rPr>
                <w:rFonts w:ascii="Arial" w:cs="Arial" w:eastAsia="Arial" w:hAnsi="Arial"/>
                <w:sz w:val="17"/>
                <w:szCs w:val="17"/>
                <w:color w:val="auto"/>
              </w:rPr>
              <w:t>Total current liabilities</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rPr>
              <w:t>69,917</w:t>
            </w:r>
          </w:p>
        </w:tc>
        <w:tc>
          <w:tcPr>
            <w:tcW w:w="180" w:type="dxa"/>
            <w:vAlign w:val="bottom"/>
          </w:tcPr>
          <w:p>
            <w:pPr>
              <w:spacing w:after="0"/>
              <w:rPr>
                <w:sz w:val="17"/>
                <w:szCs w:val="17"/>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70,907</w:t>
            </w:r>
          </w:p>
        </w:tc>
        <w:tc>
          <w:tcPr>
            <w:tcW w:w="0" w:type="dxa"/>
            <w:vAlign w:val="bottom"/>
          </w:tcPr>
          <w:p>
            <w:pPr>
              <w:spacing w:after="0"/>
              <w:rPr>
                <w:sz w:val="1"/>
                <w:szCs w:val="1"/>
                <w:color w:val="auto"/>
              </w:rPr>
            </w:pPr>
          </w:p>
        </w:tc>
      </w:tr>
      <w:tr>
        <w:trPr>
          <w:trHeight w:val="204"/>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504,914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990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505,904</w:t>
            </w:r>
          </w:p>
        </w:tc>
        <w:tc>
          <w:tcPr>
            <w:tcW w:w="0" w:type="dxa"/>
            <w:vAlign w:val="bottom"/>
          </w:tcPr>
          <w:p>
            <w:pPr>
              <w:spacing w:after="0"/>
              <w:rPr>
                <w:sz w:val="1"/>
                <w:szCs w:val="1"/>
                <w:color w:val="auto"/>
              </w:rPr>
            </w:pPr>
          </w:p>
        </w:tc>
      </w:tr>
      <w:tr>
        <w:trPr>
          <w:trHeight w:val="204"/>
        </w:trPr>
        <w:tc>
          <w:tcPr>
            <w:tcW w:w="4800" w:type="dxa"/>
            <w:vAlign w:val="bottom"/>
          </w:tcPr>
          <w:p>
            <w:pPr>
              <w:spacing w:after="0"/>
              <w:rPr>
                <w:sz w:val="20"/>
                <w:szCs w:val="20"/>
                <w:color w:val="auto"/>
              </w:rPr>
            </w:pPr>
            <w:r>
              <w:rPr>
                <w:rFonts w:ascii="Arial" w:cs="Arial" w:eastAsia="Arial" w:hAnsi="Arial"/>
                <w:sz w:val="17"/>
                <w:szCs w:val="17"/>
                <w:color w:val="auto"/>
              </w:rPr>
              <w:t>Members’ capital (deficit)</w:t>
            </w: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7"/>
                <w:szCs w:val="17"/>
                <w:color w:val="auto"/>
                <w:w w:val="87"/>
              </w:rPr>
              <w:t>1,216,240</w:t>
            </w:r>
          </w:p>
        </w:tc>
        <w:tc>
          <w:tcPr>
            <w:tcW w:w="18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7"/>
                <w:szCs w:val="17"/>
                <w:color w:val="auto"/>
              </w:rPr>
              <w:t>(4,125)</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1,212,115</w:t>
            </w:r>
          </w:p>
        </w:tc>
        <w:tc>
          <w:tcPr>
            <w:tcW w:w="0" w:type="dxa"/>
            <w:vAlign w:val="bottom"/>
          </w:tcPr>
          <w:p>
            <w:pPr>
              <w:spacing w:after="0"/>
              <w:rPr>
                <w:sz w:val="1"/>
                <w:szCs w:val="1"/>
                <w:color w:val="auto"/>
              </w:rPr>
            </w:pPr>
          </w:p>
        </w:tc>
      </w:tr>
      <w:tr>
        <w:trPr>
          <w:trHeight w:val="25"/>
        </w:trPr>
        <w:tc>
          <w:tcPr>
            <w:tcW w:w="4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4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liabilities and members’ capital (deficit)</w:t>
            </w:r>
          </w:p>
        </w:tc>
        <w:tc>
          <w:tcPr>
            <w:tcW w:w="1440" w:type="dxa"/>
            <w:vAlign w:val="bottom"/>
            <w:gridSpan w:val="2"/>
            <w:shd w:val="clear" w:color="auto" w:fill="CCEEFF"/>
          </w:tcPr>
          <w:p>
            <w:pPr>
              <w:ind w:left="1360"/>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w w:val="87"/>
              </w:rPr>
              <w:t>1,721,154</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(3,135)</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1,718,019</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Predecessor Company</w:t>
            </w: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gridSpan w:val="2"/>
          </w:tcPr>
          <w:p>
            <w:pPr>
              <w:jc w:val="right"/>
              <w:ind w:right="600"/>
              <w:spacing w:after="0" w:line="114" w:lineRule="exact"/>
              <w:rPr>
                <w:sz w:val="20"/>
                <w:szCs w:val="20"/>
                <w:color w:val="auto"/>
              </w:rPr>
            </w:pPr>
            <w:r>
              <w:rPr>
                <w:rFonts w:ascii="Arial" w:cs="Arial" w:eastAsia="Arial" w:hAnsi="Arial"/>
                <w:sz w:val="12"/>
                <w:szCs w:val="12"/>
                <w:color w:val="auto"/>
              </w:rPr>
              <w:t>As Reported</w:t>
            </w: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jc w:val="right"/>
              <w:ind w:right="218"/>
              <w:spacing w:after="0" w:line="114" w:lineRule="exact"/>
              <w:rPr>
                <w:sz w:val="20"/>
                <w:szCs w:val="20"/>
                <w:color w:val="auto"/>
              </w:rPr>
            </w:pPr>
            <w:r>
              <w:rPr>
                <w:rFonts w:ascii="Arial" w:cs="Arial" w:eastAsia="Arial" w:hAnsi="Arial"/>
                <w:sz w:val="12"/>
                <w:szCs w:val="12"/>
                <w:color w:val="auto"/>
              </w:rPr>
              <w:t>As 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440" w:type="dxa"/>
            <w:vAlign w:val="bottom"/>
          </w:tcPr>
          <w:p>
            <w:pPr>
              <w:spacing w:after="0"/>
              <w:rPr>
                <w:sz w:val="12"/>
                <w:szCs w:val="12"/>
                <w:color w:val="auto"/>
              </w:rPr>
            </w:pPr>
          </w:p>
        </w:tc>
        <w:tc>
          <w:tcPr>
            <w:tcW w:w="1580" w:type="dxa"/>
            <w:vAlign w:val="bottom"/>
            <w:gridSpan w:val="3"/>
          </w:tcPr>
          <w:p>
            <w:pPr>
              <w:spacing w:after="0" w:line="140" w:lineRule="exact"/>
              <w:rPr>
                <w:sz w:val="20"/>
                <w:szCs w:val="20"/>
                <w:color w:val="auto"/>
              </w:rPr>
            </w:pPr>
            <w:r>
              <w:rPr>
                <w:rFonts w:ascii="Arial" w:cs="Arial" w:eastAsia="Arial" w:hAnsi="Arial"/>
                <w:sz w:val="14"/>
                <w:szCs w:val="14"/>
                <w:color w:val="auto"/>
              </w:rPr>
              <w:t>Period from January 1,</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3"/>
          </w:tcPr>
          <w:p>
            <w:pPr>
              <w:spacing w:after="0" w:line="140" w:lineRule="exact"/>
              <w:rPr>
                <w:sz w:val="20"/>
                <w:szCs w:val="20"/>
                <w:color w:val="auto"/>
              </w:rPr>
            </w:pPr>
            <w:r>
              <w:rPr>
                <w:rFonts w:ascii="Arial" w:cs="Arial" w:eastAsia="Arial" w:hAnsi="Arial"/>
                <w:sz w:val="14"/>
                <w:szCs w:val="14"/>
                <w:color w:val="auto"/>
                <w:w w:val="94"/>
              </w:rPr>
              <w:t>Period from January 1,</w:t>
            </w: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Arial" w:cs="Arial" w:eastAsia="Arial" w:hAnsi="Arial"/>
                <w:sz w:val="14"/>
                <w:szCs w:val="14"/>
                <w:color w:val="auto"/>
              </w:rPr>
              <w:t>2019 to July 15, 2019</w:t>
            </w:r>
          </w:p>
        </w:tc>
        <w:tc>
          <w:tcPr>
            <w:tcW w:w="5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00" w:type="dxa"/>
            <w:vAlign w:val="bottom"/>
          </w:tcPr>
          <w:p>
            <w:pPr>
              <w:spacing w:after="0"/>
              <w:rPr>
                <w:sz w:val="14"/>
                <w:szCs w:val="14"/>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color w:val="auto"/>
                <w:w w:val="97"/>
              </w:rPr>
              <w:t>2019 to July 15, 2019</w:t>
            </w: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(79)</w:t>
            </w: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45,379</w:t>
            </w:r>
          </w:p>
        </w:tc>
        <w:tc>
          <w:tcPr>
            <w:tcW w:w="0" w:type="dxa"/>
            <w:vAlign w:val="bottom"/>
          </w:tcPr>
          <w:p>
            <w:pPr>
              <w:spacing w:after="0"/>
              <w:rPr>
                <w:sz w:val="1"/>
                <w:szCs w:val="1"/>
                <w:color w:val="auto"/>
              </w:rPr>
            </w:pPr>
          </w:p>
        </w:tc>
      </w:tr>
      <w:tr>
        <w:trPr>
          <w:trHeight w:val="214"/>
        </w:trPr>
        <w:tc>
          <w:tcPr>
            <w:tcW w:w="4440" w:type="dxa"/>
            <w:vAlign w:val="bottom"/>
          </w:tcPr>
          <w:p>
            <w:pPr>
              <w:spacing w:after="0"/>
              <w:rPr>
                <w:sz w:val="20"/>
                <w:szCs w:val="20"/>
                <w:color w:val="auto"/>
              </w:rPr>
            </w:pPr>
            <w:r>
              <w:rPr>
                <w:rFonts w:ascii="Arial" w:cs="Arial" w:eastAsia="Arial" w:hAnsi="Arial"/>
                <w:sz w:val="17"/>
                <w:szCs w:val="17"/>
                <w:color w:val="auto"/>
              </w:rPr>
              <w:t>Total cost of revenue</w:t>
            </w: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5,328</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40,130</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(79)</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40,051</w:t>
            </w:r>
          </w:p>
        </w:tc>
        <w:tc>
          <w:tcPr>
            <w:tcW w:w="0" w:type="dxa"/>
            <w:vAlign w:val="bottom"/>
          </w:tcPr>
          <w:p>
            <w:pPr>
              <w:spacing w:after="0"/>
              <w:rPr>
                <w:sz w:val="1"/>
                <w:szCs w:val="1"/>
                <w:color w:val="auto"/>
              </w:rPr>
            </w:pPr>
          </w:p>
        </w:tc>
      </w:tr>
      <w:tr>
        <w:trPr>
          <w:trHeight w:val="204"/>
        </w:trPr>
        <w:tc>
          <w:tcPr>
            <w:tcW w:w="4440" w:type="dxa"/>
            <w:vAlign w:val="bottom"/>
          </w:tcPr>
          <w:p>
            <w:pPr>
              <w:spacing w:after="0"/>
              <w:rPr>
                <w:sz w:val="20"/>
                <w:szCs w:val="20"/>
                <w:color w:val="auto"/>
              </w:rPr>
            </w:pPr>
            <w:r>
              <w:rPr>
                <w:rFonts w:ascii="Arial" w:cs="Arial" w:eastAsia="Arial" w:hAnsi="Arial"/>
                <w:sz w:val="17"/>
                <w:szCs w:val="17"/>
                <w:color w:val="auto"/>
              </w:rPr>
              <w:t>Sales and marketing</w:t>
            </w:r>
          </w:p>
        </w:tc>
        <w:tc>
          <w:tcPr>
            <w:tcW w:w="120" w:type="dxa"/>
            <w:vAlign w:val="bottom"/>
          </w:tcPr>
          <w:p>
            <w:pPr>
              <w:spacing w:after="0"/>
              <w:rPr>
                <w:sz w:val="17"/>
                <w:szCs w:val="17"/>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7"/>
                <w:szCs w:val="17"/>
                <w:color w:val="auto"/>
              </w:rPr>
              <w:t>16,039</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7"/>
                <w:szCs w:val="17"/>
                <w:color w:val="auto"/>
              </w:rPr>
              <w:t>1,416</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17,455</w:t>
            </w: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27,097</w:t>
            </w: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1,416</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28,513</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340"/>
              <w:spacing w:after="0"/>
              <w:rPr>
                <w:sz w:val="20"/>
                <w:szCs w:val="20"/>
                <w:color w:val="auto"/>
              </w:rPr>
            </w:pPr>
            <w:r>
              <w:rPr>
                <w:rFonts w:ascii="Arial" w:cs="Arial" w:eastAsia="Arial" w:hAnsi="Arial"/>
                <w:sz w:val="17"/>
                <w:szCs w:val="17"/>
                <w:color w:val="auto"/>
              </w:rPr>
              <w:t>Income (loss) from operations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13,033</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(1,495)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 net</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(165)</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680"/>
              <w:spacing w:after="0"/>
              <w:rPr>
                <w:sz w:val="20"/>
                <w:szCs w:val="20"/>
                <w:color w:val="auto"/>
              </w:rPr>
            </w:pPr>
            <w:r>
              <w:rPr>
                <w:rFonts w:ascii="Arial" w:cs="Arial" w:eastAsia="Arial" w:hAnsi="Arial"/>
                <w:sz w:val="17"/>
                <w:szCs w:val="17"/>
                <w:color w:val="auto"/>
              </w:rPr>
              <w:t>Net income (loss)</w:t>
            </w: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12,868</w:t>
            </w:r>
          </w:p>
        </w:tc>
        <w:tc>
          <w:tcPr>
            <w:tcW w:w="320" w:type="dxa"/>
            <w:vAlign w:val="bottom"/>
          </w:tcPr>
          <w:p>
            <w:pPr>
              <w:spacing w:after="0"/>
              <w:rPr>
                <w:sz w:val="18"/>
                <w:szCs w:val="18"/>
                <w:color w:val="auto"/>
              </w:rPr>
            </w:pP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540"/>
              <w:spacing w:after="0"/>
              <w:rPr>
                <w:sz w:val="20"/>
                <w:szCs w:val="20"/>
                <w:color w:val="auto"/>
              </w:rPr>
            </w:pPr>
            <w:r>
              <w:rPr>
                <w:rFonts w:ascii="Arial" w:cs="Arial" w:eastAsia="Arial" w:hAnsi="Arial"/>
                <w:sz w:val="17"/>
                <w:szCs w:val="17"/>
                <w:color w:val="auto"/>
              </w:rPr>
              <w:t>(1,495)</w:t>
            </w:r>
          </w:p>
        </w:tc>
        <w:tc>
          <w:tcPr>
            <w:tcW w:w="50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1100"/>
              <w:spacing w:after="0"/>
              <w:rPr>
                <w:sz w:val="20"/>
                <w:szCs w:val="20"/>
                <w:color w:val="auto"/>
              </w:rPr>
            </w:pPr>
            <w:r>
              <w:rPr>
                <w:rFonts w:ascii="Arial" w:cs="Arial" w:eastAsia="Arial" w:hAnsi="Arial"/>
                <w:sz w:val="17"/>
                <w:szCs w:val="17"/>
                <w:color w:val="auto"/>
                <w:w w:val="97"/>
              </w:rPr>
              <w:t>F-22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Successor Company</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4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60" w:type="dxa"/>
            <w:vAlign w:val="bottom"/>
            <w:gridSpan w:val="2"/>
          </w:tcPr>
          <w:p>
            <w:pPr>
              <w:jc w:val="center"/>
              <w:ind w:right="520"/>
              <w:spacing w:after="0" w:line="114" w:lineRule="exact"/>
              <w:rPr>
                <w:sz w:val="20"/>
                <w:szCs w:val="20"/>
                <w:color w:val="auto"/>
              </w:rPr>
            </w:pPr>
            <w:r>
              <w:rPr>
                <w:rFonts w:ascii="Arial" w:cs="Arial" w:eastAsia="Arial" w:hAnsi="Arial"/>
                <w:sz w:val="12"/>
                <w:szCs w:val="12"/>
                <w:color w:val="auto"/>
              </w:rPr>
              <w:t>As Reported</w:t>
            </w: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jc w:val="center"/>
              <w:ind w:right="99"/>
              <w:spacing w:after="0" w:line="114" w:lineRule="exact"/>
              <w:rPr>
                <w:sz w:val="20"/>
                <w:szCs w:val="20"/>
                <w:color w:val="auto"/>
              </w:rPr>
            </w:pPr>
            <w:r>
              <w:rPr>
                <w:rFonts w:ascii="Arial" w:cs="Arial" w:eastAsia="Arial" w:hAnsi="Arial"/>
                <w:sz w:val="12"/>
                <w:szCs w:val="12"/>
                <w:color w:val="auto"/>
              </w:rPr>
              <w:t>As Adjusted</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1540" w:type="dxa"/>
            <w:vAlign w:val="bottom"/>
            <w:gridSpan w:val="3"/>
          </w:tcPr>
          <w:p>
            <w:pPr>
              <w:jc w:val="center"/>
              <w:ind w:right="320"/>
              <w:spacing w:after="0" w:line="140" w:lineRule="exact"/>
              <w:rPr>
                <w:sz w:val="20"/>
                <w:szCs w:val="20"/>
                <w:color w:val="auto"/>
              </w:rPr>
            </w:pPr>
            <w:r>
              <w:rPr>
                <w:rFonts w:ascii="Arial" w:cs="Arial" w:eastAsia="Arial" w:hAnsi="Arial"/>
                <w:sz w:val="14"/>
                <w:szCs w:val="14"/>
                <w:color w:val="auto"/>
                <w:w w:val="88"/>
              </w:rPr>
              <w:t>Period from July 16,</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jc w:val="center"/>
              <w:ind w:right="100"/>
              <w:spacing w:after="0" w:line="140" w:lineRule="exact"/>
              <w:rPr>
                <w:sz w:val="20"/>
                <w:szCs w:val="20"/>
                <w:color w:val="auto"/>
              </w:rPr>
            </w:pPr>
            <w:r>
              <w:rPr>
                <w:rFonts w:ascii="Arial" w:cs="Arial" w:eastAsia="Arial" w:hAnsi="Arial"/>
                <w:sz w:val="14"/>
                <w:szCs w:val="14"/>
                <w:color w:val="auto"/>
                <w:w w:val="88"/>
              </w:rPr>
              <w:t>Period from July 16,</w:t>
            </w: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1540" w:type="dxa"/>
            <w:vAlign w:val="bottom"/>
            <w:gridSpan w:val="3"/>
          </w:tcPr>
          <w:p>
            <w:pPr>
              <w:jc w:val="center"/>
              <w:ind w:right="320"/>
              <w:spacing w:after="0" w:line="140" w:lineRule="exact"/>
              <w:rPr>
                <w:sz w:val="20"/>
                <w:szCs w:val="20"/>
                <w:color w:val="auto"/>
              </w:rPr>
            </w:pPr>
            <w:r>
              <w:rPr>
                <w:rFonts w:ascii="Arial" w:cs="Arial" w:eastAsia="Arial" w:hAnsi="Arial"/>
                <w:sz w:val="14"/>
                <w:szCs w:val="14"/>
                <w:color w:val="auto"/>
                <w:w w:val="88"/>
              </w:rPr>
              <w:t>2019 to December 31,</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jc w:val="center"/>
              <w:ind w:right="100"/>
              <w:spacing w:after="0" w:line="140" w:lineRule="exact"/>
              <w:rPr>
                <w:sz w:val="20"/>
                <w:szCs w:val="20"/>
                <w:color w:val="auto"/>
              </w:rPr>
            </w:pPr>
            <w:r>
              <w:rPr>
                <w:rFonts w:ascii="Arial" w:cs="Arial" w:eastAsia="Arial" w:hAnsi="Arial"/>
                <w:sz w:val="14"/>
                <w:szCs w:val="14"/>
                <w:color w:val="auto"/>
                <w:w w:val="88"/>
              </w:rPr>
              <w:t>2019 to December 31,</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4"/>
                <w:szCs w:val="14"/>
                <w:color w:val="auto"/>
                <w:w w:val="83"/>
              </w:rPr>
              <w:t>2019</w:t>
            </w: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99"/>
              <w:spacing w:after="0"/>
              <w:rPr>
                <w:sz w:val="20"/>
                <w:szCs w:val="20"/>
                <w:color w:val="auto"/>
              </w:rPr>
            </w:pPr>
            <w:r>
              <w:rPr>
                <w:rFonts w:ascii="Arial" w:cs="Arial" w:eastAsia="Arial" w:hAnsi="Arial"/>
                <w:sz w:val="14"/>
                <w:szCs w:val="14"/>
                <w:color w:val="auto"/>
                <w:w w:val="83"/>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(66)</w:t>
            </w:r>
          </w:p>
        </w:tc>
        <w:tc>
          <w:tcPr>
            <w:tcW w:w="480" w:type="dxa"/>
            <w:vAlign w:val="bottom"/>
            <w:gridSpan w:val="2"/>
            <w:shd w:val="clear" w:color="auto" w:fill="CCEEFF"/>
          </w:tcPr>
          <w:p>
            <w:pPr>
              <w:jc w:val="right"/>
              <w:ind w:right="32"/>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39,979</w:t>
            </w:r>
          </w:p>
        </w:tc>
        <w:tc>
          <w:tcPr>
            <w:tcW w:w="0" w:type="dxa"/>
            <w:vAlign w:val="bottom"/>
          </w:tcPr>
          <w:p>
            <w:pPr>
              <w:spacing w:after="0"/>
              <w:rPr>
                <w:sz w:val="1"/>
                <w:szCs w:val="1"/>
                <w:color w:val="auto"/>
              </w:rPr>
            </w:pPr>
          </w:p>
        </w:tc>
      </w:tr>
      <w:tr>
        <w:trPr>
          <w:trHeight w:val="214"/>
        </w:trPr>
        <w:tc>
          <w:tcPr>
            <w:tcW w:w="4620" w:type="dxa"/>
            <w:vAlign w:val="bottom"/>
          </w:tcPr>
          <w:p>
            <w:pPr>
              <w:spacing w:after="0"/>
              <w:rPr>
                <w:sz w:val="20"/>
                <w:szCs w:val="20"/>
                <w:color w:val="auto"/>
              </w:rPr>
            </w:pPr>
            <w:r>
              <w:rPr>
                <w:rFonts w:ascii="Arial" w:cs="Arial" w:eastAsia="Arial" w:hAnsi="Arial"/>
                <w:sz w:val="17"/>
                <w:szCs w:val="17"/>
                <w:color w:val="auto"/>
              </w:rPr>
              <w:t>Total cost of revenue</w:t>
            </w: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13,282</w:t>
            </w: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13,282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Gross profit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26,763</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(66)</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26,697</w:t>
            </w:r>
          </w:p>
        </w:tc>
        <w:tc>
          <w:tcPr>
            <w:tcW w:w="0" w:type="dxa"/>
            <w:vAlign w:val="bottom"/>
          </w:tcPr>
          <w:p>
            <w:pPr>
              <w:spacing w:after="0"/>
              <w:rPr>
                <w:sz w:val="1"/>
                <w:szCs w:val="1"/>
                <w:color w:val="auto"/>
              </w:rPr>
            </w:pP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Sales and marketing</w:t>
            </w:r>
          </w:p>
        </w:tc>
        <w:tc>
          <w:tcPr>
            <w:tcW w:w="180" w:type="dxa"/>
            <w:vAlign w:val="bottom"/>
          </w:tcPr>
          <w:p>
            <w:pPr>
              <w:spacing w:after="0"/>
              <w:rPr>
                <w:sz w:val="17"/>
                <w:szCs w:val="17"/>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7"/>
                <w:szCs w:val="17"/>
                <w:color w:val="auto"/>
              </w:rPr>
              <w:t>10,814</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7"/>
                <w:szCs w:val="17"/>
                <w:color w:val="auto"/>
              </w:rPr>
              <w:t>2,885</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13,699</w:t>
            </w: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57,825</w:t>
            </w: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60,710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340"/>
              <w:spacing w:after="0"/>
              <w:rPr>
                <w:sz w:val="20"/>
                <w:szCs w:val="20"/>
                <w:color w:val="auto"/>
              </w:rPr>
            </w:pPr>
            <w:r>
              <w:rPr>
                <w:rFonts w:ascii="Arial" w:cs="Arial" w:eastAsia="Arial" w:hAnsi="Arial"/>
                <w:sz w:val="17"/>
                <w:szCs w:val="17"/>
                <w:color w:val="auto"/>
              </w:rPr>
              <w:t>Loss from operations</w:t>
            </w:r>
          </w:p>
        </w:tc>
        <w:tc>
          <w:tcPr>
            <w:tcW w:w="1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(31,062)</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7"/>
                <w:szCs w:val="17"/>
                <w:color w:val="auto"/>
              </w:rPr>
              <w:t>(2,951)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(34,013)</w:t>
            </w: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other expense, net</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(18,204)</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(18,204)</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68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80"/>
              <w:spacing w:after="0"/>
              <w:rPr>
                <w:sz w:val="20"/>
                <w:szCs w:val="20"/>
                <w:color w:val="auto"/>
              </w:rPr>
            </w:pPr>
            <w:r>
              <w:rPr>
                <w:rFonts w:ascii="Arial" w:cs="Arial" w:eastAsia="Arial" w:hAnsi="Arial"/>
                <w:sz w:val="17"/>
                <w:szCs w:val="17"/>
                <w:color w:val="auto"/>
              </w:rPr>
              <w:t>(49,266)</w:t>
            </w:r>
          </w:p>
        </w:tc>
        <w:tc>
          <w:tcPr>
            <w:tcW w:w="70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7"/>
                <w:szCs w:val="17"/>
                <w:color w:val="auto"/>
              </w:rPr>
              <w:t>(2,951)</w:t>
            </w:r>
          </w:p>
        </w:tc>
        <w:tc>
          <w:tcPr>
            <w:tcW w:w="480" w:type="dxa"/>
            <w:vAlign w:val="bottom"/>
            <w:gridSpan w:val="2"/>
          </w:tcPr>
          <w:p>
            <w:pPr>
              <w:jc w:val="right"/>
              <w:ind w:right="32"/>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(52,217)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In January 2017, the FASB issued ASU No. 2017-04</w:t>
      </w:r>
      <w:r>
        <w:rPr>
          <w:rFonts w:ascii="Arial" w:cs="Arial" w:eastAsia="Arial" w:hAnsi="Arial"/>
          <w:sz w:val="17"/>
          <w:szCs w:val="17"/>
          <w:i w:val="1"/>
          <w:iCs w:val="1"/>
          <w:color w:val="auto"/>
        </w:rPr>
        <w:t>—Goodwill and Other (Topic 350) – Simplifying the Test for Goodwill Impairment.</w:t>
      </w:r>
      <w:r>
        <w:rPr>
          <w:rFonts w:ascii="Arial" w:cs="Arial" w:eastAsia="Arial" w:hAnsi="Arial"/>
          <w:sz w:val="17"/>
          <w:szCs w:val="17"/>
          <w:color w:val="auto"/>
        </w:rPr>
        <w:t xml:space="preserve"> ASU 2017-04 simplifies the accounting for goodwill impairments by eliminating step 2 from the goodwill impairment test. The amendment is effective for fiscal years beginning after December 15, 2020. The Company adopted this standard on January 1, 2019. The adoption did not have a material impact on the Company’s financial statements.</w:t>
      </w:r>
    </w:p>
    <w:p>
      <w:pPr>
        <w:spacing w:after="0" w:line="180" w:lineRule="exact"/>
        <w:rPr>
          <w:sz w:val="20"/>
          <w:szCs w:val="20"/>
          <w:color w:val="auto"/>
        </w:rPr>
      </w:pPr>
    </w:p>
    <w:p>
      <w:pPr>
        <w:ind w:left="440" w:right="40" w:firstLine="415"/>
        <w:spacing w:after="0" w:line="291" w:lineRule="auto"/>
        <w:rPr>
          <w:sz w:val="20"/>
          <w:szCs w:val="20"/>
          <w:color w:val="auto"/>
        </w:rPr>
      </w:pPr>
      <w:r>
        <w:rPr>
          <w:rFonts w:ascii="Arial" w:cs="Arial" w:eastAsia="Arial" w:hAnsi="Arial"/>
          <w:sz w:val="15"/>
          <w:szCs w:val="15"/>
          <w:color w:val="auto"/>
        </w:rPr>
        <w:t>In June 2018, the FASB issued ASU No. 2018-07</w:t>
      </w:r>
      <w:r>
        <w:rPr>
          <w:rFonts w:ascii="Arial" w:cs="Arial" w:eastAsia="Arial" w:hAnsi="Arial"/>
          <w:sz w:val="15"/>
          <w:szCs w:val="15"/>
          <w:i w:val="1"/>
          <w:iCs w:val="1"/>
          <w:color w:val="auto"/>
        </w:rPr>
        <w:t>—Compensation—Stock Compensation (Topic 718), Improvements to Nonemployee Share-based</w:t>
      </w:r>
      <w:r>
        <w:rPr>
          <w:rFonts w:ascii="Arial" w:cs="Arial" w:eastAsia="Arial" w:hAnsi="Arial"/>
          <w:sz w:val="15"/>
          <w:szCs w:val="15"/>
          <w:color w:val="auto"/>
        </w:rPr>
        <w:t xml:space="preserve"> </w:t>
      </w:r>
      <w:r>
        <w:rPr>
          <w:rFonts w:ascii="Arial" w:cs="Arial" w:eastAsia="Arial" w:hAnsi="Arial"/>
          <w:sz w:val="15"/>
          <w:szCs w:val="15"/>
          <w:i w:val="1"/>
          <w:iCs w:val="1"/>
          <w:color w:val="auto"/>
        </w:rPr>
        <w:t>Payment Accounting</w:t>
      </w:r>
      <w:r>
        <w:rPr>
          <w:rFonts w:ascii="Arial" w:cs="Arial" w:eastAsia="Arial" w:hAnsi="Arial"/>
          <w:sz w:val="15"/>
          <w:szCs w:val="15"/>
          <w:color w:val="auto"/>
        </w:rPr>
        <w:t>. This standard aligns most of the guidance on share-based payments to nonemployees with share-based payments</w:t>
      </w:r>
    </w:p>
    <w:p>
      <w:pPr>
        <w:ind w:left="440" w:right="100"/>
        <w:spacing w:after="0" w:line="254" w:lineRule="auto"/>
        <w:rPr>
          <w:sz w:val="20"/>
          <w:szCs w:val="20"/>
          <w:color w:val="auto"/>
        </w:rPr>
      </w:pPr>
      <w:r>
        <w:rPr>
          <w:rFonts w:ascii="Arial" w:cs="Arial" w:eastAsia="Arial" w:hAnsi="Arial"/>
          <w:sz w:val="17"/>
          <w:szCs w:val="17"/>
          <w:color w:val="auto"/>
        </w:rPr>
        <w:t>to employees. The amendment is effective for fiscal years beginning after December 15, 2019 and interim periods within fiscal years beginning after December 15, 2020, with early adoption permitted. The Company adopted the update in its 2020 annual and interim periods. The adoption did not have an impact on the consolidated financial statements.</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Recently-Issued Accounting Pronouncements Not Yet Adopted</w:t>
      </w:r>
    </w:p>
    <w:p>
      <w:pPr>
        <w:spacing w:after="0" w:line="110" w:lineRule="exact"/>
        <w:rPr>
          <w:sz w:val="20"/>
          <w:szCs w:val="20"/>
          <w:color w:val="auto"/>
        </w:rPr>
      </w:pPr>
    </w:p>
    <w:p>
      <w:pPr>
        <w:ind w:left="440" w:right="100" w:firstLine="415"/>
        <w:spacing w:after="0" w:line="293" w:lineRule="auto"/>
        <w:rPr>
          <w:sz w:val="20"/>
          <w:szCs w:val="20"/>
          <w:color w:val="auto"/>
        </w:rPr>
      </w:pPr>
      <w:r>
        <w:rPr>
          <w:rFonts w:ascii="Arial" w:cs="Arial" w:eastAsia="Arial" w:hAnsi="Arial"/>
          <w:sz w:val="15"/>
          <w:szCs w:val="15"/>
          <w:color w:val="auto"/>
        </w:rPr>
        <w:t>In February 2016, the FASB issued ASU 2016-02—</w:t>
      </w:r>
      <w:r>
        <w:rPr>
          <w:rFonts w:ascii="Arial" w:cs="Arial" w:eastAsia="Arial" w:hAnsi="Arial"/>
          <w:sz w:val="15"/>
          <w:szCs w:val="15"/>
          <w:i w:val="1"/>
          <w:iCs w:val="1"/>
          <w:color w:val="auto"/>
        </w:rPr>
        <w:t>Leases</w:t>
      </w:r>
      <w:r>
        <w:rPr>
          <w:rFonts w:ascii="Arial" w:cs="Arial" w:eastAsia="Arial" w:hAnsi="Arial"/>
          <w:sz w:val="15"/>
          <w:szCs w:val="15"/>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54"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In June 2016, the FASB issued ASU No. 2016-13</w:t>
      </w:r>
      <w:r>
        <w:rPr>
          <w:rFonts w:ascii="Arial" w:cs="Arial" w:eastAsia="Arial" w:hAnsi="Arial"/>
          <w:sz w:val="17"/>
          <w:szCs w:val="17"/>
          <w:i w:val="1"/>
          <w:iCs w:val="1"/>
          <w:color w:val="auto"/>
        </w:rPr>
        <w:t>—Financial Instruments—Credit Losses (Topic 326)—Measurement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This standard is intended to improve financial reporting by requiring earlier recognition of credit losses on financing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financial assets in scope, such as trade receivables. The amendment is effective for fiscal years beginning after December 15, 2022. The Company will adopt this effective January 1, 2023 and does not expect the adoption of the standard to have a material impact on its consolidated financial statements.</w:t>
      </w:r>
    </w:p>
    <w:p>
      <w:pPr>
        <w:spacing w:after="0" w:line="183"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In August 2018, the FASB issued ASU No. 2018-15—</w:t>
      </w:r>
      <w:r>
        <w:rPr>
          <w:rFonts w:ascii="Arial" w:cs="Arial" w:eastAsia="Arial" w:hAnsi="Arial"/>
          <w:sz w:val="15"/>
          <w:szCs w:val="15"/>
          <w:i w:val="1"/>
          <w:iCs w:val="1"/>
          <w:color w:val="auto"/>
        </w:rPr>
        <w:t>Intangibles—Goodwill and Other—Internal-Use Software (Subtopic 350-40), Customer’s</w:t>
      </w:r>
      <w:r>
        <w:rPr>
          <w:rFonts w:ascii="Arial" w:cs="Arial" w:eastAsia="Arial" w:hAnsi="Arial"/>
          <w:sz w:val="15"/>
          <w:szCs w:val="15"/>
          <w:color w:val="auto"/>
        </w:rPr>
        <w:t xml:space="preserve"> </w:t>
      </w:r>
      <w:r>
        <w:rPr>
          <w:rFonts w:ascii="Arial" w:cs="Arial" w:eastAsia="Arial" w:hAnsi="Arial"/>
          <w:sz w:val="15"/>
          <w:szCs w:val="15"/>
          <w:i w:val="1"/>
          <w:iCs w:val="1"/>
          <w:color w:val="auto"/>
        </w:rPr>
        <w:t>Accounting for Implementation Costs Incurred in a Cloud Computing Arrangement That Is a Service Contract</w:t>
      </w:r>
      <w:r>
        <w:rPr>
          <w:rFonts w:ascii="Arial" w:cs="Arial" w:eastAsia="Arial" w:hAnsi="Arial"/>
          <w:sz w:val="15"/>
          <w:szCs w:val="15"/>
          <w:color w:val="auto"/>
        </w:rPr>
        <w:t>. This standard aligns the requirements for</w:t>
      </w:r>
      <w:r>
        <w:rPr>
          <w:rFonts w:ascii="Arial" w:cs="Arial" w:eastAsia="Arial" w:hAnsi="Arial"/>
          <w:sz w:val="15"/>
          <w:szCs w:val="15"/>
          <w:i w:val="1"/>
          <w:iCs w:val="1"/>
          <w:color w:val="auto"/>
        </w:rPr>
        <w:t xml:space="preserve"> </w:t>
      </w:r>
      <w:r>
        <w:rPr>
          <w:rFonts w:ascii="Arial" w:cs="Arial" w:eastAsia="Arial" w:hAnsi="Arial"/>
          <w:sz w:val="15"/>
          <w:szCs w:val="15"/>
          <w:color w:val="auto"/>
        </w:rPr>
        <w:t>capitalizing implementation costs incurred in a hosting arrangement that is a service contract with the requirements for capitalizing</w:t>
      </w:r>
    </w:p>
    <w:p>
      <w:pPr>
        <w:spacing w:after="0" w:line="7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0800"/>
          </w:cols>
          <w:pgMar w:left="320" w:top="442" w:right="779" w:bottom="1440" w:gutter="0" w:footer="0" w:header="0"/>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20"/>
        <w:spacing w:after="0" w:line="306" w:lineRule="auto"/>
        <w:rPr>
          <w:sz w:val="20"/>
          <w:szCs w:val="20"/>
          <w:color w:val="auto"/>
        </w:rPr>
      </w:pPr>
      <w:r>
        <w:rPr>
          <w:rFonts w:ascii="Arial" w:cs="Arial" w:eastAsia="Arial" w:hAnsi="Arial"/>
          <w:sz w:val="16"/>
          <w:szCs w:val="16"/>
          <w:color w:val="auto"/>
        </w:rPr>
        <w:t>implementation costs incurred to develop or obtain internal-use software. The amendment is effective for fiscal years beginning after December 15, 2020 and early adoption is permitted. The adoption did not have a material impact on its consolidated financial statements.</w:t>
      </w:r>
    </w:p>
    <w:p>
      <w:pPr>
        <w:spacing w:after="0" w:line="141"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In December 2019, the FASB issued ASU No. 2019-12—</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80" w:lineRule="exact"/>
        <w:rPr>
          <w:sz w:val="20"/>
          <w:szCs w:val="20"/>
          <w:color w:val="auto"/>
        </w:rPr>
      </w:pPr>
    </w:p>
    <w:p>
      <w:pPr>
        <w:ind w:left="440" w:firstLine="415"/>
        <w:spacing w:after="0" w:line="270" w:lineRule="auto"/>
        <w:rPr>
          <w:sz w:val="20"/>
          <w:szCs w:val="20"/>
          <w:color w:val="auto"/>
        </w:rPr>
      </w:pP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amendments of ASU No. 2020-04 are effective for companies as of March 12, 2020 through December 31, 2022.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12" w:lineRule="exact"/>
        <w:rPr>
          <w:sz w:val="20"/>
          <w:szCs w:val="20"/>
          <w:color w:val="auto"/>
        </w:rPr>
      </w:pPr>
    </w:p>
    <w:p>
      <w:pPr>
        <w:ind w:left="840" w:hanging="406"/>
        <w:spacing w:after="0"/>
        <w:tabs>
          <w:tab w:leader="none" w:pos="840" w:val="left"/>
        </w:tabs>
        <w:numPr>
          <w:ilvl w:val="0"/>
          <w:numId w:val="18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6"/>
          <w:szCs w:val="16"/>
          <w:color w:val="auto"/>
        </w:rPr>
        <w:t>On October 27, 2020, the Company completed the purchase of all of the outstanding shares of Monocl Holding Company (“Monocl”), a cloud-based platform with millions of expert profiles, for a total estimated consideration of $46.3 million and up to $60.0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6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660" w:type="dxa"/>
            <w:vAlign w:val="bottom"/>
            <w:gridSpan w:val="2"/>
          </w:tcPr>
          <w:p>
            <w:pPr>
              <w:spacing w:after="0"/>
              <w:rPr>
                <w:sz w:val="20"/>
                <w:szCs w:val="20"/>
                <w:color w:val="auto"/>
              </w:rPr>
            </w:pPr>
            <w:r>
              <w:rPr>
                <w:rFonts w:ascii="Arial" w:cs="Arial" w:eastAsia="Arial" w:hAnsi="Arial"/>
                <w:sz w:val="17"/>
                <w:szCs w:val="17"/>
                <w:color w:val="auto"/>
              </w:rPr>
              <w:t>The consideration transferred for the transaction is summarized as follows (in thousands):</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$ 18,307</w:t>
            </w:r>
          </w:p>
        </w:tc>
        <w:tc>
          <w:tcPr>
            <w:tcW w:w="60" w:type="dxa"/>
            <w:vAlign w:val="bottom"/>
            <w:shd w:val="clear" w:color="auto" w:fill="CCEEFF"/>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Equity issuance</w:t>
            </w:r>
          </w:p>
        </w:tc>
        <w:tc>
          <w:tcPr>
            <w:tcW w:w="580" w:type="dxa"/>
            <w:vAlign w:val="bottom"/>
          </w:tcPr>
          <w:p>
            <w:pPr>
              <w:jc w:val="right"/>
              <w:spacing w:after="0"/>
              <w:rPr>
                <w:sz w:val="20"/>
                <w:szCs w:val="20"/>
                <w:color w:val="auto"/>
              </w:rPr>
            </w:pPr>
            <w:r>
              <w:rPr>
                <w:rFonts w:ascii="Arial" w:cs="Arial" w:eastAsia="Arial" w:hAnsi="Arial"/>
                <w:sz w:val="17"/>
                <w:szCs w:val="17"/>
                <w:color w:val="auto"/>
              </w:rPr>
              <w:t>25,439</w:t>
            </w:r>
          </w:p>
        </w:tc>
        <w:tc>
          <w:tcPr>
            <w:tcW w:w="60" w:type="dxa"/>
            <w:vAlign w:val="bottom"/>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2,600</w:t>
            </w:r>
          </w:p>
        </w:tc>
        <w:tc>
          <w:tcPr>
            <w:tcW w:w="60" w:type="dxa"/>
            <w:vAlign w:val="bottom"/>
            <w:shd w:val="clear" w:color="auto" w:fill="CCEEFF"/>
          </w:tcPr>
          <w:p>
            <w:pPr>
              <w:spacing w:after="0"/>
              <w:rPr>
                <w:sz w:val="17"/>
                <w:szCs w:val="17"/>
                <w:color w:val="auto"/>
              </w:rPr>
            </w:pPr>
          </w:p>
        </w:tc>
      </w:tr>
      <w:tr>
        <w:trPr>
          <w:trHeight w:val="209"/>
        </w:trPr>
        <w:tc>
          <w:tcPr>
            <w:tcW w:w="126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$ 46,346</w:t>
            </w:r>
          </w:p>
        </w:tc>
        <w:tc>
          <w:tcPr>
            <w:tcW w:w="6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Cash consideration for the acquisition was primarily provided through borrowings under the Company’s credit facility.</w:t>
      </w:r>
    </w:p>
    <w:p>
      <w:pPr>
        <w:spacing w:after="0" w:line="212" w:lineRule="exact"/>
        <w:rPr>
          <w:sz w:val="20"/>
          <w:szCs w:val="20"/>
          <w:color w:val="auto"/>
        </w:rPr>
      </w:pPr>
    </w:p>
    <w:p>
      <w:pPr>
        <w:ind w:left="440" w:right="20" w:firstLine="415"/>
        <w:spacing w:after="0" w:line="291" w:lineRule="auto"/>
        <w:rPr>
          <w:sz w:val="20"/>
          <w:szCs w:val="20"/>
          <w:color w:val="auto"/>
        </w:rPr>
      </w:pPr>
      <w:r>
        <w:rPr>
          <w:rFonts w:ascii="Arial" w:cs="Arial" w:eastAsia="Arial" w:hAnsi="Arial"/>
          <w:sz w:val="15"/>
          <w:szCs w:val="15"/>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ind w:left="440" w:right="120"/>
        <w:spacing w:after="0" w:line="259" w:lineRule="auto"/>
        <w:rPr>
          <w:sz w:val="20"/>
          <w:szCs w:val="20"/>
          <w:color w:val="auto"/>
        </w:rPr>
      </w:pPr>
      <w:r>
        <w:rPr>
          <w:rFonts w:ascii="Arial" w:cs="Arial" w:eastAsia="Arial" w:hAnsi="Arial"/>
          <w:sz w:val="17"/>
          <w:szCs w:val="17"/>
          <w:color w:val="auto"/>
        </w:rPr>
        <w:t>$5.0 million and $0 to $10 million based on ARR of below $8.5 million to over $9.5 million and below $12.0 million to over $16.0 million for each of the twelve month periods ending December 31, 2020 and 2021, respectively.</w:t>
      </w:r>
    </w:p>
    <w:p>
      <w:pPr>
        <w:spacing w:after="0" w:line="177" w:lineRule="exact"/>
        <w:rPr>
          <w:sz w:val="20"/>
          <w:szCs w:val="20"/>
          <w:color w:val="auto"/>
        </w:rPr>
      </w:pPr>
    </w:p>
    <w:p>
      <w:pPr>
        <w:ind w:left="440" w:right="420" w:firstLine="415"/>
        <w:spacing w:after="0" w:line="342" w:lineRule="auto"/>
        <w:rPr>
          <w:sz w:val="20"/>
          <w:szCs w:val="20"/>
          <w:color w:val="auto"/>
        </w:rPr>
      </w:pPr>
      <w:r>
        <w:rPr>
          <w:rFonts w:ascii="Arial" w:cs="Arial" w:eastAsia="Arial" w:hAnsi="Arial"/>
          <w:sz w:val="15"/>
          <w:szCs w:val="15"/>
          <w:color w:val="auto"/>
        </w:rPr>
        <w:t>The Company estimated the fair value of the contingent consideration to be $5.2 million at December 31, 2020 based on the achievement of Annual 2020 ARR targets and the probability of achieving the 2021 targets. Refer to note 9. Fair Value Measurements for more detail.</w:t>
      </w:r>
    </w:p>
    <w:p>
      <w:pPr>
        <w:spacing w:after="0" w:line="55"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0760"/>
          </w:cols>
          <w:pgMar w:left="320" w:top="442" w:right="819" w:bottom="1440" w:gutter="0" w:footer="0" w:header="0"/>
        </w:sectPr>
      </w:pPr>
    </w:p>
    <w:bookmarkStart w:id="251" w:name="page252"/>
    <w:bookmarkEnd w:id="2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83"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w w:val="92"/>
              </w:rPr>
              <w:t>October 27, 2020</w:t>
            </w:r>
          </w:p>
        </w:tc>
      </w:tr>
      <w:tr>
        <w:trPr>
          <w:trHeight w:val="19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788</w:t>
            </w:r>
          </w:p>
        </w:tc>
        <w:tc>
          <w:tcPr>
            <w:tcW w:w="80" w:type="dxa"/>
            <w:vAlign w:val="bottom"/>
          </w:tcPr>
          <w:p>
            <w:pPr>
              <w:spacing w:after="0"/>
              <w:rPr>
                <w:sz w:val="17"/>
                <w:szCs w:val="17"/>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18,900</w:t>
            </w:r>
          </w:p>
        </w:tc>
        <w:tc>
          <w:tcPr>
            <w:tcW w:w="80" w:type="dxa"/>
            <w:vAlign w:val="bottom"/>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(2,137)</w:t>
            </w: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(2,884)</w:t>
            </w:r>
          </w:p>
        </w:tc>
      </w:tr>
      <w:tr>
        <w:trPr>
          <w:trHeight w:val="209"/>
        </w:trPr>
        <w:tc>
          <w:tcPr>
            <w:tcW w:w="6000" w:type="dxa"/>
            <w:vAlign w:val="bottom"/>
          </w:tcPr>
          <w:p>
            <w:pPr>
              <w:spacing w:after="0"/>
              <w:rPr>
                <w:sz w:val="20"/>
                <w:szCs w:val="20"/>
                <w:color w:val="auto"/>
              </w:rPr>
            </w:pPr>
            <w:r>
              <w:rPr>
                <w:rFonts w:ascii="Arial" w:cs="Arial" w:eastAsia="Arial" w:hAnsi="Arial"/>
                <w:sz w:val="17"/>
                <w:szCs w:val="17"/>
                <w:color w:val="auto"/>
              </w:rPr>
              <w:t>Total assets acquired and liabilities assumed</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600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46,346</w:t>
            </w:r>
          </w:p>
        </w:tc>
        <w:tc>
          <w:tcPr>
            <w:tcW w:w="8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60" w:firstLine="415"/>
        <w:spacing w:after="0" w:line="254" w:lineRule="auto"/>
        <w:rPr>
          <w:sz w:val="20"/>
          <w:szCs w:val="20"/>
          <w:color w:val="auto"/>
        </w:rPr>
      </w:pPr>
      <w:r>
        <w:rPr>
          <w:rFonts w:ascii="Arial" w:cs="Arial" w:eastAsia="Arial" w:hAnsi="Arial"/>
          <w:sz w:val="17"/>
          <w:szCs w:val="17"/>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for more detail on determination of fair value.</w:t>
      </w:r>
    </w:p>
    <w:p>
      <w:pPr>
        <w:spacing w:after="0" w:line="183"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3" w:lineRule="exact"/>
        <w:rPr>
          <w:sz w:val="20"/>
          <w:szCs w:val="20"/>
          <w:color w:val="auto"/>
        </w:rPr>
      </w:pPr>
    </w:p>
    <w:p>
      <w:pPr>
        <w:jc w:val="both"/>
        <w:ind w:left="440" w:right="60" w:firstLine="415"/>
        <w:spacing w:after="0" w:line="261" w:lineRule="auto"/>
        <w:rPr>
          <w:sz w:val="20"/>
          <w:szCs w:val="20"/>
          <w:color w:val="auto"/>
        </w:rPr>
      </w:pPr>
      <w:r>
        <w:rPr>
          <w:rFonts w:ascii="Arial" w:cs="Arial" w:eastAsia="Arial" w:hAnsi="Arial"/>
          <w:sz w:val="17"/>
          <w:szCs w:val="17"/>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76" w:lineRule="exact"/>
        <w:rPr>
          <w:sz w:val="20"/>
          <w:szCs w:val="20"/>
          <w:color w:val="auto"/>
        </w:rPr>
      </w:pPr>
    </w:p>
    <w:p>
      <w:pPr>
        <w:ind w:left="440" w:right="20" w:firstLine="415"/>
        <w:spacing w:after="0" w:line="275" w:lineRule="auto"/>
        <w:rPr>
          <w:sz w:val="20"/>
          <w:szCs w:val="20"/>
          <w:color w:val="auto"/>
        </w:rPr>
      </w:pPr>
      <w:r>
        <w:rPr>
          <w:rFonts w:ascii="Arial" w:cs="Arial" w:eastAsia="Arial" w:hAnsi="Arial"/>
          <w:sz w:val="16"/>
          <w:szCs w:val="16"/>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67" w:lineRule="exact"/>
        <w:rPr>
          <w:sz w:val="20"/>
          <w:szCs w:val="20"/>
          <w:color w:val="auto"/>
        </w:rPr>
      </w:pPr>
    </w:p>
    <w:p>
      <w:pPr>
        <w:ind w:left="440" w:right="180" w:firstLine="415"/>
        <w:spacing w:after="0" w:line="257" w:lineRule="auto"/>
        <w:rPr>
          <w:sz w:val="20"/>
          <w:szCs w:val="20"/>
          <w:color w:val="auto"/>
        </w:rPr>
      </w:pPr>
      <w:r>
        <w:rPr>
          <w:rFonts w:ascii="Arial" w:cs="Arial" w:eastAsia="Arial" w:hAnsi="Arial"/>
          <w:sz w:val="17"/>
          <w:szCs w:val="17"/>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F-25</w:t>
      </w:r>
    </w:p>
    <w:p>
      <w:pPr>
        <w:sectPr>
          <w:pgSz w:w="11900" w:h="16838" w:orient="portrait"/>
          <w:cols w:equalWidth="0" w:num="1">
            <w:col w:w="10800"/>
          </w:cols>
          <w:pgMar w:left="320" w:top="442" w:right="779" w:bottom="1440" w:gutter="0" w:footer="0" w:header="0"/>
        </w:sectPr>
      </w:pPr>
    </w:p>
    <w:bookmarkStart w:id="252" w:name="page253"/>
    <w:bookmarkEnd w:id="2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7"/>
          <w:szCs w:val="17"/>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66" w:lineRule="exact"/>
        <w:rPr>
          <w:sz w:val="20"/>
          <w:szCs w:val="20"/>
          <w:color w:val="auto"/>
        </w:rPr>
      </w:pPr>
    </w:p>
    <w:p>
      <w:pPr>
        <w:ind w:left="440" w:right="440" w:firstLine="415"/>
        <w:spacing w:after="0" w:line="273" w:lineRule="auto"/>
        <w:rPr>
          <w:sz w:val="20"/>
          <w:szCs w:val="20"/>
          <w:color w:val="auto"/>
        </w:rPr>
      </w:pPr>
      <w:r>
        <w:rPr>
          <w:rFonts w:ascii="Arial" w:cs="Arial" w:eastAsia="Arial" w:hAnsi="Arial"/>
          <w:sz w:val="17"/>
          <w:szCs w:val="17"/>
          <w:color w:val="auto"/>
        </w:rPr>
        <w:t>In connection with the acquisition, the Company recognized acquisition related costs of $0.4 million which were recorded within transaction expenses in the accompanying consolidated statements of income (loss).</w:t>
      </w:r>
    </w:p>
    <w:p>
      <w:pPr>
        <w:spacing w:after="0" w:line="166" w:lineRule="exact"/>
        <w:rPr>
          <w:sz w:val="20"/>
          <w:szCs w:val="20"/>
          <w:color w:val="auto"/>
        </w:rPr>
      </w:pPr>
    </w:p>
    <w:p>
      <w:pPr>
        <w:ind w:left="440" w:right="540" w:firstLine="415"/>
        <w:spacing w:after="0" w:line="261" w:lineRule="auto"/>
        <w:rPr>
          <w:sz w:val="20"/>
          <w:szCs w:val="20"/>
          <w:color w:val="auto"/>
        </w:rPr>
      </w:pPr>
      <w:r>
        <w:rPr>
          <w:rFonts w:ascii="Arial" w:cs="Arial" w:eastAsia="Arial" w:hAnsi="Arial"/>
          <w:sz w:val="17"/>
          <w:szCs w:val="17"/>
          <w:color w:val="auto"/>
        </w:rPr>
        <w:t>The net loss of Monocl is included in the Company’s consolidated results since the date of acquisition. The revenue and net loss of Monocl reflected in the consolidated statements of income (loss) for the year ended December 31, 2020 (Successor) were $1.2 million and $1.6 million, respectively.</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Unaudited Pro Forma Supplementary Data</w:t>
      </w:r>
    </w:p>
    <w:p>
      <w:pPr>
        <w:spacing w:after="0" w:line="210"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jc w:val="right"/>
              <w:ind w:right="1180"/>
              <w:spacing w:after="0"/>
              <w:rPr>
                <w:sz w:val="20"/>
                <w:szCs w:val="20"/>
                <w:color w:val="auto"/>
              </w:rPr>
            </w:pPr>
            <w:r>
              <w:rPr>
                <w:rFonts w:ascii="Arial" w:cs="Arial" w:eastAsia="Arial" w:hAnsi="Arial"/>
                <w:sz w:val="14"/>
                <w:szCs w:val="14"/>
                <w:color w:val="auto"/>
                <w:w w:val="91"/>
              </w:rPr>
              <w:t>Year Ended</w:t>
            </w: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Year Ended</w:t>
            </w:r>
          </w:p>
        </w:tc>
      </w:tr>
      <w:tr>
        <w:trPr>
          <w:trHeight w:val="158"/>
        </w:trPr>
        <w:tc>
          <w:tcPr>
            <w:tcW w:w="4680" w:type="dxa"/>
            <w:vAlign w:val="bottom"/>
          </w:tcPr>
          <w:p>
            <w:pPr>
              <w:spacing w:after="0" w:line="158" w:lineRule="exact"/>
              <w:rPr>
                <w:sz w:val="20"/>
                <w:szCs w:val="20"/>
                <w:color w:val="auto"/>
              </w:rPr>
            </w:pPr>
            <w:r>
              <w:rPr>
                <w:rFonts w:ascii="Arial" w:cs="Arial" w:eastAsia="Arial" w:hAnsi="Arial"/>
                <w:sz w:val="14"/>
                <w:szCs w:val="14"/>
                <w:color w:val="auto"/>
              </w:rPr>
              <w:t>(in thousands)</w:t>
            </w:r>
          </w:p>
        </w:tc>
        <w:tc>
          <w:tcPr>
            <w:tcW w:w="2040" w:type="dxa"/>
            <w:vAlign w:val="bottom"/>
            <w:gridSpan w:val="3"/>
          </w:tcPr>
          <w:p>
            <w:pPr>
              <w:spacing w:after="0" w:line="158" w:lineRule="exact"/>
              <w:rPr>
                <w:sz w:val="20"/>
                <w:szCs w:val="20"/>
                <w:color w:val="auto"/>
              </w:rPr>
            </w:pPr>
            <w:r>
              <w:rPr>
                <w:rFonts w:ascii="Arial" w:cs="Arial" w:eastAsia="Arial" w:hAnsi="Arial"/>
                <w:sz w:val="14"/>
                <w:szCs w:val="14"/>
                <w:color w:val="auto"/>
              </w:rPr>
              <w:t>December 31, 2020</w:t>
            </w:r>
          </w:p>
        </w:tc>
        <w:tc>
          <w:tcPr>
            <w:tcW w:w="1160" w:type="dxa"/>
            <w:vAlign w:val="bottom"/>
            <w:gridSpan w:val="3"/>
          </w:tcPr>
          <w:p>
            <w:pPr>
              <w:spacing w:after="0" w:line="158" w:lineRule="exact"/>
              <w:rPr>
                <w:sz w:val="20"/>
                <w:szCs w:val="20"/>
                <w:color w:val="auto"/>
              </w:rPr>
            </w:pPr>
            <w:r>
              <w:rPr>
                <w:rFonts w:ascii="Arial" w:cs="Arial" w:eastAsia="Arial" w:hAnsi="Arial"/>
                <w:sz w:val="14"/>
                <w:szCs w:val="14"/>
                <w:color w:val="auto"/>
                <w:w w:val="92"/>
              </w:rPr>
              <w:t>December 31, 2019</w:t>
            </w:r>
          </w:p>
        </w:tc>
      </w:tr>
      <w:tr>
        <w:trPr>
          <w:trHeight w:val="196"/>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122,333</w:t>
            </w:r>
          </w:p>
        </w:tc>
        <w:tc>
          <w:tcPr>
            <w:tcW w:w="9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87,157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5"/>
        </w:trPr>
        <w:tc>
          <w:tcPr>
            <w:tcW w:w="4680" w:type="dxa"/>
            <w:vAlign w:val="bottom"/>
          </w:tcPr>
          <w:p>
            <w:pPr>
              <w:spacing w:after="0"/>
              <w:rPr>
                <w:sz w:val="20"/>
                <w:szCs w:val="20"/>
                <w:color w:val="auto"/>
              </w:rPr>
            </w:pPr>
            <w:r>
              <w:rPr>
                <w:rFonts w:ascii="Arial" w:cs="Arial" w:eastAsia="Arial" w:hAnsi="Arial"/>
                <w:sz w:val="17"/>
                <w:szCs w:val="17"/>
                <w:color w:val="auto"/>
              </w:rPr>
              <w:t>Net loss</w:t>
            </w:r>
          </w:p>
        </w:tc>
        <w:tc>
          <w:tcPr>
            <w:tcW w:w="160" w:type="dxa"/>
            <w:vAlign w:val="bottom"/>
          </w:tcPr>
          <w:p>
            <w:pPr>
              <w:spacing w:after="0"/>
              <w:rPr>
                <w:sz w:val="18"/>
                <w:szCs w:val="18"/>
                <w:color w:val="auto"/>
              </w:rPr>
            </w:pPr>
          </w:p>
        </w:tc>
        <w:tc>
          <w:tcPr>
            <w:tcW w:w="1880" w:type="dxa"/>
            <w:vAlign w:val="bottom"/>
            <w:gridSpan w:val="2"/>
          </w:tcPr>
          <w:p>
            <w:pPr>
              <w:jc w:val="right"/>
              <w:ind w:right="920"/>
              <w:spacing w:after="0"/>
              <w:rPr>
                <w:sz w:val="20"/>
                <w:szCs w:val="20"/>
                <w:color w:val="auto"/>
              </w:rPr>
            </w:pPr>
            <w:r>
              <w:rPr>
                <w:rFonts w:ascii="Arial" w:cs="Arial" w:eastAsia="Arial" w:hAnsi="Arial"/>
                <w:sz w:val="17"/>
                <w:szCs w:val="17"/>
                <w:color w:val="auto"/>
              </w:rPr>
              <w:t>(58,350)</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(97,134)</w:t>
            </w:r>
          </w:p>
        </w:tc>
      </w:tr>
    </w:tbl>
    <w:p>
      <w:pPr>
        <w:spacing w:after="0" w:line="18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unaudited pro forma supplementary data presented in the table above shows the effect of the Monocl and Definitive Holdco Acquisitions, as if</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transactions had occurred at the beginning of fiscal year 2019. The pro forma net loss includes adjustments to amortization expense for the valuation</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of other intangible assets of $0.8 million and $1.2 million and interest expense related to incremental borrowings used to finance the transaction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$1.0 million and $1.2 million for the years ended December 31, 2020 and 2019, respectively. Acquisition expenses of $0.4 million were excluded from</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pro forma net loss for the year ended December 31, 2020 and included in the pro forma net loss for the year-ended December 31, 2019. The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unaudited pro forma supplementary data is provided for informational purposes only and should not be construed to be indicative of the Company’s</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results of operations had the acquisition been consummated on the date assumed or of the Company’s results of operations for any future date.</w:t>
      </w:r>
    </w:p>
    <w:p>
      <w:pPr>
        <w:spacing w:after="0" w:line="31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2019 acquisitions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Definitive Holdco (“Definitive Holdco Acquisition”)</w:t>
      </w:r>
    </w:p>
    <w:p>
      <w:pPr>
        <w:spacing w:after="0" w:line="110" w:lineRule="exact"/>
        <w:rPr>
          <w:sz w:val="20"/>
          <w:szCs w:val="20"/>
          <w:color w:val="auto"/>
        </w:rPr>
      </w:pPr>
    </w:p>
    <w:p>
      <w:pPr>
        <w:jc w:val="both"/>
        <w:ind w:left="440" w:right="400" w:firstLine="415"/>
        <w:spacing w:after="0" w:line="261" w:lineRule="auto"/>
        <w:rPr>
          <w:sz w:val="20"/>
          <w:szCs w:val="20"/>
          <w:color w:val="auto"/>
        </w:rPr>
      </w:pPr>
      <w:r>
        <w:rPr>
          <w:rFonts w:ascii="Arial" w:cs="Arial" w:eastAsia="Arial" w:hAnsi="Arial"/>
          <w:sz w:val="17"/>
          <w:szCs w:val="17"/>
          <w:color w:val="auto"/>
        </w:rPr>
        <w:t>On July 16, 2019, Advent, our Sponsor, entered into an agreement with Definitive Holdco (the “Agreement”) to, among other things, acquire 100% of its issued and outstanding units, for a total consideration of $1,699.6 million, consisting of $1,129.3 million of cash and $570.3 million of equity units issued to the sellers and former owners.</w:t>
      </w:r>
    </w:p>
    <w:p>
      <w:pPr>
        <w:spacing w:after="0" w:line="176" w:lineRule="exact"/>
        <w:rPr>
          <w:sz w:val="20"/>
          <w:szCs w:val="20"/>
          <w:color w:val="auto"/>
        </w:rPr>
      </w:pPr>
    </w:p>
    <w:p>
      <w:pPr>
        <w:ind w:left="440" w:right="860" w:firstLine="415"/>
        <w:spacing w:after="0" w:line="273" w:lineRule="auto"/>
        <w:rPr>
          <w:sz w:val="20"/>
          <w:szCs w:val="20"/>
          <w:color w:val="auto"/>
        </w:rPr>
      </w:pPr>
      <w:r>
        <w:rPr>
          <w:rFonts w:ascii="Arial" w:cs="Arial" w:eastAsia="Arial" w:hAnsi="Arial"/>
          <w:sz w:val="17"/>
          <w:szCs w:val="17"/>
          <w:color w:val="auto"/>
        </w:rPr>
        <w:t>For purposes of the Agreement, affiliated legal entities of Advent include Advent IX Funds, AIDH Holdings, Inc. (“AIDH Holdings”), AIDH TopCo, AIDH Buyer, and AIDH Finance Sub, LLC (“AIDH Finance Sub”).</w:t>
      </w:r>
    </w:p>
    <w:p>
      <w:pPr>
        <w:spacing w:after="0" w:line="166" w:lineRule="exact"/>
        <w:rPr>
          <w:sz w:val="20"/>
          <w:szCs w:val="20"/>
          <w:color w:val="auto"/>
        </w:rPr>
      </w:pPr>
    </w:p>
    <w:p>
      <w:pPr>
        <w:jc w:val="both"/>
        <w:ind w:left="440" w:right="180" w:firstLine="415"/>
        <w:spacing w:after="0" w:line="261" w:lineRule="auto"/>
        <w:rPr>
          <w:sz w:val="20"/>
          <w:szCs w:val="20"/>
          <w:color w:val="auto"/>
        </w:rPr>
      </w:pPr>
      <w:r>
        <w:rPr>
          <w:rFonts w:ascii="Arial" w:cs="Arial" w:eastAsia="Arial" w:hAnsi="Arial"/>
          <w:sz w:val="17"/>
          <w:szCs w:val="17"/>
          <w:color w:val="auto"/>
        </w:rPr>
        <w:t>Advent IX Funds owns 100% of the outstanding units of AIDH Holdings. AIDH Holdings owns 55% of the outstanding units of the Company, with the remaining interests (45%) issued to the prior owners of Definitive Holdco as rollover units. The Company owns 100% of outstanding units of AIDH Buyer. Upon acquisition, AIDH Buyer owns 100% of Definitive Holdco.</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transactions outlined in the Agreement were executed as follows:</w:t>
      </w:r>
    </w:p>
    <w:p>
      <w:pPr>
        <w:spacing w:after="0" w:line="110" w:lineRule="exact"/>
        <w:rPr>
          <w:sz w:val="20"/>
          <w:szCs w:val="20"/>
          <w:color w:val="auto"/>
        </w:rPr>
      </w:pPr>
    </w:p>
    <w:p>
      <w:pPr>
        <w:ind w:left="440" w:right="340" w:firstLine="409"/>
        <w:spacing w:after="0" w:line="279" w:lineRule="auto"/>
        <w:tabs>
          <w:tab w:leader="none" w:pos="1152" w:val="left"/>
        </w:tabs>
        <w:numPr>
          <w:ilvl w:val="0"/>
          <w:numId w:val="184"/>
        </w:numPr>
        <w:rPr>
          <w:rFonts w:ascii="Arial" w:cs="Arial" w:eastAsia="Arial" w:hAnsi="Arial"/>
          <w:sz w:val="16"/>
          <w:szCs w:val="16"/>
          <w:color w:val="auto"/>
        </w:rPr>
      </w:pPr>
      <w:r>
        <w:rPr>
          <w:rFonts w:ascii="Arial" w:cs="Arial" w:eastAsia="Arial" w:hAnsi="Arial"/>
          <w:sz w:val="16"/>
          <w:szCs w:val="16"/>
          <w:color w:val="auto"/>
        </w:rPr>
        <w:t>Debt Financing. Immediately prior to closing of the Agreement, AIDH Finance Sub, an affiliated legal entity of Advent, entered into debt financing agreements for a $450.0 million term loan payable (the “2019 Term Loan”), a $100.0 million delayed draw term loan payable (the “2019 Delayed Draw Term Loan”), and a $25.0 million revolving debt facility (the “2019 Revolving Debt Facility). See Note 8, for more detail. These financing agreements were collateralized by 100% of AIDH Finance Sub capital prior to the Finance Merger, defined below.</w:t>
      </w:r>
    </w:p>
    <w:p>
      <w:pPr>
        <w:spacing w:after="0" w:line="9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0820"/>
          </w:cols>
          <w:pgMar w:left="320" w:top="442" w:right="759" w:bottom="1440" w:gutter="0" w:footer="0" w:header="0"/>
        </w:sectPr>
      </w:pPr>
    </w:p>
    <w:bookmarkStart w:id="253" w:name="page254"/>
    <w:bookmarkEnd w:id="2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20" w:firstLine="409"/>
        <w:spacing w:after="0" w:line="273" w:lineRule="auto"/>
        <w:tabs>
          <w:tab w:leader="none" w:pos="115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Finance Merger. Upon closing the Agreement, AIDH Finance Sub was merged with Definitive Holdco (surviving entity). After the merger, the financing agreements were collateralized by 100% of AIDH Buyer and Definitive Holdco units.</w:t>
      </w:r>
    </w:p>
    <w:p>
      <w:pPr>
        <w:spacing w:after="0" w:line="165" w:lineRule="exact"/>
        <w:rPr>
          <w:rFonts w:ascii="Arial" w:cs="Arial" w:eastAsia="Arial" w:hAnsi="Arial"/>
          <w:sz w:val="17"/>
          <w:szCs w:val="17"/>
          <w:color w:val="auto"/>
        </w:rPr>
      </w:pPr>
    </w:p>
    <w:p>
      <w:pPr>
        <w:ind w:left="440" w:firstLine="409"/>
        <w:spacing w:after="0" w:line="261" w:lineRule="auto"/>
        <w:tabs>
          <w:tab w:leader="none" w:pos="1152" w:val="left"/>
        </w:tabs>
        <w:numPr>
          <w:ilvl w:val="0"/>
          <w:numId w:val="185"/>
        </w:numPr>
        <w:rPr>
          <w:rFonts w:ascii="Arial" w:cs="Arial" w:eastAsia="Arial" w:hAnsi="Arial"/>
          <w:sz w:val="17"/>
          <w:szCs w:val="17"/>
          <w:color w:val="auto"/>
        </w:rPr>
      </w:pPr>
      <w:r>
        <w:rPr>
          <w:rFonts w:ascii="Arial" w:cs="Arial" w:eastAsia="Arial" w:hAnsi="Arial"/>
          <w:sz w:val="17"/>
          <w:szCs w:val="17"/>
          <w:color w:val="auto"/>
        </w:rPr>
        <w:t>Distribution and Purchase of Units. Immediately after the Finance Merger, net proceeds from the debt financing (approximately $432.4 million) were paid to the prior owners of Definitive Holdco. Additionally, AIDH Buyer distributed $1,267.3 million (cash of $697.0 million and rollover equity of $570.3 million in the Company) as purchase consideration for all outstanding units of Definitive Holdco.</w:t>
      </w:r>
    </w:p>
    <w:p>
      <w:pPr>
        <w:spacing w:after="0" w:line="176"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6740" w:type="dxa"/>
            <w:vAlign w:val="bottom"/>
            <w:gridSpan w:val="2"/>
          </w:tcPr>
          <w:p>
            <w:pPr>
              <w:spacing w:after="0"/>
              <w:rPr>
                <w:sz w:val="20"/>
                <w:szCs w:val="20"/>
                <w:color w:val="auto"/>
              </w:rPr>
            </w:pPr>
            <w:r>
              <w:rPr>
                <w:rFonts w:ascii="Arial" w:cs="Arial" w:eastAsia="Arial" w:hAnsi="Arial"/>
                <w:sz w:val="17"/>
                <w:szCs w:val="17"/>
                <w:color w:val="auto"/>
                <w:w w:val="99"/>
              </w:rPr>
              <w:t>The consideration transferred for the transaction is summarized as follows (in thousands):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6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1,129,346</w:t>
            </w:r>
          </w:p>
        </w:tc>
        <w:tc>
          <w:tcPr>
            <w:tcW w:w="60" w:type="dxa"/>
            <w:vAlign w:val="bottom"/>
            <w:shd w:val="clear" w:color="auto" w:fill="CCEEFF"/>
          </w:tcPr>
          <w:p>
            <w:pPr>
              <w:spacing w:after="0"/>
              <w:rPr>
                <w:sz w:val="17"/>
                <w:szCs w:val="17"/>
                <w:color w:val="auto"/>
              </w:rPr>
            </w:pPr>
          </w:p>
        </w:tc>
      </w:tr>
      <w:tr>
        <w:trPr>
          <w:trHeight w:val="204"/>
        </w:trPr>
        <w:tc>
          <w:tcPr>
            <w:tcW w:w="1260" w:type="dxa"/>
            <w:vAlign w:val="bottom"/>
          </w:tcPr>
          <w:p>
            <w:pPr>
              <w:spacing w:after="0"/>
              <w:rPr>
                <w:sz w:val="17"/>
                <w:szCs w:val="17"/>
                <w:color w:val="auto"/>
              </w:rPr>
            </w:pPr>
          </w:p>
        </w:tc>
        <w:tc>
          <w:tcPr>
            <w:tcW w:w="5480" w:type="dxa"/>
            <w:vAlign w:val="bottom"/>
          </w:tcPr>
          <w:p>
            <w:pPr>
              <w:spacing w:after="0"/>
              <w:rPr>
                <w:sz w:val="20"/>
                <w:szCs w:val="20"/>
                <w:color w:val="auto"/>
              </w:rPr>
            </w:pPr>
            <w:r>
              <w:rPr>
                <w:rFonts w:ascii="Arial" w:cs="Arial" w:eastAsia="Arial" w:hAnsi="Arial"/>
                <w:sz w:val="17"/>
                <w:szCs w:val="17"/>
                <w:color w:val="auto"/>
              </w:rPr>
              <w:t>Common units issued</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570,266</w:t>
            </w:r>
          </w:p>
        </w:tc>
      </w:tr>
      <w:tr>
        <w:trPr>
          <w:trHeight w:val="25"/>
        </w:trPr>
        <w:tc>
          <w:tcPr>
            <w:tcW w:w="126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126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7"/>
                <w:szCs w:val="17"/>
                <w:color w:val="auto"/>
              </w:rPr>
              <w:t>Purchase price</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1,699,612</w:t>
            </w:r>
          </w:p>
        </w:tc>
        <w:tc>
          <w:tcPr>
            <w:tcW w:w="60" w:type="dxa"/>
            <w:vAlign w:val="bottom"/>
            <w:shd w:val="clear" w:color="auto" w:fill="CCEEFF"/>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Of the total cash consideration, $1,122.4 million was paid upon closing and $6.9 million in July 2020. Cash consideration for the acquisition was partly provided by net proceeds from the 2019 Term Loan, as outlined above.</w:t>
      </w:r>
    </w:p>
    <w:p>
      <w:pPr>
        <w:spacing w:after="0" w:line="166" w:lineRule="exact"/>
        <w:rPr>
          <w:sz w:val="20"/>
          <w:szCs w:val="20"/>
          <w:color w:val="auto"/>
        </w:rPr>
      </w:pPr>
    </w:p>
    <w:p>
      <w:pPr>
        <w:ind w:left="440" w:right="100" w:firstLine="415"/>
        <w:spacing w:after="0" w:line="306" w:lineRule="auto"/>
        <w:rPr>
          <w:sz w:val="20"/>
          <w:szCs w:val="20"/>
          <w:color w:val="auto"/>
        </w:rPr>
      </w:pPr>
      <w:r>
        <w:rPr>
          <w:rFonts w:ascii="Arial" w:cs="Arial" w:eastAsia="Arial" w:hAnsi="Arial"/>
          <w:sz w:val="16"/>
          <w:szCs w:val="16"/>
          <w:color w:val="auto"/>
        </w:rPr>
        <w:t>The purchase accounting for the Definitive Holdco Acquisition, was finalized as of July 16, 2020. The final allocation of the acquisition-date fair values of assets and liabilities pertaining to this business combination as of July 16, 2020, was as follows (in thousands).</w:t>
      </w:r>
    </w:p>
    <w:p>
      <w:pPr>
        <w:spacing w:after="0" w:line="138" w:lineRule="exact"/>
        <w:rPr>
          <w:sz w:val="20"/>
          <w:szCs w:val="20"/>
          <w:color w:val="auto"/>
        </w:rPr>
      </w:pPr>
    </w:p>
    <w:tbl>
      <w:tblPr>
        <w:tblLayout w:type="fixed"/>
        <w:tblInd w:w="860" w:type="dxa"/>
        <w:tblCellMar>
          <w:top w:w="0" w:type="dxa"/>
          <w:left w:w="0" w:type="dxa"/>
          <w:bottom w:w="0" w:type="dxa"/>
          <w:right w:w="0" w:type="dxa"/>
        </w:tblCellMar>
      </w:tblPr>
      <w:tr>
        <w:trPr>
          <w:trHeight w:val="41"/>
        </w:trPr>
        <w:tc>
          <w:tcPr>
            <w:tcW w:w="380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3"/>
              </w:rPr>
              <w:t>Predecessor</w:t>
            </w:r>
          </w:p>
        </w:tc>
        <w:tc>
          <w:tcPr>
            <w:tcW w:w="2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380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8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Company</w:t>
            </w:r>
          </w:p>
        </w:tc>
        <w:tc>
          <w:tcPr>
            <w:tcW w:w="20" w:type="dxa"/>
            <w:vAlign w:val="bottom"/>
            <w:shd w:val="clear" w:color="auto" w:fill="000000"/>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5"/>
          </w:tcPr>
          <w:p>
            <w:pPr>
              <w:ind w:left="20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rPr>
                <w:sz w:val="1"/>
                <w:szCs w:val="1"/>
                <w:color w:val="auto"/>
              </w:rPr>
            </w:pPr>
          </w:p>
        </w:tc>
      </w:tr>
      <w:tr>
        <w:trPr>
          <w:trHeight w:val="114"/>
        </w:trPr>
        <w:tc>
          <w:tcPr>
            <w:tcW w:w="38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center"/>
              <w:ind w:right="18"/>
              <w:spacing w:after="0" w:line="114" w:lineRule="exact"/>
              <w:rPr>
                <w:sz w:val="20"/>
                <w:szCs w:val="20"/>
                <w:color w:val="auto"/>
              </w:rPr>
            </w:pPr>
            <w:r>
              <w:rPr>
                <w:rFonts w:ascii="Arial" w:cs="Arial" w:eastAsia="Arial" w:hAnsi="Arial"/>
                <w:sz w:val="12"/>
                <w:szCs w:val="12"/>
                <w:color w:val="auto"/>
              </w:rPr>
              <w:t>Carrying</w:t>
            </w:r>
          </w:p>
        </w:tc>
        <w:tc>
          <w:tcPr>
            <w:tcW w:w="2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ind w:right="177"/>
              <w:spacing w:after="0" w:line="114" w:lineRule="exact"/>
              <w:rPr>
                <w:sz w:val="20"/>
                <w:szCs w:val="20"/>
                <w:color w:val="auto"/>
              </w:rPr>
            </w:pPr>
            <w:r>
              <w:rPr>
                <w:rFonts w:ascii="Arial" w:cs="Arial" w:eastAsia="Arial" w:hAnsi="Arial"/>
                <w:sz w:val="12"/>
                <w:szCs w:val="12"/>
                <w:color w:val="auto"/>
              </w:rPr>
              <w:t>Final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380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020" w:type="dxa"/>
            <w:vAlign w:val="bottom"/>
            <w:gridSpan w:val="3"/>
          </w:tcPr>
          <w:p>
            <w:pPr>
              <w:jc w:val="center"/>
              <w:ind w:right="280"/>
              <w:spacing w:after="0" w:line="140" w:lineRule="exact"/>
              <w:rPr>
                <w:sz w:val="20"/>
                <w:szCs w:val="20"/>
                <w:color w:val="auto"/>
              </w:rPr>
            </w:pPr>
            <w:r>
              <w:rPr>
                <w:rFonts w:ascii="Arial" w:cs="Arial" w:eastAsia="Arial" w:hAnsi="Arial"/>
                <w:sz w:val="14"/>
                <w:szCs w:val="14"/>
                <w:color w:val="auto"/>
                <w:w w:val="85"/>
              </w:rPr>
              <w:t>Values as of</w:t>
            </w:r>
          </w:p>
        </w:tc>
        <w:tc>
          <w:tcPr>
            <w:tcW w:w="20" w:type="dxa"/>
            <w:vAlign w:val="bottom"/>
            <w:shd w:val="clear" w:color="auto" w:fill="000000"/>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0" w:lineRule="exact"/>
              <w:rPr>
                <w:sz w:val="20"/>
                <w:szCs w:val="20"/>
                <w:color w:val="auto"/>
              </w:rPr>
            </w:pPr>
            <w:r>
              <w:rPr>
                <w:rFonts w:ascii="Arial" w:cs="Arial" w:eastAsia="Arial" w:hAnsi="Arial"/>
                <w:sz w:val="14"/>
                <w:szCs w:val="14"/>
                <w:color w:val="auto"/>
                <w:w w:val="87"/>
              </w:rPr>
              <w:t>Fair Value</w:t>
            </w:r>
          </w:p>
        </w:tc>
        <w:tc>
          <w:tcPr>
            <w:tcW w:w="88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Allocations</w:t>
            </w:r>
          </w:p>
        </w:tc>
        <w:tc>
          <w:tcPr>
            <w:tcW w:w="0" w:type="dxa"/>
            <w:vAlign w:val="bottom"/>
          </w:tcPr>
          <w:p>
            <w:pPr>
              <w:spacing w:after="0"/>
              <w:rPr>
                <w:sz w:val="1"/>
                <w:szCs w:val="1"/>
                <w:color w:val="auto"/>
              </w:rPr>
            </w:pPr>
          </w:p>
        </w:tc>
      </w:tr>
      <w:tr>
        <w:trPr>
          <w:trHeight w:val="158"/>
        </w:trPr>
        <w:tc>
          <w:tcPr>
            <w:tcW w:w="38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020" w:type="dxa"/>
            <w:vAlign w:val="bottom"/>
            <w:gridSpan w:val="3"/>
          </w:tcPr>
          <w:p>
            <w:pPr>
              <w:jc w:val="center"/>
              <w:ind w:right="280"/>
              <w:spacing w:after="0" w:line="158" w:lineRule="exact"/>
              <w:rPr>
                <w:sz w:val="20"/>
                <w:szCs w:val="20"/>
                <w:color w:val="auto"/>
              </w:rPr>
            </w:pPr>
            <w:r>
              <w:rPr>
                <w:rFonts w:ascii="Arial" w:cs="Arial" w:eastAsia="Arial" w:hAnsi="Arial"/>
                <w:sz w:val="14"/>
                <w:szCs w:val="14"/>
                <w:color w:val="auto"/>
                <w:w w:val="88"/>
              </w:rPr>
              <w:t>July 15, 2019</w:t>
            </w:r>
          </w:p>
        </w:tc>
        <w:tc>
          <w:tcPr>
            <w:tcW w:w="20" w:type="dxa"/>
            <w:vAlign w:val="bottom"/>
            <w:shd w:val="clear" w:color="auto" w:fill="000000"/>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right"/>
              <w:ind w:right="240"/>
              <w:spacing w:after="0" w:line="158" w:lineRule="exact"/>
              <w:rPr>
                <w:sz w:val="20"/>
                <w:szCs w:val="20"/>
                <w:color w:val="auto"/>
              </w:rPr>
            </w:pPr>
            <w:r>
              <w:rPr>
                <w:rFonts w:ascii="Arial" w:cs="Arial" w:eastAsia="Arial" w:hAnsi="Arial"/>
                <w:sz w:val="14"/>
                <w:szCs w:val="14"/>
                <w:color w:val="auto"/>
                <w:w w:val="93"/>
              </w:rPr>
              <w:t>Adjustments</w:t>
            </w:r>
          </w:p>
        </w:tc>
        <w:tc>
          <w:tcPr>
            <w:tcW w:w="880" w:type="dxa"/>
            <w:vAlign w:val="bottom"/>
            <w:gridSpan w:val="3"/>
          </w:tcPr>
          <w:p>
            <w:pPr>
              <w:ind w:left="20"/>
              <w:spacing w:after="0" w:line="158" w:lineRule="exact"/>
              <w:rPr>
                <w:sz w:val="20"/>
                <w:szCs w:val="20"/>
                <w:color w:val="auto"/>
              </w:rPr>
            </w:pPr>
            <w:r>
              <w:rPr>
                <w:rFonts w:ascii="Arial" w:cs="Arial" w:eastAsia="Arial" w:hAnsi="Arial"/>
                <w:sz w:val="14"/>
                <w:szCs w:val="14"/>
                <w:color w:val="auto"/>
              </w:rPr>
              <w:t>July 16, 2019</w:t>
            </w: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w:t>
            </w:r>
          </w:p>
        </w:tc>
        <w:tc>
          <w:tcPr>
            <w:tcW w:w="2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Accounts receivable</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12,747</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12,747</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Deferred contract costs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5,735</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(5,735)</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1,539</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150</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1,689</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49</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2,201</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19,108</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456,292</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475,400</w:t>
            </w:r>
          </w:p>
        </w:tc>
        <w:tc>
          <w:tcPr>
            <w:tcW w:w="0" w:type="dxa"/>
            <w:vAlign w:val="bottom"/>
          </w:tcPr>
          <w:p>
            <w:pPr>
              <w:spacing w:after="0"/>
              <w:rPr>
                <w:sz w:val="1"/>
                <w:szCs w:val="1"/>
                <w:color w:val="auto"/>
              </w:rPr>
            </w:pPr>
          </w:p>
        </w:tc>
      </w:tr>
      <w:tr>
        <w:trPr>
          <w:trHeight w:val="204"/>
        </w:trPr>
        <w:tc>
          <w:tcPr>
            <w:tcW w:w="380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(5,477)</w:t>
            </w:r>
          </w:p>
        </w:tc>
        <w:tc>
          <w:tcPr>
            <w:tcW w:w="20" w:type="dxa"/>
            <w:vAlign w:val="bottom"/>
            <w:shd w:val="clear" w:color="auto" w:fill="000000"/>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684</w:t>
            </w:r>
          </w:p>
        </w:tc>
        <w:tc>
          <w:tcPr>
            <w:tcW w:w="8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7"/>
                <w:szCs w:val="17"/>
                <w:color w:val="auto"/>
              </w:rPr>
              <w:t>(4,793)</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(38,278)</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6,278</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(32,000)</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7"/>
                <w:szCs w:val="17"/>
                <w:color w:val="auto"/>
              </w:rPr>
              <w:t>Total assets acquired and liabilities assumed</w:t>
            </w:r>
          </w:p>
        </w:tc>
        <w:tc>
          <w:tcPr>
            <w:tcW w:w="26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0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14,682</w:t>
            </w:r>
          </w:p>
        </w:tc>
        <w:tc>
          <w:tcPr>
            <w:tcW w:w="2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457,669</w:t>
            </w: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472,351</w:t>
            </w:r>
          </w:p>
        </w:tc>
        <w:tc>
          <w:tcPr>
            <w:tcW w:w="0" w:type="dxa"/>
            <w:vAlign w:val="bottom"/>
          </w:tcPr>
          <w:p>
            <w:pPr>
              <w:spacing w:after="0"/>
              <w:rPr>
                <w:sz w:val="1"/>
                <w:szCs w:val="1"/>
                <w:color w:val="auto"/>
              </w:rPr>
            </w:pPr>
          </w:p>
        </w:tc>
      </w:tr>
      <w:tr>
        <w:trPr>
          <w:trHeight w:val="20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82,767</w:t>
            </w:r>
          </w:p>
        </w:tc>
        <w:tc>
          <w:tcPr>
            <w:tcW w:w="20" w:type="dxa"/>
            <w:vAlign w:val="bottom"/>
            <w:shd w:val="clear" w:color="auto" w:fill="000000"/>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7"/>
              </w:rPr>
              <w:t>1,144,494</w:t>
            </w: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1,227,261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800" w:type="dxa"/>
            <w:vAlign w:val="bottom"/>
          </w:tcPr>
          <w:p>
            <w:pPr>
              <w:spacing w:after="0"/>
              <w:rPr>
                <w:sz w:val="20"/>
                <w:szCs w:val="20"/>
                <w:color w:val="auto"/>
              </w:rPr>
            </w:pPr>
            <w:r>
              <w:rPr>
                <w:rFonts w:ascii="Arial" w:cs="Arial" w:eastAsia="Arial" w:hAnsi="Arial"/>
                <w:sz w:val="17"/>
                <w:szCs w:val="17"/>
                <w:color w:val="auto"/>
              </w:rPr>
              <w:t>Total purchase price</w:t>
            </w:r>
          </w:p>
        </w:tc>
        <w:tc>
          <w:tcPr>
            <w:tcW w:w="26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1,699,612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700" w:type="dxa"/>
            <w:vAlign w:val="bottom"/>
            <w:gridSpan w:val="2"/>
            <w:vMerge w:val="restart"/>
          </w:tcPr>
          <w:p>
            <w:pPr>
              <w:jc w:val="right"/>
              <w:ind w:right="1511"/>
              <w:spacing w:after="0"/>
              <w:rPr>
                <w:sz w:val="20"/>
                <w:szCs w:val="20"/>
                <w:color w:val="auto"/>
              </w:rPr>
            </w:pPr>
            <w:r>
              <w:rPr>
                <w:rFonts w:ascii="Arial" w:cs="Arial" w:eastAsia="Arial" w:hAnsi="Arial"/>
                <w:sz w:val="17"/>
                <w:szCs w:val="17"/>
                <w:color w:val="auto"/>
              </w:rPr>
              <w:t>F-27</w:t>
            </w: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800" w:type="dxa"/>
            <w:vAlign w:val="bottom"/>
          </w:tcPr>
          <w:p>
            <w:pPr>
              <w:spacing w:after="0"/>
              <w:rPr>
                <w:sz w:val="24"/>
                <w:szCs w:val="24"/>
                <w:color w:val="auto"/>
              </w:rPr>
            </w:pPr>
          </w:p>
        </w:tc>
        <w:tc>
          <w:tcPr>
            <w:tcW w:w="27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2" w:right="779" w:bottom="1440" w:gutter="0" w:footer="0" w:header="0"/>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firstLine="415"/>
        <w:spacing w:after="0" w:line="312" w:lineRule="auto"/>
        <w:rPr>
          <w:sz w:val="20"/>
          <w:szCs w:val="20"/>
          <w:color w:val="auto"/>
        </w:rPr>
      </w:pPr>
      <w:r>
        <w:rPr>
          <w:rFonts w:ascii="Arial" w:cs="Arial" w:eastAsia="Arial" w:hAnsi="Arial"/>
          <w:sz w:val="15"/>
          <w:szCs w:val="15"/>
          <w:color w:val="auto"/>
        </w:rPr>
        <w:t>The adjustments set forth in the following consolidated balance sheet as of July 15, 2019, reflect the effect of the Debt Financing and Finance Merger (reflected in the column “Debt Financing / Finance Merger”), and the fair value adjustments to assets acquired and liabilities assumed, as a result of the purchase accounting, in connection with the Definitive Holdco Acquisition (reflected in the column “Fair Value Adjustments”) (in thousands):</w:t>
      </w:r>
    </w:p>
    <w:p>
      <w:pPr>
        <w:spacing w:after="0" w:line="138"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6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Debt</w:t>
            </w: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960" w:type="dxa"/>
            <w:vAlign w:val="bottom"/>
            <w:tcBorders>
              <w:right w:val="single" w:sz="8" w:color="auto"/>
            </w:tcBorders>
            <w:gridSpan w:val="3"/>
          </w:tcPr>
          <w:p>
            <w:pPr>
              <w:ind w:left="20"/>
              <w:spacing w:after="0" w:line="140" w:lineRule="exact"/>
              <w:rPr>
                <w:sz w:val="20"/>
                <w:szCs w:val="20"/>
                <w:color w:val="auto"/>
              </w:rPr>
            </w:pPr>
            <w:r>
              <w:rPr>
                <w:rFonts w:ascii="Arial" w:cs="Arial" w:eastAsia="Arial" w:hAnsi="Arial"/>
                <w:sz w:val="14"/>
                <w:szCs w:val="14"/>
                <w:b w:val="1"/>
                <w:bCs w:val="1"/>
                <w:color w:val="auto"/>
              </w:rPr>
              <w:t>Predecessor</w:t>
            </w:r>
          </w:p>
        </w:tc>
        <w:tc>
          <w:tcPr>
            <w:tcW w:w="260" w:type="dxa"/>
            <w:vAlign w:val="bottom"/>
          </w:tcPr>
          <w:p>
            <w:pPr>
              <w:spacing w:after="0"/>
              <w:rPr>
                <w:sz w:val="12"/>
                <w:szCs w:val="12"/>
                <w:color w:val="auto"/>
              </w:rPr>
            </w:pPr>
          </w:p>
        </w:tc>
        <w:tc>
          <w:tcPr>
            <w:tcW w:w="840" w:type="dxa"/>
            <w:vAlign w:val="bottom"/>
            <w:gridSpan w:val="3"/>
          </w:tcPr>
          <w:p>
            <w:pPr>
              <w:jc w:val="center"/>
              <w:ind w:right="140"/>
              <w:spacing w:after="0" w:line="140" w:lineRule="exact"/>
              <w:rPr>
                <w:sz w:val="20"/>
                <w:szCs w:val="20"/>
                <w:color w:val="auto"/>
              </w:rPr>
            </w:pPr>
            <w:r>
              <w:rPr>
                <w:rFonts w:ascii="Arial" w:cs="Arial" w:eastAsia="Arial" w:hAnsi="Arial"/>
                <w:sz w:val="14"/>
                <w:szCs w:val="14"/>
                <w:b w:val="1"/>
                <w:bCs w:val="1"/>
                <w:color w:val="auto"/>
                <w:w w:val="87"/>
              </w:rPr>
              <w:t>Financing</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right w:val="single" w:sz="8" w:color="auto"/>
            </w:tcBorders>
            <w:gridSpan w:val="2"/>
          </w:tcPr>
          <w:p>
            <w:pPr>
              <w:jc w:val="right"/>
              <w:ind w:right="380"/>
              <w:spacing w:after="0" w:line="140" w:lineRule="exact"/>
              <w:rPr>
                <w:sz w:val="20"/>
                <w:szCs w:val="20"/>
                <w:color w:val="auto"/>
              </w:rPr>
            </w:pPr>
            <w:r>
              <w:rPr>
                <w:rFonts w:ascii="Arial" w:cs="Arial" w:eastAsia="Arial" w:hAnsi="Arial"/>
                <w:sz w:val="14"/>
                <w:szCs w:val="14"/>
                <w:b w:val="1"/>
                <w:bCs w:val="1"/>
                <w:color w:val="auto"/>
                <w:w w:val="85"/>
              </w:rPr>
              <w:t>July 15,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20"/>
              <w:spacing w:after="0" w:line="140" w:lineRule="exact"/>
              <w:rPr>
                <w:sz w:val="20"/>
                <w:szCs w:val="20"/>
                <w:color w:val="auto"/>
              </w:rPr>
            </w:pPr>
            <w:r>
              <w:rPr>
                <w:rFonts w:ascii="Arial" w:cs="Arial" w:eastAsia="Arial" w:hAnsi="Arial"/>
                <w:sz w:val="14"/>
                <w:szCs w:val="14"/>
                <w:b w:val="1"/>
                <w:bCs w:val="1"/>
                <w:color w:val="auto"/>
                <w:w w:val="82"/>
              </w:rPr>
              <w:t>/ Finance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60"/>
              <w:spacing w:after="0" w:line="140" w:lineRule="exact"/>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2"/>
                <w:szCs w:val="12"/>
                <w:color w:val="auto"/>
              </w:rPr>
            </w:pPr>
          </w:p>
        </w:tc>
        <w:tc>
          <w:tcPr>
            <w:tcW w:w="740" w:type="dxa"/>
            <w:vAlign w:val="bottom"/>
            <w:gridSpan w:val="2"/>
          </w:tcPr>
          <w:p>
            <w:pPr>
              <w:jc w:val="right"/>
              <w:ind w:right="160"/>
              <w:spacing w:after="0" w:line="140" w:lineRule="exact"/>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Merger</w:t>
            </w:r>
          </w:p>
        </w:tc>
        <w:tc>
          <w:tcPr>
            <w:tcW w:w="60" w:type="dxa"/>
            <w:vAlign w:val="bottom"/>
          </w:tcPr>
          <w:p>
            <w:pPr>
              <w:spacing w:after="0"/>
              <w:rPr>
                <w:sz w:val="13"/>
                <w:szCs w:val="13"/>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July 16,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w w:val="84"/>
              </w:rPr>
              <w:t>17,058</w:t>
            </w: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17,058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Accounts receivable</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12,747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12,747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1,539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1,705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5,735</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(5,735)</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2,201</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2,201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Intangible assets</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19,108</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rPr>
              <w:t>456,292</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475,400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82,767</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1,144,494</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1,227,261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Other assets</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49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14,589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14,638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141,204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14,605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1,595,201</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1,751,010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7"/>
                <w:szCs w:val="17"/>
                <w:color w:val="auto"/>
              </w:rPr>
              <w:t>Accounts payable and accrued expenses</w:t>
            </w: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60" w:type="dxa"/>
            <w:vAlign w:val="bottom"/>
            <w:gridSpan w:val="2"/>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5,477</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10,407</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(684)</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15,200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38,278</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(6,278)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32,000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Term Loan</w:t>
            </w:r>
          </w:p>
        </w:tc>
        <w:tc>
          <w:tcPr>
            <w:tcW w:w="120" w:type="dxa"/>
            <w:vAlign w:val="bottom"/>
          </w:tcPr>
          <w:p>
            <w:pPr>
              <w:spacing w:after="0"/>
              <w:rPr>
                <w:sz w:val="17"/>
                <w:szCs w:val="17"/>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4"/>
              </w:rPr>
              <w:t>436,553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436,553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43,755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4"/>
              </w:rPr>
              <w:t>446,960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(6,962)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483,753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20"/>
                <w:szCs w:val="20"/>
                <w:color w:val="auto"/>
              </w:rPr>
            </w:pPr>
            <w:r>
              <w:rPr>
                <w:rFonts w:ascii="Arial" w:cs="Arial" w:eastAsia="Arial" w:hAnsi="Arial"/>
                <w:sz w:val="17"/>
                <w:szCs w:val="17"/>
                <w:color w:val="auto"/>
              </w:rPr>
              <w:t>Members’ Capital</w:t>
            </w:r>
          </w:p>
        </w:tc>
        <w:tc>
          <w:tcPr>
            <w:tcW w:w="120" w:type="dxa"/>
            <w:vAlign w:val="bottom"/>
          </w:tcPr>
          <w:p>
            <w:pPr>
              <w:spacing w:after="0"/>
              <w:rPr>
                <w:sz w:val="17"/>
                <w:szCs w:val="17"/>
                <w:color w:val="auto"/>
              </w:rPr>
            </w:pPr>
          </w:p>
        </w:tc>
        <w:tc>
          <w:tcPr>
            <w:tcW w:w="8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7"/>
                <w:szCs w:val="17"/>
                <w:color w:val="auto"/>
              </w:rPr>
              <w:t>97,449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w w:val="87"/>
              </w:rPr>
              <w:t>(432,355)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auto"/>
                <w:w w:val="89"/>
              </w:rPr>
              <w:t>1,602,163</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1,267,257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equity</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1"/>
              </w:rPr>
              <w:t>141,204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14,605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9"/>
              </w:rPr>
              <w:t>1,595,201</w:t>
            </w:r>
          </w:p>
        </w:tc>
        <w:tc>
          <w:tcPr>
            <w:tcW w:w="100" w:type="dxa"/>
            <w:vAlign w:val="bottom"/>
            <w:shd w:val="clear" w:color="auto" w:fill="CCEEFF"/>
          </w:tcPr>
          <w:p>
            <w:pPr>
              <w:spacing w:after="0"/>
              <w:rPr>
                <w:sz w:val="20"/>
                <w:szCs w:val="20"/>
                <w:color w:val="auto"/>
              </w:rPr>
            </w:pPr>
            <w:r>
              <w:rPr>
                <w:rFonts w:ascii="Arial" w:cs="Arial" w:eastAsia="Arial" w:hAnsi="Arial"/>
                <w:sz w:val="17"/>
                <w:szCs w:val="17"/>
                <w:u w:val="single" w:color="auto"/>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1,751,010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Company recorded adjustments to goodwill of $1,144.5 million, and intangible assets of $456.3 million, as of the acquisition date of July 16, 2019, including adjustments to customer relationships, technology, tradenames and data of $340.8 million, $48.5 million, $32.7 million and $34.3 million, respectively.</w:t>
      </w:r>
    </w:p>
    <w:p>
      <w:pPr>
        <w:spacing w:after="0" w:line="176" w:lineRule="exact"/>
        <w:rPr>
          <w:sz w:val="20"/>
          <w:szCs w:val="20"/>
          <w:color w:val="auto"/>
        </w:rPr>
      </w:pPr>
    </w:p>
    <w:p>
      <w:pPr>
        <w:ind w:left="440" w:right="180" w:firstLine="415"/>
        <w:spacing w:after="0" w:line="261" w:lineRule="auto"/>
        <w:rPr>
          <w:sz w:val="20"/>
          <w:szCs w:val="20"/>
          <w:color w:val="auto"/>
        </w:rPr>
      </w:pPr>
      <w:r>
        <w:rPr>
          <w:rFonts w:ascii="Arial" w:cs="Arial" w:eastAsia="Arial" w:hAnsi="Arial"/>
          <w:sz w:val="17"/>
          <w:szCs w:val="17"/>
          <w:color w:val="auto"/>
        </w:rPr>
        <w:t>The goodwill recognized includes the fair value of the assembled workforce, which is not recognized as an intangible asset separable from goodwill, and any expected synergies gained through the acquisition. The Company determined that the goodwill resulting from the acquisition was in part deductible for tax purposes.</w:t>
      </w:r>
    </w:p>
    <w:p>
      <w:pPr>
        <w:spacing w:after="0" w:line="176" w:lineRule="exact"/>
        <w:rPr>
          <w:sz w:val="20"/>
          <w:szCs w:val="20"/>
          <w:color w:val="auto"/>
        </w:rPr>
      </w:pPr>
    </w:p>
    <w:p>
      <w:pPr>
        <w:jc w:val="both"/>
        <w:ind w:left="440" w:right="300" w:firstLine="415"/>
        <w:spacing w:after="0" w:line="261" w:lineRule="auto"/>
        <w:rPr>
          <w:sz w:val="20"/>
          <w:szCs w:val="20"/>
          <w:color w:val="auto"/>
        </w:rPr>
      </w:pPr>
      <w:r>
        <w:rPr>
          <w:rFonts w:ascii="Arial" w:cs="Arial" w:eastAsia="Arial" w:hAnsi="Arial"/>
          <w:sz w:val="17"/>
          <w:szCs w:val="17"/>
          <w:color w:val="auto"/>
        </w:rPr>
        <w:t>The Company performed an ASC 805 fair valuation of the acquired identifiable intangible assets as of July 16, 2019. Key assumptions used to determine such fair values included growth rates, retention/attrition, research and development expenses, operating expenses, selling and marketing expenses, tax rates, royalty rates, obsolescence, utilization factors and others.</w:t>
      </w:r>
    </w:p>
    <w:p>
      <w:pPr>
        <w:spacing w:after="0" w:line="176"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Company’s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$358.0 million and is amortized using the annual pattern of cash flows (economic value method) over the estimated 15-year life of this asset.</w:t>
      </w:r>
    </w:p>
    <w:p>
      <w:pPr>
        <w:spacing w:after="0" w:line="183"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The technology recognized includes Definitive’s existing technology, which provides users access to in-depth and interactive analytics of high quality and up-to-date healthcare data through an online platform, and provides for user customization as well as watchlist functionality, advanced search functionality and integration with customer’s other internal and external systems. The Company used the income approach, specifically the relief-from-royalty method, to determine the value of technology, which was valued at $48.5 million and is amortized using the straight-line method over the estimated remaining useful life of 10 years.</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0820"/>
          </w:cols>
          <w:pgMar w:left="320" w:top="442" w:right="75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Tradenames includes the estimated fair value of the acquired registered trademarks, logo and domain names associated with the Definitive Healthcare corporate brand. The Company estimated the fair value of the trademark using a relief from royalty method. Significant assumptions include forecast of royalty rate, company revenues, tax rate, and discount rate. The trademark was valued at $34.1 million and is amortized using the straight-line method over the estimated remaining useful life of 22 years.</w:t>
      </w:r>
    </w:p>
    <w:p>
      <w:pPr>
        <w:spacing w:after="0" w:line="18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Data includes proprietary data and insights on healthcare providers, including coverage of providers across the healthcare ecosystem from hospitals to physician groups to ambulatory surgery centers and accountable care organizations. The Company used the cost approach, specifically the replacement cost method to value the data. The Fair Value of the Data was estimated to be $34.8 million and is amortized using the straight-line method over the estimated remaining useful live of 3 years.</w:t>
      </w:r>
    </w:p>
    <w:p>
      <w:pPr>
        <w:spacing w:after="0" w:line="180" w:lineRule="exact"/>
        <w:rPr>
          <w:sz w:val="20"/>
          <w:szCs w:val="20"/>
          <w:color w:val="auto"/>
        </w:rPr>
      </w:pPr>
    </w:p>
    <w:p>
      <w:pPr>
        <w:ind w:left="440" w:right="320" w:firstLine="415"/>
        <w:spacing w:after="0" w:line="273" w:lineRule="auto"/>
        <w:rPr>
          <w:sz w:val="20"/>
          <w:szCs w:val="20"/>
          <w:color w:val="auto"/>
        </w:rPr>
      </w:pPr>
      <w:r>
        <w:rPr>
          <w:rFonts w:ascii="Arial" w:cs="Arial" w:eastAsia="Arial" w:hAnsi="Arial"/>
          <w:sz w:val="17"/>
          <w:szCs w:val="17"/>
          <w:color w:val="auto"/>
        </w:rPr>
        <w:t>The fair value of deferred revenue was estimated at $32.0 million, using the income approach, specifically the cost build-up method, and was calculated as the estimated cost for the Company to fulfill the contractual obligations plus a normal profit margin.</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following table reconciles the purchase price to the capital contribution made by Sponsor as July 16, 2019 (in thousands):</w:t>
      </w:r>
    </w:p>
    <w:p>
      <w:pPr>
        <w:spacing w:after="0" w:line="249"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Total 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1,699,612</w:t>
            </w:r>
          </w:p>
        </w:tc>
        <w:tc>
          <w:tcPr>
            <w:tcW w:w="60" w:type="dxa"/>
            <w:vAlign w:val="bottom"/>
            <w:shd w:val="clear" w:color="auto" w:fill="CCEEFF"/>
          </w:tcPr>
          <w:p>
            <w:pPr>
              <w:spacing w:after="0"/>
              <w:rPr>
                <w:sz w:val="17"/>
                <w:szCs w:val="17"/>
                <w:color w:val="auto"/>
              </w:rPr>
            </w:pPr>
          </w:p>
        </w:tc>
      </w:tr>
      <w:tr>
        <w:trPr>
          <w:trHeight w:val="204"/>
        </w:trPr>
        <w:tc>
          <w:tcPr>
            <w:tcW w:w="6120" w:type="dxa"/>
            <w:vAlign w:val="bottom"/>
          </w:tcPr>
          <w:p>
            <w:pPr>
              <w:spacing w:after="0"/>
              <w:rPr>
                <w:sz w:val="20"/>
                <w:szCs w:val="20"/>
                <w:color w:val="auto"/>
              </w:rPr>
            </w:pPr>
            <w:r>
              <w:rPr>
                <w:rFonts w:ascii="Arial" w:cs="Arial" w:eastAsia="Arial" w:hAnsi="Arial"/>
                <w:sz w:val="17"/>
                <w:szCs w:val="17"/>
                <w:color w:val="auto"/>
              </w:rPr>
              <w:t>Transaction costs paid from proceeds</w:t>
            </w: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4,004</w:t>
            </w:r>
          </w:p>
        </w:tc>
      </w:tr>
      <w:tr>
        <w:trPr>
          <w:trHeight w:val="204"/>
        </w:trPr>
        <w:tc>
          <w:tcPr>
            <w:tcW w:w="61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Debt Financing</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436,359</w:t>
            </w:r>
          </w:p>
        </w:tc>
      </w:tr>
      <w:tr>
        <w:trPr>
          <w:trHeight w:val="209"/>
        </w:trPr>
        <w:tc>
          <w:tcPr>
            <w:tcW w:w="6120" w:type="dxa"/>
            <w:vAlign w:val="bottom"/>
          </w:tcPr>
          <w:p>
            <w:pPr>
              <w:ind w:left="680"/>
              <w:spacing w:after="0"/>
              <w:rPr>
                <w:sz w:val="20"/>
                <w:szCs w:val="20"/>
                <w:color w:val="auto"/>
              </w:rPr>
            </w:pPr>
            <w:r>
              <w:rPr>
                <w:rFonts w:ascii="Arial" w:cs="Arial" w:eastAsia="Arial" w:hAnsi="Arial"/>
                <w:sz w:val="17"/>
                <w:szCs w:val="17"/>
                <w:color w:val="auto"/>
              </w:rPr>
              <w:t>Capital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2"/>
              </w:rPr>
              <w:t>1,267,257</w:t>
            </w:r>
          </w:p>
        </w:tc>
        <w:tc>
          <w:tcPr>
            <w:tcW w:w="60" w:type="dxa"/>
            <w:vAlign w:val="bottom"/>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left="440" w:right="420" w:firstLine="415"/>
        <w:spacing w:after="0" w:line="288" w:lineRule="auto"/>
        <w:rPr>
          <w:sz w:val="20"/>
          <w:szCs w:val="20"/>
          <w:color w:val="auto"/>
        </w:rPr>
      </w:pPr>
      <w:r>
        <w:rPr>
          <w:rFonts w:ascii="Arial" w:cs="Arial" w:eastAsia="Arial" w:hAnsi="Arial"/>
          <w:sz w:val="15"/>
          <w:szCs w:val="15"/>
          <w:color w:val="auto"/>
        </w:rPr>
        <w:t>The results of Definitive Holdco are included in the Company’s consolidated results since the date of acquisition. The revenue of Definitive Holdco reflected in the consolidated statements of income (loss) for the year ended December 31, 2020 (Successor), period from July 16, 2019 to December 31, 2019 (Successor) and the period from January 1, 2019 to July 15, 2019 (Predecessor) was $116.9 million, $40.0 million and</w:t>
      </w:r>
    </w:p>
    <w:p>
      <w:pPr>
        <w:spacing w:after="0" w:line="1" w:lineRule="exact"/>
        <w:rPr>
          <w:sz w:val="20"/>
          <w:szCs w:val="20"/>
          <w:color w:val="auto"/>
        </w:rPr>
      </w:pPr>
    </w:p>
    <w:p>
      <w:pPr>
        <w:jc w:val="both"/>
        <w:ind w:left="440" w:right="260"/>
        <w:spacing w:after="0" w:line="254" w:lineRule="auto"/>
        <w:rPr>
          <w:sz w:val="20"/>
          <w:szCs w:val="20"/>
          <w:color w:val="auto"/>
        </w:rPr>
      </w:pPr>
      <w:r>
        <w:rPr>
          <w:rFonts w:ascii="Arial" w:cs="Arial" w:eastAsia="Arial" w:hAnsi="Arial"/>
          <w:sz w:val="17"/>
          <w:szCs w:val="17"/>
          <w:color w:val="auto"/>
        </w:rPr>
        <w:t>$45.5 million, respectively. The net (loss) income of Definitive Holdco, reflected in the consolidated statements of income (loss) for the year ended December 31, 2020 (Successor), period from July 16, 2019 to December 31, 2019 (Successor) and the period from January 1, 2019 to July 15, 2019 (Predecessor) was ($49.9 million), ($49.2 million) and $12.9 million, respectively.</w:t>
      </w:r>
    </w:p>
    <w:p>
      <w:pPr>
        <w:spacing w:after="0" w:line="18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Unaudited Pro Forma Supplementary Data</w:t>
      </w:r>
    </w:p>
    <w:p>
      <w:pPr>
        <w:spacing w:after="0" w:line="210"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color w:val="auto"/>
                <w:w w:val="91"/>
              </w:rPr>
              <w:t>Year Ended</w:t>
            </w:r>
          </w:p>
        </w:tc>
      </w:tr>
      <w:tr>
        <w:trPr>
          <w:trHeight w:val="158"/>
        </w:trPr>
        <w:tc>
          <w:tcPr>
            <w:tcW w:w="5880" w:type="dxa"/>
            <w:vAlign w:val="bottom"/>
          </w:tcPr>
          <w:p>
            <w:pPr>
              <w:spacing w:after="0" w:line="158" w:lineRule="exact"/>
              <w:rPr>
                <w:sz w:val="20"/>
                <w:szCs w:val="20"/>
                <w:color w:val="auto"/>
              </w:rPr>
            </w:pPr>
            <w:r>
              <w:rPr>
                <w:rFonts w:ascii="Arial" w:cs="Arial" w:eastAsia="Arial" w:hAnsi="Arial"/>
                <w:sz w:val="14"/>
                <w:szCs w:val="14"/>
                <w:color w:val="auto"/>
              </w:rPr>
              <w:t>(in thousands)</w:t>
            </w:r>
          </w:p>
        </w:tc>
        <w:tc>
          <w:tcPr>
            <w:tcW w:w="1160" w:type="dxa"/>
            <w:vAlign w:val="bottom"/>
            <w:gridSpan w:val="3"/>
          </w:tcPr>
          <w:p>
            <w:pPr>
              <w:spacing w:after="0" w:line="158" w:lineRule="exact"/>
              <w:rPr>
                <w:sz w:val="20"/>
                <w:szCs w:val="20"/>
                <w:color w:val="auto"/>
              </w:rPr>
            </w:pPr>
            <w:r>
              <w:rPr>
                <w:rFonts w:ascii="Arial" w:cs="Arial" w:eastAsia="Arial" w:hAnsi="Arial"/>
                <w:sz w:val="14"/>
                <w:szCs w:val="14"/>
                <w:color w:val="auto"/>
                <w:w w:val="92"/>
              </w:rPr>
              <w:t>December 31, 2019</w:t>
            </w:r>
          </w:p>
        </w:tc>
      </w:tr>
      <w:tr>
        <w:trPr>
          <w:trHeight w:val="196"/>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84,122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5"/>
        </w:trPr>
        <w:tc>
          <w:tcPr>
            <w:tcW w:w="5880" w:type="dxa"/>
            <w:vAlign w:val="bottom"/>
          </w:tcPr>
          <w:p>
            <w:pPr>
              <w:spacing w:after="0"/>
              <w:rPr>
                <w:sz w:val="20"/>
                <w:szCs w:val="20"/>
                <w:color w:val="auto"/>
              </w:rPr>
            </w:pPr>
            <w:r>
              <w:rPr>
                <w:rFonts w:ascii="Arial" w:cs="Arial" w:eastAsia="Arial" w:hAnsi="Arial"/>
                <w:sz w:val="17"/>
                <w:szCs w:val="17"/>
                <w:color w:val="auto"/>
              </w:rPr>
              <w:t>Net loss</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(92,228)</w:t>
            </w:r>
          </w:p>
        </w:tc>
      </w:tr>
    </w:tbl>
    <w:p>
      <w:pPr>
        <w:spacing w:after="0" w:line="180"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6"/>
          <w:szCs w:val="16"/>
          <w:color w:val="auto"/>
        </w:rPr>
        <w:t>The unaudited pro forma supplementary data presented in the table above shows the effect of the Definitive Holdco acquisition, as if the transaction had occurred at the beginning of fiscal year 2019. The pro forma net loss for the year-ended December 31, 2019 includes interest expense related to incremental borrowings used to finance the transaction of $21.0 million, adjustments to amortization expense for the valuation of other intangible assets of $33.4 million and fair value adjustments for deferred revenue of $1.4 million.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7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HIMSS</w:t>
      </w:r>
    </w:p>
    <w:p>
      <w:pPr>
        <w:spacing w:after="0" w:line="110"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On January 15, 2019, the Predecessor Company acquired substantially all of the assets and assumed substantially all of the liabilities of HIMSS for a total purchase price of $29.8 million. The Company recognized</w:t>
      </w:r>
    </w:p>
    <w:p>
      <w:pPr>
        <w:spacing w:after="0" w:line="102"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F-29</w:t>
      </w:r>
    </w:p>
    <w:p>
      <w:pPr>
        <w:sectPr>
          <w:pgSz w:w="11900" w:h="16838" w:orient="portrait"/>
          <w:cols w:equalWidth="0" w:num="1">
            <w:col w:w="10740"/>
          </w:cols>
          <w:pgMar w:left="320" w:top="442" w:right="83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20"/>
        <w:spacing w:after="0" w:line="272" w:lineRule="auto"/>
        <w:rPr>
          <w:sz w:val="20"/>
          <w:szCs w:val="20"/>
          <w:color w:val="auto"/>
        </w:rPr>
      </w:pPr>
      <w:r>
        <w:rPr>
          <w:rFonts w:ascii="Arial" w:cs="Arial" w:eastAsia="Arial" w:hAnsi="Arial"/>
          <w:sz w:val="16"/>
          <w:szCs w:val="16"/>
          <w:color w:val="auto"/>
        </w:rPr>
        <w:t>goodwill of $19.1 million, intangible assets of $11.4 million, accounts receivable of $1.3 million, and deferred revenue of $2.0 million, in connection with the acquisition. The acquisition was made to increase the Company’s market footprint. The goodwill recognized consisted largely of the estimated value of the assembled workforce and anticipated growth opportunities. The fair value of acquired intangible assets was determined using certain variations of the income approach and market approach. The estimated fair value of deferred revenue was based upon the applicable guidance and was calculated as the estimated cost for the Company to fulfill the contractual obligations plus a normal profit margin. The Company has included the financial results of HIMSS in the consolidated financial statements from the date of acquisition, which were not material. The transaction costs associated with the acquisition were not material.</w:t>
      </w:r>
    </w:p>
    <w:p>
      <w:pPr>
        <w:spacing w:after="0" w:line="270"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HSE</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On December 2, 2019, the Company acquired 100% of the issued and outstanding common and preferred stock of HSE for a total purchase price of $6.8 million, consisting of $2.8 million of cash and $4.0 million of equity issued. The Company recognized goodwill of $5.9 million, intangible assets of $1.2 million, deferred tax assets of $0.2 million, accounts receivable of $0.1 million, accounts payable of $0.3 million and deferred revenue of</w:t>
      </w:r>
    </w:p>
    <w:p>
      <w:pPr>
        <w:spacing w:after="0" w:line="1" w:lineRule="exact"/>
        <w:rPr>
          <w:sz w:val="20"/>
          <w:szCs w:val="20"/>
          <w:color w:val="auto"/>
        </w:rPr>
      </w:pPr>
    </w:p>
    <w:p>
      <w:pPr>
        <w:ind w:left="440" w:right="60"/>
        <w:spacing w:after="0" w:line="269" w:lineRule="auto"/>
        <w:rPr>
          <w:sz w:val="20"/>
          <w:szCs w:val="20"/>
          <w:color w:val="auto"/>
        </w:rPr>
      </w:pPr>
      <w:r>
        <w:rPr>
          <w:rFonts w:ascii="Arial" w:cs="Arial" w:eastAsia="Arial" w:hAnsi="Arial"/>
          <w:sz w:val="16"/>
          <w:szCs w:val="16"/>
          <w:color w:val="auto"/>
        </w:rPr>
        <w:t>$0.3 million, in connection with the acquisition. The acquisition was made to increase the Company’s market footprint. The goodwill arising from the acquisition consists largely of the estimated value of the assembled workforce and anticipated growth opportunities. The fair value of acquired intangible assets was determined using certain variations of the income approach and market approach. The fair values of current assets and liabilities were based upon their historical costs at the date of acquisition due to their short-term nature. The estimated fair value of deferred revenue was based upon the applicable guidance and was calculated as the estimated cost for the Company to fulfill the contractual obligations plus a normal profit margin. The Company has included the financial results of HSE in the consolidated financial statements from the date of acquisition, which were not material. The transaction costs associated with the acquisition were not material.</w:t>
      </w:r>
    </w:p>
    <w:p>
      <w:pPr>
        <w:spacing w:after="0" w:line="313" w:lineRule="exact"/>
        <w:rPr>
          <w:sz w:val="20"/>
          <w:szCs w:val="20"/>
          <w:color w:val="auto"/>
        </w:rPr>
      </w:pPr>
    </w:p>
    <w:p>
      <w:pPr>
        <w:ind w:left="840" w:hanging="406"/>
        <w:spacing w:after="0"/>
        <w:tabs>
          <w:tab w:leader="none" w:pos="840" w:val="left"/>
        </w:tabs>
        <w:numPr>
          <w:ilvl w:val="0"/>
          <w:numId w:val="18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Revenue</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166" w:lineRule="exact"/>
        <w:rPr>
          <w:sz w:val="20"/>
          <w:szCs w:val="20"/>
          <w:color w:val="auto"/>
        </w:rPr>
      </w:pPr>
    </w:p>
    <w:p>
      <w:pPr>
        <w:ind w:left="440" w:right="100" w:firstLine="415"/>
        <w:spacing w:after="0" w:line="342" w:lineRule="auto"/>
        <w:rPr>
          <w:sz w:val="20"/>
          <w:szCs w:val="20"/>
          <w:color w:val="auto"/>
        </w:rPr>
      </w:pPr>
      <w:r>
        <w:rPr>
          <w:rFonts w:ascii="Arial" w:cs="Arial" w:eastAsia="Arial" w:hAnsi="Arial"/>
          <w:sz w:val="15"/>
          <w:szCs w:val="15"/>
          <w:color w:val="auto"/>
        </w:rPr>
        <w:t>The following table represents a disaggregation of revenue from arrangements with customers for the year ended December 31, 2020 (Successor) and the periods from July 16, 2019 to December 31, 2019 (Successor) and January 1, 2019 to July 15, 2019 (Predecessor) (in thousands).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right"/>
              <w:ind w:right="243"/>
              <w:spacing w:after="0"/>
              <w:rPr>
                <w:sz w:val="20"/>
                <w:szCs w:val="20"/>
                <w:color w:val="auto"/>
              </w:rPr>
            </w:pPr>
            <w:r>
              <w:rPr>
                <w:rFonts w:ascii="Arial" w:cs="Arial" w:eastAsia="Arial" w:hAnsi="Arial"/>
                <w:sz w:val="14"/>
                <w:szCs w:val="14"/>
                <w:b w:val="1"/>
                <w:bCs w:val="1"/>
                <w:color w:val="auto"/>
                <w:w w:val="93"/>
              </w:rPr>
              <w:t>Successor Company</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43"/>
              <w:spacing w:after="0" w:line="114" w:lineRule="exact"/>
              <w:rPr>
                <w:sz w:val="20"/>
                <w:szCs w:val="20"/>
                <w:color w:val="auto"/>
              </w:rPr>
            </w:pPr>
            <w:r>
              <w:rPr>
                <w:rFonts w:ascii="Arial" w:cs="Arial" w:eastAsia="Arial" w:hAnsi="Arial"/>
                <w:sz w:val="12"/>
                <w:szCs w:val="12"/>
                <w:color w:val="auto"/>
              </w:rPr>
              <w:t>Period from</w:t>
            </w:r>
          </w:p>
        </w:tc>
        <w:tc>
          <w:tcPr>
            <w:tcW w:w="2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7"/>
              <w:spacing w:after="0" w:line="114" w:lineRule="exact"/>
              <w:rPr>
                <w:sz w:val="20"/>
                <w:szCs w:val="20"/>
                <w:color w:val="auto"/>
              </w:rPr>
            </w:pPr>
            <w:r>
              <w:rPr>
                <w:rFonts w:ascii="Arial" w:cs="Arial" w:eastAsia="Arial" w:hAnsi="Arial"/>
                <w:sz w:val="12"/>
                <w:szCs w:val="12"/>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60" w:type="dxa"/>
            <w:vAlign w:val="bottom"/>
            <w:gridSpan w:val="2"/>
          </w:tcPr>
          <w:p>
            <w:pPr>
              <w:jc w:val="right"/>
              <w:ind w:right="2"/>
              <w:spacing w:after="0" w:line="140" w:lineRule="exact"/>
              <w:rPr>
                <w:sz w:val="20"/>
                <w:szCs w:val="20"/>
                <w:color w:val="auto"/>
              </w:rPr>
            </w:pPr>
            <w:r>
              <w:rPr>
                <w:rFonts w:ascii="Arial" w:cs="Arial" w:eastAsia="Arial" w:hAnsi="Arial"/>
                <w:sz w:val="14"/>
                <w:szCs w:val="14"/>
                <w:color w:val="auto"/>
                <w:w w:val="89"/>
              </w:rPr>
              <w:t>Year Ended</w:t>
            </w:r>
          </w:p>
        </w:tc>
        <w:tc>
          <w:tcPr>
            <w:tcW w:w="1020" w:type="dxa"/>
            <w:vAlign w:val="bottom"/>
            <w:gridSpan w:val="3"/>
          </w:tcPr>
          <w:p>
            <w:pPr>
              <w:jc w:val="center"/>
              <w:ind w:left="64"/>
              <w:spacing w:after="0" w:line="140" w:lineRule="exact"/>
              <w:rPr>
                <w:sz w:val="20"/>
                <w:szCs w:val="20"/>
                <w:color w:val="auto"/>
              </w:rPr>
            </w:pPr>
            <w:r>
              <w:rPr>
                <w:rFonts w:ascii="Arial" w:cs="Arial" w:eastAsia="Arial" w:hAnsi="Arial"/>
                <w:sz w:val="14"/>
                <w:szCs w:val="14"/>
                <w:color w:val="auto"/>
                <w:w w:val="88"/>
              </w:rPr>
              <w:t>July 16, 2019 to</w:t>
            </w:r>
          </w:p>
        </w:tc>
        <w:tc>
          <w:tcPr>
            <w:tcW w:w="240" w:type="dxa"/>
            <w:vAlign w:val="bottom"/>
            <w:tcBorders>
              <w:right w:val="single" w:sz="8" w:color="auto"/>
            </w:tcBorders>
          </w:tcPr>
          <w:p>
            <w:pPr>
              <w:spacing w:after="0"/>
              <w:rPr>
                <w:sz w:val="12"/>
                <w:szCs w:val="12"/>
                <w:color w:val="auto"/>
              </w:rPr>
            </w:pPr>
          </w:p>
        </w:tc>
        <w:tc>
          <w:tcPr>
            <w:tcW w:w="1140" w:type="dxa"/>
            <w:vAlign w:val="bottom"/>
            <w:gridSpan w:val="4"/>
          </w:tcPr>
          <w:p>
            <w:pPr>
              <w:jc w:val="center"/>
              <w:ind w:left="84"/>
              <w:spacing w:after="0" w:line="140" w:lineRule="exact"/>
              <w:rPr>
                <w:sz w:val="20"/>
                <w:szCs w:val="20"/>
                <w:color w:val="auto"/>
              </w:rPr>
            </w:pPr>
            <w:r>
              <w:rPr>
                <w:rFonts w:ascii="Arial" w:cs="Arial" w:eastAsia="Arial" w:hAnsi="Arial"/>
                <w:sz w:val="14"/>
                <w:szCs w:val="14"/>
                <w:color w:val="auto"/>
                <w:w w:val="85"/>
              </w:rPr>
              <w:t>January 1, 2019</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440" w:type="dxa"/>
            <w:vAlign w:val="bottom"/>
            <w:gridSpan w:val="3"/>
          </w:tcPr>
          <w:p>
            <w:pPr>
              <w:ind w:left="2680"/>
              <w:spacing w:after="0" w:line="140" w:lineRule="exact"/>
              <w:rPr>
                <w:sz w:val="20"/>
                <w:szCs w:val="20"/>
                <w:color w:val="auto"/>
              </w:rPr>
            </w:pPr>
            <w:r>
              <w:rPr>
                <w:rFonts w:ascii="Arial" w:cs="Arial" w:eastAsia="Arial" w:hAnsi="Arial"/>
                <w:sz w:val="14"/>
                <w:szCs w:val="14"/>
                <w:color w:val="auto"/>
                <w:w w:val="84"/>
              </w:rPr>
              <w:t>December 31,</w:t>
            </w:r>
          </w:p>
        </w:tc>
        <w:tc>
          <w:tcPr>
            <w:tcW w:w="140" w:type="dxa"/>
            <w:vAlign w:val="bottom"/>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4"/>
                <w:szCs w:val="14"/>
                <w:color w:val="auto"/>
                <w:w w:val="86"/>
              </w:rPr>
              <w:t>December 31,</w:t>
            </w:r>
          </w:p>
        </w:tc>
        <w:tc>
          <w:tcPr>
            <w:tcW w:w="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0" w:lineRule="exact"/>
              <w:rPr>
                <w:sz w:val="20"/>
                <w:szCs w:val="20"/>
                <w:color w:val="auto"/>
              </w:rPr>
            </w:pPr>
            <w:r>
              <w:rPr>
                <w:rFonts w:ascii="Arial" w:cs="Arial" w:eastAsia="Arial" w:hAnsi="Arial"/>
                <w:sz w:val="14"/>
                <w:szCs w:val="14"/>
                <w:color w:val="auto"/>
                <w:w w:val="87"/>
              </w:rPr>
              <w:t>to July 15,</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860" w:type="dxa"/>
            <w:vAlign w:val="bottom"/>
            <w:tcBorders>
              <w:bottom w:val="single" w:sz="8" w:color="CCEEFF"/>
            </w:tcBorders>
          </w:tcPr>
          <w:p>
            <w:pPr>
              <w:spacing w:after="0"/>
              <w:rPr>
                <w:sz w:val="13"/>
                <w:szCs w:val="13"/>
                <w:color w:val="auto"/>
              </w:rPr>
            </w:pPr>
          </w:p>
        </w:tc>
        <w:tc>
          <w:tcPr>
            <w:tcW w:w="26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62"/>
              <w:spacing w:after="0" w:line="158" w:lineRule="exact"/>
              <w:rPr>
                <w:sz w:val="20"/>
                <w:szCs w:val="20"/>
                <w:color w:val="auto"/>
              </w:rPr>
            </w:pPr>
            <w:r>
              <w:rPr>
                <w:rFonts w:ascii="Arial" w:cs="Arial" w:eastAsia="Arial" w:hAnsi="Arial"/>
                <w:sz w:val="14"/>
                <w:szCs w:val="14"/>
                <w:color w:val="auto"/>
              </w:rPr>
              <w:t>2020</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3"/>
              <w:spacing w:after="0" w:line="158" w:lineRule="exact"/>
              <w:rPr>
                <w:sz w:val="20"/>
                <w:szCs w:val="20"/>
                <w:color w:val="auto"/>
              </w:rPr>
            </w:pPr>
            <w:r>
              <w:rPr>
                <w:rFonts w:ascii="Arial" w:cs="Arial" w:eastAsia="Arial" w:hAnsi="Arial"/>
                <w:sz w:val="14"/>
                <w:szCs w:val="14"/>
                <w:color w:val="auto"/>
                <w:w w:val="89"/>
              </w:rPr>
              <w:t>2019</w:t>
            </w:r>
          </w:p>
        </w:tc>
        <w:tc>
          <w:tcPr>
            <w:tcW w:w="240" w:type="dxa"/>
            <w:vAlign w:val="bottom"/>
            <w:tcBorders>
              <w:bottom w:val="single" w:sz="8" w:color="CCEEFF"/>
              <w:right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7"/>
              <w:spacing w:after="0" w:line="158" w:lineRule="exact"/>
              <w:rPr>
                <w:sz w:val="20"/>
                <w:szCs w:val="20"/>
                <w:color w:val="auto"/>
              </w:rPr>
            </w:pPr>
            <w:r>
              <w:rPr>
                <w:rFonts w:ascii="Arial" w:cs="Arial" w:eastAsia="Arial" w:hAnsi="Arial"/>
                <w:sz w:val="14"/>
                <w:szCs w:val="14"/>
                <w:color w:val="auto"/>
                <w:w w:val="89"/>
              </w:rPr>
              <w:t>2019</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Platform subscriptions</w:t>
            </w:r>
          </w:p>
        </w:tc>
        <w:tc>
          <w:tcPr>
            <w:tcW w:w="2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117,080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39,872</w:t>
            </w:r>
          </w:p>
        </w:tc>
        <w:tc>
          <w:tcPr>
            <w:tcW w:w="2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7"/>
                <w:szCs w:val="17"/>
                <w:color w:val="auto"/>
              </w:rPr>
              <w:t>Professional services</w:t>
            </w:r>
          </w:p>
        </w:tc>
        <w:tc>
          <w:tcPr>
            <w:tcW w:w="2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1,237</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2820" w:type="dxa"/>
            <w:vAlign w:val="bottom"/>
            <w:gridSpan w:val="2"/>
            <w:shd w:val="clear" w:color="auto" w:fill="CCEEFF"/>
          </w:tcPr>
          <w:p>
            <w:pPr>
              <w:ind w:left="26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40" w:type="dxa"/>
            <w:vAlign w:val="bottom"/>
            <w:tcBorders>
              <w:right w:val="single" w:sz="8" w:color="auto"/>
            </w:tcBorders>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820" w:type="dxa"/>
            <w:vAlign w:val="bottom"/>
            <w:gridSpan w:val="2"/>
          </w:tcPr>
          <w:p>
            <w:pPr>
              <w:ind w:left="1320"/>
              <w:spacing w:after="0"/>
              <w:rPr>
                <w:sz w:val="20"/>
                <w:szCs w:val="20"/>
                <w:color w:val="auto"/>
              </w:rPr>
            </w:pPr>
            <w:r>
              <w:rPr>
                <w:rFonts w:ascii="Arial" w:cs="Arial" w:eastAsia="Arial" w:hAnsi="Arial"/>
                <w:sz w:val="17"/>
                <w:szCs w:val="17"/>
                <w:color w:val="auto"/>
              </w:rPr>
              <w:t>F-30</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The opening and closing balances of the Company’s receivables, deferred contract costs and contract liabilities from contracts with customers are as follows (in thousands):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6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3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20"/>
        </w:trPr>
        <w:tc>
          <w:tcPr>
            <w:tcW w:w="6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Successor Company</w:t>
            </w:r>
          </w:p>
        </w:tc>
        <w:tc>
          <w:tcPr>
            <w:tcW w:w="56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14"/>
        </w:trPr>
        <w:tc>
          <w:tcPr>
            <w:tcW w:w="6160" w:type="dxa"/>
            <w:vAlign w:val="bottom"/>
          </w:tcPr>
          <w:p>
            <w:pPr>
              <w:spacing w:after="0"/>
              <w:rPr>
                <w:sz w:val="9"/>
                <w:szCs w:val="9"/>
                <w:color w:val="auto"/>
              </w:rPr>
            </w:pPr>
          </w:p>
        </w:tc>
        <w:tc>
          <w:tcPr>
            <w:tcW w:w="90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2"/>
                <w:szCs w:val="12"/>
                <w:color w:val="auto"/>
              </w:rPr>
              <w:t>December 31,</w:t>
            </w:r>
          </w:p>
        </w:tc>
        <w:tc>
          <w:tcPr>
            <w:tcW w:w="920" w:type="dxa"/>
            <w:vAlign w:val="bottom"/>
            <w:tcBorders>
              <w:top w:val="single" w:sz="8" w:color="auto"/>
            </w:tcBorders>
            <w:gridSpan w:val="3"/>
          </w:tcPr>
          <w:p>
            <w:pPr>
              <w:spacing w:after="0" w:line="114" w:lineRule="exact"/>
              <w:rPr>
                <w:sz w:val="20"/>
                <w:szCs w:val="20"/>
                <w:color w:val="auto"/>
              </w:rPr>
            </w:pPr>
            <w:r>
              <w:rPr>
                <w:rFonts w:ascii="Arial" w:cs="Arial" w:eastAsia="Arial" w:hAnsi="Arial"/>
                <w:sz w:val="12"/>
                <w:szCs w:val="12"/>
                <w:color w:val="auto"/>
              </w:rPr>
              <w:t>December 31,</w:t>
            </w:r>
          </w:p>
        </w:tc>
        <w:tc>
          <w:tcPr>
            <w:tcW w:w="56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2"/>
                <w:szCs w:val="12"/>
                <w:color w:val="auto"/>
              </w:rPr>
              <w:t>July 16,</w:t>
            </w:r>
          </w:p>
        </w:tc>
        <w:tc>
          <w:tcPr>
            <w:tcW w:w="26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Borders>
              <w:top w:val="single" w:sz="8" w:color="auto"/>
            </w:tcBorders>
            <w:gridSpan w:val="2"/>
          </w:tcPr>
          <w:p>
            <w:pPr>
              <w:ind w:left="60"/>
              <w:spacing w:after="0" w:line="114" w:lineRule="exact"/>
              <w:rPr>
                <w:sz w:val="20"/>
                <w:szCs w:val="20"/>
                <w:color w:val="auto"/>
              </w:rPr>
            </w:pPr>
            <w:r>
              <w:rPr>
                <w:rFonts w:ascii="Arial" w:cs="Arial" w:eastAsia="Arial" w:hAnsi="Arial"/>
                <w:sz w:val="12"/>
                <w:szCs w:val="12"/>
                <w:color w:val="auto"/>
              </w:rPr>
              <w:t>July 15,</w:t>
            </w:r>
          </w:p>
        </w:tc>
        <w:tc>
          <w:tcPr>
            <w:tcW w:w="5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2"/>
                <w:szCs w:val="12"/>
                <w:color w:val="auto"/>
                <w:w w:val="96"/>
              </w:rPr>
              <w:t>January 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6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1"/>
              <w:spacing w:after="0" w:line="158" w:lineRule="exact"/>
              <w:rPr>
                <w:sz w:val="20"/>
                <w:szCs w:val="20"/>
                <w:color w:val="auto"/>
              </w:rPr>
            </w:pPr>
            <w:r>
              <w:rPr>
                <w:rFonts w:ascii="Arial" w:cs="Arial" w:eastAsia="Arial" w:hAnsi="Arial"/>
                <w:sz w:val="14"/>
                <w:szCs w:val="14"/>
                <w:color w:val="auto"/>
              </w:rPr>
              <w:t>2020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jc w:val="right"/>
              <w:ind w:right="159"/>
              <w:spacing w:after="0" w:line="158" w:lineRule="exact"/>
              <w:rPr>
                <w:sz w:val="20"/>
                <w:szCs w:val="20"/>
                <w:color w:val="auto"/>
              </w:rPr>
            </w:pPr>
            <w:r>
              <w:rPr>
                <w:rFonts w:ascii="Arial" w:cs="Arial" w:eastAsia="Arial" w:hAnsi="Arial"/>
                <w:sz w:val="14"/>
                <w:szCs w:val="14"/>
                <w:color w:val="auto"/>
              </w:rPr>
              <w:t>2019</w:t>
            </w:r>
          </w:p>
        </w:tc>
        <w:tc>
          <w:tcPr>
            <w:tcW w:w="160" w:type="dxa"/>
            <w:vAlign w:val="bottom"/>
          </w:tcPr>
          <w:p>
            <w:pPr>
              <w:spacing w:after="0"/>
              <w:rPr>
                <w:sz w:val="13"/>
                <w:szCs w:val="13"/>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color w:val="auto"/>
                <w:w w:val="89"/>
              </w:rPr>
              <w:t>2019</w:t>
            </w:r>
          </w:p>
        </w:tc>
        <w:tc>
          <w:tcPr>
            <w:tcW w:w="260" w:type="dxa"/>
            <w:vAlign w:val="bottom"/>
            <w:tcBorders>
              <w:right w:val="single" w:sz="8" w:color="auto"/>
            </w:tcBorders>
          </w:tcPr>
          <w:p>
            <w:pPr>
              <w:spacing w:after="0"/>
              <w:rPr>
                <w:sz w:val="13"/>
                <w:szCs w:val="13"/>
                <w:color w:val="auto"/>
              </w:rPr>
            </w:pPr>
          </w:p>
        </w:tc>
        <w:tc>
          <w:tcPr>
            <w:tcW w:w="820" w:type="dxa"/>
            <w:vAlign w:val="bottom"/>
            <w:gridSpan w:val="2"/>
          </w:tcPr>
          <w:p>
            <w:pPr>
              <w:jc w:val="right"/>
              <w:ind w:right="89"/>
              <w:spacing w:after="0" w:line="158" w:lineRule="exact"/>
              <w:rPr>
                <w:sz w:val="20"/>
                <w:szCs w:val="20"/>
                <w:color w:val="auto"/>
              </w:rPr>
            </w:pPr>
            <w:r>
              <w:rPr>
                <w:rFonts w:ascii="Arial" w:cs="Arial" w:eastAsia="Arial" w:hAnsi="Arial"/>
                <w:sz w:val="14"/>
                <w:szCs w:val="14"/>
                <w:color w:val="auto"/>
              </w:rPr>
              <w:t>2019</w:t>
            </w:r>
          </w:p>
        </w:tc>
        <w:tc>
          <w:tcPr>
            <w:tcW w:w="140" w:type="dxa"/>
            <w:vAlign w:val="bottom"/>
          </w:tcPr>
          <w:p>
            <w:pPr>
              <w:spacing w:after="0"/>
              <w:rPr>
                <w:sz w:val="13"/>
                <w:szCs w:val="13"/>
                <w:color w:val="auto"/>
              </w:rPr>
            </w:pPr>
          </w:p>
        </w:tc>
        <w:tc>
          <w:tcPr>
            <w:tcW w:w="560" w:type="dxa"/>
            <w:vAlign w:val="bottom"/>
          </w:tcPr>
          <w:p>
            <w:pPr>
              <w:jc w:val="right"/>
              <w:ind w:right="62"/>
              <w:spacing w:after="0" w:line="158"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receivables, net</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25,021</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$12,747</w:t>
            </w: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$12,747</w:t>
            </w: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$15,299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16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2,947</w:t>
            </w:r>
          </w:p>
        </w:tc>
        <w:tc>
          <w:tcPr>
            <w:tcW w:w="1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769</w:t>
            </w:r>
          </w:p>
        </w:tc>
        <w:tc>
          <w:tcPr>
            <w:tcW w:w="820" w:type="dxa"/>
            <w:vAlign w:val="bottom"/>
            <w:tcBorders>
              <w:right w:val="single" w:sz="8" w:color="auto"/>
            </w:tcBorders>
            <w:gridSpan w:val="2"/>
          </w:tcPr>
          <w:p>
            <w:pPr>
              <w:ind w:left="300"/>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1,906</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1,346</w:t>
            </w:r>
          </w:p>
        </w:tc>
        <w:tc>
          <w:tcPr>
            <w:tcW w:w="0" w:type="dxa"/>
            <w:vAlign w:val="bottom"/>
          </w:tcPr>
          <w:p>
            <w:pPr>
              <w:spacing w:after="0"/>
              <w:rPr>
                <w:sz w:val="1"/>
                <w:szCs w:val="1"/>
                <w:color w:val="auto"/>
              </w:rPr>
            </w:pPr>
          </w:p>
        </w:tc>
      </w:tr>
      <w:tr>
        <w:trPr>
          <w:trHeight w:val="204"/>
        </w:trPr>
        <w:tc>
          <w:tcPr>
            <w:tcW w:w="6160" w:type="dxa"/>
            <w:vAlign w:val="bottom"/>
            <w:shd w:val="clear" w:color="auto" w:fill="CCEEFF"/>
          </w:tcPr>
          <w:p>
            <w:pPr>
              <w:spacing w:after="0"/>
              <w:rPr>
                <w:sz w:val="20"/>
                <w:szCs w:val="20"/>
                <w:color w:val="auto"/>
              </w:rPr>
            </w:pPr>
            <w:r>
              <w:rPr>
                <w:rFonts w:ascii="Arial" w:cs="Arial" w:eastAsia="Arial" w:hAnsi="Arial"/>
                <w:sz w:val="17"/>
                <w:szCs w:val="17"/>
                <w:color w:val="auto"/>
              </w:rPr>
              <w:t>Long-term deferred contract costs</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5,952</w:t>
            </w: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2,116</w:t>
            </w:r>
          </w:p>
        </w:tc>
        <w:tc>
          <w:tcPr>
            <w:tcW w:w="82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3,829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2,973</w:t>
            </w:r>
          </w:p>
        </w:tc>
        <w:tc>
          <w:tcPr>
            <w:tcW w:w="0" w:type="dxa"/>
            <w:vAlign w:val="bottom"/>
          </w:tcPr>
          <w:p>
            <w:pPr>
              <w:spacing w:after="0"/>
              <w:rPr>
                <w:sz w:val="1"/>
                <w:szCs w:val="1"/>
                <w:color w:val="auto"/>
              </w:rPr>
            </w:pPr>
          </w:p>
        </w:tc>
      </w:tr>
      <w:tr>
        <w:trPr>
          <w:trHeight w:val="204"/>
        </w:trPr>
        <w:tc>
          <w:tcPr>
            <w:tcW w:w="6160" w:type="dxa"/>
            <w:vAlign w:val="bottom"/>
          </w:tcPr>
          <w:p>
            <w:pPr>
              <w:spacing w:after="0"/>
              <w:rPr>
                <w:sz w:val="20"/>
                <w:szCs w:val="20"/>
                <w:color w:val="auto"/>
              </w:rPr>
            </w:pPr>
            <w:r>
              <w:rPr>
                <w:rFonts w:ascii="Arial" w:cs="Arial" w:eastAsia="Arial" w:hAnsi="Arial"/>
                <w:sz w:val="17"/>
                <w:szCs w:val="17"/>
                <w:color w:val="auto"/>
              </w:rPr>
              <w:t>Deferred revenues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61,200</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46,125</w:t>
            </w:r>
          </w:p>
        </w:tc>
        <w:tc>
          <w:tcPr>
            <w:tcW w:w="8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7"/>
                <w:szCs w:val="17"/>
                <w:color w:val="auto"/>
                <w:w w:val="91"/>
              </w:rPr>
              <w:t>$32,000</w:t>
            </w:r>
          </w:p>
        </w:tc>
        <w:tc>
          <w:tcPr>
            <w:tcW w:w="960" w:type="dxa"/>
            <w:vAlign w:val="bottom"/>
            <w:gridSpan w:val="3"/>
          </w:tcPr>
          <w:p>
            <w:pPr>
              <w:jc w:val="right"/>
              <w:ind w:right="140"/>
              <w:spacing w:after="0"/>
              <w:rPr>
                <w:sz w:val="20"/>
                <w:szCs w:val="20"/>
                <w:color w:val="auto"/>
              </w:rPr>
            </w:pPr>
            <w:r>
              <w:rPr>
                <w:rFonts w:ascii="Arial" w:cs="Arial" w:eastAsia="Arial" w:hAnsi="Arial"/>
                <w:sz w:val="17"/>
                <w:szCs w:val="17"/>
                <w:color w:val="auto"/>
              </w:rPr>
              <w:t>$38,278</w:t>
            </w: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$31,458</w:t>
            </w: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 summary of the activity impacting the deferred contract costs during the year ended December 31, 2020 and the periods from July 16, to</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2019 (Successor) and January 1, 2019 to July 15, 2019 (Predecessor) is presented below (in thousands):</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5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5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80" w:type="dxa"/>
            <w:vAlign w:val="bottom"/>
            <w:tcBorders>
              <w:right w:val="single" w:sz="8" w:color="auto"/>
            </w:tcBorders>
            <w:gridSpan w:val="6"/>
          </w:tcPr>
          <w:p>
            <w:pPr>
              <w:jc w:val="right"/>
              <w:ind w:right="1020"/>
              <w:spacing w:after="0"/>
              <w:rPr>
                <w:sz w:val="20"/>
                <w:szCs w:val="20"/>
                <w:color w:val="auto"/>
              </w:rPr>
            </w:pPr>
            <w:r>
              <w:rPr>
                <w:rFonts w:ascii="Arial" w:cs="Arial" w:eastAsia="Arial" w:hAnsi="Arial"/>
                <w:sz w:val="14"/>
                <w:szCs w:val="14"/>
                <w:b w:val="1"/>
                <w:bCs w:val="1"/>
                <w:color w:val="auto"/>
              </w:rPr>
              <w:t>Successor Company</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4"/>
        </w:trPr>
        <w:tc>
          <w:tcPr>
            <w:tcW w:w="58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center"/>
              <w:ind w:right="19"/>
              <w:spacing w:after="0" w:line="114" w:lineRule="exact"/>
              <w:rPr>
                <w:sz w:val="20"/>
                <w:szCs w:val="20"/>
                <w:color w:val="auto"/>
              </w:rPr>
            </w:pPr>
            <w:r>
              <w:rPr>
                <w:rFonts w:ascii="Arial" w:cs="Arial" w:eastAsia="Arial" w:hAnsi="Arial"/>
                <w:sz w:val="12"/>
                <w:szCs w:val="12"/>
                <w:color w:val="auto"/>
              </w:rPr>
              <w:t>Period from</w:t>
            </w:r>
          </w:p>
        </w:tc>
        <w:tc>
          <w:tcPr>
            <w:tcW w:w="560" w:type="dxa"/>
            <w:vAlign w:val="bottom"/>
            <w:tcBorders>
              <w:right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880" w:type="dxa"/>
            <w:vAlign w:val="bottom"/>
          </w:tcPr>
          <w:p>
            <w:pPr>
              <w:spacing w:after="0"/>
              <w:rPr>
                <w:sz w:val="12"/>
                <w:szCs w:val="12"/>
                <w:color w:val="auto"/>
              </w:rPr>
            </w:pPr>
          </w:p>
        </w:tc>
        <w:tc>
          <w:tcPr>
            <w:tcW w:w="1220" w:type="dxa"/>
            <w:vAlign w:val="bottom"/>
            <w:gridSpan w:val="4"/>
          </w:tcPr>
          <w:p>
            <w:pPr>
              <w:ind w:left="80"/>
              <w:spacing w:after="0" w:line="140" w:lineRule="exact"/>
              <w:rPr>
                <w:sz w:val="20"/>
                <w:szCs w:val="20"/>
                <w:color w:val="auto"/>
              </w:rPr>
            </w:pPr>
            <w:r>
              <w:rPr>
                <w:rFonts w:ascii="Arial" w:cs="Arial" w:eastAsia="Arial" w:hAnsi="Arial"/>
                <w:sz w:val="14"/>
                <w:szCs w:val="14"/>
                <w:color w:val="auto"/>
              </w:rPr>
              <w:t>Year Ended</w:t>
            </w:r>
          </w:p>
        </w:tc>
        <w:tc>
          <w:tcPr>
            <w:tcW w:w="1420" w:type="dxa"/>
            <w:vAlign w:val="bottom"/>
            <w:tcBorders>
              <w:right w:val="single" w:sz="8" w:color="auto"/>
            </w:tcBorders>
            <w:gridSpan w:val="3"/>
          </w:tcPr>
          <w:p>
            <w:pPr>
              <w:spacing w:after="0" w:line="140" w:lineRule="exact"/>
              <w:rPr>
                <w:sz w:val="20"/>
                <w:szCs w:val="20"/>
                <w:color w:val="auto"/>
              </w:rPr>
            </w:pPr>
            <w:r>
              <w:rPr>
                <w:rFonts w:ascii="Arial" w:cs="Arial" w:eastAsia="Arial" w:hAnsi="Arial"/>
                <w:sz w:val="14"/>
                <w:szCs w:val="14"/>
                <w:color w:val="auto"/>
              </w:rPr>
              <w:t>July 16, 2019 to</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0" w:lineRule="exact"/>
              <w:rPr>
                <w:sz w:val="20"/>
                <w:szCs w:val="20"/>
                <w:color w:val="auto"/>
              </w:rPr>
            </w:pPr>
            <w:r>
              <w:rPr>
                <w:rFonts w:ascii="Arial" w:cs="Arial" w:eastAsia="Arial" w:hAnsi="Arial"/>
                <w:sz w:val="14"/>
                <w:szCs w:val="14"/>
                <w:color w:val="auto"/>
                <w:w w:val="91"/>
              </w:rPr>
              <w:t>Period from</w:t>
            </w:r>
          </w:p>
        </w:tc>
        <w:tc>
          <w:tcPr>
            <w:tcW w:w="0" w:type="dxa"/>
            <w:vAlign w:val="bottom"/>
          </w:tcPr>
          <w:p>
            <w:pPr>
              <w:spacing w:after="0"/>
              <w:rPr>
                <w:sz w:val="1"/>
                <w:szCs w:val="1"/>
                <w:color w:val="auto"/>
              </w:rPr>
            </w:pPr>
          </w:p>
        </w:tc>
      </w:tr>
      <w:tr>
        <w:trPr>
          <w:trHeight w:val="140"/>
        </w:trPr>
        <w:tc>
          <w:tcPr>
            <w:tcW w:w="5880" w:type="dxa"/>
            <w:vAlign w:val="bottom"/>
          </w:tcPr>
          <w:p>
            <w:pPr>
              <w:spacing w:after="0"/>
              <w:rPr>
                <w:sz w:val="12"/>
                <w:szCs w:val="12"/>
                <w:color w:val="auto"/>
              </w:rPr>
            </w:pPr>
          </w:p>
        </w:tc>
        <w:tc>
          <w:tcPr>
            <w:tcW w:w="1220" w:type="dxa"/>
            <w:vAlign w:val="bottom"/>
            <w:gridSpan w:val="4"/>
          </w:tcPr>
          <w:p>
            <w:pPr>
              <w:spacing w:after="0" w:line="140" w:lineRule="exact"/>
              <w:rPr>
                <w:sz w:val="20"/>
                <w:szCs w:val="20"/>
                <w:color w:val="auto"/>
              </w:rPr>
            </w:pPr>
            <w:r>
              <w:rPr>
                <w:rFonts w:ascii="Arial" w:cs="Arial" w:eastAsia="Arial" w:hAnsi="Arial"/>
                <w:sz w:val="14"/>
                <w:szCs w:val="14"/>
                <w:color w:val="auto"/>
              </w:rPr>
              <w:t>December 31,</w:t>
            </w:r>
          </w:p>
        </w:tc>
        <w:tc>
          <w:tcPr>
            <w:tcW w:w="1420" w:type="dxa"/>
            <w:vAlign w:val="bottom"/>
            <w:tcBorders>
              <w:right w:val="single" w:sz="8" w:color="auto"/>
            </w:tcBorders>
            <w:gridSpan w:val="3"/>
          </w:tcPr>
          <w:p>
            <w:pPr>
              <w:jc w:val="center"/>
              <w:ind w:right="540"/>
              <w:spacing w:after="0" w:line="140" w:lineRule="exact"/>
              <w:rPr>
                <w:sz w:val="20"/>
                <w:szCs w:val="20"/>
                <w:color w:val="auto"/>
              </w:rPr>
            </w:pPr>
            <w:r>
              <w:rPr>
                <w:rFonts w:ascii="Arial" w:cs="Arial" w:eastAsia="Arial" w:hAnsi="Arial"/>
                <w:sz w:val="14"/>
                <w:szCs w:val="14"/>
                <w:color w:val="auto"/>
                <w:w w:val="86"/>
              </w:rPr>
              <w:t>December 31,</w:t>
            </w:r>
          </w:p>
        </w:tc>
        <w:tc>
          <w:tcPr>
            <w:tcW w:w="740" w:type="dxa"/>
            <w:vAlign w:val="bottom"/>
          </w:tcPr>
          <w:p>
            <w:pPr>
              <w:spacing w:after="0"/>
              <w:rPr>
                <w:sz w:val="12"/>
                <w:szCs w:val="12"/>
                <w:color w:val="auto"/>
              </w:rPr>
            </w:pPr>
          </w:p>
        </w:tc>
        <w:tc>
          <w:tcPr>
            <w:tcW w:w="1120" w:type="dxa"/>
            <w:vAlign w:val="bottom"/>
            <w:gridSpan w:val="3"/>
          </w:tcPr>
          <w:p>
            <w:pPr>
              <w:spacing w:after="0" w:line="140" w:lineRule="exact"/>
              <w:rPr>
                <w:sz w:val="20"/>
                <w:szCs w:val="20"/>
                <w:color w:val="auto"/>
              </w:rPr>
            </w:pPr>
            <w:r>
              <w:rPr>
                <w:rFonts w:ascii="Arial" w:cs="Arial" w:eastAsia="Arial" w:hAnsi="Arial"/>
                <w:sz w:val="14"/>
                <w:szCs w:val="14"/>
                <w:color w:val="auto"/>
                <w:w w:val="94"/>
              </w:rPr>
              <w:t>January 1, 2019 to</w:t>
            </w:r>
          </w:p>
        </w:tc>
        <w:tc>
          <w:tcPr>
            <w:tcW w:w="0" w:type="dxa"/>
            <w:vAlign w:val="bottom"/>
          </w:tcPr>
          <w:p>
            <w:pPr>
              <w:spacing w:after="0"/>
              <w:rPr>
                <w:sz w:val="1"/>
                <w:szCs w:val="1"/>
                <w:color w:val="auto"/>
              </w:rPr>
            </w:pPr>
          </w:p>
        </w:tc>
      </w:tr>
      <w:tr>
        <w:trPr>
          <w:trHeight w:val="158"/>
        </w:trPr>
        <w:tc>
          <w:tcPr>
            <w:tcW w:w="5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58"/>
              <w:spacing w:after="0" w:line="158" w:lineRule="exact"/>
              <w:rPr>
                <w:sz w:val="20"/>
                <w:szCs w:val="20"/>
                <w:color w:val="auto"/>
              </w:rPr>
            </w:pPr>
            <w:r>
              <w:rPr>
                <w:rFonts w:ascii="Arial" w:cs="Arial" w:eastAsia="Arial" w:hAnsi="Arial"/>
                <w:sz w:val="14"/>
                <w:szCs w:val="14"/>
                <w:color w:val="auto"/>
              </w:rPr>
              <w:t>2020</w:t>
            </w: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ind w:right="19"/>
              <w:spacing w:after="0" w:line="158" w:lineRule="exact"/>
              <w:rPr>
                <w:sz w:val="20"/>
                <w:szCs w:val="20"/>
                <w:color w:val="auto"/>
              </w:rPr>
            </w:pPr>
            <w:r>
              <w:rPr>
                <w:rFonts w:ascii="Arial" w:cs="Arial" w:eastAsia="Arial" w:hAnsi="Arial"/>
                <w:sz w:val="14"/>
                <w:szCs w:val="14"/>
                <w:color w:val="auto"/>
                <w:w w:val="83"/>
              </w:rPr>
              <w:t>2019</w:t>
            </w:r>
          </w:p>
        </w:tc>
        <w:tc>
          <w:tcPr>
            <w:tcW w:w="56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color w:val="auto"/>
                <w:w w:val="88"/>
              </w:rPr>
              <w:t>July 15, 2019</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5,735</w:t>
            </w:r>
          </w:p>
        </w:tc>
        <w:tc>
          <w:tcPr>
            <w:tcW w:w="560" w:type="dxa"/>
            <w:vAlign w:val="bottom"/>
            <w:tcBorders>
              <w:top w:val="single" w:sz="8" w:color="CCEEFF"/>
              <w:right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80" w:type="dxa"/>
            <w:vAlign w:val="bottom"/>
          </w:tcPr>
          <w:p>
            <w:pPr>
              <w:ind w:left="340"/>
              <w:spacing w:after="0"/>
              <w:rPr>
                <w:sz w:val="20"/>
                <w:szCs w:val="20"/>
                <w:color w:val="auto"/>
              </w:rPr>
            </w:pPr>
            <w:r>
              <w:rPr>
                <w:rFonts w:ascii="Arial" w:cs="Arial" w:eastAsia="Arial" w:hAnsi="Arial"/>
                <w:sz w:val="17"/>
                <w:szCs w:val="17"/>
                <w:color w:val="auto"/>
              </w:rPr>
              <w:t>Adoption of ASC 606</w:t>
            </w:r>
          </w:p>
        </w:tc>
        <w:tc>
          <w:tcPr>
            <w:tcW w:w="160" w:type="dxa"/>
            <w:vAlign w:val="bottom"/>
          </w:tcPr>
          <w:p>
            <w:pPr>
              <w:spacing w:after="0"/>
              <w:rPr>
                <w:sz w:val="17"/>
                <w:szCs w:val="17"/>
                <w:color w:val="auto"/>
              </w:rPr>
            </w:pPr>
          </w:p>
        </w:tc>
        <w:tc>
          <w:tcPr>
            <w:tcW w:w="1060" w:type="dxa"/>
            <w:vAlign w:val="bottom"/>
            <w:gridSpan w:val="3"/>
          </w:tcPr>
          <w:p>
            <w:pPr>
              <w:jc w:val="right"/>
              <w:ind w:right="5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amortized</w:t>
            </w:r>
          </w:p>
        </w:tc>
        <w:tc>
          <w:tcPr>
            <w:tcW w:w="16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7"/>
                <w:szCs w:val="17"/>
                <w:color w:val="auto"/>
              </w:rPr>
              <w:t>(1,670)</w:t>
            </w: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(189)</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(824)</w:t>
            </w:r>
          </w:p>
        </w:tc>
        <w:tc>
          <w:tcPr>
            <w:tcW w:w="0" w:type="dxa"/>
            <w:vAlign w:val="bottom"/>
          </w:tcPr>
          <w:p>
            <w:pPr>
              <w:spacing w:after="0"/>
              <w:rPr>
                <w:sz w:val="1"/>
                <w:szCs w:val="1"/>
                <w:color w:val="auto"/>
              </w:rPr>
            </w:pPr>
          </w:p>
        </w:tc>
      </w:tr>
      <w:tr>
        <w:trPr>
          <w:trHeight w:val="204"/>
        </w:trPr>
        <w:tc>
          <w:tcPr>
            <w:tcW w:w="5880" w:type="dxa"/>
            <w:vAlign w:val="bottom"/>
          </w:tcPr>
          <w:p>
            <w:pPr>
              <w:ind w:left="340"/>
              <w:spacing w:after="0"/>
              <w:rPr>
                <w:sz w:val="20"/>
                <w:szCs w:val="20"/>
                <w:color w:val="auto"/>
              </w:rPr>
            </w:pPr>
            <w:r>
              <w:rPr>
                <w:rFonts w:ascii="Arial" w:cs="Arial" w:eastAsia="Arial" w:hAnsi="Arial"/>
                <w:sz w:val="17"/>
                <w:szCs w:val="17"/>
                <w:color w:val="auto"/>
              </w:rPr>
              <w:t>Additional amounts deferred</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7,684</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3,074</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2,239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Acquisition-related adjustment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(5,735)</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8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8,899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2,885</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spacing w:after="0"/>
              <w:rPr>
                <w:sz w:val="20"/>
                <w:szCs w:val="20"/>
                <w:color w:val="auto"/>
              </w:rPr>
            </w:pPr>
            <w:r>
              <w:rPr>
                <w:rFonts w:ascii="Arial" w:cs="Arial" w:eastAsia="Arial" w:hAnsi="Arial"/>
                <w:sz w:val="17"/>
                <w:szCs w:val="17"/>
                <w:color w:val="auto"/>
              </w:rPr>
              <w:t>Classified as: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tcBorders>
              <w:right w:val="single" w:sz="8" w:color="auto"/>
            </w:tcBorders>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880" w:type="dxa"/>
            <w:vAlign w:val="bottom"/>
          </w:tcPr>
          <w:p>
            <w:pPr>
              <w:ind w:left="340"/>
              <w:spacing w:after="0"/>
              <w:rPr>
                <w:sz w:val="20"/>
                <w:szCs w:val="20"/>
                <w:color w:val="auto"/>
              </w:rPr>
            </w:pPr>
            <w:r>
              <w:rPr>
                <w:rFonts w:ascii="Arial" w:cs="Arial" w:eastAsia="Arial" w:hAnsi="Arial"/>
                <w:sz w:val="17"/>
                <w:szCs w:val="17"/>
                <w:color w:val="auto"/>
              </w:rPr>
              <w:t>Current</w:t>
            </w:r>
          </w:p>
        </w:tc>
        <w:tc>
          <w:tcPr>
            <w:tcW w:w="16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2,947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769</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58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Non-current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5,952</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2,116</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7"/>
                <w:szCs w:val="17"/>
                <w:color w:val="auto"/>
              </w:rPr>
              <w:t>Total deferred contract costs (deferred commissions)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80" w:type="dxa"/>
            <w:vAlign w:val="bottom"/>
            <w:vMerge w:val="continue"/>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8,899</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7"/>
                <w:szCs w:val="17"/>
                <w:color w:val="auto"/>
              </w:rPr>
              <w:t>2,885</w:t>
            </w:r>
          </w:p>
        </w:tc>
        <w:tc>
          <w:tcPr>
            <w:tcW w:w="7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A summary of the activity impacting deferred revenue balances during the year ended December 31, 2020 and the periods from July 16, 2019 to</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2019 and January 1, 2019 to July 15, 2019, is presented below (in thousands):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Borders>
              <w:right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8"/>
              </w:rPr>
              <w:t>Successor Company</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0"/>
              <w:spacing w:after="0" w:line="114" w:lineRule="exact"/>
              <w:rPr>
                <w:sz w:val="20"/>
                <w:szCs w:val="20"/>
                <w:color w:val="auto"/>
              </w:rPr>
            </w:pPr>
            <w:r>
              <w:rPr>
                <w:rFonts w:ascii="Arial" w:cs="Arial" w:eastAsia="Arial" w:hAnsi="Arial"/>
                <w:sz w:val="12"/>
                <w:szCs w:val="12"/>
                <w:color w:val="auto"/>
              </w:rPr>
              <w:t>Period from</w:t>
            </w:r>
          </w:p>
        </w:tc>
        <w:tc>
          <w:tcPr>
            <w:tcW w:w="28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20"/>
              <w:spacing w:after="0" w:line="140" w:lineRule="exact"/>
              <w:rPr>
                <w:sz w:val="20"/>
                <w:szCs w:val="20"/>
                <w:color w:val="auto"/>
              </w:rPr>
            </w:pPr>
            <w:r>
              <w:rPr>
                <w:rFonts w:ascii="Arial" w:cs="Arial" w:eastAsia="Arial" w:hAnsi="Arial"/>
                <w:sz w:val="14"/>
                <w:szCs w:val="14"/>
                <w:color w:val="auto"/>
                <w:w w:val="83"/>
              </w:rPr>
              <w:t>Year Ended</w:t>
            </w:r>
          </w:p>
        </w:tc>
        <w:tc>
          <w:tcPr>
            <w:tcW w:w="1240" w:type="dxa"/>
            <w:vAlign w:val="bottom"/>
            <w:tcBorders>
              <w:right w:val="single" w:sz="8" w:color="auto"/>
            </w:tcBorders>
            <w:gridSpan w:val="4"/>
          </w:tcPr>
          <w:p>
            <w:pPr>
              <w:jc w:val="center"/>
              <w:ind w:right="240"/>
              <w:spacing w:after="0" w:line="140" w:lineRule="exact"/>
              <w:rPr>
                <w:sz w:val="20"/>
                <w:szCs w:val="20"/>
                <w:color w:val="auto"/>
              </w:rPr>
            </w:pPr>
            <w:r>
              <w:rPr>
                <w:rFonts w:ascii="Arial" w:cs="Arial" w:eastAsia="Arial" w:hAnsi="Arial"/>
                <w:sz w:val="14"/>
                <w:szCs w:val="14"/>
                <w:color w:val="auto"/>
                <w:w w:val="88"/>
              </w:rPr>
              <w:t>July 16, 2019 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88"/>
              </w:rPr>
              <w:t>Period from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880" w:type="dxa"/>
            <w:vAlign w:val="bottom"/>
            <w:gridSpan w:val="4"/>
          </w:tcPr>
          <w:p>
            <w:pPr>
              <w:jc w:val="center"/>
              <w:ind w:right="120"/>
              <w:spacing w:after="0" w:line="140" w:lineRule="exact"/>
              <w:rPr>
                <w:sz w:val="20"/>
                <w:szCs w:val="20"/>
                <w:color w:val="auto"/>
              </w:rPr>
            </w:pPr>
            <w:r>
              <w:rPr>
                <w:rFonts w:ascii="Arial" w:cs="Arial" w:eastAsia="Arial" w:hAnsi="Arial"/>
                <w:sz w:val="14"/>
                <w:szCs w:val="14"/>
                <w:color w:val="auto"/>
                <w:w w:val="86"/>
              </w:rPr>
              <w:t>December 31,</w:t>
            </w:r>
          </w:p>
        </w:tc>
        <w:tc>
          <w:tcPr>
            <w:tcW w:w="80" w:type="dxa"/>
            <w:vAlign w:val="bottom"/>
          </w:tcPr>
          <w:p>
            <w:pPr>
              <w:spacing w:after="0"/>
              <w:rPr>
                <w:sz w:val="12"/>
                <w:szCs w:val="12"/>
                <w:color w:val="auto"/>
              </w:rPr>
            </w:pPr>
          </w:p>
        </w:tc>
        <w:tc>
          <w:tcPr>
            <w:tcW w:w="1160" w:type="dxa"/>
            <w:vAlign w:val="bottom"/>
            <w:tcBorders>
              <w:right w:val="single" w:sz="8" w:color="auto"/>
            </w:tcBorders>
            <w:gridSpan w:val="3"/>
          </w:tcPr>
          <w:p>
            <w:pPr>
              <w:jc w:val="center"/>
              <w:ind w:right="320"/>
              <w:spacing w:after="0" w:line="140" w:lineRule="exact"/>
              <w:rPr>
                <w:sz w:val="20"/>
                <w:szCs w:val="20"/>
                <w:color w:val="auto"/>
              </w:rPr>
            </w:pPr>
            <w:r>
              <w:rPr>
                <w:rFonts w:ascii="Arial" w:cs="Arial" w:eastAsia="Arial" w:hAnsi="Arial"/>
                <w:sz w:val="14"/>
                <w:szCs w:val="14"/>
                <w:color w:val="auto"/>
                <w:w w:val="86"/>
              </w:rPr>
              <w:t>December 31,</w:t>
            </w:r>
          </w:p>
        </w:tc>
        <w:tc>
          <w:tcPr>
            <w:tcW w:w="1320" w:type="dxa"/>
            <w:vAlign w:val="bottom"/>
            <w:gridSpan w:val="4"/>
          </w:tcPr>
          <w:p>
            <w:pPr>
              <w:jc w:val="center"/>
              <w:ind w:left="44"/>
              <w:spacing w:after="0" w:line="140" w:lineRule="exact"/>
              <w:rPr>
                <w:sz w:val="20"/>
                <w:szCs w:val="20"/>
                <w:color w:val="auto"/>
              </w:rPr>
            </w:pPr>
            <w:r>
              <w:rPr>
                <w:rFonts w:ascii="Arial" w:cs="Arial" w:eastAsia="Arial" w:hAnsi="Arial"/>
                <w:sz w:val="14"/>
                <w:szCs w:val="14"/>
                <w:color w:val="auto"/>
                <w:w w:val="86"/>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39"/>
              <w:spacing w:after="0" w:line="158" w:lineRule="exact"/>
              <w:rPr>
                <w:sz w:val="20"/>
                <w:szCs w:val="20"/>
                <w:color w:val="auto"/>
              </w:rPr>
            </w:pPr>
            <w:r>
              <w:rPr>
                <w:rFonts w:ascii="Arial" w:cs="Arial" w:eastAsia="Arial" w:hAnsi="Arial"/>
                <w:sz w:val="14"/>
                <w:szCs w:val="14"/>
                <w:color w:val="auto"/>
                <w:w w:val="83"/>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20"/>
              <w:spacing w:after="0" w:line="158" w:lineRule="exact"/>
              <w:rPr>
                <w:sz w:val="20"/>
                <w:szCs w:val="20"/>
                <w:color w:val="auto"/>
              </w:rPr>
            </w:pPr>
            <w:r>
              <w:rPr>
                <w:rFonts w:ascii="Arial" w:cs="Arial" w:eastAsia="Arial" w:hAnsi="Arial"/>
                <w:sz w:val="14"/>
                <w:szCs w:val="14"/>
                <w:color w:val="auto"/>
                <w:w w:val="83"/>
              </w:rPr>
              <w:t>2019</w:t>
            </w:r>
          </w:p>
        </w:tc>
        <w:tc>
          <w:tcPr>
            <w:tcW w:w="28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color w:val="auto"/>
                <w:w w:val="88"/>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38,278</w:t>
            </w:r>
          </w:p>
        </w:tc>
        <w:tc>
          <w:tcPr>
            <w:tcW w:w="28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Adoption of ASC 606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Acquisition adjustment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(6,278)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Revenue recognized</w:t>
            </w: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w w:val="93"/>
              </w:rPr>
              <w:t>(118,317)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7"/>
                <w:szCs w:val="17"/>
                <w:color w:val="auto"/>
              </w:rPr>
              <w:t>(40,045)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(45,458)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Additional amounts deferred</w:t>
            </w: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133,392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54,170</w:t>
            </w:r>
          </w:p>
        </w:tc>
        <w:tc>
          <w:tcPr>
            <w:tcW w:w="28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52,278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Arial" w:cs="Arial" w:eastAsia="Arial" w:hAnsi="Arial"/>
                <w:sz w:val="17"/>
                <w:szCs w:val="17"/>
                <w:color w:val="auto"/>
              </w:rPr>
              <w:t>Balance at end of period</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61,200</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46,125</w:t>
            </w:r>
          </w:p>
        </w:tc>
        <w:tc>
          <w:tcPr>
            <w:tcW w:w="28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38,278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ind w:left="5460" w:right="4120" w:hanging="5026"/>
        <w:spacing w:after="0" w:line="488" w:lineRule="auto"/>
        <w:tabs>
          <w:tab w:leader="none" w:pos="837" w:val="left"/>
        </w:tabs>
        <w:numPr>
          <w:ilvl w:val="0"/>
          <w:numId w:val="187"/>
        </w:numPr>
        <w:rPr>
          <w:rFonts w:ascii="Arial" w:cs="Arial" w:eastAsia="Arial" w:hAnsi="Arial"/>
          <w:sz w:val="14"/>
          <w:szCs w:val="14"/>
          <w:color w:val="auto"/>
        </w:rPr>
      </w:pPr>
      <w:r>
        <w:rPr>
          <w:rFonts w:ascii="Arial" w:cs="Arial" w:eastAsia="Arial" w:hAnsi="Arial"/>
          <w:sz w:val="16"/>
          <w:szCs w:val="16"/>
          <w:color w:val="auto"/>
        </w:rPr>
        <w:t>Amounts include total revenue deferred and recognized during each respective period. F-31</w:t>
      </w:r>
    </w:p>
    <w:p>
      <w:pPr>
        <w:sectPr>
          <w:pgSz w:w="11900" w:h="16838" w:orient="portrait"/>
          <w:cols w:equalWidth="0" w:num="1">
            <w:col w:w="10820"/>
          </w:cols>
          <w:pgMar w:left="320" w:top="442" w:right="759" w:bottom="1440" w:gutter="0" w:footer="0" w:header="0"/>
        </w:sectPr>
      </w:pPr>
    </w:p>
    <w:bookmarkStart w:id="258" w:name="page259"/>
    <w:bookmarkEnd w:id="2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6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remaining performance obligations consisted of the following (in thousands):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5"/>
          </w:tcPr>
          <w:p>
            <w:pPr>
              <w:ind w:left="360"/>
              <w:spacing w:after="0"/>
              <w:rPr>
                <w:sz w:val="20"/>
                <w:szCs w:val="20"/>
                <w:color w:val="auto"/>
              </w:rPr>
            </w:pPr>
            <w:r>
              <w:rPr>
                <w:rFonts w:ascii="Arial" w:cs="Arial" w:eastAsia="Arial" w:hAnsi="Arial"/>
                <w:sz w:val="14"/>
                <w:szCs w:val="14"/>
                <w:b w:val="1"/>
                <w:bCs w:val="1"/>
                <w:color w:val="auto"/>
              </w:rPr>
              <w:t>Successor Company</w:t>
            </w:r>
          </w:p>
        </w:tc>
      </w:tr>
      <w:tr>
        <w:trPr>
          <w:trHeight w:val="114"/>
        </w:trPr>
        <w:tc>
          <w:tcPr>
            <w:tcW w:w="33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44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2"/>
                <w:szCs w:val="12"/>
                <w:color w:val="auto"/>
              </w:rPr>
              <w:t>December 31,</w:t>
            </w:r>
          </w:p>
        </w:tc>
        <w:tc>
          <w:tcPr>
            <w:tcW w:w="76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2"/>
                <w:szCs w:val="12"/>
                <w:color w:val="auto"/>
                <w:w w:val="98"/>
              </w:rPr>
              <w:t>December 31,</w:t>
            </w:r>
          </w:p>
        </w:tc>
        <w:tc>
          <w:tcPr>
            <w:tcW w:w="40" w:type="dxa"/>
            <w:vAlign w:val="bottom"/>
          </w:tcPr>
          <w:p>
            <w:pPr>
              <w:spacing w:after="0"/>
              <w:rPr>
                <w:sz w:val="9"/>
                <w:szCs w:val="9"/>
                <w:color w:val="auto"/>
              </w:rPr>
            </w:pPr>
          </w:p>
        </w:tc>
      </w:tr>
      <w:tr>
        <w:trPr>
          <w:trHeight w:val="158"/>
        </w:trPr>
        <w:tc>
          <w:tcPr>
            <w:tcW w:w="330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82"/>
              <w:spacing w:after="0" w:line="158" w:lineRule="exact"/>
              <w:rPr>
                <w:sz w:val="20"/>
                <w:szCs w:val="20"/>
                <w:color w:val="auto"/>
              </w:rPr>
            </w:pPr>
            <w:r>
              <w:rPr>
                <w:rFonts w:ascii="Arial" w:cs="Arial" w:eastAsia="Arial" w:hAnsi="Arial"/>
                <w:sz w:val="14"/>
                <w:szCs w:val="14"/>
                <w:color w:val="auto"/>
              </w:rPr>
              <w:t>2020</w:t>
            </w:r>
          </w:p>
        </w:tc>
        <w:tc>
          <w:tcPr>
            <w:tcW w:w="6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9"/>
              <w:spacing w:after="0" w:line="158" w:lineRule="exact"/>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3"/>
                <w:szCs w:val="13"/>
                <w:color w:val="auto"/>
              </w:rPr>
            </w:pPr>
          </w:p>
        </w:tc>
      </w:tr>
      <w:tr>
        <w:trPr>
          <w:trHeight w:val="196"/>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Current</w:t>
            </w:r>
            <w:r>
              <w:rPr>
                <w:rFonts w:ascii="Arial" w:cs="Arial" w:eastAsia="Arial" w:hAnsi="Arial"/>
                <w:sz w:val="14"/>
                <w:szCs w:val="14"/>
                <w:color w:val="auto"/>
              </w:rPr>
              <w:t>(1)</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114,284</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82,291</w:t>
            </w:r>
          </w:p>
        </w:tc>
        <w:tc>
          <w:tcPr>
            <w:tcW w:w="40" w:type="dxa"/>
            <w:vAlign w:val="bottom"/>
            <w:shd w:val="clear" w:color="auto" w:fill="CCEEFF"/>
          </w:tcPr>
          <w:p>
            <w:pPr>
              <w:spacing w:after="0"/>
              <w:rPr>
                <w:sz w:val="17"/>
                <w:szCs w:val="17"/>
                <w:color w:val="auto"/>
              </w:rPr>
            </w:pPr>
          </w:p>
        </w:tc>
      </w:tr>
      <w:tr>
        <w:trPr>
          <w:trHeight w:val="209"/>
        </w:trPr>
        <w:tc>
          <w:tcPr>
            <w:tcW w:w="3300" w:type="dxa"/>
            <w:vAlign w:val="bottom"/>
          </w:tcPr>
          <w:p>
            <w:pPr>
              <w:spacing w:after="0"/>
              <w:rPr>
                <w:sz w:val="20"/>
                <w:szCs w:val="20"/>
                <w:color w:val="auto"/>
              </w:rPr>
            </w:pPr>
            <w:r>
              <w:rPr>
                <w:rFonts w:ascii="Arial" w:cs="Arial" w:eastAsia="Arial" w:hAnsi="Arial"/>
                <w:sz w:val="17"/>
                <w:szCs w:val="17"/>
                <w:color w:val="auto"/>
              </w:rPr>
              <w:t>Noncurrent</w:t>
            </w:r>
            <w:r>
              <w:rPr>
                <w:rFonts w:ascii="Arial" w:cs="Arial" w:eastAsia="Arial" w:hAnsi="Arial"/>
                <w:sz w:val="14"/>
                <w:szCs w:val="14"/>
                <w:color w:val="auto"/>
              </w:rPr>
              <w:t>(1)</w:t>
            </w:r>
          </w:p>
        </w:tc>
        <w:tc>
          <w:tcPr>
            <w:tcW w:w="2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58,250</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40,475</w:t>
            </w:r>
          </w:p>
        </w:tc>
        <w:tc>
          <w:tcPr>
            <w:tcW w:w="40" w:type="dxa"/>
            <w:vAlign w:val="bottom"/>
          </w:tcPr>
          <w:p>
            <w:pPr>
              <w:spacing w:after="0"/>
              <w:rPr>
                <w:sz w:val="18"/>
                <w:szCs w:val="18"/>
                <w:color w:val="auto"/>
              </w:rPr>
            </w:pPr>
          </w:p>
        </w:tc>
      </w:tr>
      <w:tr>
        <w:trPr>
          <w:trHeight w:val="204"/>
        </w:trPr>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w w:val="97"/>
              </w:rPr>
              <w:t>172,534</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7"/>
              </w:rPr>
              <w:t>122,766</w:t>
            </w:r>
          </w:p>
        </w:tc>
      </w:tr>
      <w:tr>
        <w:trPr>
          <w:trHeight w:val="20"/>
        </w:trPr>
        <w:tc>
          <w:tcPr>
            <w:tcW w:w="33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88900</wp:posOffset>
            </wp:positionV>
            <wp:extent cx="72707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spacing w:after="0" w:line="158" w:lineRule="exact"/>
        <w:rPr>
          <w:sz w:val="20"/>
          <w:szCs w:val="20"/>
          <w:color w:val="auto"/>
        </w:rPr>
      </w:pPr>
    </w:p>
    <w:p>
      <w:pPr>
        <w:ind w:left="840" w:right="360" w:hanging="406"/>
        <w:spacing w:after="0" w:line="273" w:lineRule="auto"/>
        <w:tabs>
          <w:tab w:leader="none" w:pos="8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above table has been corrected for certain errors. Previously reported current, noncurrent and total amounts were $121,623, $51,368, and $172,991 respectively for 2020 and $90,237, $32,957, and $123,194 respectively for 2019.</w:t>
      </w:r>
    </w:p>
    <w:p>
      <w:pPr>
        <w:spacing w:after="0" w:line="306" w:lineRule="exact"/>
        <w:rPr>
          <w:sz w:val="20"/>
          <w:szCs w:val="20"/>
          <w:color w:val="auto"/>
        </w:rPr>
      </w:pPr>
    </w:p>
    <w:p>
      <w:pPr>
        <w:ind w:left="840" w:hanging="406"/>
        <w:spacing w:after="0"/>
        <w:tabs>
          <w:tab w:leader="none" w:pos="840" w:val="left"/>
        </w:tabs>
        <w:numPr>
          <w:ilvl w:val="0"/>
          <w:numId w:val="18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Accounts Receivable</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Accounts receivable consisted of the following (in thousands):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83"/>
              </w:rPr>
              <w:t>Successor Company</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4"/>
        </w:trPr>
        <w:tc>
          <w:tcPr>
            <w:tcW w:w="5500" w:type="dxa"/>
            <w:vAlign w:val="bottom"/>
          </w:tcPr>
          <w:p>
            <w:pPr>
              <w:spacing w:after="0"/>
              <w:rPr>
                <w:sz w:val="9"/>
                <w:szCs w:val="9"/>
                <w:color w:val="auto"/>
              </w:rPr>
            </w:pPr>
          </w:p>
        </w:tc>
        <w:tc>
          <w:tcPr>
            <w:tcW w:w="1180" w:type="dxa"/>
            <w:vAlign w:val="bottom"/>
            <w:gridSpan w:val="3"/>
          </w:tcPr>
          <w:p>
            <w:pPr>
              <w:ind w:left="20"/>
              <w:spacing w:after="0" w:line="114" w:lineRule="exact"/>
              <w:rPr>
                <w:sz w:val="20"/>
                <w:szCs w:val="20"/>
                <w:color w:val="auto"/>
              </w:rPr>
            </w:pPr>
            <w:r>
              <w:rPr>
                <w:rFonts w:ascii="Arial" w:cs="Arial" w:eastAsia="Arial" w:hAnsi="Arial"/>
                <w:sz w:val="12"/>
                <w:szCs w:val="12"/>
                <w:color w:val="auto"/>
              </w:rPr>
              <w:t>December 31,</w:t>
            </w:r>
          </w:p>
        </w:tc>
        <w:tc>
          <w:tcPr>
            <w:tcW w:w="340" w:type="dxa"/>
            <w:vAlign w:val="bottom"/>
          </w:tcPr>
          <w:p>
            <w:pPr>
              <w:spacing w:after="0"/>
              <w:rPr>
                <w:sz w:val="9"/>
                <w:szCs w:val="9"/>
                <w:color w:val="auto"/>
              </w:rPr>
            </w:pPr>
          </w:p>
        </w:tc>
        <w:tc>
          <w:tcPr>
            <w:tcW w:w="760" w:type="dxa"/>
            <w:vAlign w:val="bottom"/>
            <w:gridSpan w:val="2"/>
          </w:tcPr>
          <w:p>
            <w:pPr>
              <w:spacing w:after="0" w:line="114" w:lineRule="exact"/>
              <w:rPr>
                <w:sz w:val="20"/>
                <w:szCs w:val="20"/>
                <w:color w:val="auto"/>
              </w:rPr>
            </w:pPr>
            <w:r>
              <w:rPr>
                <w:rFonts w:ascii="Arial" w:cs="Arial" w:eastAsia="Arial" w:hAnsi="Arial"/>
                <w:sz w:val="12"/>
                <w:szCs w:val="12"/>
                <w:color w:val="auto"/>
                <w:w w:val="98"/>
              </w:rPr>
              <w:t>December 31,</w:t>
            </w:r>
          </w:p>
        </w:tc>
        <w:tc>
          <w:tcPr>
            <w:tcW w:w="100" w:type="dxa"/>
            <w:vAlign w:val="bottom"/>
          </w:tcPr>
          <w:p>
            <w:pPr>
              <w:spacing w:after="0"/>
              <w:rPr>
                <w:sz w:val="9"/>
                <w:szCs w:val="9"/>
                <w:color w:val="auto"/>
              </w:rPr>
            </w:pPr>
          </w:p>
        </w:tc>
      </w:tr>
      <w:tr>
        <w:trPr>
          <w:trHeight w:val="158"/>
        </w:trPr>
        <w:tc>
          <w:tcPr>
            <w:tcW w:w="5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80"/>
              <w:spacing w:after="0" w:line="158" w:lineRule="exact"/>
              <w:rPr>
                <w:sz w:val="20"/>
                <w:szCs w:val="20"/>
                <w:color w:val="auto"/>
              </w:rPr>
            </w:pPr>
            <w:r>
              <w:rPr>
                <w:rFonts w:ascii="Arial" w:cs="Arial" w:eastAsia="Arial" w:hAnsi="Arial"/>
                <w:sz w:val="14"/>
                <w:szCs w:val="14"/>
                <w:color w:val="auto"/>
              </w:rPr>
              <w:t>2020</w:t>
            </w:r>
          </w:p>
        </w:tc>
        <w:tc>
          <w:tcPr>
            <w:tcW w:w="4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58"/>
              <w:spacing w:after="0" w:line="158" w:lineRule="exact"/>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3"/>
                <w:szCs w:val="13"/>
                <w:color w:val="auto"/>
              </w:rPr>
            </w:pPr>
          </w:p>
        </w:tc>
      </w:tr>
      <w:tr>
        <w:trPr>
          <w:trHeight w:val="196"/>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33,635</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25,220</w:t>
            </w:r>
          </w:p>
        </w:tc>
        <w:tc>
          <w:tcPr>
            <w:tcW w:w="100" w:type="dxa"/>
            <w:vAlign w:val="bottom"/>
            <w:shd w:val="clear" w:color="auto" w:fill="CCEEFF"/>
          </w:tcPr>
          <w:p>
            <w:pPr>
              <w:spacing w:after="0"/>
              <w:rPr>
                <w:sz w:val="17"/>
                <w:szCs w:val="17"/>
                <w:color w:val="auto"/>
              </w:rPr>
            </w:pPr>
          </w:p>
        </w:tc>
      </w:tr>
      <w:tr>
        <w:trPr>
          <w:trHeight w:val="204"/>
        </w:trPr>
        <w:tc>
          <w:tcPr>
            <w:tcW w:w="5500" w:type="dxa"/>
            <w:vAlign w:val="bottom"/>
          </w:tcPr>
          <w:p>
            <w:pPr>
              <w:spacing w:after="0"/>
              <w:rPr>
                <w:sz w:val="20"/>
                <w:szCs w:val="20"/>
                <w:color w:val="auto"/>
              </w:rPr>
            </w:pPr>
            <w:r>
              <w:rPr>
                <w:rFonts w:ascii="Arial" w:cs="Arial" w:eastAsia="Arial" w:hAnsi="Arial"/>
                <w:sz w:val="17"/>
                <w:szCs w:val="17"/>
                <w:color w:val="auto"/>
              </w:rPr>
              <w:t>Unbilled receivable</w:t>
            </w: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329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251</w:t>
            </w:r>
          </w:p>
        </w:tc>
      </w:tr>
      <w:tr>
        <w:trPr>
          <w:trHeight w:val="25"/>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5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33,964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25,471</w:t>
            </w:r>
          </w:p>
        </w:tc>
      </w:tr>
      <w:tr>
        <w:trPr>
          <w:trHeight w:val="204"/>
        </w:trPr>
        <w:tc>
          <w:tcPr>
            <w:tcW w:w="5500" w:type="dxa"/>
            <w:vAlign w:val="bottom"/>
          </w:tcPr>
          <w:p>
            <w:pPr>
              <w:ind w:left="340"/>
              <w:spacing w:after="0"/>
              <w:rPr>
                <w:sz w:val="20"/>
                <w:szCs w:val="20"/>
                <w:color w:val="auto"/>
              </w:rPr>
            </w:pPr>
            <w:r>
              <w:rPr>
                <w:rFonts w:ascii="Arial" w:cs="Arial" w:eastAsia="Arial" w:hAnsi="Arial"/>
                <w:sz w:val="17"/>
                <w:szCs w:val="17"/>
                <w:color w:val="auto"/>
              </w:rPr>
              <w:t>Less: allowance for doubtful accounts</w:t>
            </w:r>
          </w:p>
        </w:tc>
        <w:tc>
          <w:tcPr>
            <w:tcW w:w="180" w:type="dxa"/>
            <w:vAlign w:val="bottom"/>
          </w:tcPr>
          <w:p>
            <w:pPr>
              <w:spacing w:after="0"/>
              <w:rPr>
                <w:sz w:val="17"/>
                <w:szCs w:val="17"/>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(856)</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(450)</w:t>
            </w:r>
          </w:p>
        </w:tc>
      </w:tr>
      <w:tr>
        <w:trPr>
          <w:trHeight w:val="25"/>
        </w:trPr>
        <w:tc>
          <w:tcPr>
            <w:tcW w:w="5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4"/>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9"/>
              </w:rPr>
              <w:t>25,021</w:t>
            </w:r>
          </w:p>
        </w:tc>
      </w:tr>
      <w:tr>
        <w:trPr>
          <w:trHeight w:val="20"/>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Property and Equipment</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consisted of the following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w w:val="85"/>
              </w:rPr>
              <w:t>Successor Company</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200" w:type="dxa"/>
            <w:vAlign w:val="bottom"/>
            <w:gridSpan w:val="3"/>
          </w:tcPr>
          <w:p>
            <w:pPr>
              <w:spacing w:after="0" w:line="114" w:lineRule="exact"/>
              <w:rPr>
                <w:sz w:val="20"/>
                <w:szCs w:val="20"/>
                <w:color w:val="auto"/>
              </w:rPr>
            </w:pPr>
            <w:r>
              <w:rPr>
                <w:rFonts w:ascii="Arial" w:cs="Arial" w:eastAsia="Arial" w:hAnsi="Arial"/>
                <w:sz w:val="12"/>
                <w:szCs w:val="12"/>
                <w:color w:val="auto"/>
              </w:rPr>
              <w:t>December 31,</w:t>
            </w:r>
          </w:p>
        </w:tc>
        <w:tc>
          <w:tcPr>
            <w:tcW w:w="1140" w:type="dxa"/>
            <w:vAlign w:val="bottom"/>
            <w:gridSpan w:val="3"/>
          </w:tcPr>
          <w:p>
            <w:pPr>
              <w:ind w:left="380"/>
              <w:spacing w:after="0" w:line="114" w:lineRule="exact"/>
              <w:rPr>
                <w:sz w:val="20"/>
                <w:szCs w:val="20"/>
                <w:color w:val="auto"/>
              </w:rPr>
            </w:pPr>
            <w:r>
              <w:rPr>
                <w:rFonts w:ascii="Arial" w:cs="Arial" w:eastAsia="Arial" w:hAnsi="Arial"/>
                <w:sz w:val="12"/>
                <w:szCs w:val="12"/>
                <w:color w:val="auto"/>
                <w:w w:val="98"/>
              </w:rPr>
              <w:t>December 31,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920" w:type="dxa"/>
            <w:vAlign w:val="bottom"/>
            <w:tcBorders>
              <w:bottom w:val="single" w:sz="8" w:color="CCEEFF"/>
            </w:tcBorders>
          </w:tcPr>
          <w:p>
            <w:pPr>
              <w:spacing w:after="0"/>
              <w:rPr>
                <w:sz w:val="13"/>
                <w:szCs w:val="13"/>
                <w:color w:val="auto"/>
              </w:rPr>
            </w:pPr>
          </w:p>
        </w:tc>
        <w:tc>
          <w:tcPr>
            <w:tcW w:w="2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9"/>
              <w:spacing w:after="0" w:line="158" w:lineRule="exact"/>
              <w:rPr>
                <w:sz w:val="20"/>
                <w:szCs w:val="20"/>
                <w:color w:val="auto"/>
              </w:rPr>
            </w:pPr>
            <w:r>
              <w:rPr>
                <w:rFonts w:ascii="Arial" w:cs="Arial" w:eastAsia="Arial" w:hAnsi="Arial"/>
                <w:sz w:val="14"/>
                <w:szCs w:val="14"/>
                <w:color w:val="auto"/>
              </w:rPr>
              <w:t>2020</w:t>
            </w:r>
          </w:p>
        </w:tc>
        <w:tc>
          <w:tcPr>
            <w:tcW w:w="44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7"/>
              <w:spacing w:after="0" w:line="158" w:lineRule="exact"/>
              <w:rPr>
                <w:sz w:val="20"/>
                <w:szCs w:val="20"/>
                <w:color w:val="auto"/>
              </w:rPr>
            </w:pPr>
            <w:r>
              <w:rPr>
                <w:rFonts w:ascii="Arial" w:cs="Arial" w:eastAsia="Arial" w:hAnsi="Arial"/>
                <w:sz w:val="14"/>
                <w:szCs w:val="14"/>
                <w:color w:val="auto"/>
                <w:w w:val="96"/>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Computers and software</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Furniture and equipment</w:t>
            </w: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1,109</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777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2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7"/>
                <w:szCs w:val="17"/>
                <w:color w:val="auto"/>
              </w:rPr>
              <w:t>Construction in process</w:t>
            </w:r>
          </w:p>
        </w:tc>
        <w:tc>
          <w:tcPr>
            <w:tcW w:w="2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6,159</w:t>
            </w:r>
          </w:p>
        </w:tc>
        <w:tc>
          <w:tcPr>
            <w:tcW w:w="4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20" w:type="dxa"/>
            <w:vAlign w:val="bottom"/>
          </w:tcPr>
          <w:p>
            <w:pPr>
              <w:ind w:left="320"/>
              <w:spacing w:after="0"/>
              <w:rPr>
                <w:sz w:val="20"/>
                <w:szCs w:val="20"/>
                <w:color w:val="auto"/>
              </w:rPr>
            </w:pPr>
            <w:r>
              <w:rPr>
                <w:rFonts w:ascii="Arial" w:cs="Arial" w:eastAsia="Arial" w:hAnsi="Arial"/>
                <w:sz w:val="17"/>
                <w:szCs w:val="17"/>
                <w:color w:val="auto"/>
                <w:w w:val="96"/>
              </w:rPr>
              <w:t>Less: accumulated depreciation and amortization</w:t>
            </w:r>
          </w:p>
        </w:tc>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7"/>
                <w:szCs w:val="17"/>
                <w:color w:val="auto"/>
              </w:rPr>
              <w:t>(2,911)</w:t>
            </w: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(1,759)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500" w:type="dxa"/>
            <w:vAlign w:val="bottom"/>
            <w:gridSpan w:val="2"/>
            <w:shd w:val="clear" w:color="auto" w:fill="CCEEFF"/>
          </w:tcPr>
          <w:p>
            <w:pPr>
              <w:ind w:left="234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3,248</w:t>
            </w:r>
          </w:p>
        </w:tc>
        <w:tc>
          <w:tcPr>
            <w:tcW w:w="4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500" w:type="dxa"/>
            <w:vAlign w:val="bottom"/>
            <w:gridSpan w:val="2"/>
          </w:tcPr>
          <w:p>
            <w:pPr>
              <w:ind w:left="260"/>
              <w:spacing w:after="0"/>
              <w:rPr>
                <w:sz w:val="20"/>
                <w:szCs w:val="20"/>
                <w:color w:val="auto"/>
              </w:rPr>
            </w:pPr>
            <w:r>
              <w:rPr>
                <w:rFonts w:ascii="Arial" w:cs="Arial" w:eastAsia="Arial" w:hAnsi="Arial"/>
                <w:sz w:val="17"/>
                <w:szCs w:val="17"/>
                <w:color w:val="auto"/>
              </w:rPr>
              <w:t>F-32</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320" w:top="442" w:right="779" w:bottom="1440" w:gutter="0" w:footer="0" w:header="0"/>
        </w:sectPr>
      </w:pPr>
    </w:p>
    <w:bookmarkStart w:id="259" w:name="page260"/>
    <w:bookmarkEnd w:id="2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342" w:lineRule="auto"/>
        <w:rPr>
          <w:sz w:val="20"/>
          <w:szCs w:val="20"/>
          <w:color w:val="auto"/>
        </w:rPr>
      </w:pPr>
      <w:r>
        <w:rPr>
          <w:rFonts w:ascii="Arial" w:cs="Arial" w:eastAsia="Arial" w:hAnsi="Arial"/>
          <w:sz w:val="15"/>
          <w:szCs w:val="15"/>
          <w:color w:val="auto"/>
        </w:rPr>
        <w:t>Depreciation and amortization expense was $1.2 million for the year ended December 31, 2020 (Successor), and $0.5 million and $0.4 million for the periods from July 16, 2019 through December 31, 2019 (Successor), and January 1, 2019 through July 15, 2019 (Predecessor), respectively.</w:t>
      </w:r>
    </w:p>
    <w:p>
      <w:pPr>
        <w:spacing w:after="0" w:line="259" w:lineRule="exact"/>
        <w:rPr>
          <w:sz w:val="20"/>
          <w:szCs w:val="20"/>
          <w:color w:val="auto"/>
        </w:rPr>
      </w:pPr>
    </w:p>
    <w:p>
      <w:pPr>
        <w:ind w:left="840" w:hanging="406"/>
        <w:spacing w:after="0"/>
        <w:tabs>
          <w:tab w:leader="none" w:pos="840" w:val="left"/>
        </w:tabs>
        <w:numPr>
          <w:ilvl w:val="0"/>
          <w:numId w:val="19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Goodwill and Intangible Assets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carrying amounts of goodwill and intangible assets, as of December 31, 2020 and 2019, consist of the following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2020 (Successor)</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2"/>
                <w:szCs w:val="12"/>
                <w:color w:val="auto"/>
                <w:w w:val="99"/>
              </w:rPr>
              <w:t>Gross Carrying</w:t>
            </w:r>
          </w:p>
        </w:tc>
        <w:tc>
          <w:tcPr>
            <w:tcW w:w="1720" w:type="dxa"/>
            <w:vAlign w:val="bottom"/>
            <w:gridSpan w:val="4"/>
          </w:tcPr>
          <w:p>
            <w:pPr>
              <w:ind w:left="480"/>
              <w:spacing w:after="0" w:line="114" w:lineRule="exact"/>
              <w:rPr>
                <w:sz w:val="20"/>
                <w:szCs w:val="20"/>
                <w:color w:val="auto"/>
              </w:rPr>
            </w:pPr>
            <w:r>
              <w:rPr>
                <w:rFonts w:ascii="Arial" w:cs="Arial" w:eastAsia="Arial" w:hAnsi="Arial"/>
                <w:sz w:val="12"/>
                <w:szCs w:val="12"/>
                <w:color w:val="auto"/>
              </w:rPr>
              <w:t>Accumulated</w:t>
            </w:r>
          </w:p>
        </w:tc>
        <w:tc>
          <w:tcPr>
            <w:tcW w:w="2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2"/>
                <w:szCs w:val="12"/>
                <w:color w:val="auto"/>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19"/>
              <w:spacing w:after="0" w:line="158" w:lineRule="exact"/>
              <w:rPr>
                <w:sz w:val="20"/>
                <w:szCs w:val="20"/>
                <w:color w:val="auto"/>
              </w:rPr>
            </w:pPr>
            <w:r>
              <w:rPr>
                <w:rFonts w:ascii="Arial" w:cs="Arial" w:eastAsia="Arial" w:hAnsi="Arial"/>
                <w:sz w:val="14"/>
                <w:szCs w:val="14"/>
                <w:color w:val="auto"/>
              </w:rPr>
              <w:t>Amount</w:t>
            </w:r>
          </w:p>
        </w:tc>
        <w:tc>
          <w:tcPr>
            <w:tcW w:w="1720" w:type="dxa"/>
            <w:vAlign w:val="bottom"/>
            <w:gridSpan w:val="4"/>
          </w:tcPr>
          <w:p>
            <w:pPr>
              <w:ind w:left="480"/>
              <w:spacing w:after="0" w:line="158" w:lineRule="exact"/>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370,030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(58,097)</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311,933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(10,218)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35,500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(2,952)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w w:val="97"/>
              </w:rPr>
              <w:t>(17,782)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499,286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(89,049)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410,237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w w:val="91"/>
              </w:rPr>
              <w:t>$ 1,760,730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(89,049)</w:t>
            </w:r>
          </w:p>
        </w:tc>
        <w:tc>
          <w:tcPr>
            <w:tcW w:w="800" w:type="dxa"/>
            <w:vAlign w:val="bottom"/>
            <w:gridSpan w:val="3"/>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1,671,681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2019 (Successor)</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2"/>
                <w:szCs w:val="12"/>
                <w:color w:val="auto"/>
                <w:w w:val="99"/>
              </w:rPr>
              <w:t>Gross Carrying</w:t>
            </w:r>
          </w:p>
        </w:tc>
        <w:tc>
          <w:tcPr>
            <w:tcW w:w="1720" w:type="dxa"/>
            <w:vAlign w:val="bottom"/>
            <w:gridSpan w:val="4"/>
          </w:tcPr>
          <w:p>
            <w:pPr>
              <w:ind w:left="480"/>
              <w:spacing w:after="0" w:line="114" w:lineRule="exact"/>
              <w:rPr>
                <w:sz w:val="20"/>
                <w:szCs w:val="20"/>
                <w:color w:val="auto"/>
              </w:rPr>
            </w:pPr>
            <w:r>
              <w:rPr>
                <w:rFonts w:ascii="Arial" w:cs="Arial" w:eastAsia="Arial" w:hAnsi="Arial"/>
                <w:sz w:val="12"/>
                <w:szCs w:val="12"/>
                <w:color w:val="auto"/>
              </w:rPr>
              <w:t>Accumulated</w:t>
            </w:r>
          </w:p>
        </w:tc>
        <w:tc>
          <w:tcPr>
            <w:tcW w:w="2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2"/>
                <w:szCs w:val="12"/>
                <w:color w:val="auto"/>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19"/>
              <w:spacing w:after="0" w:line="158" w:lineRule="exact"/>
              <w:rPr>
                <w:sz w:val="20"/>
                <w:szCs w:val="20"/>
                <w:color w:val="auto"/>
              </w:rPr>
            </w:pPr>
            <w:r>
              <w:rPr>
                <w:rFonts w:ascii="Arial" w:cs="Arial" w:eastAsia="Arial" w:hAnsi="Arial"/>
                <w:sz w:val="14"/>
                <w:szCs w:val="14"/>
                <w:color w:val="auto"/>
              </w:rPr>
              <w:t>Amount</w:t>
            </w:r>
          </w:p>
        </w:tc>
        <w:tc>
          <w:tcPr>
            <w:tcW w:w="1720" w:type="dxa"/>
            <w:vAlign w:val="bottom"/>
            <w:gridSpan w:val="4"/>
          </w:tcPr>
          <w:p>
            <w:pPr>
              <w:ind w:left="480"/>
              <w:spacing w:after="0" w:line="158" w:lineRule="exact"/>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358,130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(21,075)</w:t>
            </w:r>
          </w:p>
        </w:tc>
        <w:tc>
          <w:tcPr>
            <w:tcW w:w="10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337,055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48,500</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(3,206)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34,100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rPr>
              <w:t>(928)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33,172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36,268</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(5,408)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30,860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476,998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(30,617)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446,381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1,233,173</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1,233,173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w w:val="91"/>
              </w:rPr>
              <w:t>$ 1,710,171</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60"/>
              <w:spacing w:after="0"/>
              <w:rPr>
                <w:sz w:val="20"/>
                <w:szCs w:val="20"/>
                <w:color w:val="auto"/>
              </w:rPr>
            </w:pPr>
            <w:r>
              <w:rPr>
                <w:rFonts w:ascii="Arial" w:cs="Arial" w:eastAsia="Arial" w:hAnsi="Arial"/>
                <w:sz w:val="17"/>
                <w:szCs w:val="17"/>
                <w:color w:val="auto"/>
                <w:w w:val="97"/>
              </w:rPr>
              <w:t>(30,617)</w:t>
            </w:r>
          </w:p>
        </w:tc>
        <w:tc>
          <w:tcPr>
            <w:tcW w:w="800" w:type="dxa"/>
            <w:vAlign w:val="bottom"/>
            <w:gridSpan w:val="3"/>
          </w:tcPr>
          <w:p>
            <w:pPr>
              <w:jc w:val="right"/>
              <w:spacing w:after="0"/>
              <w:rPr>
                <w:sz w:val="20"/>
                <w:szCs w:val="20"/>
                <w:color w:val="auto"/>
              </w:rPr>
            </w:pPr>
            <w:r>
              <w:rPr>
                <w:rFonts w:ascii="Arial" w:cs="Arial" w:eastAsia="Arial" w:hAnsi="Arial"/>
                <w:sz w:val="17"/>
                <w:szCs w:val="17"/>
                <w:u w:val="single" w:color="auto"/>
                <w:color w:val="auto"/>
                <w:w w:val="89"/>
              </w:rPr>
              <w:t>$</w:t>
            </w:r>
            <w:r>
              <w:rPr>
                <w:rFonts w:ascii="Arial" w:cs="Arial" w:eastAsia="Arial" w:hAnsi="Arial"/>
                <w:sz w:val="17"/>
                <w:szCs w:val="17"/>
                <w:color w:val="auto"/>
                <w:w w:val="89"/>
              </w:rPr>
              <w:t>1,679,554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Amortization expense associated with finite-lived intangible assets was $58.4 million for the year ended December 31, 2020 (Successor), of which $19.4 million was included in cost of revenue for the said period. Amortization expense associated with finite-lived intangible assets was $30.6 million and $2.0 million for the periods from July 16, 2019 through December 31, 2019 (Successor), and January 1, 2019 through July 15, 2019 (Predecessor), respectively.</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Estimated total intangible amortization expense during the next five years and thereafter is as follows (in thousands):</w:t>
      </w:r>
    </w:p>
    <w:p>
      <w:pPr>
        <w:spacing w:after="0" w:line="249"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3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58,143</w:t>
            </w:r>
          </w:p>
        </w:tc>
      </w:tr>
      <w:tr>
        <w:trPr>
          <w:trHeight w:val="204"/>
        </w:trPr>
        <w:tc>
          <w:tcPr>
            <w:tcW w:w="2040" w:type="dxa"/>
            <w:vAlign w:val="bottom"/>
          </w:tcPr>
          <w:p>
            <w:pPr>
              <w:spacing w:after="0"/>
              <w:rPr>
                <w:sz w:val="20"/>
                <w:szCs w:val="20"/>
                <w:color w:val="auto"/>
              </w:rPr>
            </w:pPr>
            <w:r>
              <w:rPr>
                <w:rFonts w:ascii="Arial" w:cs="Arial" w:eastAsia="Arial" w:hAnsi="Arial"/>
                <w:sz w:val="17"/>
                <w:szCs w:val="17"/>
                <w:color w:val="auto"/>
              </w:rPr>
              <w:t>2022</w:t>
            </w: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53,653</w:t>
            </w:r>
          </w:p>
        </w:tc>
      </w:tr>
      <w:tr>
        <w:trPr>
          <w:trHeight w:val="204"/>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45,709</w:t>
            </w:r>
          </w:p>
        </w:tc>
      </w:tr>
      <w:tr>
        <w:trPr>
          <w:trHeight w:val="204"/>
        </w:trPr>
        <w:tc>
          <w:tcPr>
            <w:tcW w:w="2040" w:type="dxa"/>
            <w:vAlign w:val="bottom"/>
          </w:tcPr>
          <w:p>
            <w:pPr>
              <w:spacing w:after="0"/>
              <w:rPr>
                <w:sz w:val="20"/>
                <w:szCs w:val="20"/>
                <w:color w:val="auto"/>
              </w:rPr>
            </w:pPr>
            <w:r>
              <w:rPr>
                <w:rFonts w:ascii="Arial" w:cs="Arial" w:eastAsia="Arial" w:hAnsi="Arial"/>
                <w:sz w:val="17"/>
                <w:szCs w:val="17"/>
                <w:color w:val="auto"/>
              </w:rPr>
              <w:t>2024</w:t>
            </w: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42,485</w:t>
            </w:r>
          </w:p>
        </w:tc>
      </w:tr>
      <w:tr>
        <w:trPr>
          <w:trHeight w:val="204"/>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38,296</w:t>
            </w:r>
          </w:p>
        </w:tc>
      </w:tr>
      <w:tr>
        <w:trPr>
          <w:trHeight w:val="204"/>
        </w:trPr>
        <w:tc>
          <w:tcPr>
            <w:tcW w:w="2040" w:type="dxa"/>
            <w:vAlign w:val="bottom"/>
          </w:tcPr>
          <w:p>
            <w:pPr>
              <w:spacing w:after="0"/>
              <w:rPr>
                <w:sz w:val="20"/>
                <w:szCs w:val="20"/>
                <w:color w:val="auto"/>
              </w:rPr>
            </w:pPr>
            <w:r>
              <w:rPr>
                <w:rFonts w:ascii="Arial" w:cs="Arial" w:eastAsia="Arial" w:hAnsi="Arial"/>
                <w:sz w:val="17"/>
                <w:szCs w:val="17"/>
                <w:color w:val="auto"/>
              </w:rPr>
              <w:t>Thereafter</w:t>
            </w: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171,951</w:t>
            </w:r>
          </w:p>
        </w:tc>
      </w:tr>
      <w:tr>
        <w:trPr>
          <w:trHeight w:val="25"/>
        </w:trPr>
        <w:tc>
          <w:tcPr>
            <w:tcW w:w="20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20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410,237</w:t>
            </w:r>
          </w:p>
        </w:tc>
      </w:tr>
      <w:tr>
        <w:trPr>
          <w:trHeight w:val="20"/>
        </w:trPr>
        <w:tc>
          <w:tcPr>
            <w:tcW w:w="20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3"/>
        </w:trPr>
        <w:tc>
          <w:tcPr>
            <w:tcW w:w="2040" w:type="dxa"/>
            <w:vAlign w:val="bottom"/>
          </w:tcPr>
          <w:p>
            <w:pPr>
              <w:spacing w:after="0"/>
              <w:rPr>
                <w:sz w:val="24"/>
                <w:szCs w:val="24"/>
                <w:color w:val="auto"/>
              </w:rPr>
            </w:pPr>
          </w:p>
        </w:tc>
        <w:tc>
          <w:tcPr>
            <w:tcW w:w="4380" w:type="dxa"/>
            <w:vAlign w:val="bottom"/>
            <w:gridSpan w:val="2"/>
          </w:tcPr>
          <w:p>
            <w:pPr>
              <w:jc w:val="right"/>
              <w:ind w:right="2666"/>
              <w:spacing w:after="0"/>
              <w:rPr>
                <w:sz w:val="20"/>
                <w:szCs w:val="20"/>
                <w:color w:val="auto"/>
              </w:rPr>
            </w:pPr>
            <w:r>
              <w:rPr>
                <w:rFonts w:ascii="Arial" w:cs="Arial" w:eastAsia="Arial" w:hAnsi="Arial"/>
                <w:sz w:val="17"/>
                <w:szCs w:val="17"/>
                <w:color w:val="auto"/>
              </w:rPr>
              <w:t>F-33</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00"/>
          </w:cols>
          <w:pgMar w:left="320" w:top="442" w:right="779" w:bottom="1440" w:gutter="0" w:footer="0" w:header="0"/>
        </w:sectPr>
      </w:pPr>
    </w:p>
    <w:bookmarkStart w:id="260" w:name="page261"/>
    <w:bookmarkEnd w:id="2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changes in the carrying amount of goodwill for the year ended December 31, 2020 (Successor) and the periods from July 16, 2019 to</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2019 (Successor) and January 1, 2019 through July 15, 2019 (Predecessor) were as follows (in thousands):</w:t>
      </w:r>
    </w:p>
    <w:p>
      <w:pPr>
        <w:spacing w:after="0" w:line="238"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2019 (Predecessor)</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63,623</w:t>
            </w:r>
          </w:p>
        </w:tc>
      </w:tr>
      <w:tr>
        <w:trPr>
          <w:trHeight w:val="204"/>
        </w:trPr>
        <w:tc>
          <w:tcPr>
            <w:tcW w:w="4520" w:type="dxa"/>
            <w:vAlign w:val="bottom"/>
          </w:tcPr>
          <w:p>
            <w:pPr>
              <w:spacing w:after="0"/>
              <w:rPr>
                <w:sz w:val="20"/>
                <w:szCs w:val="20"/>
                <w:color w:val="auto"/>
              </w:rPr>
            </w:pPr>
            <w:r>
              <w:rPr>
                <w:rFonts w:ascii="Arial" w:cs="Arial" w:eastAsia="Arial" w:hAnsi="Arial"/>
                <w:sz w:val="17"/>
                <w:szCs w:val="17"/>
                <w:color w:val="auto"/>
              </w:rPr>
              <w:t>HIMSS acquisition (Note 3)</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19,145</w:t>
            </w:r>
          </w:p>
        </w:tc>
      </w:tr>
      <w:tr>
        <w:trPr>
          <w:trHeight w:val="25"/>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15, 2019 (Predecessor)</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82,768</w:t>
            </w:r>
          </w:p>
        </w:tc>
      </w:tr>
      <w:tr>
        <w:trPr>
          <w:trHeight w:val="216"/>
        </w:trPr>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Definitive Holdco Acquisition (Note 3)</w:t>
            </w:r>
          </w:p>
        </w:tc>
        <w:tc>
          <w:tcPr>
            <w:tcW w:w="1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1,144,494</w:t>
            </w:r>
          </w:p>
        </w:tc>
        <w:tc>
          <w:tcPr>
            <w:tcW w:w="60" w:type="dxa"/>
            <w:vAlign w:val="bottom"/>
            <w:tcBorders>
              <w:bottom w:val="single" w:sz="8" w:color="auto"/>
            </w:tcBorders>
          </w:tcPr>
          <w:p>
            <w:pPr>
              <w:spacing w:after="0"/>
              <w:rPr>
                <w:sz w:val="18"/>
                <w:szCs w:val="18"/>
                <w:color w:val="auto"/>
              </w:rPr>
            </w:pPr>
          </w:p>
        </w:tc>
      </w:tr>
      <w:tr>
        <w:trPr>
          <w:trHeight w:val="197"/>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July 16, 2019 (Successor)</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1,227,262</w:t>
            </w:r>
          </w:p>
        </w:tc>
        <w:tc>
          <w:tcPr>
            <w:tcW w:w="60" w:type="dxa"/>
            <w:vAlign w:val="bottom"/>
            <w:shd w:val="clear" w:color="auto" w:fill="CCEEFF"/>
          </w:tcPr>
          <w:p>
            <w:pPr>
              <w:spacing w:after="0"/>
              <w:rPr>
                <w:sz w:val="17"/>
                <w:szCs w:val="17"/>
                <w:color w:val="auto"/>
              </w:rPr>
            </w:pPr>
          </w:p>
        </w:tc>
      </w:tr>
      <w:tr>
        <w:trPr>
          <w:trHeight w:val="209"/>
        </w:trPr>
        <w:tc>
          <w:tcPr>
            <w:tcW w:w="4520" w:type="dxa"/>
            <w:vAlign w:val="bottom"/>
          </w:tcPr>
          <w:p>
            <w:pPr>
              <w:spacing w:after="0"/>
              <w:rPr>
                <w:sz w:val="20"/>
                <w:szCs w:val="20"/>
                <w:color w:val="auto"/>
              </w:rPr>
            </w:pPr>
            <w:r>
              <w:rPr>
                <w:rFonts w:ascii="Arial" w:cs="Arial" w:eastAsia="Arial" w:hAnsi="Arial"/>
                <w:sz w:val="17"/>
                <w:szCs w:val="17"/>
                <w:color w:val="auto"/>
              </w:rPr>
              <w:t>HSE acquisition (Note 3)</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5,911</w:t>
            </w:r>
          </w:p>
        </w:tc>
      </w:t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2019 (Successor)</w:t>
            </w:r>
          </w:p>
        </w:tc>
        <w:tc>
          <w:tcPr>
            <w:tcW w:w="16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1,233,173</w:t>
            </w:r>
          </w:p>
        </w:tc>
        <w:tc>
          <w:tcPr>
            <w:tcW w:w="60" w:type="dxa"/>
            <w:vAlign w:val="bottom"/>
            <w:shd w:val="clear" w:color="auto" w:fill="CCEEFF"/>
          </w:tcPr>
          <w:p>
            <w:pPr>
              <w:spacing w:after="0"/>
              <w:rPr>
                <w:sz w:val="17"/>
                <w:szCs w:val="17"/>
                <w:color w:val="auto"/>
              </w:rPr>
            </w:pPr>
          </w:p>
        </w:tc>
      </w:tr>
      <w:tr>
        <w:trPr>
          <w:trHeight w:val="204"/>
        </w:trPr>
        <w:tc>
          <w:tcPr>
            <w:tcW w:w="4520" w:type="dxa"/>
            <w:vAlign w:val="bottom"/>
          </w:tcPr>
          <w:p>
            <w:pPr>
              <w:spacing w:after="0"/>
              <w:rPr>
                <w:sz w:val="20"/>
                <w:szCs w:val="20"/>
                <w:color w:val="auto"/>
              </w:rPr>
            </w:pPr>
            <w:r>
              <w:rPr>
                <w:rFonts w:ascii="Arial" w:cs="Arial" w:eastAsia="Arial" w:hAnsi="Arial"/>
                <w:sz w:val="17"/>
                <w:szCs w:val="17"/>
                <w:color w:val="auto"/>
              </w:rPr>
              <w:t>Monocl acquisition (Note 3)</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auto"/>
              </w:rPr>
              <w:t>28,271</w:t>
            </w:r>
          </w:p>
        </w:tc>
      </w:tr>
      <w:tr>
        <w:trPr>
          <w:trHeight w:val="25"/>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Balance at December 31, 2020 (Successor)</w:t>
            </w: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60" w:type="dxa"/>
            <w:vAlign w:val="bottom"/>
            <w:shd w:val="clear" w:color="auto" w:fill="CCEEFF"/>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The Company determined it had one reporting unit. The Company performed its annual impairment assessment in the fourth quarter of 2020 and 2019 and determined there was no impairment in 2020 or 2019.</w:t>
      </w:r>
    </w:p>
    <w:p>
      <w:pPr>
        <w:spacing w:after="0" w:line="306" w:lineRule="exact"/>
        <w:rPr>
          <w:sz w:val="20"/>
          <w:szCs w:val="20"/>
          <w:color w:val="auto"/>
        </w:rPr>
      </w:pPr>
    </w:p>
    <w:p>
      <w:pPr>
        <w:ind w:left="840" w:hanging="406"/>
        <w:spacing w:after="0"/>
        <w:tabs>
          <w:tab w:leader="none" w:pos="840"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Long-Term Debt</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Long-term debt consisted of the following as of December 31, 2020 and 2019, respectively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87"/>
              </w:rPr>
              <w:t>December 31, 2020 (Successor)</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60" w:type="dxa"/>
            <w:vAlign w:val="bottom"/>
            <w:gridSpan w:val="4"/>
          </w:tcPr>
          <w:p>
            <w:pPr>
              <w:ind w:left="600"/>
              <w:spacing w:after="0" w:line="114" w:lineRule="exact"/>
              <w:rPr>
                <w:sz w:val="20"/>
                <w:szCs w:val="20"/>
                <w:color w:val="auto"/>
              </w:rPr>
            </w:pPr>
            <w:r>
              <w:rPr>
                <w:rFonts w:ascii="Arial" w:cs="Arial" w:eastAsia="Arial" w:hAnsi="Arial"/>
                <w:sz w:val="12"/>
                <w:szCs w:val="12"/>
                <w:color w:val="auto"/>
              </w:rPr>
              <w:t>Unamortized debt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issuance costs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1"/>
              <w:spacing w:after="0" w:line="158" w:lineRule="exact"/>
              <w:rPr>
                <w:sz w:val="20"/>
                <w:szCs w:val="20"/>
                <w:color w:val="auto"/>
              </w:rPr>
            </w:pPr>
            <w:r>
              <w:rPr>
                <w:rFonts w:ascii="Arial" w:cs="Arial" w:eastAsia="Arial" w:hAnsi="Arial"/>
                <w:sz w:val="14"/>
                <w:szCs w:val="14"/>
                <w:color w:val="auto"/>
              </w:rPr>
              <w:t>Principal</w:t>
            </w:r>
          </w:p>
        </w:tc>
        <w:tc>
          <w:tcPr>
            <w:tcW w:w="600" w:type="dxa"/>
            <w:vAlign w:val="bottom"/>
          </w:tcPr>
          <w:p>
            <w:pPr>
              <w:spacing w:after="0"/>
              <w:rPr>
                <w:sz w:val="13"/>
                <w:szCs w:val="13"/>
                <w:color w:val="auto"/>
              </w:rPr>
            </w:pPr>
          </w:p>
        </w:tc>
        <w:tc>
          <w:tcPr>
            <w:tcW w:w="1560" w:type="dxa"/>
            <w:vAlign w:val="bottom"/>
            <w:gridSpan w:val="3"/>
          </w:tcPr>
          <w:p>
            <w:pPr>
              <w:ind w:left="80"/>
              <w:spacing w:after="0" w:line="158" w:lineRule="exact"/>
              <w:rPr>
                <w:sz w:val="20"/>
                <w:szCs w:val="20"/>
                <w:color w:val="auto"/>
              </w:rPr>
            </w:pPr>
            <w:r>
              <w:rPr>
                <w:rFonts w:ascii="Arial" w:cs="Arial" w:eastAsia="Arial" w:hAnsi="Arial"/>
                <w:sz w:val="14"/>
                <w:szCs w:val="14"/>
                <w:color w:val="auto"/>
              </w:rPr>
              <w:t>financing costs</w:t>
            </w:r>
          </w:p>
        </w:tc>
        <w:tc>
          <w:tcPr>
            <w:tcW w:w="920" w:type="dxa"/>
            <w:vAlign w:val="bottom"/>
            <w:gridSpan w:val="4"/>
          </w:tcPr>
          <w:p>
            <w:pPr>
              <w:ind w:left="80"/>
              <w:spacing w:after="0" w:line="158" w:lineRule="exact"/>
              <w:rPr>
                <w:sz w:val="20"/>
                <w:szCs w:val="20"/>
                <w:color w:val="auto"/>
              </w:rPr>
            </w:pPr>
            <w:r>
              <w:rPr>
                <w:rFonts w:ascii="Arial" w:cs="Arial" w:eastAsia="Arial" w:hAnsi="Arial"/>
                <w:sz w:val="14"/>
                <w:szCs w:val="14"/>
                <w:color w:val="auto"/>
                <w:w w:val="91"/>
              </w:rPr>
              <w:t>Total debt,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$444,375</w:t>
            </w: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78"/>
              </w:rPr>
              <w:t>(10,865)</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433,510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Note</w:t>
            </w:r>
          </w:p>
        </w:tc>
        <w:tc>
          <w:tcPr>
            <w:tcW w:w="1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6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472,742</w:t>
            </w:r>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180"/>
              <w:spacing w:after="0"/>
              <w:rPr>
                <w:sz w:val="20"/>
                <w:szCs w:val="20"/>
                <w:color w:val="auto"/>
              </w:rPr>
            </w:pPr>
            <w:r>
              <w:rPr>
                <w:rFonts w:ascii="Arial" w:cs="Arial" w:eastAsia="Arial" w:hAnsi="Arial"/>
                <w:sz w:val="17"/>
                <w:szCs w:val="17"/>
                <w:color w:val="auto"/>
              </w:rPr>
              <w:t>(10,865)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461,877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 of long-term debt</w:t>
            </w:r>
          </w:p>
        </w:tc>
        <w:tc>
          <w:tcPr>
            <w:tcW w:w="1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6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457,197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w w:val="87"/>
              </w:rPr>
              <w:t>December 31, 2019 (Successor)</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160" w:type="dxa"/>
            <w:vAlign w:val="bottom"/>
            <w:gridSpan w:val="4"/>
          </w:tcPr>
          <w:p>
            <w:pPr>
              <w:ind w:left="600"/>
              <w:spacing w:after="0" w:line="114" w:lineRule="exact"/>
              <w:rPr>
                <w:sz w:val="20"/>
                <w:szCs w:val="20"/>
                <w:color w:val="auto"/>
              </w:rPr>
            </w:pPr>
            <w:r>
              <w:rPr>
                <w:rFonts w:ascii="Arial" w:cs="Arial" w:eastAsia="Arial" w:hAnsi="Arial"/>
                <w:sz w:val="12"/>
                <w:szCs w:val="12"/>
                <w:color w:val="auto"/>
              </w:rPr>
              <w:t>Unamortized debt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6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issuance costs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1"/>
              <w:spacing w:after="0" w:line="158" w:lineRule="exact"/>
              <w:rPr>
                <w:sz w:val="20"/>
                <w:szCs w:val="20"/>
                <w:color w:val="auto"/>
              </w:rPr>
            </w:pPr>
            <w:r>
              <w:rPr>
                <w:rFonts w:ascii="Arial" w:cs="Arial" w:eastAsia="Arial" w:hAnsi="Arial"/>
                <w:sz w:val="14"/>
                <w:szCs w:val="14"/>
                <w:color w:val="auto"/>
              </w:rPr>
              <w:t>Principal</w:t>
            </w:r>
          </w:p>
        </w:tc>
        <w:tc>
          <w:tcPr>
            <w:tcW w:w="600" w:type="dxa"/>
            <w:vAlign w:val="bottom"/>
          </w:tcPr>
          <w:p>
            <w:pPr>
              <w:spacing w:after="0"/>
              <w:rPr>
                <w:sz w:val="13"/>
                <w:szCs w:val="13"/>
                <w:color w:val="auto"/>
              </w:rPr>
            </w:pPr>
          </w:p>
        </w:tc>
        <w:tc>
          <w:tcPr>
            <w:tcW w:w="1560" w:type="dxa"/>
            <w:vAlign w:val="bottom"/>
            <w:gridSpan w:val="3"/>
          </w:tcPr>
          <w:p>
            <w:pPr>
              <w:ind w:left="80"/>
              <w:spacing w:after="0" w:line="158" w:lineRule="exact"/>
              <w:rPr>
                <w:sz w:val="20"/>
                <w:szCs w:val="20"/>
                <w:color w:val="auto"/>
              </w:rPr>
            </w:pPr>
            <w:r>
              <w:rPr>
                <w:rFonts w:ascii="Arial" w:cs="Arial" w:eastAsia="Arial" w:hAnsi="Arial"/>
                <w:sz w:val="14"/>
                <w:szCs w:val="14"/>
                <w:color w:val="auto"/>
              </w:rPr>
              <w:t>financing costs</w:t>
            </w:r>
          </w:p>
        </w:tc>
        <w:tc>
          <w:tcPr>
            <w:tcW w:w="920" w:type="dxa"/>
            <w:vAlign w:val="bottom"/>
            <w:gridSpan w:val="4"/>
          </w:tcPr>
          <w:p>
            <w:pPr>
              <w:ind w:left="80"/>
              <w:spacing w:after="0" w:line="158" w:lineRule="exact"/>
              <w:rPr>
                <w:sz w:val="20"/>
                <w:szCs w:val="20"/>
                <w:color w:val="auto"/>
              </w:rPr>
            </w:pPr>
            <w:r>
              <w:rPr>
                <w:rFonts w:ascii="Arial" w:cs="Arial" w:eastAsia="Arial" w:hAnsi="Arial"/>
                <w:sz w:val="14"/>
                <w:szCs w:val="14"/>
                <w:color w:val="auto"/>
                <w:w w:val="91"/>
              </w:rPr>
              <w:t>Total debt,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$448,875</w:t>
            </w: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78"/>
              </w:rPr>
              <w:t>(12,567)</w:t>
            </w: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436,308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3,041</w:t>
            </w: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451,916</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(12,567)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439,349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7"/>
                <w:szCs w:val="17"/>
                <w:color w:val="auto"/>
              </w:rPr>
              <w:t>Less: current portion of long-term debt</w:t>
            </w: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4,500</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860" w:type="dxa"/>
            <w:vAlign w:val="bottom"/>
            <w:gridSpan w:val="2"/>
            <w:vMerge w:val="continue"/>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434,849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Term Loan Payable</w:t>
      </w:r>
    </w:p>
    <w:p>
      <w:pPr>
        <w:spacing w:after="0" w:line="110" w:lineRule="exact"/>
        <w:rPr>
          <w:sz w:val="20"/>
          <w:szCs w:val="20"/>
          <w:color w:val="auto"/>
        </w:rPr>
      </w:pPr>
    </w:p>
    <w:p>
      <w:pPr>
        <w:jc w:val="both"/>
        <w:ind w:left="440" w:right="120" w:firstLine="415"/>
        <w:spacing w:after="0" w:line="285" w:lineRule="auto"/>
        <w:rPr>
          <w:sz w:val="20"/>
          <w:szCs w:val="20"/>
          <w:color w:val="auto"/>
        </w:rPr>
      </w:pPr>
      <w:r>
        <w:rPr>
          <w:rFonts w:ascii="Arial" w:cs="Arial" w:eastAsia="Arial" w:hAnsi="Arial"/>
          <w:sz w:val="16"/>
          <w:szCs w:val="16"/>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w:t>
      </w:r>
    </w:p>
    <w:p>
      <w:pPr>
        <w:spacing w:after="0" w:line="95"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F-34</w:t>
      </w:r>
    </w:p>
    <w:p>
      <w:pPr>
        <w:sectPr>
          <w:pgSz w:w="11900" w:h="16838" w:orient="portrait"/>
          <w:cols w:equalWidth="0" w:num="1">
            <w:col w:w="10680"/>
          </w:cols>
          <w:pgMar w:left="320" w:top="442" w:right="899" w:bottom="1440" w:gutter="0" w:footer="0" w:header="0"/>
        </w:sectPr>
      </w:pPr>
    </w:p>
    <w:bookmarkStart w:id="261" w:name="page262"/>
    <w:bookmarkEnd w:id="2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90" w:lineRule="auto"/>
        <w:rPr>
          <w:sz w:val="20"/>
          <w:szCs w:val="20"/>
          <w:color w:val="auto"/>
        </w:rPr>
      </w:pPr>
      <w:r>
        <w:rPr>
          <w:rFonts w:ascii="Arial" w:cs="Arial" w:eastAsia="Arial" w:hAnsi="Arial"/>
          <w:sz w:val="15"/>
          <w:szCs w:val="15"/>
          <w:color w:val="auto"/>
        </w:rPr>
        <w:t>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December 31, 2020, the interest rate was 6.5% on both the $350.0 million loan and the $100.0 million paid in kind loan. At December 31, 2019, the interest rate was 8.404% on the $100.0 million paid in kind loan and 7.404% on the $350.0 million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$454.8 million and $451.9 million outstanding on the 2019 Term Note at December 31, 2020 and 2019, respectively, including $10.4 million and $3.0 million of paid in kind interest, respectively.</w:t>
      </w:r>
    </w:p>
    <w:p>
      <w:pPr>
        <w:spacing w:after="0" w:line="261"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Delayed Draw Term Loan Payable</w:t>
      </w:r>
    </w:p>
    <w:p>
      <w:pPr>
        <w:spacing w:after="0" w:line="110" w:lineRule="exact"/>
        <w:rPr>
          <w:sz w:val="20"/>
          <w:szCs w:val="20"/>
          <w:color w:val="auto"/>
        </w:rPr>
      </w:pPr>
    </w:p>
    <w:p>
      <w:pPr>
        <w:ind w:left="440" w:right="20" w:firstLine="415"/>
        <w:spacing w:after="0" w:line="289" w:lineRule="auto"/>
        <w:rPr>
          <w:sz w:val="20"/>
          <w:szCs w:val="20"/>
          <w:color w:val="auto"/>
        </w:rPr>
      </w:pPr>
      <w:r>
        <w:rPr>
          <w:rFonts w:ascii="Arial" w:cs="Arial" w:eastAsia="Arial" w:hAnsi="Arial"/>
          <w:sz w:val="15"/>
          <w:szCs w:val="15"/>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may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$18.0 million at December 31, 2020. There was no outstanding balance at December 31, 2019.</w:t>
      </w:r>
    </w:p>
    <w:p>
      <w:pPr>
        <w:spacing w:after="0" w:line="263"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Revolving Line of Credit</w:t>
      </w:r>
    </w:p>
    <w:p>
      <w:pPr>
        <w:spacing w:after="0" w:line="110"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6"/>
          <w:szCs w:val="16"/>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 Quarterly in arrears, the Company is required to pay the bank a fee equal to 0.5% of the amount of the 2019 Revolving Line of Credit’s unused capacity. The expense is included in interest expense in the statement of income (loss). The 2019 Revolving Line of Credit is subject to certain financial covenants. During 2020, $25.0 million was drawn on the on the Revolving Line of Credit and subsequently paid back. There was no outstanding balance on the 2019 Revolving Line of Credit at December 31, 2020 or 2019.</w:t>
      </w:r>
    </w:p>
    <w:p>
      <w:pPr>
        <w:spacing w:after="0" w:line="271"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Line of Credit</w:t>
      </w:r>
    </w:p>
    <w:p>
      <w:pPr>
        <w:spacing w:after="0" w:line="110" w:lineRule="exact"/>
        <w:rPr>
          <w:sz w:val="20"/>
          <w:szCs w:val="20"/>
          <w:color w:val="auto"/>
        </w:rPr>
      </w:pPr>
    </w:p>
    <w:p>
      <w:pPr>
        <w:ind w:left="440" w:firstLine="415"/>
        <w:spacing w:after="0" w:line="295" w:lineRule="auto"/>
        <w:rPr>
          <w:sz w:val="20"/>
          <w:szCs w:val="20"/>
          <w:color w:val="auto"/>
        </w:rPr>
      </w:pPr>
      <w:r>
        <w:rPr>
          <w:rFonts w:ascii="Arial" w:cs="Arial" w:eastAsia="Arial" w:hAnsi="Arial"/>
          <w:sz w:val="15"/>
          <w:szCs w:val="15"/>
          <w:color w:val="auto"/>
        </w:rPr>
        <w:t>On January 8, 2019, in conjunction with the acquisition of HIMSS, the Company entered into a revolving line of credit (“2019 Revolver”) of $15.0 million with a maturity date of January 8, 2021. Loans under the 2019 Revolver were subject to several interest rate options based on the Eurodollar Rate or the Base Rate plus an applicable margin and were collateralized by a first security interest in the Company’s assets. Quarterly in arrears, the Company was required to pay the bank a fee equal to 0.3% of the amount of the 2019 Revolver’s unused capacity. The expense was included in interest expense on the consolidated statement of operations. The 2019 Revolver was subject to certain financial covenants. The Company drew down $13.0 million to fund the acquisition of HIMSS. During 2019, the 2019 Revolver was paid in full with cash on hand and terminated.</w:t>
      </w:r>
    </w:p>
    <w:p>
      <w:pPr>
        <w:spacing w:after="0" w:line="8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F-35</w:t>
      </w:r>
    </w:p>
    <w:p>
      <w:pPr>
        <w:sectPr>
          <w:pgSz w:w="11900" w:h="16838" w:orient="portrait"/>
          <w:cols w:equalWidth="0" w:num="1">
            <w:col w:w="10800"/>
          </w:cols>
          <w:pgMar w:left="320" w:top="442" w:right="779" w:bottom="1440" w:gutter="0" w:footer="0" w:header="0"/>
        </w:sectPr>
      </w:pPr>
    </w:p>
    <w:bookmarkStart w:id="262" w:name="page263"/>
    <w:bookmarkEnd w:id="2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Financing Costs</w:t>
      </w:r>
    </w:p>
    <w:p>
      <w:pPr>
        <w:spacing w:after="0" w:line="110"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Capitalized financing costs represent costs incurred by the Company to obtain financing and are amortized over the term of the applicable loan using the effective interest method.</w:t>
      </w:r>
    </w:p>
    <w:p>
      <w:pPr>
        <w:spacing w:after="0" w:line="166" w:lineRule="exact"/>
        <w:rPr>
          <w:sz w:val="20"/>
          <w:szCs w:val="20"/>
          <w:color w:val="auto"/>
        </w:rPr>
      </w:pPr>
    </w:p>
    <w:p>
      <w:pPr>
        <w:ind w:left="440" w:firstLine="415"/>
        <w:spacing w:after="0" w:line="273" w:lineRule="auto"/>
        <w:rPr>
          <w:sz w:val="20"/>
          <w:szCs w:val="20"/>
          <w:color w:val="auto"/>
        </w:rPr>
      </w:pPr>
      <w:r>
        <w:rPr>
          <w:rFonts w:ascii="Arial" w:cs="Arial" w:eastAsia="Arial" w:hAnsi="Arial"/>
          <w:sz w:val="16"/>
          <w:szCs w:val="16"/>
          <w:color w:val="auto"/>
        </w:rPr>
        <w:t>During the year ended December 31, 2019, the Company incurred $1.6 million and $12.5 million of financing costs and original issue discounts, respectively. The amount is amortized to interest expense through the maturity dates of the underlying debt. The original issue discount is treated as a debt discount. The Company expensed capitalized financing costs and the debt discount through interest expense of $0.9 million during the period from July 16, 2019 through December 31, 2019 (Successor). No capitalized financing costs were expensed during the period from January 1, 2019 through July 15, 2019. As of December 31, 2020 and 2019, the unamortized financing costs for the 2019 Revolving Line of Credit of $0.5 million and $0.6 million, respectively, was classified in other assets in the consolidated balance sheet.</w:t>
      </w:r>
    </w:p>
    <w:p>
      <w:pPr>
        <w:spacing w:after="0" w:line="16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580" w:type="dxa"/>
            <w:vAlign w:val="bottom"/>
            <w:gridSpan w:val="2"/>
          </w:tcPr>
          <w:p>
            <w:pPr>
              <w:spacing w:after="0"/>
              <w:rPr>
                <w:sz w:val="20"/>
                <w:szCs w:val="20"/>
                <w:color w:val="auto"/>
              </w:rPr>
            </w:pPr>
            <w:r>
              <w:rPr>
                <w:rFonts w:ascii="Arial" w:cs="Arial" w:eastAsia="Arial" w:hAnsi="Arial"/>
                <w:sz w:val="17"/>
                <w:szCs w:val="17"/>
                <w:color w:val="auto"/>
              </w:rPr>
              <w:t>Future principal payments as of December 31, 2020 are as follows (in 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260" w:type="dxa"/>
            <w:vAlign w:val="bottom"/>
            <w:vMerge w:val="continue"/>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c>
          <w:tcPr>
            <w:tcW w:w="0" w:type="dxa"/>
            <w:vAlign w:val="bottom"/>
          </w:tcPr>
          <w:p>
            <w:pPr>
              <w:spacing w:after="0"/>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449,342</w:t>
            </w:r>
          </w:p>
        </w:tc>
        <w:tc>
          <w:tcPr>
            <w:tcW w:w="0" w:type="dxa"/>
            <w:vAlign w:val="bottom"/>
          </w:tcPr>
          <w:p>
            <w:pPr>
              <w:spacing w:after="0"/>
              <w:rPr>
                <w:sz w:val="1"/>
                <w:szCs w:val="1"/>
                <w:color w:val="auto"/>
              </w:rPr>
            </w:pPr>
          </w:p>
        </w:tc>
      </w:tr>
      <w:tr>
        <w:trPr>
          <w:trHeight w:val="25"/>
        </w:trPr>
        <w:tc>
          <w:tcPr>
            <w:tcW w:w="12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472,742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19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Fair Value Measurements</w:t>
      </w:r>
    </w:p>
    <w:p>
      <w:pPr>
        <w:spacing w:after="0" w:line="110"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76" w:lineRule="exact"/>
        <w:rPr>
          <w:sz w:val="20"/>
          <w:szCs w:val="20"/>
          <w:color w:val="auto"/>
        </w:rPr>
      </w:pPr>
    </w:p>
    <w:p>
      <w:pPr>
        <w:ind w:left="440" w:right="100" w:firstLine="415"/>
        <w:spacing w:after="0" w:line="312" w:lineRule="auto"/>
        <w:rPr>
          <w:sz w:val="20"/>
          <w:szCs w:val="20"/>
          <w:color w:val="auto"/>
        </w:rPr>
      </w:pPr>
      <w:r>
        <w:rPr>
          <w:rFonts w:ascii="Arial" w:cs="Arial" w:eastAsia="Arial" w:hAnsi="Arial"/>
          <w:sz w:val="15"/>
          <w:szCs w:val="15"/>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1" w:lineRule="exact"/>
        <w:rPr>
          <w:sz w:val="20"/>
          <w:szCs w:val="20"/>
          <w:color w:val="auto"/>
        </w:rPr>
      </w:pPr>
    </w:p>
    <w:p>
      <w:pPr>
        <w:ind w:left="440" w:firstLine="415"/>
        <w:spacing w:after="0" w:line="285" w:lineRule="auto"/>
        <w:rPr>
          <w:sz w:val="20"/>
          <w:szCs w:val="20"/>
          <w:color w:val="auto"/>
        </w:rPr>
      </w:pPr>
      <w:r>
        <w:rPr>
          <w:rFonts w:ascii="Arial" w:cs="Arial" w:eastAsia="Arial" w:hAnsi="Arial"/>
          <w:sz w:val="16"/>
          <w:szCs w:val="16"/>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2020, and 2019, based on interest rates currently available to the Company for similar borrowings.</w:t>
      </w:r>
    </w:p>
    <w:p>
      <w:pPr>
        <w:spacing w:after="0" w:line="159" w:lineRule="exact"/>
        <w:rPr>
          <w:sz w:val="20"/>
          <w:szCs w:val="20"/>
          <w:color w:val="auto"/>
        </w:rPr>
      </w:pPr>
    </w:p>
    <w:p>
      <w:pPr>
        <w:ind w:left="440" w:right="20" w:firstLine="415"/>
        <w:spacing w:after="0" w:line="271" w:lineRule="auto"/>
        <w:rPr>
          <w:sz w:val="20"/>
          <w:szCs w:val="20"/>
          <w:color w:val="auto"/>
        </w:rPr>
      </w:pPr>
      <w:r>
        <w:rPr>
          <w:rFonts w:ascii="Arial" w:cs="Arial" w:eastAsia="Arial" w:hAnsi="Arial"/>
          <w:sz w:val="16"/>
          <w:szCs w:val="16"/>
          <w:color w:val="auto"/>
        </w:rPr>
        <w:t>The contingent consideration, which resulted from the earn-outs associated with the Monocl acquisition, is measured at fair value on a recurring basis. The current portion of the earn-out liability is included in accrued expenses and other current liabilities on the consolidated balance sheet, and the non-current portion in other long-term liabilities. Earn-out liabilities are classified within Level 3 in the fair value hierarchy because the methodology used to develop the estimated fair value includes significant unobservable inputs reflecting management’s own assumptions. The fair value of the contingent consideration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w:t>
      </w:r>
    </w:p>
    <w:p>
      <w:pPr>
        <w:spacing w:after="0" w:line="106"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F-36</w:t>
      </w:r>
    </w:p>
    <w:p>
      <w:pPr>
        <w:sectPr>
          <w:pgSz w:w="11900" w:h="16838" w:orient="portrait"/>
          <w:cols w:equalWidth="0" w:num="1">
            <w:col w:w="10740"/>
          </w:cols>
          <w:pgMar w:left="320" w:top="442" w:right="839" w:bottom="1440" w:gutter="0" w:footer="0" w:header="0"/>
        </w:sectPr>
      </w:pPr>
    </w:p>
    <w:bookmarkStart w:id="263" w:name="page264"/>
    <w:bookmarkEnd w:id="2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00"/>
        <w:spacing w:after="0" w:line="287" w:lineRule="auto"/>
        <w:rPr>
          <w:sz w:val="20"/>
          <w:szCs w:val="20"/>
          <w:color w:val="auto"/>
        </w:rPr>
      </w:pPr>
      <w:r>
        <w:rPr>
          <w:rFonts w:ascii="Arial" w:cs="Arial" w:eastAsia="Arial" w:hAnsi="Arial"/>
          <w:sz w:val="15"/>
          <w:szCs w:val="15"/>
          <w:color w:val="auto"/>
        </w:rPr>
        <w:t>achievement would result in a higher fair value measurement. The fair value of the contingent consideration was $5.2 million as of December 31, 2020, with $1.5 million current and $3.7 million non-current. Adjustments to the earn-out liabilities in periods subsequent to the completion of acquisitions were made using scenario-based modeling to estimate the probability of achievement and are reflected within Transaction expenses in the consolidated statements of income (loss). As of December 31, 2020, the Company had the potential to make a maximum of $15.0 million and a minimum of</w:t>
      </w:r>
    </w:p>
    <w:p>
      <w:pPr>
        <w:spacing w:after="0" w:line="1" w:lineRule="exact"/>
        <w:rPr>
          <w:sz w:val="20"/>
          <w:szCs w:val="20"/>
          <w:color w:val="auto"/>
        </w:rPr>
      </w:pPr>
    </w:p>
    <w:p>
      <w:pPr>
        <w:ind w:left="440" w:right="260"/>
        <w:spacing w:after="0" w:line="259" w:lineRule="auto"/>
        <w:rPr>
          <w:sz w:val="20"/>
          <w:szCs w:val="20"/>
          <w:color w:val="auto"/>
        </w:rPr>
      </w:pPr>
      <w:r>
        <w:rPr>
          <w:rFonts w:ascii="Arial" w:cs="Arial" w:eastAsia="Arial" w:hAnsi="Arial"/>
          <w:sz w:val="17"/>
          <w:szCs w:val="17"/>
          <w:color w:val="auto"/>
        </w:rPr>
        <w:t>$0.0 million (undiscounted) in earn-out payments. Assuming the achievement of the applicable performance criteria, these earn-out payments will be made over the next 2 years.</w:t>
      </w:r>
    </w:p>
    <w:p>
      <w:pPr>
        <w:spacing w:after="0" w:line="177"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7"/>
          <w:szCs w:val="17"/>
          <w:color w:val="auto"/>
        </w:rPr>
        <w:t>The table below presents a reconciliation of earnout liabilities measured at fair value on a recurring basis using significant unobservable inputs (Level 3) (in thousands):</w:t>
      </w:r>
    </w:p>
    <w:p>
      <w:pPr>
        <w:spacing w:after="0" w:line="162" w:lineRule="exact"/>
        <w:rPr>
          <w:sz w:val="20"/>
          <w:szCs w:val="20"/>
          <w:color w:val="auto"/>
        </w:rPr>
      </w:pPr>
    </w:p>
    <w:tbl>
      <w:tblPr>
        <w:tblLayout w:type="fixed"/>
        <w:tblInd w:w="44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6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40" w:type="dxa"/>
            <w:vAlign w:val="bottom"/>
            <w:gridSpan w:val="4"/>
          </w:tcPr>
          <w:p>
            <w:pPr>
              <w:ind w:left="400"/>
              <w:spacing w:after="0"/>
              <w:rPr>
                <w:sz w:val="20"/>
                <w:szCs w:val="20"/>
                <w:color w:val="auto"/>
              </w:rPr>
            </w:pPr>
            <w:r>
              <w:rPr>
                <w:rFonts w:ascii="Arial" w:cs="Arial" w:eastAsia="Arial" w:hAnsi="Arial"/>
                <w:sz w:val="14"/>
                <w:szCs w:val="14"/>
                <w:b w:val="1"/>
                <w:bCs w:val="1"/>
                <w:color w:val="auto"/>
              </w:rPr>
              <w:t>Successor Company</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2"/>
                <w:szCs w:val="12"/>
                <w:color w:val="auto"/>
              </w:rPr>
              <w:t>Period from</w:t>
            </w:r>
          </w:p>
        </w:tc>
        <w:tc>
          <w:tcPr>
            <w:tcW w:w="2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22"/>
              <w:spacing w:after="0" w:line="114" w:lineRule="exact"/>
              <w:rPr>
                <w:sz w:val="20"/>
                <w:szCs w:val="20"/>
                <w:color w:val="auto"/>
              </w:rPr>
            </w:pPr>
            <w:r>
              <w:rPr>
                <w:rFonts w:ascii="Arial" w:cs="Arial" w:eastAsia="Arial" w:hAnsi="Arial"/>
                <w:sz w:val="12"/>
                <w:szCs w:val="12"/>
                <w:color w:val="auto"/>
              </w:rPr>
              <w:t>Period from</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80"/>
              <w:spacing w:after="0" w:line="140" w:lineRule="exact"/>
              <w:rPr>
                <w:sz w:val="20"/>
                <w:szCs w:val="20"/>
                <w:color w:val="auto"/>
              </w:rPr>
            </w:pPr>
            <w:r>
              <w:rPr>
                <w:rFonts w:ascii="Arial" w:cs="Arial" w:eastAsia="Arial" w:hAnsi="Arial"/>
                <w:sz w:val="14"/>
                <w:szCs w:val="14"/>
                <w:color w:val="auto"/>
              </w:rPr>
              <w:t>Year ended</w:t>
            </w:r>
          </w:p>
        </w:tc>
        <w:tc>
          <w:tcPr>
            <w:tcW w:w="100" w:type="dxa"/>
            <w:vAlign w:val="bottom"/>
          </w:tcPr>
          <w:p>
            <w:pPr>
              <w:spacing w:after="0"/>
              <w:rPr>
                <w:sz w:val="12"/>
                <w:szCs w:val="12"/>
                <w:color w:val="auto"/>
              </w:rPr>
            </w:pPr>
          </w:p>
        </w:tc>
        <w:tc>
          <w:tcPr>
            <w:tcW w:w="980" w:type="dxa"/>
            <w:vAlign w:val="bottom"/>
          </w:tcPr>
          <w:p>
            <w:pPr>
              <w:spacing w:after="0" w:line="140" w:lineRule="exact"/>
              <w:rPr>
                <w:sz w:val="20"/>
                <w:szCs w:val="20"/>
                <w:color w:val="auto"/>
              </w:rPr>
            </w:pPr>
            <w:r>
              <w:rPr>
                <w:rFonts w:ascii="Arial" w:cs="Arial" w:eastAsia="Arial" w:hAnsi="Arial"/>
                <w:sz w:val="14"/>
                <w:szCs w:val="14"/>
                <w:color w:val="auto"/>
                <w:w w:val="97"/>
              </w:rPr>
              <w:t>July 16, 2019 to</w:t>
            </w:r>
          </w:p>
        </w:tc>
        <w:tc>
          <w:tcPr>
            <w:tcW w:w="2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40"/>
              <w:spacing w:after="0" w:line="140" w:lineRule="exact"/>
              <w:rPr>
                <w:sz w:val="20"/>
                <w:szCs w:val="20"/>
                <w:color w:val="auto"/>
              </w:rPr>
            </w:pPr>
            <w:r>
              <w:rPr>
                <w:rFonts w:ascii="Arial" w:cs="Arial" w:eastAsia="Arial" w:hAnsi="Arial"/>
                <w:sz w:val="14"/>
                <w:szCs w:val="14"/>
                <w:color w:val="auto"/>
                <w:w w:val="85"/>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620" w:type="dxa"/>
            <w:vAlign w:val="bottom"/>
          </w:tcPr>
          <w:p>
            <w:pPr>
              <w:spacing w:after="0"/>
              <w:rPr>
                <w:sz w:val="13"/>
                <w:szCs w:val="13"/>
                <w:color w:val="auto"/>
              </w:rPr>
            </w:pPr>
          </w:p>
        </w:tc>
        <w:tc>
          <w:tcPr>
            <w:tcW w:w="1220" w:type="dxa"/>
            <w:vAlign w:val="bottom"/>
            <w:gridSpan w:val="3"/>
          </w:tcPr>
          <w:p>
            <w:pPr>
              <w:jc w:val="right"/>
              <w:ind w:right="140"/>
              <w:spacing w:after="0" w:line="158" w:lineRule="exact"/>
              <w:rPr>
                <w:sz w:val="20"/>
                <w:szCs w:val="20"/>
                <w:color w:val="auto"/>
              </w:rPr>
            </w:pPr>
            <w:r>
              <w:rPr>
                <w:rFonts w:ascii="Arial" w:cs="Arial" w:eastAsia="Arial" w:hAnsi="Arial"/>
                <w:sz w:val="14"/>
                <w:szCs w:val="14"/>
                <w:color w:val="auto"/>
                <w:w w:val="86"/>
              </w:rPr>
              <w:t>December 31, 2020</w:t>
            </w:r>
          </w:p>
        </w:tc>
        <w:tc>
          <w:tcPr>
            <w:tcW w:w="1080" w:type="dxa"/>
            <w:vAlign w:val="bottom"/>
            <w:gridSpan w:val="2"/>
          </w:tcPr>
          <w:p>
            <w:pPr>
              <w:spacing w:after="0" w:line="158" w:lineRule="exact"/>
              <w:rPr>
                <w:sz w:val="20"/>
                <w:szCs w:val="20"/>
                <w:color w:val="auto"/>
              </w:rPr>
            </w:pPr>
            <w:r>
              <w:rPr>
                <w:rFonts w:ascii="Arial" w:cs="Arial" w:eastAsia="Arial" w:hAnsi="Arial"/>
                <w:sz w:val="14"/>
                <w:szCs w:val="14"/>
                <w:color w:val="auto"/>
                <w:w w:val="86"/>
              </w:rPr>
              <w:t>December 31, 2019</w:t>
            </w:r>
          </w:p>
        </w:tc>
        <w:tc>
          <w:tcPr>
            <w:tcW w:w="24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3"/>
          </w:tcPr>
          <w:p>
            <w:pPr>
              <w:jc w:val="center"/>
              <w:ind w:right="60"/>
              <w:spacing w:after="0" w:line="158" w:lineRule="exact"/>
              <w:rPr>
                <w:sz w:val="20"/>
                <w:szCs w:val="20"/>
                <w:color w:val="auto"/>
              </w:rPr>
            </w:pPr>
            <w:r>
              <w:rPr>
                <w:rFonts w:ascii="Arial" w:cs="Arial" w:eastAsia="Arial" w:hAnsi="Arial"/>
                <w:sz w:val="14"/>
                <w:szCs w:val="14"/>
                <w:color w:val="auto"/>
                <w:w w:val="88"/>
              </w:rPr>
              <w:t>to 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20" w:type="dxa"/>
            <w:vAlign w:val="bottom"/>
          </w:tcPr>
          <w:p>
            <w:pPr>
              <w:ind w:left="320"/>
              <w:spacing w:after="0"/>
              <w:rPr>
                <w:sz w:val="20"/>
                <w:szCs w:val="20"/>
                <w:color w:val="auto"/>
              </w:rPr>
            </w:pPr>
            <w:r>
              <w:rPr>
                <w:rFonts w:ascii="Arial" w:cs="Arial" w:eastAsia="Arial" w:hAnsi="Arial"/>
                <w:sz w:val="17"/>
                <w:szCs w:val="17"/>
                <w:color w:val="auto"/>
              </w:rPr>
              <w:t>Additions</w:t>
            </w:r>
          </w:p>
        </w:tc>
        <w:tc>
          <w:tcPr>
            <w:tcW w:w="16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2,600</w:t>
            </w:r>
          </w:p>
        </w:tc>
        <w:tc>
          <w:tcPr>
            <w:tcW w:w="10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change in fair value and other adjustments</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2,636</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7"/>
                <w:szCs w:val="17"/>
                <w:color w:val="auto"/>
              </w:rPr>
              <w:t>Payments</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5,236</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valuation techniques and significant unobservable inputs used in recurring Level 3 fair value measurements were as follows as of</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December 31, 2020:</w:t>
      </w:r>
    </w:p>
    <w:p>
      <w:pPr>
        <w:spacing w:after="0" w:line="22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3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4"/>
              </w:rPr>
              <w:t>Fair Value</w:t>
            </w:r>
          </w:p>
        </w:tc>
        <w:tc>
          <w:tcPr>
            <w:tcW w:w="520" w:type="dxa"/>
            <w:vAlign w:val="bottom"/>
            <w:tcBorders>
              <w:bottom w:val="single" w:sz="8" w:color="CCEEFF"/>
            </w:tcBorders>
          </w:tcPr>
          <w:p>
            <w:pPr>
              <w:spacing w:after="0"/>
              <w:rPr>
                <w:sz w:val="14"/>
                <w:szCs w:val="14"/>
                <w:color w:val="auto"/>
              </w:rPr>
            </w:pPr>
          </w:p>
        </w:tc>
        <w:tc>
          <w:tcPr>
            <w:tcW w:w="352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Valuation Technique</w:t>
            </w:r>
          </w:p>
        </w:tc>
        <w:tc>
          <w:tcPr>
            <w:tcW w:w="30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Unobservable Inputs</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8"/>
              </w:rPr>
              <w:t>Discount Rate</w:t>
            </w:r>
          </w:p>
        </w:tc>
        <w:tc>
          <w:tcPr>
            <w:tcW w:w="320" w:type="dxa"/>
            <w:vAlign w:val="bottom"/>
            <w:tcBorders>
              <w:bottom w:val="single" w:sz="8" w:color="CCEEFF"/>
            </w:tcBorders>
          </w:tcPr>
          <w:p>
            <w:pPr>
              <w:spacing w:after="0"/>
              <w:rPr>
                <w:sz w:val="14"/>
                <w:szCs w:val="14"/>
                <w:color w:val="auto"/>
              </w:rPr>
            </w:pPr>
          </w:p>
        </w:tc>
      </w:tr>
      <w:tr>
        <w:trPr>
          <w:trHeight w:val="196"/>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Earn-out liabilities</w:t>
            </w:r>
          </w:p>
        </w:tc>
        <w:tc>
          <w:tcPr>
            <w:tcW w:w="560" w:type="dxa"/>
            <w:vAlign w:val="bottom"/>
            <w:shd w:val="clear" w:color="auto" w:fill="CCEEFF"/>
          </w:tcPr>
          <w:p>
            <w:pPr>
              <w:spacing w:after="0"/>
              <w:rPr>
                <w:sz w:val="20"/>
                <w:szCs w:val="20"/>
                <w:color w:val="auto"/>
              </w:rPr>
            </w:pPr>
            <w:r>
              <w:rPr>
                <w:rFonts w:ascii="Arial" w:cs="Arial" w:eastAsia="Arial" w:hAnsi="Arial"/>
                <w:sz w:val="17"/>
                <w:szCs w:val="17"/>
                <w:color w:val="auto"/>
                <w:w w:val="95"/>
              </w:rPr>
              <w:t>$ 5,236</w:t>
            </w:r>
          </w:p>
        </w:tc>
        <w:tc>
          <w:tcPr>
            <w:tcW w:w="520" w:type="dxa"/>
            <w:vAlign w:val="bottom"/>
            <w:shd w:val="clear" w:color="auto" w:fill="CCEEFF"/>
          </w:tcPr>
          <w:p>
            <w:pPr>
              <w:spacing w:after="0"/>
              <w:rPr>
                <w:sz w:val="17"/>
                <w:szCs w:val="17"/>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7"/>
                <w:szCs w:val="17"/>
                <w:color w:val="auto"/>
              </w:rPr>
              <w:t>Income Approach (Real Option Method)</w:t>
            </w: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ind w:left="740"/>
              <w:spacing w:after="0"/>
              <w:rPr>
                <w:sz w:val="20"/>
                <w:szCs w:val="20"/>
                <w:color w:val="auto"/>
              </w:rPr>
            </w:pPr>
            <w:r>
              <w:rPr>
                <w:rFonts w:ascii="Arial" w:cs="Arial" w:eastAsia="Arial" w:hAnsi="Arial"/>
                <w:sz w:val="17"/>
                <w:szCs w:val="17"/>
                <w:color w:val="auto"/>
                <w:w w:val="89"/>
              </w:rPr>
              <w:t>Discount rate</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6.5%</w:t>
            </w:r>
          </w:p>
        </w:tc>
      </w:tr>
    </w:tbl>
    <w:p>
      <w:pPr>
        <w:spacing w:after="0" w:line="191"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For discussion about the impairment testing of assets not measured at fair value on a recurring basis see Note 7.</w:t>
      </w:r>
      <w:r>
        <w:rPr>
          <w:rFonts w:ascii="Arial" w:cs="Arial" w:eastAsia="Arial" w:hAnsi="Arial"/>
          <w:sz w:val="17"/>
          <w:szCs w:val="17"/>
          <w:i w:val="1"/>
          <w:iCs w:val="1"/>
          <w:color w:val="auto"/>
        </w:rPr>
        <w:t xml:space="preserve"> Goodwill and Intangible Assets </w:t>
      </w:r>
      <w:r>
        <w:rPr>
          <w:rFonts w:ascii="Arial" w:cs="Arial" w:eastAsia="Arial" w:hAnsi="Arial"/>
          <w:sz w:val="17"/>
          <w:szCs w:val="17"/>
          <w:color w:val="auto"/>
        </w:rPr>
        <w:t>for additional details.</w:t>
      </w:r>
    </w:p>
    <w:p>
      <w:pPr>
        <w:spacing w:after="0" w:line="323" w:lineRule="exact"/>
        <w:rPr>
          <w:sz w:val="20"/>
          <w:szCs w:val="20"/>
          <w:color w:val="auto"/>
        </w:rPr>
      </w:pPr>
    </w:p>
    <w:p>
      <w:pPr>
        <w:ind w:left="840" w:hanging="406"/>
        <w:spacing w:after="0"/>
        <w:tabs>
          <w:tab w:leader="none" w:pos="840" w:val="left"/>
        </w:tabs>
        <w:numPr>
          <w:ilvl w:val="0"/>
          <w:numId w:val="19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Accrued Expenses and Other Current Liabilities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consisted of the following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Successor Company</w:t>
            </w:r>
          </w:p>
        </w:tc>
        <w:tc>
          <w:tcPr>
            <w:tcW w:w="7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4"/>
                <w:szCs w:val="14"/>
                <w:color w:val="auto"/>
                <w:w w:val="84"/>
              </w:rPr>
              <w:t>December 31, 2020</w:t>
            </w:r>
          </w:p>
        </w:tc>
        <w:tc>
          <w:tcPr>
            <w:tcW w:w="2100" w:type="dxa"/>
            <w:vAlign w:val="bottom"/>
            <w:gridSpan w:val="3"/>
          </w:tcPr>
          <w:p>
            <w:pPr>
              <w:ind w:left="1020"/>
              <w:spacing w:after="0" w:line="133" w:lineRule="exact"/>
              <w:rPr>
                <w:sz w:val="20"/>
                <w:szCs w:val="20"/>
                <w:color w:val="auto"/>
              </w:rPr>
            </w:pPr>
            <w:r>
              <w:rPr>
                <w:rFonts w:ascii="Arial" w:cs="Arial" w:eastAsia="Arial" w:hAnsi="Arial"/>
                <w:sz w:val="14"/>
                <w:szCs w:val="14"/>
                <w:color w:val="auto"/>
                <w:w w:val="86"/>
              </w:rPr>
              <w:t>December 31, 2019</w:t>
            </w:r>
          </w:p>
        </w:tc>
        <w:tc>
          <w:tcPr>
            <w:tcW w:w="40" w:type="dxa"/>
            <w:vAlign w:val="bottom"/>
          </w:tcPr>
          <w:p>
            <w:pPr>
              <w:spacing w:after="0"/>
              <w:rPr>
                <w:sz w:val="11"/>
                <w:szCs w:val="11"/>
                <w:color w:val="auto"/>
              </w:rPr>
            </w:pPr>
          </w:p>
        </w:tc>
      </w:tr>
      <w:tr>
        <w:trPr>
          <w:trHeight w:val="196"/>
        </w:trPr>
        <w:tc>
          <w:tcPr>
            <w:tcW w:w="20" w:type="dxa"/>
            <w:vAlign w:val="bottom"/>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Payroll and payroll-related</w:t>
            </w:r>
          </w:p>
        </w:tc>
        <w:tc>
          <w:tcPr>
            <w:tcW w:w="18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7,792</w:t>
            </w:r>
          </w:p>
        </w:tc>
        <w:tc>
          <w:tcPr>
            <w:tcW w:w="10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3,879</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Accrued interest</w:t>
            </w: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5,365</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4,215</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 current</w:t>
            </w:r>
          </w:p>
        </w:tc>
        <w:tc>
          <w:tcPr>
            <w:tcW w:w="1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r>
      <w:tr>
        <w:trPr>
          <w:trHeight w:val="204"/>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Sales taxes</w:t>
            </w:r>
          </w:p>
        </w:tc>
        <w:tc>
          <w:tcPr>
            <w:tcW w:w="1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649</w:t>
            </w: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1,916</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18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7"/>
                <w:szCs w:val="17"/>
                <w:color w:val="auto"/>
              </w:rPr>
              <w:t>Other</w:t>
            </w:r>
          </w:p>
        </w:tc>
        <w:tc>
          <w:tcPr>
            <w:tcW w:w="18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w:t>
            </w:r>
          </w:p>
        </w:tc>
        <w:tc>
          <w:tcPr>
            <w:tcW w:w="10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w:t>
            </w:r>
          </w:p>
        </w:tc>
        <w:tc>
          <w:tcPr>
            <w:tcW w:w="4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 and other current liabilities</w:t>
            </w:r>
          </w:p>
        </w:tc>
        <w:tc>
          <w:tcPr>
            <w:tcW w:w="2200" w:type="dxa"/>
            <w:vAlign w:val="bottom"/>
            <w:gridSpan w:val="2"/>
            <w:shd w:val="clear" w:color="auto" w:fill="CCEEFF"/>
          </w:tcPr>
          <w:p>
            <w:pPr>
              <w:ind w:left="18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17,321</w:t>
            </w: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10,348</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Arial" w:cs="Arial" w:eastAsia="Arial" w:hAnsi="Arial"/>
                <w:sz w:val="17"/>
                <w:szCs w:val="17"/>
                <w:color w:val="auto"/>
              </w:rPr>
              <w:t>F-37</w:t>
            </w: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20"/>
          </w:cols>
          <w:pgMar w:left="320" w:top="442" w:right="759" w:bottom="1440" w:gutter="0" w:footer="0" w:header="0"/>
        </w:sectPr>
      </w:pPr>
    </w:p>
    <w:bookmarkStart w:id="264" w:name="page265"/>
    <w:bookmarkEnd w:id="2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19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Commitments and Contingencies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5"/>
          <w:szCs w:val="15"/>
          <w:color w:val="auto"/>
        </w:rPr>
        <w:t>The Company leases office facilities in Massachusetts, Vermont and Sweden, the terms of which expire at various times through the year 2030.</w:t>
      </w:r>
    </w:p>
    <w:p>
      <w:pPr>
        <w:spacing w:after="0" w:line="235" w:lineRule="exact"/>
        <w:rPr>
          <w:sz w:val="20"/>
          <w:szCs w:val="20"/>
          <w:color w:val="auto"/>
        </w:rPr>
      </w:pPr>
    </w:p>
    <w:p>
      <w:pPr>
        <w:ind w:left="440" w:right="360" w:firstLine="415"/>
        <w:spacing w:after="0" w:line="285" w:lineRule="auto"/>
        <w:rPr>
          <w:sz w:val="20"/>
          <w:szCs w:val="20"/>
          <w:color w:val="auto"/>
        </w:rPr>
      </w:pPr>
      <w:r>
        <w:rPr>
          <w:rFonts w:ascii="Arial" w:cs="Arial" w:eastAsia="Arial" w:hAnsi="Arial"/>
          <w:sz w:val="16"/>
          <w:szCs w:val="16"/>
          <w:color w:val="auto"/>
        </w:rPr>
        <w:t>Beginning in 2017, the Predecessor subleased one of its Massachusetts offices. The sublease term expired in August 2019 and the Company recorded sublease rental income of $0.1 million for the year ended December 31, 2019. The income was recorded as an offset to rent expense in the consolidated statements of income (loss). There was no income from any sublease agreements recorded in 2020.</w:t>
      </w:r>
    </w:p>
    <w:p>
      <w:pPr>
        <w:spacing w:after="0" w:line="159" w:lineRule="exact"/>
        <w:rPr>
          <w:sz w:val="20"/>
          <w:szCs w:val="20"/>
          <w:color w:val="auto"/>
        </w:rPr>
      </w:pPr>
    </w:p>
    <w:p>
      <w:pPr>
        <w:ind w:left="440" w:firstLine="415"/>
        <w:spacing w:after="0" w:line="279" w:lineRule="auto"/>
        <w:rPr>
          <w:sz w:val="20"/>
          <w:szCs w:val="20"/>
          <w:color w:val="auto"/>
        </w:rPr>
      </w:pPr>
      <w:r>
        <w:rPr>
          <w:rFonts w:ascii="Arial" w:cs="Arial" w:eastAsia="Arial" w:hAnsi="Arial"/>
          <w:sz w:val="16"/>
          <w:szCs w:val="16"/>
          <w:color w:val="auto"/>
        </w:rPr>
        <w:t>Total rent expense was $1.8 million for the year ended December 31, 2020 (Successor) and $0.6 million and $0.5 million for the periods from July 16, 2019 through December 31, 2019 (Successor) and from January 1, 2019 through July 15, 2019 (Predecessor), respectively, and was classified in selling, general, and administrative expense in the consolidated statements of income (loss). The Company signed a new office lease agreement in 2019 which commenced in 2020 and will continue through 2027. The table below is inclusive of the new lease.</w:t>
      </w:r>
    </w:p>
    <w:p>
      <w:pPr>
        <w:spacing w:after="0" w:line="16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Minimum future rental payments are expected to be as follows for each of the years ending December 31 (in thousands):</w:t>
      </w:r>
    </w:p>
    <w:p>
      <w:pPr>
        <w:spacing w:after="0" w:line="249"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3,035</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2,673</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2,043</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2,338</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2,193</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4,790</w:t>
            </w:r>
          </w:p>
        </w:tc>
      </w:tr>
      <w:tr>
        <w:trPr>
          <w:trHeight w:val="25"/>
        </w:trPr>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17,072</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540" w:firstLine="415"/>
        <w:spacing w:after="0" w:line="306" w:lineRule="auto"/>
        <w:rPr>
          <w:sz w:val="20"/>
          <w:szCs w:val="20"/>
          <w:color w:val="auto"/>
        </w:rPr>
      </w:pPr>
      <w:r>
        <w:rPr>
          <w:rFonts w:ascii="Arial" w:cs="Arial" w:eastAsia="Arial" w:hAnsi="Arial"/>
          <w:sz w:val="16"/>
          <w:szCs w:val="16"/>
          <w:color w:val="auto"/>
        </w:rPr>
        <w:t>The Company also enters into other purchase obligations in the normal course of doing business. The estimated annual minimum purchase commitments under those agreements were as follows for each of the years ending December 31 (in thousands):</w:t>
      </w:r>
    </w:p>
    <w:p>
      <w:pPr>
        <w:spacing w:after="0" w:line="179"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5,396</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5,257</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5,098</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3,925</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2,370</w:t>
            </w:r>
          </w:p>
        </w:tc>
      </w:tr>
      <w:tr>
        <w:trPr>
          <w:trHeight w:val="209"/>
        </w:trPr>
        <w:tc>
          <w:tcPr>
            <w:tcW w:w="6400" w:type="dxa"/>
            <w:vAlign w:val="bottom"/>
          </w:tcPr>
          <w:p>
            <w:pPr>
              <w:spacing w:after="0"/>
              <w:rPr>
                <w:sz w:val="20"/>
                <w:szCs w:val="20"/>
                <w:color w:val="auto"/>
              </w:rPr>
            </w:pPr>
            <w:r>
              <w:rPr>
                <w:rFonts w:ascii="Arial" w:cs="Arial" w:eastAsia="Arial" w:hAnsi="Arial"/>
                <w:sz w:val="17"/>
                <w:szCs w:val="17"/>
                <w:color w:val="auto"/>
              </w:rPr>
              <w:t>Thereafter</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04"/>
        </w:trPr>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22,046</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right="8740" w:hanging="406"/>
        <w:spacing w:after="0" w:line="424" w:lineRule="auto"/>
        <w:tabs>
          <w:tab w:leader="none" w:pos="832" w:val="left"/>
        </w:tabs>
        <w:numPr>
          <w:ilvl w:val="0"/>
          <w:numId w:val="196"/>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Members’ capital </w:t>
      </w:r>
      <w:r>
        <w:rPr>
          <w:rFonts w:ascii="Arial" w:cs="Arial" w:eastAsia="Arial" w:hAnsi="Arial"/>
          <w:sz w:val="15"/>
          <w:szCs w:val="15"/>
          <w:b w:val="1"/>
          <w:bCs w:val="1"/>
          <w:color w:val="auto"/>
        </w:rPr>
        <w:t>Successor</w:t>
      </w:r>
    </w:p>
    <w:p>
      <w:pPr>
        <w:spacing w:after="0" w:line="1" w:lineRule="exact"/>
        <w:rPr>
          <w:sz w:val="20"/>
          <w:szCs w:val="20"/>
          <w:color w:val="auto"/>
        </w:rPr>
      </w:pPr>
    </w:p>
    <w:p>
      <w:pPr>
        <w:ind w:left="440" w:right="680" w:firstLine="415"/>
        <w:spacing w:after="0" w:line="273" w:lineRule="auto"/>
        <w:rPr>
          <w:sz w:val="20"/>
          <w:szCs w:val="20"/>
          <w:color w:val="auto"/>
        </w:rPr>
      </w:pPr>
      <w:r>
        <w:rPr>
          <w:rFonts w:ascii="Arial" w:cs="Arial" w:eastAsia="Arial" w:hAnsi="Arial"/>
          <w:sz w:val="17"/>
          <w:szCs w:val="17"/>
          <w:color w:val="auto"/>
        </w:rPr>
        <w:t xml:space="preserve">As described in Note 1. </w:t>
      </w:r>
      <w:r>
        <w:rPr>
          <w:rFonts w:ascii="Arial" w:cs="Arial" w:eastAsia="Arial" w:hAnsi="Arial"/>
          <w:sz w:val="17"/>
          <w:szCs w:val="17"/>
          <w:i w:val="1"/>
          <w:iCs w:val="1"/>
          <w:color w:val="auto"/>
        </w:rPr>
        <w:t>Overview</w:t>
      </w:r>
      <w:r>
        <w:rPr>
          <w:rFonts w:ascii="Arial" w:cs="Arial" w:eastAsia="Arial" w:hAnsi="Arial"/>
          <w:sz w:val="17"/>
          <w:szCs w:val="17"/>
          <w:color w:val="auto"/>
        </w:rPr>
        <w:t xml:space="preserve"> and Note 3. Business </w:t>
      </w:r>
      <w:r>
        <w:rPr>
          <w:rFonts w:ascii="Arial" w:cs="Arial" w:eastAsia="Arial" w:hAnsi="Arial"/>
          <w:sz w:val="17"/>
          <w:szCs w:val="17"/>
          <w:i w:val="1"/>
          <w:iCs w:val="1"/>
          <w:color w:val="auto"/>
        </w:rPr>
        <w:t>Combinations</w:t>
      </w:r>
      <w:r>
        <w:rPr>
          <w:rFonts w:ascii="Arial" w:cs="Arial" w:eastAsia="Arial" w:hAnsi="Arial"/>
          <w:sz w:val="17"/>
          <w:szCs w:val="17"/>
          <w:color w:val="auto"/>
        </w:rPr>
        <w:t>, the Company was formed by Advent for the purpose of acquiring Definitive Holdco.</w:t>
      </w:r>
    </w:p>
    <w:p>
      <w:pPr>
        <w:spacing w:after="0" w:line="166" w:lineRule="exact"/>
        <w:rPr>
          <w:sz w:val="20"/>
          <w:szCs w:val="20"/>
          <w:color w:val="auto"/>
        </w:rPr>
      </w:pPr>
    </w:p>
    <w:p>
      <w:pPr>
        <w:ind w:left="440" w:right="360" w:firstLine="415"/>
        <w:spacing w:after="0" w:line="273" w:lineRule="auto"/>
        <w:rPr>
          <w:sz w:val="20"/>
          <w:szCs w:val="20"/>
          <w:color w:val="auto"/>
        </w:rPr>
      </w:pPr>
      <w:r>
        <w:rPr>
          <w:rFonts w:ascii="Arial" w:cs="Arial" w:eastAsia="Arial" w:hAnsi="Arial"/>
          <w:sz w:val="17"/>
          <w:szCs w:val="17"/>
          <w:color w:val="auto"/>
        </w:rPr>
        <w:t>Upon formation of the Company, two classes of units were established: Class A Units (“Class A Units”) and Class B Units (“Class B Units”), collectively the Units.</w:t>
      </w:r>
    </w:p>
    <w:p>
      <w:pPr>
        <w:spacing w:after="0" w:line="166"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On July 16, 2019, 100% of the issued and outstanding Legacy Common Units of Definitive Holdco were acquired by AIDH Buyer, an affiliated legal entity of Advent and a wholly owned subsidiary of the Company.</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F-38</w:t>
      </w:r>
    </w:p>
    <w:p>
      <w:pPr>
        <w:sectPr>
          <w:pgSz w:w="11900" w:h="16838" w:orient="portrait"/>
          <w:cols w:equalWidth="0" w:num="1">
            <w:col w:w="10800"/>
          </w:cols>
          <w:pgMar w:left="320" w:top="442" w:right="779" w:bottom="1440" w:gutter="0" w:footer="0" w:header="0"/>
        </w:sectPr>
      </w:pPr>
    </w:p>
    <w:bookmarkStart w:id="265" w:name="page266"/>
    <w:bookmarkEnd w:id="2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As part of the Definitive Holdco Acquisition, the Company issued 127,725,743 Class A Units at $10 per unit for total contributed capital of $1,267.3 million.</w:t>
      </w:r>
    </w:p>
    <w:p>
      <w:pPr>
        <w:spacing w:after="0" w:line="166" w:lineRule="exact"/>
        <w:rPr>
          <w:sz w:val="20"/>
          <w:szCs w:val="20"/>
          <w:color w:val="auto"/>
        </w:rPr>
      </w:pPr>
    </w:p>
    <w:p>
      <w:pPr>
        <w:ind w:left="440" w:right="340" w:firstLine="415"/>
        <w:spacing w:after="0" w:line="273" w:lineRule="auto"/>
        <w:rPr>
          <w:sz w:val="20"/>
          <w:szCs w:val="20"/>
          <w:color w:val="auto"/>
        </w:rPr>
      </w:pPr>
      <w:r>
        <w:rPr>
          <w:rFonts w:ascii="Arial" w:cs="Arial" w:eastAsia="Arial" w:hAnsi="Arial"/>
          <w:sz w:val="17"/>
          <w:szCs w:val="17"/>
          <w:color w:val="auto"/>
        </w:rPr>
        <w:t>Additionally, the outstanding units of the Legacy Class B Series B, Series C, Series D, and Series E were sold to AIDH Buyer and the holders received a combination of cash and equity in the Company.</w:t>
      </w:r>
    </w:p>
    <w:p>
      <w:pPr>
        <w:spacing w:after="0" w:line="166"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 xml:space="preserve">In conjunction with the acquisition of Definitive Holdco by the Company in July 2019, the Company paid $6.9 million to the selling shareholders in July 2020 which had been recorded as a members’ distribution payable on the balance sheet at December 31, 2019 (see Note 3.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Combinations</w:t>
      </w:r>
      <w:r>
        <w:rPr>
          <w:rFonts w:ascii="Arial" w:cs="Arial" w:eastAsia="Arial" w:hAnsi="Arial"/>
          <w:sz w:val="17"/>
          <w:szCs w:val="17"/>
          <w:color w:val="auto"/>
        </w:rPr>
        <w:t>).</w:t>
      </w:r>
    </w:p>
    <w:p>
      <w:pPr>
        <w:spacing w:after="0" w:line="17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 xml:space="preserve">In 2019, the Company contributed $4.0 million worth of its Class A Units to partially fund the acquisition of HSE that occurred in December 2019 (see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66" w:lineRule="exact"/>
        <w:rPr>
          <w:sz w:val="20"/>
          <w:szCs w:val="20"/>
          <w:color w:val="auto"/>
        </w:rPr>
      </w:pPr>
    </w:p>
    <w:p>
      <w:pPr>
        <w:ind w:left="440" w:right="220" w:firstLine="415"/>
        <w:spacing w:after="0" w:line="261" w:lineRule="auto"/>
        <w:rPr>
          <w:sz w:val="20"/>
          <w:szCs w:val="20"/>
          <w:color w:val="auto"/>
        </w:rPr>
      </w:pPr>
      <w:r>
        <w:rPr>
          <w:rFonts w:ascii="Arial" w:cs="Arial" w:eastAsia="Arial" w:hAnsi="Arial"/>
          <w:sz w:val="17"/>
          <w:szCs w:val="17"/>
          <w:color w:val="auto"/>
        </w:rPr>
        <w:t xml:space="preserve">In 2020, the Company contributed $25.4 million worth of its Class A units to partially fund the acquisition of Monocl that occurred in October 2020 (see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 also received an additional $6.4 million for buy in of Class A Units from of a number of its members.</w:t>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There was 130,245,990 and 127,125,435 issued and outstanding Class A units as of December 31, 2020 and December 31, 2019, respectively.</w:t>
      </w:r>
    </w:p>
    <w:p>
      <w:pPr>
        <w:spacing w:after="0" w:line="33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Predecessor</w:t>
      </w:r>
    </w:p>
    <w:p>
      <w:pPr>
        <w:spacing w:after="0" w:line="110"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Upon formation of the Predecessor Company, two classes of common units were established; Class A Common Units (“Legacy Class A Units”) and Class B Common Units (“Legacy Class B Units”), collectively the Legacy Common Units.</w:t>
      </w:r>
    </w:p>
    <w:p>
      <w:pPr>
        <w:spacing w:after="0" w:line="166"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In December 2016, the Predecessor amended and restated the Limited Liability Company Agreement of Definitive Holdco, resulting in the formation of DHC Class B Holdings, LLC (“DHCB”). Per the terms of Limited Liability Company Agreement of DHC Class B Holdings, LLC (the “DHCB Holdings Agreement”), DHCB’s units represented an indirect interest in Class B Units of the Company. Upon formation of DHCB all previously issued Class B Units were exchanged for DHCB Series B Units, and the previously authorized Class B Units were transferred to DHCB. The DHCB Holdings Agreement allowed for the creation a series of units (the “Incentive Equity Pool”), upon approval by the Management Board, up to the cumulative authorized amount of 407,750.</w:t>
      </w:r>
    </w:p>
    <w:p>
      <w:pPr>
        <w:spacing w:after="0" w:line="183" w:lineRule="exact"/>
        <w:rPr>
          <w:sz w:val="20"/>
          <w:szCs w:val="20"/>
          <w:color w:val="auto"/>
        </w:rPr>
      </w:pPr>
    </w:p>
    <w:p>
      <w:pPr>
        <w:ind w:left="440" w:right="120" w:firstLine="415"/>
        <w:spacing w:after="0" w:line="261" w:lineRule="auto"/>
        <w:rPr>
          <w:sz w:val="20"/>
          <w:szCs w:val="20"/>
          <w:color w:val="auto"/>
        </w:rPr>
      </w:pPr>
      <w:r>
        <w:rPr>
          <w:rFonts w:ascii="Arial" w:cs="Arial" w:eastAsia="Arial" w:hAnsi="Arial"/>
          <w:sz w:val="17"/>
          <w:szCs w:val="17"/>
          <w:color w:val="auto"/>
        </w:rPr>
        <w:t>The rights and obligations of the holders of the Common Units were governed by the Amended and Restated Limited Liability Company Agreement of Definitive Healthcare Holdings, LLC, (the “Agreement”). The Agreement provided for the limitation of the holders liability to be that of their respective capital contributions as defined in the Agreement.</w:t>
      </w:r>
    </w:p>
    <w:p>
      <w:pPr>
        <w:spacing w:after="0" w:line="176" w:lineRule="exact"/>
        <w:rPr>
          <w:sz w:val="20"/>
          <w:szCs w:val="20"/>
          <w:color w:val="auto"/>
        </w:rPr>
      </w:pPr>
    </w:p>
    <w:p>
      <w:pPr>
        <w:ind w:left="440" w:right="120" w:firstLine="415"/>
        <w:spacing w:after="0" w:line="285" w:lineRule="auto"/>
        <w:rPr>
          <w:sz w:val="20"/>
          <w:szCs w:val="20"/>
          <w:color w:val="auto"/>
        </w:rPr>
      </w:pPr>
      <w:r>
        <w:rPr>
          <w:rFonts w:ascii="Arial" w:cs="Arial" w:eastAsia="Arial" w:hAnsi="Arial"/>
          <w:sz w:val="16"/>
          <w:szCs w:val="16"/>
          <w:color w:val="auto"/>
        </w:rPr>
        <w:t>Per the Agreement, all unit holders were entitled to receive the following distributions from the Company: tax distributions, distributions on liquidation or sale of the Company, or distributions prior to liquidation or sale of the Company. Per the terms of the Agreement tax distributions should be made for the amount of income allocated to the Member multiplied by the applicable federal income tax rate.</w:t>
      </w:r>
    </w:p>
    <w:p>
      <w:pPr>
        <w:spacing w:after="0" w:line="159" w:lineRule="exact"/>
        <w:rPr>
          <w:sz w:val="20"/>
          <w:szCs w:val="20"/>
          <w:color w:val="auto"/>
        </w:rPr>
      </w:pPr>
    </w:p>
    <w:p>
      <w:pPr>
        <w:ind w:left="440" w:right="40" w:firstLine="415"/>
        <w:spacing w:after="0" w:line="306" w:lineRule="auto"/>
        <w:rPr>
          <w:sz w:val="20"/>
          <w:szCs w:val="20"/>
          <w:color w:val="auto"/>
        </w:rPr>
      </w:pPr>
      <w:r>
        <w:rPr>
          <w:rFonts w:ascii="Arial" w:cs="Arial" w:eastAsia="Arial" w:hAnsi="Arial"/>
          <w:sz w:val="16"/>
          <w:szCs w:val="16"/>
          <w:color w:val="auto"/>
        </w:rPr>
        <w:t>As of December 31, 2018, 7,750,000 Legacy Class A Units were authorized, issued, and outstanding and 407,750 Legacy Class B Units (Series A though E) were authorized to be issued to employees and consultants as incentive units, of which 88,716 units were outstanding</w:t>
      </w:r>
    </w:p>
    <w:p>
      <w:pPr>
        <w:spacing w:after="0" w:line="141" w:lineRule="exact"/>
        <w:rPr>
          <w:sz w:val="20"/>
          <w:szCs w:val="20"/>
          <w:color w:val="auto"/>
        </w:rPr>
      </w:pPr>
    </w:p>
    <w:p>
      <w:pPr>
        <w:ind w:left="440" w:right="360" w:firstLine="415"/>
        <w:spacing w:after="0" w:line="312" w:lineRule="auto"/>
        <w:rPr>
          <w:sz w:val="20"/>
          <w:szCs w:val="20"/>
          <w:color w:val="auto"/>
        </w:rPr>
      </w:pPr>
      <w:r>
        <w:rPr>
          <w:rFonts w:ascii="Arial" w:cs="Arial" w:eastAsia="Arial" w:hAnsi="Arial"/>
          <w:sz w:val="15"/>
          <w:szCs w:val="15"/>
          <w:color w:val="auto"/>
        </w:rPr>
        <w:t>As of July 15, 2019, there were 7,750,000 and 268,853 of issued and outstanding Legacy Class A and Legacy Class B Units, respectively. On July 16, 2019, 100% of the Legacy Class A Units were acquired by AIDH Buyer, in conjunction with the sale of the Legacy Class A Units, the outstanding units of Series B, C, D, and E were sold and the holders received a combination of cash and equity in the Company.</w:t>
      </w:r>
    </w:p>
    <w:p>
      <w:pPr>
        <w:spacing w:after="0" w:line="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F-39</w:t>
      </w:r>
    </w:p>
    <w:p>
      <w:pPr>
        <w:sectPr>
          <w:pgSz w:w="11900" w:h="16838" w:orient="portrait"/>
          <w:cols w:equalWidth="0" w:num="1">
            <w:col w:w="10800"/>
          </w:cols>
          <w:pgMar w:left="320" w:top="442" w:right="779" w:bottom="1440" w:gutter="0" w:footer="0" w:header="0"/>
        </w:sectPr>
      </w:pPr>
    </w:p>
    <w:bookmarkStart w:id="266" w:name="page267"/>
    <w:bookmarkEnd w:id="2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8000" w:hanging="406"/>
        <w:spacing w:after="0" w:line="455" w:lineRule="auto"/>
        <w:tabs>
          <w:tab w:leader="none" w:pos="832" w:val="left"/>
        </w:tabs>
        <w:numPr>
          <w:ilvl w:val="0"/>
          <w:numId w:val="197"/>
        </w:numPr>
        <w:rPr>
          <w:rFonts w:ascii="Arial" w:cs="Arial" w:eastAsia="Arial" w:hAnsi="Arial"/>
          <w:sz w:val="14"/>
          <w:szCs w:val="14"/>
          <w:b w:val="1"/>
          <w:bCs w:val="1"/>
          <w:color w:val="auto"/>
        </w:rPr>
      </w:pPr>
      <w:r>
        <w:rPr>
          <w:rFonts w:ascii="Arial" w:cs="Arial" w:eastAsia="Arial" w:hAnsi="Arial"/>
          <w:sz w:val="14"/>
          <w:szCs w:val="14"/>
          <w:b w:val="1"/>
          <w:bCs w:val="1"/>
          <w:i w:val="1"/>
          <w:iCs w:val="1"/>
          <w:color w:val="auto"/>
        </w:rPr>
        <w:t xml:space="preserve">Equity-based Compensation </w:t>
      </w:r>
      <w:r>
        <w:rPr>
          <w:rFonts w:ascii="Arial" w:cs="Arial" w:eastAsia="Arial" w:hAnsi="Arial"/>
          <w:sz w:val="14"/>
          <w:szCs w:val="14"/>
          <w:u w:val="single" w:color="auto"/>
          <w:color w:val="auto"/>
        </w:rPr>
        <w:t>2019 Incentive Equity Plan</w:t>
      </w:r>
    </w:p>
    <w:p>
      <w:pPr>
        <w:ind w:left="440" w:right="100" w:firstLine="415"/>
        <w:spacing w:after="0" w:line="273" w:lineRule="auto"/>
        <w:rPr>
          <w:sz w:val="20"/>
          <w:szCs w:val="20"/>
          <w:color w:val="auto"/>
        </w:rPr>
      </w:pPr>
      <w:r>
        <w:rPr>
          <w:rFonts w:ascii="Arial" w:cs="Arial" w:eastAsia="Arial" w:hAnsi="Arial"/>
          <w:sz w:val="16"/>
          <w:szCs w:val="16"/>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69"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80" w:lineRule="exact"/>
        <w:rPr>
          <w:sz w:val="20"/>
          <w:szCs w:val="20"/>
          <w:color w:val="auto"/>
        </w:rPr>
      </w:pPr>
    </w:p>
    <w:p>
      <w:pPr>
        <w:ind w:left="440" w:firstLine="415"/>
        <w:spacing w:after="0" w:line="271" w:lineRule="auto"/>
        <w:rPr>
          <w:sz w:val="20"/>
          <w:szCs w:val="20"/>
          <w:color w:val="auto"/>
        </w:rPr>
      </w:pPr>
      <w:r>
        <w:rPr>
          <w:rFonts w:ascii="Arial" w:cs="Arial" w:eastAsia="Arial" w:hAnsi="Arial"/>
          <w:sz w:val="16"/>
          <w:szCs w:val="16"/>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8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3280" w:type="dxa"/>
            <w:vAlign w:val="bottom"/>
            <w:gridSpan w:val="4"/>
          </w:tcPr>
          <w:p>
            <w:pPr>
              <w:jc w:val="right"/>
              <w:ind w:right="1160"/>
              <w:spacing w:after="0"/>
              <w:rPr>
                <w:sz w:val="20"/>
                <w:szCs w:val="20"/>
                <w:color w:val="auto"/>
              </w:rPr>
            </w:pPr>
            <w:r>
              <w:rPr>
                <w:rFonts w:ascii="Arial" w:cs="Arial" w:eastAsia="Arial" w:hAnsi="Arial"/>
                <w:sz w:val="14"/>
                <w:szCs w:val="14"/>
                <w:b w:val="1"/>
                <w:bCs w:val="1"/>
                <w:color w:val="auto"/>
              </w:rPr>
              <w:t>Successor Company</w:t>
            </w:r>
          </w:p>
        </w:tc>
      </w:tr>
      <w:tr>
        <w:trPr>
          <w:trHeight w:val="114"/>
        </w:trPr>
        <w:tc>
          <w:tcPr>
            <w:tcW w:w="4600" w:type="dxa"/>
            <w:vAlign w:val="bottom"/>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color w:val="auto"/>
              </w:rPr>
              <w:t>Period from</w:t>
            </w:r>
          </w:p>
        </w:tc>
        <w:tc>
          <w:tcPr>
            <w:tcW w:w="180" w:type="dxa"/>
            <w:vAlign w:val="bottom"/>
          </w:tcPr>
          <w:p>
            <w:pPr>
              <w:spacing w:after="0"/>
              <w:rPr>
                <w:sz w:val="9"/>
                <w:szCs w:val="9"/>
                <w:color w:val="auto"/>
              </w:rPr>
            </w:pPr>
          </w:p>
        </w:tc>
      </w:tr>
      <w:tr>
        <w:trPr>
          <w:trHeight w:val="140"/>
        </w:trPr>
        <w:tc>
          <w:tcPr>
            <w:tcW w:w="4600" w:type="dxa"/>
            <w:vAlign w:val="bottom"/>
          </w:tcPr>
          <w:p>
            <w:pPr>
              <w:spacing w:after="0"/>
              <w:rPr>
                <w:sz w:val="12"/>
                <w:szCs w:val="12"/>
                <w:color w:val="auto"/>
              </w:rPr>
            </w:pPr>
          </w:p>
        </w:tc>
        <w:tc>
          <w:tcPr>
            <w:tcW w:w="2020" w:type="dxa"/>
            <w:vAlign w:val="bottom"/>
            <w:gridSpan w:val="2"/>
          </w:tcPr>
          <w:p>
            <w:pPr>
              <w:jc w:val="right"/>
              <w:ind w:right="1180"/>
              <w:spacing w:after="0" w:line="140" w:lineRule="exact"/>
              <w:rPr>
                <w:sz w:val="20"/>
                <w:szCs w:val="20"/>
                <w:color w:val="auto"/>
              </w:rPr>
            </w:pPr>
            <w:r>
              <w:rPr>
                <w:rFonts w:ascii="Arial" w:cs="Arial" w:eastAsia="Arial" w:hAnsi="Arial"/>
                <w:sz w:val="14"/>
                <w:szCs w:val="14"/>
                <w:color w:val="auto"/>
              </w:rPr>
              <w:t>Year ended</w:t>
            </w:r>
          </w:p>
        </w:tc>
        <w:tc>
          <w:tcPr>
            <w:tcW w:w="1260" w:type="dxa"/>
            <w:vAlign w:val="bottom"/>
            <w:gridSpan w:val="2"/>
          </w:tcPr>
          <w:p>
            <w:pPr>
              <w:jc w:val="center"/>
              <w:ind w:right="180"/>
              <w:spacing w:after="0" w:line="140" w:lineRule="exact"/>
              <w:rPr>
                <w:sz w:val="20"/>
                <w:szCs w:val="20"/>
                <w:color w:val="auto"/>
              </w:rPr>
            </w:pPr>
            <w:r>
              <w:rPr>
                <w:rFonts w:ascii="Arial" w:cs="Arial" w:eastAsia="Arial" w:hAnsi="Arial"/>
                <w:sz w:val="14"/>
                <w:szCs w:val="14"/>
                <w:color w:val="auto"/>
                <w:w w:val="88"/>
              </w:rPr>
              <w:t>July 16, 2019 to</w:t>
            </w:r>
          </w:p>
        </w:tc>
      </w:tr>
      <w:tr>
        <w:trPr>
          <w:trHeight w:val="158"/>
        </w:trPr>
        <w:tc>
          <w:tcPr>
            <w:tcW w:w="4600" w:type="dxa"/>
            <w:vAlign w:val="bottom"/>
          </w:tcPr>
          <w:p>
            <w:pPr>
              <w:spacing w:after="0"/>
              <w:rPr>
                <w:sz w:val="13"/>
                <w:szCs w:val="13"/>
                <w:color w:val="auto"/>
              </w:rPr>
            </w:pPr>
          </w:p>
        </w:tc>
        <w:tc>
          <w:tcPr>
            <w:tcW w:w="2020" w:type="dxa"/>
            <w:vAlign w:val="bottom"/>
            <w:gridSpan w:val="2"/>
          </w:tcPr>
          <w:p>
            <w:pPr>
              <w:jc w:val="right"/>
              <w:ind w:right="960"/>
              <w:spacing w:after="0" w:line="158" w:lineRule="exact"/>
              <w:rPr>
                <w:sz w:val="20"/>
                <w:szCs w:val="20"/>
                <w:color w:val="auto"/>
              </w:rPr>
            </w:pPr>
            <w:r>
              <w:rPr>
                <w:rFonts w:ascii="Arial" w:cs="Arial" w:eastAsia="Arial" w:hAnsi="Arial"/>
                <w:sz w:val="14"/>
                <w:szCs w:val="14"/>
                <w:color w:val="auto"/>
                <w:w w:val="84"/>
              </w:rPr>
              <w:t>December 31, 2020</w:t>
            </w:r>
          </w:p>
        </w:tc>
        <w:tc>
          <w:tcPr>
            <w:tcW w:w="1260" w:type="dxa"/>
            <w:vAlign w:val="bottom"/>
            <w:gridSpan w:val="2"/>
          </w:tcPr>
          <w:p>
            <w:pPr>
              <w:jc w:val="center"/>
              <w:ind w:right="180"/>
              <w:spacing w:after="0" w:line="158" w:lineRule="exact"/>
              <w:rPr>
                <w:sz w:val="20"/>
                <w:szCs w:val="20"/>
                <w:color w:val="auto"/>
              </w:rPr>
            </w:pPr>
            <w:r>
              <w:rPr>
                <w:rFonts w:ascii="Arial" w:cs="Arial" w:eastAsia="Arial" w:hAnsi="Arial"/>
                <w:sz w:val="14"/>
                <w:szCs w:val="14"/>
                <w:color w:val="auto"/>
                <w:w w:val="87"/>
              </w:rPr>
              <w:t>December 31, 2019</w:t>
            </w:r>
          </w:p>
        </w:tc>
      </w:tr>
      <w:tr>
        <w:trPr>
          <w:trHeight w:val="196"/>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option term</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years</w:t>
            </w:r>
          </w:p>
        </w:tc>
        <w:tc>
          <w:tcPr>
            <w:tcW w:w="9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 years</w:t>
            </w:r>
          </w:p>
        </w:tc>
        <w:tc>
          <w:tcPr>
            <w:tcW w:w="180" w:type="dxa"/>
            <w:vAlign w:val="bottom"/>
            <w:tcBorders>
              <w:top w:val="single" w:sz="8" w:color="CCEEFF"/>
            </w:tcBorders>
            <w:shd w:val="clear" w:color="auto" w:fill="CCEEFF"/>
          </w:tcPr>
          <w:p>
            <w:pPr>
              <w:spacing w:after="0"/>
              <w:rPr>
                <w:sz w:val="17"/>
                <w:szCs w:val="17"/>
                <w:color w:val="auto"/>
              </w:rPr>
            </w:pPr>
          </w:p>
        </w:tc>
      </w:tr>
      <w:tr>
        <w:trPr>
          <w:trHeight w:val="204"/>
        </w:trPr>
        <w:tc>
          <w:tcPr>
            <w:tcW w:w="4600" w:type="dxa"/>
            <w:vAlign w:val="bottom"/>
          </w:tcPr>
          <w:p>
            <w:pPr>
              <w:spacing w:after="0"/>
              <w:rPr>
                <w:sz w:val="20"/>
                <w:szCs w:val="20"/>
                <w:color w:val="auto"/>
              </w:rPr>
            </w:pPr>
            <w:r>
              <w:rPr>
                <w:rFonts w:ascii="Arial" w:cs="Arial" w:eastAsia="Arial" w:hAnsi="Arial"/>
                <w:sz w:val="17"/>
                <w:szCs w:val="17"/>
                <w:color w:val="auto"/>
              </w:rPr>
              <w:t>Risk-free rate of return</w:t>
            </w:r>
          </w:p>
        </w:tc>
        <w:tc>
          <w:tcPr>
            <w:tcW w:w="2020" w:type="dxa"/>
            <w:vAlign w:val="bottom"/>
            <w:gridSpan w:val="2"/>
          </w:tcPr>
          <w:p>
            <w:pPr>
              <w:jc w:val="right"/>
              <w:ind w:right="820"/>
              <w:spacing w:after="0"/>
              <w:rPr>
                <w:sz w:val="20"/>
                <w:szCs w:val="20"/>
                <w:color w:val="auto"/>
              </w:rPr>
            </w:pPr>
            <w:r>
              <w:rPr>
                <w:rFonts w:ascii="Arial" w:cs="Arial" w:eastAsia="Arial" w:hAnsi="Arial"/>
                <w:sz w:val="17"/>
                <w:szCs w:val="17"/>
                <w:color w:val="auto"/>
              </w:rPr>
              <w:t>1.73%</w:t>
            </w:r>
          </w:p>
        </w:tc>
        <w:tc>
          <w:tcPr>
            <w:tcW w:w="1260" w:type="dxa"/>
            <w:vAlign w:val="bottom"/>
            <w:gridSpan w:val="2"/>
          </w:tcPr>
          <w:p>
            <w:pPr>
              <w:jc w:val="right"/>
              <w:ind w:right="40"/>
              <w:spacing w:after="0"/>
              <w:rPr>
                <w:sz w:val="20"/>
                <w:szCs w:val="20"/>
                <w:color w:val="auto"/>
              </w:rPr>
            </w:pPr>
            <w:r>
              <w:rPr>
                <w:rFonts w:ascii="Arial" w:cs="Arial" w:eastAsia="Arial" w:hAnsi="Arial"/>
                <w:sz w:val="17"/>
                <w:szCs w:val="17"/>
                <w:color w:val="auto"/>
              </w:rPr>
              <w:t>1.73%</w:t>
            </w:r>
          </w:p>
        </w:tc>
      </w:tr>
      <w:tr>
        <w:trPr>
          <w:trHeight w:val="204"/>
        </w:trPr>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Applied volatility</w:t>
            </w:r>
          </w:p>
        </w:tc>
        <w:tc>
          <w:tcPr>
            <w:tcW w:w="20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35%</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r>
    </w:tbl>
    <w:p>
      <w:pPr>
        <w:spacing w:after="0" w:line="191" w:lineRule="exact"/>
        <w:rPr>
          <w:sz w:val="20"/>
          <w:szCs w:val="20"/>
          <w:color w:val="auto"/>
        </w:rPr>
      </w:pPr>
    </w:p>
    <w:p>
      <w:pPr>
        <w:jc w:val="both"/>
        <w:ind w:left="440" w:right="540" w:firstLine="415"/>
        <w:spacing w:after="0" w:line="342" w:lineRule="auto"/>
        <w:rPr>
          <w:sz w:val="20"/>
          <w:szCs w:val="20"/>
          <w:color w:val="auto"/>
        </w:rPr>
      </w:pPr>
      <w:r>
        <w:rPr>
          <w:rFonts w:ascii="Arial" w:cs="Arial" w:eastAsia="Arial" w:hAnsi="Arial"/>
          <w:sz w:val="15"/>
          <w:szCs w:val="15"/>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5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F-40</w:t>
      </w:r>
    </w:p>
    <w:p>
      <w:pPr>
        <w:sectPr>
          <w:pgSz w:w="11900" w:h="16838" w:orient="portrait"/>
          <w:cols w:equalWidth="0" w:num="1">
            <w:col w:w="10800"/>
          </w:cols>
          <w:pgMar w:left="320" w:top="442" w:right="779" w:bottom="1440" w:gutter="0" w:footer="0" w:header="0"/>
        </w:sectPr>
      </w:pPr>
    </w:p>
    <w:bookmarkStart w:id="267" w:name="page268"/>
    <w:bookmarkEnd w:id="2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following table summarizes the Company’s unvested time-based and performance-based unit activity under the 2019 plan for the year ended December 31, 2020 (Successor) and the periods from July 16, 2019 and December 31, 2019 (Successor) and January 1, 2019 to July 15, 2019 (Predecessor):</w:t>
      </w:r>
    </w:p>
    <w:p>
      <w:pPr>
        <w:spacing w:after="0" w:line="19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color w:val="auto"/>
              </w:rPr>
              <w:t>Time-based</w:t>
            </w:r>
          </w:p>
        </w:tc>
        <w:tc>
          <w:tcPr>
            <w:tcW w:w="4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color w:val="auto"/>
                <w:w w:val="86"/>
              </w:rPr>
              <w:t>Performance-based</w:t>
            </w: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gridSpan w:val="2"/>
          </w:tcPr>
          <w:p>
            <w:pPr>
              <w:ind w:left="40"/>
              <w:spacing w:after="0" w:line="114" w:lineRule="exact"/>
              <w:rPr>
                <w:sz w:val="20"/>
                <w:szCs w:val="20"/>
                <w:color w:val="auto"/>
              </w:rPr>
            </w:pPr>
            <w:r>
              <w:rPr>
                <w:rFonts w:ascii="Arial" w:cs="Arial" w:eastAsia="Arial" w:hAnsi="Arial"/>
                <w:sz w:val="12"/>
                <w:szCs w:val="12"/>
                <w:color w:val="auto"/>
              </w:rPr>
              <w:t>Weighted</w:t>
            </w: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gridSpan w:val="2"/>
          </w:tcPr>
          <w:p>
            <w:pPr>
              <w:ind w:left="40"/>
              <w:spacing w:after="0" w:line="114" w:lineRule="exact"/>
              <w:rPr>
                <w:sz w:val="20"/>
                <w:szCs w:val="20"/>
                <w:color w:val="auto"/>
              </w:rPr>
            </w:pPr>
            <w:r>
              <w:rPr>
                <w:rFonts w:ascii="Arial" w:cs="Arial" w:eastAsia="Arial" w:hAnsi="Arial"/>
                <w:sz w:val="12"/>
                <w:szCs w:val="12"/>
                <w:color w:val="auto"/>
              </w:rPr>
              <w:t>Weighted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Average</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0"/>
        </w:trPr>
        <w:tc>
          <w:tcPr>
            <w:tcW w:w="6460" w:type="dxa"/>
            <w:vAlign w:val="bottom"/>
            <w:gridSpan w:val="3"/>
            <w:vMerge w:val="restart"/>
          </w:tcPr>
          <w:p>
            <w:pPr>
              <w:spacing w:after="0"/>
              <w:rPr>
                <w:sz w:val="20"/>
                <w:szCs w:val="20"/>
                <w:color w:val="auto"/>
              </w:rPr>
            </w:pPr>
            <w:r>
              <w:rPr>
                <w:rFonts w:ascii="Arial" w:cs="Arial" w:eastAsia="Arial" w:hAnsi="Arial"/>
                <w:sz w:val="14"/>
                <w:szCs w:val="14"/>
                <w:color w:val="auto"/>
              </w:rPr>
              <w:t>2019 Plan</w:t>
            </w:r>
          </w:p>
        </w:tc>
        <w:tc>
          <w:tcPr>
            <w:tcW w:w="1140" w:type="dxa"/>
            <w:vAlign w:val="bottom"/>
            <w:gridSpan w:val="2"/>
          </w:tcPr>
          <w:p>
            <w:pPr>
              <w:jc w:val="right"/>
              <w:ind w:right="460"/>
              <w:spacing w:after="0" w:line="140" w:lineRule="exact"/>
              <w:rPr>
                <w:sz w:val="20"/>
                <w:szCs w:val="20"/>
                <w:color w:val="auto"/>
              </w:rPr>
            </w:pPr>
            <w:r>
              <w:rPr>
                <w:rFonts w:ascii="Arial" w:cs="Arial" w:eastAsia="Arial" w:hAnsi="Arial"/>
                <w:sz w:val="14"/>
                <w:szCs w:val="14"/>
                <w:color w:val="auto"/>
                <w:w w:val="89"/>
              </w:rPr>
              <w:t>Non-Vested</w:t>
            </w:r>
          </w:p>
        </w:tc>
        <w:tc>
          <w:tcPr>
            <w:tcW w:w="960" w:type="dxa"/>
            <w:vAlign w:val="bottom"/>
            <w:gridSpan w:val="3"/>
          </w:tcPr>
          <w:p>
            <w:pPr>
              <w:spacing w:after="0" w:line="140" w:lineRule="exact"/>
              <w:rPr>
                <w:sz w:val="20"/>
                <w:szCs w:val="20"/>
                <w:color w:val="auto"/>
              </w:rPr>
            </w:pPr>
            <w:r>
              <w:rPr>
                <w:rFonts w:ascii="Arial" w:cs="Arial" w:eastAsia="Arial" w:hAnsi="Arial"/>
                <w:sz w:val="14"/>
                <w:szCs w:val="14"/>
                <w:color w:val="auto"/>
              </w:rPr>
              <w:t>Grant Date</w:t>
            </w:r>
          </w:p>
        </w:tc>
        <w:tc>
          <w:tcPr>
            <w:tcW w:w="1160" w:type="dxa"/>
            <w:vAlign w:val="bottom"/>
            <w:gridSpan w:val="2"/>
          </w:tcPr>
          <w:p>
            <w:pPr>
              <w:jc w:val="right"/>
              <w:ind w:right="460"/>
              <w:spacing w:after="0" w:line="140" w:lineRule="exact"/>
              <w:rPr>
                <w:sz w:val="20"/>
                <w:szCs w:val="20"/>
                <w:color w:val="auto"/>
              </w:rPr>
            </w:pPr>
            <w:r>
              <w:rPr>
                <w:rFonts w:ascii="Arial" w:cs="Arial" w:eastAsia="Arial" w:hAnsi="Arial"/>
                <w:sz w:val="14"/>
                <w:szCs w:val="14"/>
                <w:color w:val="auto"/>
                <w:w w:val="91"/>
              </w:rPr>
              <w:t>Non-Vested</w:t>
            </w:r>
          </w:p>
        </w:tc>
        <w:tc>
          <w:tcPr>
            <w:tcW w:w="660" w:type="dxa"/>
            <w:vAlign w:val="bottom"/>
            <w:gridSpan w:val="3"/>
          </w:tcPr>
          <w:p>
            <w:pPr>
              <w:spacing w:after="0" w:line="140" w:lineRule="exact"/>
              <w:rPr>
                <w:sz w:val="20"/>
                <w:szCs w:val="20"/>
                <w:color w:val="auto"/>
              </w:rPr>
            </w:pPr>
            <w:r>
              <w:rPr>
                <w:rFonts w:ascii="Arial" w:cs="Arial" w:eastAsia="Arial" w:hAnsi="Arial"/>
                <w:sz w:val="14"/>
                <w:szCs w:val="14"/>
                <w:color w:val="auto"/>
                <w:w w:val="93"/>
              </w:rPr>
              <w:t>Grant Date</w:t>
            </w:r>
          </w:p>
        </w:tc>
        <w:tc>
          <w:tcPr>
            <w:tcW w:w="0" w:type="dxa"/>
            <w:vAlign w:val="bottom"/>
          </w:tcPr>
          <w:p>
            <w:pPr>
              <w:spacing w:after="0"/>
              <w:rPr>
                <w:sz w:val="1"/>
                <w:szCs w:val="1"/>
                <w:color w:val="auto"/>
              </w:rPr>
            </w:pPr>
          </w:p>
        </w:tc>
      </w:tr>
      <w:tr>
        <w:trPr>
          <w:trHeight w:val="146"/>
        </w:trPr>
        <w:tc>
          <w:tcPr>
            <w:tcW w:w="6460" w:type="dxa"/>
            <w:vAlign w:val="bottom"/>
            <w:gridSpan w:val="3"/>
            <w:vMerge w:val="continue"/>
          </w:tcPr>
          <w:p>
            <w:pPr>
              <w:spacing w:after="0"/>
              <w:rPr>
                <w:sz w:val="12"/>
                <w:szCs w:val="12"/>
                <w:color w:val="auto"/>
              </w:rPr>
            </w:pPr>
          </w:p>
        </w:tc>
        <w:tc>
          <w:tcPr>
            <w:tcW w:w="1140" w:type="dxa"/>
            <w:vAlign w:val="bottom"/>
            <w:gridSpan w:val="2"/>
          </w:tcPr>
          <w:p>
            <w:pPr>
              <w:jc w:val="right"/>
              <w:ind w:right="620"/>
              <w:spacing w:after="0" w:line="145" w:lineRule="exact"/>
              <w:rPr>
                <w:sz w:val="20"/>
                <w:szCs w:val="20"/>
                <w:color w:val="auto"/>
              </w:rPr>
            </w:pPr>
            <w:r>
              <w:rPr>
                <w:rFonts w:ascii="Arial" w:cs="Arial" w:eastAsia="Arial" w:hAnsi="Arial"/>
                <w:sz w:val="14"/>
                <w:szCs w:val="14"/>
                <w:color w:val="auto"/>
              </w:rPr>
              <w:t>Units</w:t>
            </w:r>
          </w:p>
        </w:tc>
        <w:tc>
          <w:tcPr>
            <w:tcW w:w="960" w:type="dxa"/>
            <w:vAlign w:val="bottom"/>
            <w:gridSpan w:val="3"/>
          </w:tcPr>
          <w:p>
            <w:pPr>
              <w:ind w:left="20"/>
              <w:spacing w:after="0" w:line="145" w:lineRule="exact"/>
              <w:rPr>
                <w:sz w:val="20"/>
                <w:szCs w:val="20"/>
                <w:color w:val="auto"/>
              </w:rPr>
            </w:pPr>
            <w:r>
              <w:rPr>
                <w:rFonts w:ascii="Arial" w:cs="Arial" w:eastAsia="Arial" w:hAnsi="Arial"/>
                <w:sz w:val="14"/>
                <w:szCs w:val="14"/>
                <w:color w:val="auto"/>
              </w:rPr>
              <w:t>Fair Value</w:t>
            </w:r>
          </w:p>
        </w:tc>
        <w:tc>
          <w:tcPr>
            <w:tcW w:w="1160" w:type="dxa"/>
            <w:vAlign w:val="bottom"/>
            <w:gridSpan w:val="2"/>
          </w:tcPr>
          <w:p>
            <w:pPr>
              <w:jc w:val="right"/>
              <w:ind w:right="640"/>
              <w:spacing w:after="0" w:line="145" w:lineRule="exact"/>
              <w:rPr>
                <w:sz w:val="20"/>
                <w:szCs w:val="20"/>
                <w:color w:val="auto"/>
              </w:rPr>
            </w:pPr>
            <w:r>
              <w:rPr>
                <w:rFonts w:ascii="Arial" w:cs="Arial" w:eastAsia="Arial" w:hAnsi="Arial"/>
                <w:sz w:val="14"/>
                <w:szCs w:val="14"/>
                <w:color w:val="auto"/>
              </w:rPr>
              <w:t>Units</w:t>
            </w:r>
          </w:p>
        </w:tc>
        <w:tc>
          <w:tcPr>
            <w:tcW w:w="660" w:type="dxa"/>
            <w:vAlign w:val="bottom"/>
            <w:gridSpan w:val="3"/>
          </w:tcPr>
          <w:p>
            <w:pPr>
              <w:ind w:left="20"/>
              <w:spacing w:after="0" w:line="145" w:lineRule="exact"/>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Non-vested at December 31, 2018 (Predecessor)</w:t>
            </w:r>
          </w:p>
        </w:tc>
        <w:tc>
          <w:tcPr>
            <w:tcW w:w="740" w:type="dxa"/>
            <w:vAlign w:val="bottom"/>
            <w:shd w:val="clear" w:color="auto" w:fill="CCEEFF"/>
          </w:tcPr>
          <w:p>
            <w:pPr>
              <w:jc w:val="right"/>
              <w:ind w:right="19"/>
              <w:spacing w:after="0" w:line="189" w:lineRule="exact"/>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3"/>
              </w:rPr>
              <w:t>—</w:t>
            </w: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14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7"/>
                <w:szCs w:val="17"/>
                <w:color w:val="auto"/>
                <w:w w:val="93"/>
              </w:rPr>
              <w:t>—</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93"/>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Non-vested at July 16, 2019 (Successor)</w:t>
            </w:r>
          </w:p>
        </w:tc>
        <w:tc>
          <w:tcPr>
            <w:tcW w:w="1140" w:type="dxa"/>
            <w:vAlign w:val="bottom"/>
            <w:tcBorders>
              <w:top w:val="single" w:sz="8" w:color="auto"/>
            </w:tcBorders>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gridSpan w:val="2"/>
            <w:shd w:val="clear" w:color="auto" w:fill="CCEEFF"/>
          </w:tcPr>
          <w:p>
            <w:pPr>
              <w:jc w:val="center"/>
              <w:ind w:right="280"/>
              <w:spacing w:after="0" w:line="189" w:lineRule="exact"/>
              <w:rPr>
                <w:sz w:val="20"/>
                <w:szCs w:val="20"/>
                <w:color w:val="auto"/>
              </w:rPr>
            </w:pPr>
            <w:r>
              <w:rPr>
                <w:rFonts w:ascii="Arial" w:cs="Arial" w:eastAsia="Arial" w:hAnsi="Arial"/>
                <w:sz w:val="17"/>
                <w:szCs w:val="17"/>
                <w:color w:val="auto"/>
                <w:w w:val="93"/>
              </w:rPr>
              <w:t>—</w:t>
            </w:r>
          </w:p>
        </w:tc>
        <w:tc>
          <w:tcPr>
            <w:tcW w:w="1160" w:type="dxa"/>
            <w:vAlign w:val="bottom"/>
            <w:tcBorders>
              <w:top w:val="single" w:sz="8" w:color="auto"/>
            </w:tcBorders>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w:t>
            </w:r>
          </w:p>
        </w:tc>
        <w:tc>
          <w:tcPr>
            <w:tcW w:w="2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gridSpan w:val="2"/>
            <w:shd w:val="clear" w:color="auto" w:fill="CCEEFF"/>
          </w:tcPr>
          <w:p>
            <w:pPr>
              <w:jc w:val="center"/>
              <w:ind w:right="8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w w:val="95"/>
              </w:rPr>
              <w:t>1,899,682</w:t>
            </w:r>
          </w:p>
        </w:tc>
        <w:tc>
          <w:tcPr>
            <w:tcW w:w="2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3.65</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1,899,682</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93"/>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Forfeited</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3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at December 31, 2019 (Successor)</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w w:val="95"/>
              </w:rPr>
              <w:t>1,899,682</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0"/>
              </w:rPr>
              <w:t>3.65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1,899,682</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Granted</w:t>
            </w:r>
          </w:p>
        </w:tc>
        <w:tc>
          <w:tcPr>
            <w:tcW w:w="1140" w:type="dxa"/>
            <w:vAlign w:val="bottom"/>
            <w:gridSpan w:val="2"/>
          </w:tcPr>
          <w:p>
            <w:pPr>
              <w:jc w:val="right"/>
              <w:ind w:right="400"/>
              <w:spacing w:after="0"/>
              <w:rPr>
                <w:sz w:val="20"/>
                <w:szCs w:val="20"/>
                <w:color w:val="auto"/>
              </w:rPr>
            </w:pPr>
            <w:r>
              <w:rPr>
                <w:rFonts w:ascii="Arial" w:cs="Arial" w:eastAsia="Arial" w:hAnsi="Arial"/>
                <w:sz w:val="17"/>
                <w:szCs w:val="17"/>
                <w:color w:val="auto"/>
              </w:rPr>
              <w:t>97,611</w:t>
            </w:r>
          </w:p>
        </w:tc>
        <w:tc>
          <w:tcPr>
            <w:tcW w:w="2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3.65</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97,611</w:t>
            </w: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Vested</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(474,920)</w:t>
            </w: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7"/>
                <w:szCs w:val="17"/>
                <w:color w:val="auto"/>
                <w:w w:val="90"/>
              </w:rPr>
              <w:t>3.65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gridSpan w:val="2"/>
          </w:tcPr>
          <w:p>
            <w:pPr>
              <w:ind w:left="320"/>
              <w:spacing w:after="0"/>
              <w:rPr>
                <w:sz w:val="20"/>
                <w:szCs w:val="20"/>
                <w:color w:val="auto"/>
              </w:rPr>
            </w:pPr>
            <w:r>
              <w:rPr>
                <w:rFonts w:ascii="Arial" w:cs="Arial" w:eastAsia="Arial" w:hAnsi="Arial"/>
                <w:sz w:val="17"/>
                <w:szCs w:val="17"/>
                <w:color w:val="auto"/>
              </w:rPr>
              <w:t>Forfeited</w:t>
            </w:r>
          </w:p>
        </w:tc>
        <w:tc>
          <w:tcPr>
            <w:tcW w:w="1140" w:type="dxa"/>
            <w:vAlign w:val="bottom"/>
            <w:gridSpan w:val="2"/>
          </w:tcPr>
          <w:p>
            <w:pPr>
              <w:jc w:val="right"/>
              <w:ind w:right="340"/>
              <w:spacing w:after="0"/>
              <w:rPr>
                <w:sz w:val="20"/>
                <w:szCs w:val="20"/>
                <w:color w:val="auto"/>
              </w:rPr>
            </w:pPr>
            <w:r>
              <w:rPr>
                <w:rFonts w:ascii="Arial" w:cs="Arial" w:eastAsia="Arial" w:hAnsi="Arial"/>
                <w:sz w:val="17"/>
                <w:szCs w:val="17"/>
                <w:color w:val="auto"/>
              </w:rPr>
              <w:t>(117,653)</w:t>
            </w:r>
          </w:p>
        </w:tc>
        <w:tc>
          <w:tcPr>
            <w:tcW w:w="200" w:type="dxa"/>
            <w:vAlign w:val="bottom"/>
          </w:tcPr>
          <w:p>
            <w:pPr>
              <w:spacing w:after="0"/>
              <w:rPr>
                <w:sz w:val="17"/>
                <w:szCs w:val="17"/>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3.65</w:t>
            </w:r>
          </w:p>
        </w:tc>
        <w:tc>
          <w:tcPr>
            <w:tcW w:w="1160" w:type="dxa"/>
            <w:vAlign w:val="bottom"/>
            <w:gridSpan w:val="2"/>
          </w:tcPr>
          <w:p>
            <w:pPr>
              <w:jc w:val="right"/>
              <w:ind w:right="360"/>
              <w:spacing w:after="0"/>
              <w:rPr>
                <w:sz w:val="20"/>
                <w:szCs w:val="20"/>
                <w:color w:val="auto"/>
              </w:rPr>
            </w:pPr>
            <w:r>
              <w:rPr>
                <w:rFonts w:ascii="Arial" w:cs="Arial" w:eastAsia="Arial" w:hAnsi="Arial"/>
                <w:sz w:val="17"/>
                <w:szCs w:val="17"/>
                <w:color w:val="auto"/>
              </w:rPr>
              <w:t>(156,870)</w:t>
            </w:r>
          </w:p>
        </w:tc>
        <w:tc>
          <w:tcPr>
            <w:tcW w:w="280" w:type="dxa"/>
            <w:vAlign w:val="bottom"/>
          </w:tcPr>
          <w:p>
            <w:pPr>
              <w:spacing w:after="0"/>
              <w:rPr>
                <w:sz w:val="17"/>
                <w:szCs w:val="17"/>
                <w:color w:val="auto"/>
              </w:rPr>
            </w:pPr>
          </w:p>
        </w:tc>
        <w:tc>
          <w:tcPr>
            <w:tcW w:w="380" w:type="dxa"/>
            <w:vAlign w:val="bottom"/>
            <w:gridSpan w:val="2"/>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at December 31, 2020 (Successor)</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1,404,720</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center"/>
              <w:ind w:left="35"/>
              <w:spacing w:after="0"/>
              <w:rPr>
                <w:sz w:val="20"/>
                <w:szCs w:val="20"/>
                <w:color w:val="auto"/>
              </w:rPr>
            </w:pPr>
            <w:r>
              <w:rPr>
                <w:rFonts w:ascii="Arial" w:cs="Arial" w:eastAsia="Arial" w:hAnsi="Arial"/>
                <w:sz w:val="17"/>
                <w:szCs w:val="17"/>
                <w:color w:val="auto"/>
                <w:w w:val="90"/>
              </w:rPr>
              <w:t>3.65</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1,840,423</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center"/>
              <w:ind w:right="40"/>
              <w:spacing w:after="0"/>
              <w:rPr>
                <w:sz w:val="20"/>
                <w:szCs w:val="20"/>
                <w:color w:val="auto"/>
              </w:rPr>
            </w:pPr>
            <w:r>
              <w:rPr>
                <w:rFonts w:ascii="Arial" w:cs="Arial" w:eastAsia="Arial" w:hAnsi="Arial"/>
                <w:sz w:val="17"/>
                <w:szCs w:val="17"/>
                <w:color w:val="auto"/>
                <w:w w:val="90"/>
              </w:rPr>
              <w:t>2.35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During the year ended December 31, 2020 (Successor) and the period from July 16, 2019 to December 31, 2019 (Successor), 195,222 and 3,799,364 units, respectively, were granted under the plan.</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2015 Incentive Equity Plan</w:t>
      </w:r>
    </w:p>
    <w:p>
      <w:pPr>
        <w:spacing w:after="0" w:line="110" w:lineRule="exact"/>
        <w:rPr>
          <w:sz w:val="20"/>
          <w:szCs w:val="20"/>
          <w:color w:val="auto"/>
        </w:rPr>
      </w:pPr>
    </w:p>
    <w:p>
      <w:pPr>
        <w:jc w:val="both"/>
        <w:ind w:left="440" w:right="140" w:firstLine="415"/>
        <w:spacing w:after="0" w:line="261" w:lineRule="auto"/>
        <w:rPr>
          <w:sz w:val="20"/>
          <w:szCs w:val="20"/>
          <w:color w:val="auto"/>
        </w:rPr>
      </w:pPr>
      <w:r>
        <w:rPr>
          <w:rFonts w:ascii="Arial" w:cs="Arial" w:eastAsia="Arial" w:hAnsi="Arial"/>
          <w:sz w:val="17"/>
          <w:szCs w:val="17"/>
          <w:color w:val="auto"/>
        </w:rPr>
        <w:t>On July 16, 2019, in conjunction with the purchase of the issued and outstanding Common Units of the Definitive Holdco by AIDH Buyer, LLC, the outstanding units of Series B, Series C, Series D, and Series E were sold to AIDH Buyer, LLC and the holders received a combination of cash and equity in AIDH TopCo, LLC, and the 2015 Equity Incentive Plan was terminated.</w:t>
      </w:r>
    </w:p>
    <w:p>
      <w:pPr>
        <w:spacing w:after="0" w:line="176" w:lineRule="exact"/>
        <w:rPr>
          <w:sz w:val="20"/>
          <w:szCs w:val="20"/>
          <w:color w:val="auto"/>
        </w:rPr>
      </w:pPr>
    </w:p>
    <w:p>
      <w:pPr>
        <w:ind w:left="440" w:right="100" w:firstLine="415"/>
        <w:spacing w:after="0" w:line="270" w:lineRule="auto"/>
        <w:rPr>
          <w:sz w:val="20"/>
          <w:szCs w:val="20"/>
          <w:color w:val="auto"/>
        </w:rPr>
      </w:pPr>
      <w:r>
        <w:rPr>
          <w:rFonts w:ascii="Arial" w:cs="Arial" w:eastAsia="Arial" w:hAnsi="Arial"/>
          <w:sz w:val="16"/>
          <w:szCs w:val="16"/>
          <w:color w:val="auto"/>
        </w:rPr>
        <w:t>The 2015 Equity Incentive Plan under which the Company has reserved 407,750 Class B Units (the “2015 Incentive Equity Pool”) was approved in February 2015 by the Predecessor and Board of Managers. In December 2016, in connection with the amended and restated Limited Liability Company Agreement entered into, the 2015 Incentive Equity Pool was transferred to DHCB. The 2015 Incentive Equity Pool was utilized for the issuance of units to employees, consultants, directors, managers, or others providing service to the Company pursuant Board of Managers approval. Units granted out of the 2015 Incentive Equity Pool are designated series based on the period of grant, and prior to July 16, 2019, the outstanding units consisted of Series B, Series C, Series D, and Series E. These interests were considered profits interests, which in general, entitled the holder of the unit to a pro rata share of the increase in value of the unit over the base value determined at the award date and may be subject to such vesting and other restrictions as the Board of Managers may deem appropriate. Any units forfeited or repurchased were available for future grants under the 2015 Incentive Equity Pool.</w:t>
      </w:r>
    </w:p>
    <w:p>
      <w:pPr>
        <w:spacing w:after="0" w:line="10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F-41</w:t>
      </w:r>
    </w:p>
    <w:p>
      <w:pPr>
        <w:sectPr>
          <w:pgSz w:w="11900" w:h="16838" w:orient="portrait"/>
          <w:cols w:equalWidth="0" w:num="1">
            <w:col w:w="10820"/>
          </w:cols>
          <w:pgMar w:left="320" w:top="442" w:right="759" w:bottom="1440" w:gutter="0" w:footer="0" w:header="0"/>
        </w:sectPr>
      </w:pPr>
    </w:p>
    <w:bookmarkStart w:id="268" w:name="page269"/>
    <w:bookmarkEnd w:id="2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20" w:firstLine="415"/>
        <w:spacing w:after="0" w:line="273" w:lineRule="auto"/>
        <w:rPr>
          <w:sz w:val="20"/>
          <w:szCs w:val="20"/>
          <w:color w:val="auto"/>
        </w:rPr>
      </w:pPr>
      <w:r>
        <w:rPr>
          <w:rFonts w:ascii="Arial" w:cs="Arial" w:eastAsia="Arial" w:hAnsi="Arial"/>
          <w:sz w:val="17"/>
          <w:szCs w:val="17"/>
          <w:color w:val="auto"/>
        </w:rPr>
        <w:t>The following table summarizes the 2015 Plan activity for the periods from January 1, 2019 through July 15, 2019 (Predecessor), and July 16, 2019 through December 31, 2019 (Successor).</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color w:val="auto"/>
                <w:w w:val="87"/>
              </w:rPr>
              <w:t>Weighted</w:t>
            </w: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gridSpan w:val="3"/>
          </w:tcPr>
          <w:p>
            <w:pPr>
              <w:jc w:val="center"/>
              <w:ind w:right="40"/>
              <w:spacing w:after="0" w:line="140" w:lineRule="exact"/>
              <w:rPr>
                <w:sz w:val="20"/>
                <w:szCs w:val="20"/>
                <w:color w:val="auto"/>
              </w:rPr>
            </w:pPr>
            <w:r>
              <w:rPr>
                <w:rFonts w:ascii="Arial" w:cs="Arial" w:eastAsia="Arial" w:hAnsi="Arial"/>
                <w:sz w:val="14"/>
                <w:szCs w:val="14"/>
                <w:color w:val="auto"/>
                <w:w w:val="87"/>
              </w:rPr>
              <w:t>Average Grant</w:t>
            </w:r>
          </w:p>
        </w:tc>
        <w:tc>
          <w:tcPr>
            <w:tcW w:w="0" w:type="dxa"/>
            <w:vAlign w:val="bottom"/>
          </w:tcPr>
          <w:p>
            <w:pPr>
              <w:spacing w:after="0"/>
              <w:rPr>
                <w:sz w:val="1"/>
                <w:szCs w:val="1"/>
                <w:color w:val="auto"/>
              </w:rPr>
            </w:pPr>
          </w:p>
        </w:tc>
      </w:tr>
      <w:tr>
        <w:trPr>
          <w:trHeight w:val="140"/>
        </w:trPr>
        <w:tc>
          <w:tcPr>
            <w:tcW w:w="5680" w:type="dxa"/>
            <w:vAlign w:val="bottom"/>
            <w:gridSpan w:val="2"/>
            <w:vMerge w:val="restart"/>
          </w:tcPr>
          <w:p>
            <w:pPr>
              <w:spacing w:after="0"/>
              <w:rPr>
                <w:sz w:val="20"/>
                <w:szCs w:val="20"/>
                <w:color w:val="auto"/>
              </w:rPr>
            </w:pPr>
            <w:r>
              <w:rPr>
                <w:rFonts w:ascii="Arial" w:cs="Arial" w:eastAsia="Arial" w:hAnsi="Arial"/>
                <w:sz w:val="14"/>
                <w:szCs w:val="14"/>
                <w:color w:val="auto"/>
              </w:rPr>
              <w:t>2015 Plan</w:t>
            </w:r>
          </w:p>
        </w:tc>
        <w:tc>
          <w:tcPr>
            <w:tcW w:w="1360" w:type="dxa"/>
            <w:vAlign w:val="bottom"/>
            <w:gridSpan w:val="2"/>
          </w:tcPr>
          <w:p>
            <w:pPr>
              <w:jc w:val="right"/>
              <w:ind w:right="720"/>
              <w:spacing w:after="0" w:line="140" w:lineRule="exact"/>
              <w:rPr>
                <w:sz w:val="20"/>
                <w:szCs w:val="20"/>
                <w:color w:val="auto"/>
              </w:rPr>
            </w:pPr>
            <w:r>
              <w:rPr>
                <w:rFonts w:ascii="Arial" w:cs="Arial" w:eastAsia="Arial" w:hAnsi="Arial"/>
                <w:sz w:val="14"/>
                <w:szCs w:val="14"/>
                <w:color w:val="auto"/>
                <w:w w:val="83"/>
              </w:rPr>
              <w:t>Non-Vested</w:t>
            </w: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0" w:lineRule="exact"/>
              <w:rPr>
                <w:sz w:val="20"/>
                <w:szCs w:val="20"/>
                <w:color w:val="auto"/>
              </w:rPr>
            </w:pPr>
            <w:r>
              <w:rPr>
                <w:rFonts w:ascii="Arial" w:cs="Arial" w:eastAsia="Arial" w:hAnsi="Arial"/>
                <w:sz w:val="14"/>
                <w:szCs w:val="14"/>
                <w:color w:val="auto"/>
                <w:w w:val="86"/>
              </w:rPr>
              <w:t>Date Fair</w:t>
            </w:r>
          </w:p>
        </w:tc>
        <w:tc>
          <w:tcPr>
            <w:tcW w:w="0" w:type="dxa"/>
            <w:vAlign w:val="bottom"/>
          </w:tcPr>
          <w:p>
            <w:pPr>
              <w:spacing w:after="0"/>
              <w:rPr>
                <w:sz w:val="1"/>
                <w:szCs w:val="1"/>
                <w:color w:val="auto"/>
              </w:rPr>
            </w:pPr>
          </w:p>
        </w:tc>
      </w:tr>
      <w:tr>
        <w:trPr>
          <w:trHeight w:val="146"/>
        </w:trPr>
        <w:tc>
          <w:tcPr>
            <w:tcW w:w="5680" w:type="dxa"/>
            <w:vAlign w:val="bottom"/>
            <w:gridSpan w:val="2"/>
            <w:vMerge w:val="continue"/>
          </w:tcPr>
          <w:p>
            <w:pPr>
              <w:spacing w:after="0"/>
              <w:rPr>
                <w:sz w:val="12"/>
                <w:szCs w:val="12"/>
                <w:color w:val="auto"/>
              </w:rPr>
            </w:pPr>
          </w:p>
        </w:tc>
        <w:tc>
          <w:tcPr>
            <w:tcW w:w="1360" w:type="dxa"/>
            <w:vAlign w:val="bottom"/>
            <w:gridSpan w:val="2"/>
          </w:tcPr>
          <w:p>
            <w:pPr>
              <w:jc w:val="right"/>
              <w:ind w:right="880"/>
              <w:spacing w:after="0" w:line="145" w:lineRule="exact"/>
              <w:rPr>
                <w:sz w:val="20"/>
                <w:szCs w:val="20"/>
                <w:color w:val="auto"/>
              </w:rPr>
            </w:pPr>
            <w:r>
              <w:rPr>
                <w:rFonts w:ascii="Arial" w:cs="Arial" w:eastAsia="Arial" w:hAnsi="Arial"/>
                <w:sz w:val="14"/>
                <w:szCs w:val="14"/>
                <w:color w:val="auto"/>
              </w:rPr>
              <w:t>Units</w:t>
            </w:r>
          </w:p>
        </w:tc>
        <w:tc>
          <w:tcPr>
            <w:tcW w:w="100" w:type="dxa"/>
            <w:vAlign w:val="bottom"/>
          </w:tcPr>
          <w:p>
            <w:pPr>
              <w:spacing w:after="0"/>
              <w:rPr>
                <w:sz w:val="12"/>
                <w:szCs w:val="12"/>
                <w:color w:val="auto"/>
              </w:rPr>
            </w:pPr>
          </w:p>
        </w:tc>
        <w:tc>
          <w:tcPr>
            <w:tcW w:w="740" w:type="dxa"/>
            <w:vAlign w:val="bottom"/>
            <w:gridSpan w:val="2"/>
          </w:tcPr>
          <w:p>
            <w:pPr>
              <w:jc w:val="center"/>
              <w:ind w:right="140"/>
              <w:spacing w:after="0" w:line="145"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6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Non-vested at December 31, 2018 (Predecessor)</w:t>
            </w:r>
          </w:p>
        </w:tc>
        <w:tc>
          <w:tcPr>
            <w:tcW w:w="6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131,545</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9.00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680" w:type="dxa"/>
            <w:vAlign w:val="bottom"/>
            <w:gridSpan w:val="2"/>
          </w:tcPr>
          <w:p>
            <w:pPr>
              <w:ind w:left="340"/>
              <w:spacing w:after="0"/>
              <w:rPr>
                <w:sz w:val="20"/>
                <w:szCs w:val="20"/>
                <w:color w:val="auto"/>
              </w:rPr>
            </w:pPr>
            <w:r>
              <w:rPr>
                <w:rFonts w:ascii="Arial" w:cs="Arial" w:eastAsia="Arial" w:hAnsi="Arial"/>
                <w:sz w:val="17"/>
                <w:szCs w:val="17"/>
                <w:color w:val="auto"/>
              </w:rPr>
              <w:t>Granted</w:t>
            </w:r>
          </w:p>
        </w:tc>
        <w:tc>
          <w:tcPr>
            <w:tcW w:w="1360" w:type="dxa"/>
            <w:vAlign w:val="bottom"/>
            <w:gridSpan w:val="2"/>
          </w:tcPr>
          <w:p>
            <w:pPr>
              <w:jc w:val="right"/>
              <w:ind w:right="700"/>
              <w:spacing w:after="0"/>
              <w:rPr>
                <w:sz w:val="20"/>
                <w:szCs w:val="20"/>
                <w:color w:val="auto"/>
              </w:rPr>
            </w:pPr>
            <w:r>
              <w:rPr>
                <w:rFonts w:ascii="Arial" w:cs="Arial" w:eastAsia="Arial" w:hAnsi="Arial"/>
                <w:sz w:val="17"/>
                <w:szCs w:val="17"/>
                <w:color w:val="auto"/>
              </w:rPr>
              <w:t>48,592</w:t>
            </w:r>
          </w:p>
        </w:tc>
        <w:tc>
          <w:tcPr>
            <w:tcW w:w="1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98.75</w:t>
            </w:r>
          </w:p>
        </w:tc>
        <w:tc>
          <w:tcPr>
            <w:tcW w:w="0" w:type="dxa"/>
            <w:vAlign w:val="bottom"/>
          </w:tcPr>
          <w:p>
            <w:pPr>
              <w:spacing w:after="0"/>
              <w:rPr>
                <w:sz w:val="1"/>
                <w:szCs w:val="1"/>
                <w:color w:val="auto"/>
              </w:rPr>
            </w:pPr>
          </w:p>
        </w:tc>
      </w:tr>
      <w:tr>
        <w:trPr>
          <w:trHeight w:val="204"/>
        </w:trPr>
        <w:tc>
          <w:tcPr>
            <w:tcW w:w="56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w w:val="96"/>
              </w:rPr>
              <w:t>(180,137)</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5680" w:type="dxa"/>
            <w:vAlign w:val="bottom"/>
            <w:tcBorders>
              <w:bottom w:val="single" w:sz="8" w:color="auto"/>
            </w:tcBorders>
          </w:tcPr>
          <w:p>
            <w:pPr>
              <w:ind w:left="340"/>
              <w:spacing w:after="0"/>
              <w:rPr>
                <w:sz w:val="20"/>
                <w:szCs w:val="20"/>
                <w:color w:val="auto"/>
              </w:rPr>
            </w:pPr>
            <w:r>
              <w:rPr>
                <w:rFonts w:ascii="Arial" w:cs="Arial" w:eastAsia="Arial" w:hAnsi="Arial"/>
                <w:sz w:val="17"/>
                <w:szCs w:val="17"/>
                <w:color w:val="auto"/>
              </w:rPr>
              <w:t>Forfeited</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ind w:left="220"/>
              <w:spacing w:after="0"/>
              <w:rPr>
                <w:sz w:val="20"/>
                <w:szCs w:val="20"/>
                <w:color w:val="auto"/>
              </w:rPr>
            </w:pPr>
            <w:r>
              <w:rPr>
                <w:rFonts w:ascii="Arial" w:cs="Arial" w:eastAsia="Arial" w:hAnsi="Arial"/>
                <w:sz w:val="17"/>
                <w:szCs w:val="17"/>
                <w:color w:val="auto"/>
              </w:rPr>
              <w:t>—</w:t>
            </w:r>
          </w:p>
        </w:tc>
      </w:tr>
      <w:tr>
        <w:trPr>
          <w:trHeight w:val="197"/>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July 16, 2019 (Successor)</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4"/>
        </w:trPr>
        <w:tc>
          <w:tcPr>
            <w:tcW w:w="5680" w:type="dxa"/>
            <w:vAlign w:val="bottom"/>
          </w:tcPr>
          <w:p>
            <w:pPr>
              <w:ind w:left="340"/>
              <w:spacing w:after="0"/>
              <w:rPr>
                <w:sz w:val="20"/>
                <w:szCs w:val="20"/>
                <w:color w:val="auto"/>
              </w:rPr>
            </w:pPr>
            <w:r>
              <w:rPr>
                <w:rFonts w:ascii="Arial" w:cs="Arial" w:eastAsia="Arial" w:hAnsi="Arial"/>
                <w:sz w:val="17"/>
                <w:szCs w:val="17"/>
                <w:color w:val="auto"/>
              </w:rPr>
              <w:t>Granted</w:t>
            </w:r>
          </w:p>
        </w:tc>
        <w:tc>
          <w:tcPr>
            <w:tcW w:w="660" w:type="dxa"/>
            <w:vAlign w:val="bottom"/>
          </w:tcPr>
          <w:p>
            <w:pPr>
              <w:ind w:left="40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ind w:left="220"/>
              <w:spacing w:after="0"/>
              <w:rPr>
                <w:sz w:val="20"/>
                <w:szCs w:val="20"/>
                <w:color w:val="auto"/>
              </w:rPr>
            </w:pPr>
            <w:r>
              <w:rPr>
                <w:rFonts w:ascii="Arial" w:cs="Arial" w:eastAsia="Arial" w:hAnsi="Arial"/>
                <w:sz w:val="17"/>
                <w:szCs w:val="17"/>
                <w:color w:val="auto"/>
              </w:rPr>
              <w:t>—</w:t>
            </w:r>
          </w:p>
        </w:tc>
      </w:tr>
      <w:tr>
        <w:trPr>
          <w:trHeight w:val="204"/>
        </w:trPr>
        <w:tc>
          <w:tcPr>
            <w:tcW w:w="56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Vested</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9"/>
        </w:trPr>
        <w:tc>
          <w:tcPr>
            <w:tcW w:w="5680" w:type="dxa"/>
            <w:vAlign w:val="bottom"/>
          </w:tcPr>
          <w:p>
            <w:pPr>
              <w:ind w:left="340"/>
              <w:spacing w:after="0"/>
              <w:rPr>
                <w:sz w:val="20"/>
                <w:szCs w:val="20"/>
                <w:color w:val="auto"/>
              </w:rPr>
            </w:pPr>
            <w:r>
              <w:rPr>
                <w:rFonts w:ascii="Arial" w:cs="Arial" w:eastAsia="Arial" w:hAnsi="Arial"/>
                <w:sz w:val="17"/>
                <w:szCs w:val="17"/>
                <w:color w:val="auto"/>
              </w:rPr>
              <w:t>Forfeited</w:t>
            </w: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4"/>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July December 31, 2019 (Successor)</w:t>
            </w:r>
          </w:p>
        </w:tc>
        <w:tc>
          <w:tcPr>
            <w:tcW w:w="660" w:type="dxa"/>
            <w:vAlign w:val="bottom"/>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r>
      <w:tr>
        <w:trPr>
          <w:trHeight w:val="20"/>
        </w:trPr>
        <w:tc>
          <w:tcPr>
            <w:tcW w:w="5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240" w:firstLine="415"/>
        <w:spacing w:after="0" w:line="302" w:lineRule="auto"/>
        <w:rPr>
          <w:sz w:val="20"/>
          <w:szCs w:val="20"/>
          <w:color w:val="auto"/>
        </w:rPr>
      </w:pPr>
      <w:r>
        <w:rPr>
          <w:rFonts w:ascii="Arial" w:cs="Arial" w:eastAsia="Arial" w:hAnsi="Arial"/>
          <w:sz w:val="15"/>
          <w:szCs w:val="15"/>
          <w:color w:val="auto"/>
        </w:rPr>
        <w:t>As of December 31, 2018 (Predecessor), the Company had authorized and issued, subject to vesting, 1 share of Class B Series A units, 73,418 shares of Class B Series B units, 57,105 shares of Class B Series C units, and 89,737 shares of Class B Series D units. During the year ended December 31, 2019, the Company authorized and issued 48,592 shares of Class B Series E units. On July 16, 2019, all shares of Series A, Series B, Series C, Series D, and Series E units vested upon the qualifying event and were cancelled. The Plan was also terminated on July 16, 2019.</w:t>
      </w:r>
    </w:p>
    <w:p>
      <w:pPr>
        <w:spacing w:after="0" w:line="14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recorded total unit-based compensation of $1.7 million for the year ended December 31, 2020 (Successor) and $0.7 million and</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$5.8 million for the periods from July 16, 2019 through December 31, 2019 (Successor) and from January 1, 2019 through July 15, 2019 (Predecessor),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respectively, as follows in the table below (in thousands):</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tcPr>
          <w:p>
            <w:pPr>
              <w:ind w:left="24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760" w:type="dxa"/>
            <w:vAlign w:val="bottom"/>
            <w:tcBorders>
              <w:top w:val="single" w:sz="8" w:color="auto"/>
            </w:tcBorders>
            <w:gridSpan w:val="2"/>
          </w:tcPr>
          <w:p>
            <w:pPr>
              <w:jc w:val="right"/>
              <w:spacing w:after="0" w:line="114" w:lineRule="exact"/>
              <w:rPr>
                <w:sz w:val="20"/>
                <w:szCs w:val="20"/>
                <w:color w:val="auto"/>
              </w:rPr>
            </w:pPr>
            <w:r>
              <w:rPr>
                <w:rFonts w:ascii="Arial" w:cs="Arial" w:eastAsia="Arial" w:hAnsi="Arial"/>
                <w:sz w:val="12"/>
                <w:szCs w:val="12"/>
                <w:color w:val="auto"/>
              </w:rPr>
              <w:t>Year ended</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00"/>
              <w:spacing w:after="0" w:line="114" w:lineRule="exact"/>
              <w:rPr>
                <w:sz w:val="20"/>
                <w:szCs w:val="20"/>
                <w:color w:val="auto"/>
              </w:rPr>
            </w:pPr>
            <w:r>
              <w:rPr>
                <w:rFonts w:ascii="Arial" w:cs="Arial" w:eastAsia="Arial" w:hAnsi="Arial"/>
                <w:sz w:val="12"/>
                <w:szCs w:val="12"/>
                <w:color w:val="auto"/>
              </w:rPr>
              <w:t>Period From</w:t>
            </w:r>
          </w:p>
        </w:tc>
        <w:tc>
          <w:tcPr>
            <w:tcW w:w="2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1"/>
              <w:spacing w:after="0" w:line="114" w:lineRule="exact"/>
              <w:rPr>
                <w:sz w:val="20"/>
                <w:szCs w:val="20"/>
                <w:color w:val="auto"/>
              </w:rPr>
            </w:pPr>
            <w:r>
              <w:rPr>
                <w:rFonts w:ascii="Arial" w:cs="Arial" w:eastAsia="Arial" w:hAnsi="Arial"/>
                <w:sz w:val="12"/>
                <w:szCs w:val="12"/>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000" w:type="dxa"/>
            <w:vAlign w:val="bottom"/>
            <w:gridSpan w:val="3"/>
          </w:tcPr>
          <w:p>
            <w:pPr>
              <w:jc w:val="right"/>
              <w:spacing w:after="0" w:line="140" w:lineRule="exact"/>
              <w:rPr>
                <w:sz w:val="20"/>
                <w:szCs w:val="20"/>
                <w:color w:val="auto"/>
              </w:rPr>
            </w:pPr>
            <w:r>
              <w:rPr>
                <w:rFonts w:ascii="Arial" w:cs="Arial" w:eastAsia="Arial" w:hAnsi="Arial"/>
                <w:sz w:val="14"/>
                <w:szCs w:val="14"/>
                <w:color w:val="auto"/>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ind w:left="20"/>
              <w:spacing w:after="0" w:line="140" w:lineRule="exact"/>
              <w:rPr>
                <w:sz w:val="20"/>
                <w:szCs w:val="20"/>
                <w:color w:val="auto"/>
              </w:rPr>
            </w:pPr>
            <w:r>
              <w:rPr>
                <w:rFonts w:ascii="Arial" w:cs="Arial" w:eastAsia="Arial" w:hAnsi="Arial"/>
                <w:sz w:val="14"/>
                <w:szCs w:val="14"/>
                <w:color w:val="auto"/>
                <w:w w:val="95"/>
              </w:rPr>
              <w:t>July 16, 2019 to</w:t>
            </w:r>
          </w:p>
        </w:tc>
        <w:tc>
          <w:tcPr>
            <w:tcW w:w="2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60"/>
              <w:spacing w:after="0" w:line="140" w:lineRule="exact"/>
              <w:rPr>
                <w:sz w:val="20"/>
                <w:szCs w:val="20"/>
                <w:color w:val="auto"/>
              </w:rPr>
            </w:pPr>
            <w:r>
              <w:rPr>
                <w:rFonts w:ascii="Arial" w:cs="Arial" w:eastAsia="Arial" w:hAnsi="Arial"/>
                <w:sz w:val="14"/>
                <w:szCs w:val="14"/>
                <w:color w:val="auto"/>
                <w:w w:val="85"/>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79"/>
              <w:spacing w:after="0" w:line="158" w:lineRule="exact"/>
              <w:rPr>
                <w:sz w:val="20"/>
                <w:szCs w:val="20"/>
                <w:color w:val="auto"/>
              </w:rPr>
            </w:pPr>
            <w:r>
              <w:rPr>
                <w:rFonts w:ascii="Arial" w:cs="Arial" w:eastAsia="Arial" w:hAnsi="Arial"/>
                <w:sz w:val="14"/>
                <w:szCs w:val="14"/>
                <w:color w:val="auto"/>
              </w:rPr>
              <w:t>2020</w:t>
            </w:r>
          </w:p>
        </w:tc>
        <w:tc>
          <w:tcPr>
            <w:tcW w:w="1200" w:type="dxa"/>
            <w:vAlign w:val="bottom"/>
            <w:gridSpan w:val="3"/>
          </w:tcPr>
          <w:p>
            <w:pPr>
              <w:ind w:left="140"/>
              <w:spacing w:after="0" w:line="158" w:lineRule="exact"/>
              <w:rPr>
                <w:sz w:val="20"/>
                <w:szCs w:val="20"/>
                <w:color w:val="auto"/>
              </w:rPr>
            </w:pPr>
            <w:r>
              <w:rPr>
                <w:rFonts w:ascii="Arial" w:cs="Arial" w:eastAsia="Arial" w:hAnsi="Arial"/>
                <w:sz w:val="14"/>
                <w:szCs w:val="14"/>
                <w:color w:val="auto"/>
                <w:w w:val="84"/>
              </w:rPr>
              <w:t>December 31, 2019</w:t>
            </w:r>
          </w:p>
        </w:tc>
        <w:tc>
          <w:tcPr>
            <w:tcW w:w="260" w:type="dxa"/>
            <w:vAlign w:val="bottom"/>
            <w:tcBorders>
              <w:right w:val="single" w:sz="8" w:color="auto"/>
            </w:tcBorders>
          </w:tcPr>
          <w:p>
            <w:pPr>
              <w:spacing w:after="0"/>
              <w:rPr>
                <w:sz w:val="13"/>
                <w:szCs w:val="13"/>
                <w:color w:val="auto"/>
              </w:rPr>
            </w:pPr>
          </w:p>
        </w:tc>
        <w:tc>
          <w:tcPr>
            <w:tcW w:w="1140" w:type="dxa"/>
            <w:vAlign w:val="bottom"/>
            <w:gridSpan w:val="4"/>
          </w:tcPr>
          <w:p>
            <w:pPr>
              <w:jc w:val="center"/>
              <w:ind w:left="81"/>
              <w:spacing w:after="0" w:line="158" w:lineRule="exact"/>
              <w:rPr>
                <w:sz w:val="20"/>
                <w:szCs w:val="20"/>
                <w:color w:val="auto"/>
              </w:rPr>
            </w:pPr>
            <w:r>
              <w:rPr>
                <w:rFonts w:ascii="Arial" w:cs="Arial" w:eastAsia="Arial" w:hAnsi="Arial"/>
                <w:sz w:val="14"/>
                <w:szCs w:val="14"/>
                <w:color w:val="auto"/>
                <w:w w:val="86"/>
              </w:rPr>
              <w:t>to July 15, 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Time-based:</w:t>
            </w:r>
          </w:p>
        </w:tc>
        <w:tc>
          <w:tcPr>
            <w:tcW w:w="2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tcPr>
          <w:p>
            <w:pPr>
              <w:ind w:left="320"/>
              <w:spacing w:after="0"/>
              <w:rPr>
                <w:sz w:val="20"/>
                <w:szCs w:val="20"/>
                <w:color w:val="auto"/>
              </w:rPr>
            </w:pPr>
            <w:r>
              <w:rPr>
                <w:rFonts w:ascii="Arial" w:cs="Arial" w:eastAsia="Arial" w:hAnsi="Arial"/>
                <w:sz w:val="17"/>
                <w:szCs w:val="17"/>
                <w:color w:val="auto"/>
              </w:rPr>
              <w:t>2015 plan</w:t>
            </w:r>
          </w:p>
        </w:tc>
        <w:tc>
          <w:tcPr>
            <w:tcW w:w="2400" w:type="dxa"/>
            <w:vAlign w:val="bottom"/>
            <w:gridSpan w:val="2"/>
          </w:tcPr>
          <w:p>
            <w:pPr>
              <w:jc w:val="right"/>
              <w:ind w:right="18"/>
              <w:spacing w:after="0"/>
              <w:rPr>
                <w:sz w:val="20"/>
                <w:szCs w:val="20"/>
                <w:color w:val="auto"/>
              </w:rPr>
            </w:pPr>
            <w:r>
              <w:rPr>
                <w:rFonts w:ascii="Arial" w:cs="Arial" w:eastAsia="Arial" w:hAnsi="Arial"/>
                <w:sz w:val="17"/>
                <w:szCs w:val="17"/>
                <w:color w:val="auto"/>
              </w:rPr>
              <w:t>$</w:t>
            </w:r>
          </w:p>
        </w:tc>
        <w:tc>
          <w:tcPr>
            <w:tcW w:w="6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center"/>
              <w:ind w:left="301"/>
              <w:spacing w:after="0"/>
              <w:rPr>
                <w:sz w:val="20"/>
                <w:szCs w:val="20"/>
                <w:color w:val="auto"/>
              </w:rPr>
            </w:pPr>
            <w:r>
              <w:rPr>
                <w:rFonts w:ascii="Arial" w:cs="Arial" w:eastAsia="Arial" w:hAnsi="Arial"/>
                <w:sz w:val="17"/>
                <w:szCs w:val="17"/>
                <w:color w:val="auto"/>
                <w:w w:val="89"/>
              </w:rPr>
              <w:t>5,807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2019 plan</w:t>
            </w: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744</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center"/>
              <w:ind w:left="321"/>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7"/>
                <w:szCs w:val="17"/>
                <w:color w:val="auto"/>
              </w:rPr>
              <w:t>Total time-based</w:t>
            </w:r>
          </w:p>
        </w:tc>
        <w:tc>
          <w:tcPr>
            <w:tcW w:w="2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1,747</w:t>
            </w: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720"/>
              <w:spacing w:after="0"/>
              <w:rPr>
                <w:sz w:val="20"/>
                <w:szCs w:val="20"/>
                <w:color w:val="auto"/>
              </w:rPr>
            </w:pPr>
            <w:r>
              <w:rPr>
                <w:rFonts w:ascii="Arial" w:cs="Arial" w:eastAsia="Arial" w:hAnsi="Arial"/>
                <w:sz w:val="17"/>
                <w:szCs w:val="17"/>
                <w:color w:val="auto"/>
                <w:w w:val="84"/>
              </w:rPr>
              <w:t>744</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center"/>
              <w:ind w:left="301"/>
              <w:spacing w:after="0"/>
              <w:rPr>
                <w:sz w:val="20"/>
                <w:szCs w:val="20"/>
                <w:color w:val="auto"/>
              </w:rPr>
            </w:pPr>
            <w:r>
              <w:rPr>
                <w:rFonts w:ascii="Arial" w:cs="Arial" w:eastAsia="Arial" w:hAnsi="Arial"/>
                <w:sz w:val="17"/>
                <w:szCs w:val="17"/>
                <w:color w:val="auto"/>
                <w:w w:val="89"/>
              </w:rPr>
              <w:t>5,807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Performance based:</w:t>
            </w:r>
          </w:p>
        </w:tc>
        <w:tc>
          <w:tcPr>
            <w:tcW w:w="2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tcPr>
          <w:p>
            <w:pPr>
              <w:ind w:left="320"/>
              <w:spacing w:after="0"/>
              <w:rPr>
                <w:sz w:val="20"/>
                <w:szCs w:val="20"/>
                <w:color w:val="auto"/>
              </w:rPr>
            </w:pPr>
            <w:r>
              <w:rPr>
                <w:rFonts w:ascii="Arial" w:cs="Arial" w:eastAsia="Arial" w:hAnsi="Arial"/>
                <w:sz w:val="17"/>
                <w:szCs w:val="17"/>
                <w:color w:val="auto"/>
              </w:rPr>
              <w:t>2015 plan</w:t>
            </w:r>
          </w:p>
        </w:tc>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ind w:right="1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left="321"/>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2019 plan</w:t>
            </w:r>
          </w:p>
        </w:tc>
        <w:tc>
          <w:tcPr>
            <w:tcW w:w="2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center"/>
              <w:ind w:left="361"/>
              <w:spacing w:after="0"/>
              <w:rPr>
                <w:sz w:val="20"/>
                <w:szCs w:val="20"/>
                <w:color w:val="auto"/>
              </w:rPr>
            </w:pPr>
            <w:r>
              <w:rPr>
                <w:rFonts w:ascii="Arial" w:cs="Arial" w:eastAsia="Arial" w:hAnsi="Arial"/>
                <w:sz w:val="17"/>
                <w:szCs w:val="17"/>
                <w:color w:val="auto"/>
                <w:w w:val="93"/>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7"/>
                <w:szCs w:val="17"/>
                <w:color w:val="auto"/>
              </w:rPr>
              <w:t>Total performance-based</w:t>
            </w:r>
          </w:p>
        </w:tc>
        <w:tc>
          <w:tcPr>
            <w:tcW w:w="2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361"/>
              <w:spacing w:after="0"/>
              <w:rPr>
                <w:sz w:val="20"/>
                <w:szCs w:val="20"/>
                <w:color w:val="auto"/>
              </w:rPr>
            </w:pPr>
            <w:r>
              <w:rPr>
                <w:rFonts w:ascii="Arial" w:cs="Arial" w:eastAsia="Arial" w:hAnsi="Arial"/>
                <w:sz w:val="17"/>
                <w:szCs w:val="17"/>
                <w:color w:val="auto"/>
                <w:w w:val="9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Total compensation expense</w:t>
            </w:r>
          </w:p>
        </w:tc>
        <w:tc>
          <w:tcPr>
            <w:tcW w:w="2400" w:type="dxa"/>
            <w:vAlign w:val="bottom"/>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744</w:t>
            </w:r>
          </w:p>
        </w:tc>
        <w:tc>
          <w:tcPr>
            <w:tcW w:w="260" w:type="dxa"/>
            <w:vAlign w:val="bottom"/>
            <w:tcBorders>
              <w:right w:val="single" w:sz="8" w:color="auto"/>
            </w:tcBorders>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center"/>
              <w:ind w:left="301"/>
              <w:spacing w:after="0"/>
              <w:rPr>
                <w:sz w:val="20"/>
                <w:szCs w:val="20"/>
                <w:color w:val="auto"/>
              </w:rPr>
            </w:pPr>
            <w:r>
              <w:rPr>
                <w:rFonts w:ascii="Arial" w:cs="Arial" w:eastAsia="Arial" w:hAnsi="Arial"/>
                <w:sz w:val="17"/>
                <w:szCs w:val="17"/>
                <w:color w:val="auto"/>
                <w:w w:val="89"/>
              </w:rPr>
              <w:t>5,807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400" w:type="dxa"/>
            <w:vAlign w:val="bottom"/>
            <w:gridSpan w:val="2"/>
          </w:tcPr>
          <w:p>
            <w:pPr>
              <w:jc w:val="right"/>
              <w:ind w:right="938"/>
              <w:spacing w:after="0"/>
              <w:rPr>
                <w:sz w:val="20"/>
                <w:szCs w:val="20"/>
                <w:color w:val="auto"/>
              </w:rPr>
            </w:pPr>
            <w:r>
              <w:rPr>
                <w:rFonts w:ascii="Arial" w:cs="Arial" w:eastAsia="Arial" w:hAnsi="Arial"/>
                <w:sz w:val="17"/>
                <w:szCs w:val="17"/>
                <w:color w:val="auto"/>
              </w:rPr>
              <w:t>F-42</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20"/>
          </w:cols>
          <w:pgMar w:left="320" w:top="442" w:right="859" w:bottom="1440" w:gutter="0" w:footer="0" w:header="0"/>
        </w:sectPr>
      </w:pPr>
    </w:p>
    <w:bookmarkStart w:id="269" w:name="page270"/>
    <w:bookmarkEnd w:id="2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Equity-based compensation expense is allocated to all departments in the accompanying consolidated statements of income (loss) based on the recipients of the compensation. A summary of the expense by line item in the consolidated statements of income (loss) for the year ended December 31, 2020 (Successor) and the periods from July 16, 2019 to December 31, 2019 (Successor), and from January 1, 2019 to July 15, 2019 (Predecessor) is provided in the following table (in thousands).</w:t>
      </w:r>
    </w:p>
    <w:p>
      <w:pPr>
        <w:spacing w:after="0" w:line="177"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4"/>
          </w:tcPr>
          <w:p>
            <w:pPr>
              <w:jc w:val="right"/>
              <w:ind w:right="321"/>
              <w:spacing w:after="0"/>
              <w:rPr>
                <w:sz w:val="20"/>
                <w:szCs w:val="20"/>
                <w:color w:val="auto"/>
              </w:rPr>
            </w:pPr>
            <w:r>
              <w:rPr>
                <w:rFonts w:ascii="Arial" w:cs="Arial" w:eastAsia="Arial" w:hAnsi="Arial"/>
                <w:sz w:val="14"/>
                <w:szCs w:val="14"/>
                <w:b w:val="1"/>
                <w:bCs w:val="1"/>
                <w:color w:val="auto"/>
                <w:w w:val="99"/>
              </w:rPr>
              <w:t>Successor Company</w:t>
            </w:r>
          </w:p>
        </w:tc>
        <w:tc>
          <w:tcPr>
            <w:tcW w:w="2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760" w:type="dxa"/>
            <w:vAlign w:val="bottom"/>
            <w:tcBorders>
              <w:top w:val="single" w:sz="8" w:color="auto"/>
            </w:tcBorders>
            <w:gridSpan w:val="2"/>
          </w:tcPr>
          <w:p>
            <w:pPr>
              <w:jc w:val="center"/>
              <w:spacing w:after="0" w:line="114" w:lineRule="exact"/>
              <w:rPr>
                <w:sz w:val="20"/>
                <w:szCs w:val="20"/>
                <w:color w:val="auto"/>
              </w:rPr>
            </w:pPr>
            <w:r>
              <w:rPr>
                <w:rFonts w:ascii="Arial" w:cs="Arial" w:eastAsia="Arial" w:hAnsi="Arial"/>
                <w:sz w:val="12"/>
                <w:szCs w:val="12"/>
                <w:color w:val="auto"/>
                <w:w w:val="99"/>
              </w:rPr>
              <w:t>Year ended</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21"/>
              <w:spacing w:after="0" w:line="114" w:lineRule="exact"/>
              <w:rPr>
                <w:sz w:val="20"/>
                <w:szCs w:val="20"/>
                <w:color w:val="auto"/>
              </w:rPr>
            </w:pPr>
            <w:r>
              <w:rPr>
                <w:rFonts w:ascii="Arial" w:cs="Arial" w:eastAsia="Arial" w:hAnsi="Arial"/>
                <w:sz w:val="12"/>
                <w:szCs w:val="12"/>
                <w:color w:val="auto"/>
              </w:rPr>
              <w:t>Period From</w:t>
            </w:r>
          </w:p>
        </w:tc>
        <w:tc>
          <w:tcPr>
            <w:tcW w:w="260" w:type="dxa"/>
            <w:vAlign w:val="bottom"/>
            <w:tcBorders>
              <w:right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center"/>
              <w:ind w:right="2"/>
              <w:spacing w:after="0" w:line="114" w:lineRule="exact"/>
              <w:rPr>
                <w:sz w:val="20"/>
                <w:szCs w:val="20"/>
                <w:color w:val="auto"/>
              </w:rPr>
            </w:pPr>
            <w:r>
              <w:rPr>
                <w:rFonts w:ascii="Arial" w:cs="Arial" w:eastAsia="Arial" w:hAnsi="Arial"/>
                <w:sz w:val="12"/>
                <w:szCs w:val="12"/>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480" w:type="dxa"/>
            <w:vAlign w:val="bottom"/>
            <w:gridSpan w:val="3"/>
          </w:tcPr>
          <w:p>
            <w:pPr>
              <w:jc w:val="center"/>
              <w:ind w:left="1644"/>
              <w:spacing w:after="0" w:line="140" w:lineRule="exact"/>
              <w:rPr>
                <w:sz w:val="20"/>
                <w:szCs w:val="20"/>
                <w:color w:val="auto"/>
              </w:rPr>
            </w:pPr>
            <w:r>
              <w:rPr>
                <w:rFonts w:ascii="Arial" w:cs="Arial" w:eastAsia="Arial" w:hAnsi="Arial"/>
                <w:sz w:val="14"/>
                <w:szCs w:val="14"/>
                <w:color w:val="auto"/>
                <w:w w:val="86"/>
              </w:rPr>
              <w:t>December 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
              <w:spacing w:after="0" w:line="140" w:lineRule="exact"/>
              <w:rPr>
                <w:sz w:val="20"/>
                <w:szCs w:val="20"/>
                <w:color w:val="auto"/>
              </w:rPr>
            </w:pPr>
            <w:r>
              <w:rPr>
                <w:rFonts w:ascii="Arial" w:cs="Arial" w:eastAsia="Arial" w:hAnsi="Arial"/>
                <w:sz w:val="14"/>
                <w:szCs w:val="14"/>
                <w:color w:val="auto"/>
                <w:w w:val="86"/>
              </w:rPr>
              <w:t>July 16, 2019 to</w:t>
            </w:r>
          </w:p>
        </w:tc>
        <w:tc>
          <w:tcPr>
            <w:tcW w:w="26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60"/>
              <w:spacing w:after="0" w:line="140" w:lineRule="exact"/>
              <w:rPr>
                <w:sz w:val="20"/>
                <w:szCs w:val="20"/>
                <w:color w:val="auto"/>
              </w:rPr>
            </w:pPr>
            <w:r>
              <w:rPr>
                <w:rFonts w:ascii="Arial" w:cs="Arial" w:eastAsia="Arial" w:hAnsi="Arial"/>
                <w:sz w:val="14"/>
                <w:szCs w:val="14"/>
                <w:color w:val="auto"/>
                <w:w w:val="85"/>
              </w:rPr>
              <w:t>January 1, 2019</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center"/>
              <w:ind w:right="100"/>
              <w:spacing w:after="0" w:line="158" w:lineRule="exact"/>
              <w:rPr>
                <w:sz w:val="20"/>
                <w:szCs w:val="20"/>
                <w:color w:val="auto"/>
              </w:rPr>
            </w:pPr>
            <w:r>
              <w:rPr>
                <w:rFonts w:ascii="Arial" w:cs="Arial" w:eastAsia="Arial" w:hAnsi="Arial"/>
                <w:sz w:val="14"/>
                <w:szCs w:val="14"/>
                <w:color w:val="auto"/>
                <w:w w:val="83"/>
              </w:rPr>
              <w:t>2020</w:t>
            </w:r>
          </w:p>
        </w:tc>
        <w:tc>
          <w:tcPr>
            <w:tcW w:w="1200" w:type="dxa"/>
            <w:vAlign w:val="bottom"/>
            <w:gridSpan w:val="3"/>
          </w:tcPr>
          <w:p>
            <w:pPr>
              <w:jc w:val="center"/>
              <w:ind w:left="64"/>
              <w:spacing w:after="0" w:line="158" w:lineRule="exact"/>
              <w:rPr>
                <w:sz w:val="20"/>
                <w:szCs w:val="20"/>
                <w:color w:val="auto"/>
              </w:rPr>
            </w:pPr>
            <w:r>
              <w:rPr>
                <w:rFonts w:ascii="Arial" w:cs="Arial" w:eastAsia="Arial" w:hAnsi="Arial"/>
                <w:sz w:val="14"/>
                <w:szCs w:val="14"/>
                <w:color w:val="auto"/>
                <w:w w:val="86"/>
              </w:rPr>
              <w:t>December 31, 2019</w:t>
            </w:r>
          </w:p>
        </w:tc>
        <w:tc>
          <w:tcPr>
            <w:tcW w:w="260" w:type="dxa"/>
            <w:vAlign w:val="bottom"/>
            <w:tcBorders>
              <w:right w:val="single" w:sz="8" w:color="auto"/>
            </w:tcBorders>
          </w:tcPr>
          <w:p>
            <w:pPr>
              <w:spacing w:after="0"/>
              <w:rPr>
                <w:sz w:val="13"/>
                <w:szCs w:val="13"/>
                <w:color w:val="auto"/>
              </w:rPr>
            </w:pPr>
          </w:p>
        </w:tc>
        <w:tc>
          <w:tcPr>
            <w:tcW w:w="1140" w:type="dxa"/>
            <w:vAlign w:val="bottom"/>
            <w:gridSpan w:val="4"/>
          </w:tcPr>
          <w:p>
            <w:pPr>
              <w:jc w:val="center"/>
              <w:ind w:left="84"/>
              <w:spacing w:after="0" w:line="158" w:lineRule="exact"/>
              <w:rPr>
                <w:sz w:val="20"/>
                <w:szCs w:val="20"/>
                <w:color w:val="auto"/>
              </w:rPr>
            </w:pPr>
            <w:r>
              <w:rPr>
                <w:rFonts w:ascii="Arial" w:cs="Arial" w:eastAsia="Arial" w:hAnsi="Arial"/>
                <w:sz w:val="14"/>
                <w:szCs w:val="14"/>
                <w:color w:val="auto"/>
                <w:w w:val="86"/>
              </w:rPr>
              <w:t>to 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7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Sales and Marketing</w:t>
            </w: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213</w:t>
            </w:r>
          </w:p>
        </w:tc>
        <w:tc>
          <w:tcPr>
            <w:tcW w:w="2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4,252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w:t>
            </w:r>
          </w:p>
        </w:tc>
        <w:tc>
          <w:tcPr>
            <w:tcW w:w="2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Total compensation expense</w:t>
            </w:r>
          </w:p>
        </w:tc>
        <w:tc>
          <w:tcPr>
            <w:tcW w:w="1880" w:type="dxa"/>
            <w:vAlign w:val="bottom"/>
            <w:gridSpan w:val="2"/>
            <w:shd w:val="clear" w:color="auto" w:fill="CCEEFF"/>
          </w:tcPr>
          <w:p>
            <w:pPr>
              <w:jc w:val="right"/>
              <w:ind w:right="12"/>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w:t>
            </w:r>
          </w:p>
        </w:tc>
        <w:tc>
          <w:tcPr>
            <w:tcW w:w="260" w:type="dxa"/>
            <w:vAlign w:val="bottom"/>
            <w:tcBorders>
              <w:right w:val="single" w:sz="8" w:color="auto"/>
            </w:tcBorders>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right="320" w:firstLine="415"/>
        <w:spacing w:after="0" w:line="261" w:lineRule="auto"/>
        <w:rPr>
          <w:sz w:val="20"/>
          <w:szCs w:val="20"/>
          <w:color w:val="auto"/>
        </w:rPr>
      </w:pPr>
      <w:r>
        <w:rPr>
          <w:rFonts w:ascii="Arial" w:cs="Arial" w:eastAsia="Arial" w:hAnsi="Arial"/>
          <w:sz w:val="17"/>
          <w:szCs w:val="17"/>
          <w:color w:val="auto"/>
        </w:rPr>
        <w:t>The Company does not consider the vesting of the performance-based units to be probable and has not recorded any associated compensation expense. Accordingly, the Company had $4.3 million of unrecognized unit-based compensation expense for the performance-based units as of December 31, 2020.</w:t>
      </w:r>
    </w:p>
    <w:p>
      <w:pPr>
        <w:spacing w:after="0" w:line="176" w:lineRule="exact"/>
        <w:rPr>
          <w:sz w:val="20"/>
          <w:szCs w:val="20"/>
          <w:color w:val="auto"/>
        </w:rPr>
      </w:pPr>
    </w:p>
    <w:p>
      <w:pPr>
        <w:ind w:left="440" w:right="680" w:firstLine="415"/>
        <w:spacing w:after="0" w:line="273" w:lineRule="auto"/>
        <w:rPr>
          <w:sz w:val="20"/>
          <w:szCs w:val="20"/>
          <w:color w:val="auto"/>
        </w:rPr>
      </w:pPr>
      <w:r>
        <w:rPr>
          <w:rFonts w:ascii="Arial" w:cs="Arial" w:eastAsia="Arial" w:hAnsi="Arial"/>
          <w:sz w:val="17"/>
          <w:szCs w:val="17"/>
          <w:color w:val="auto"/>
        </w:rPr>
        <w:t>As of December 31, 2020, the Company had $4.4 million of unrecognized unit-based compensation for time-based units, expected to be recognized over a weighted average remaining requisite period of 2.6 years.</w:t>
      </w:r>
    </w:p>
    <w:p>
      <w:pPr>
        <w:spacing w:after="0" w:line="306" w:lineRule="exact"/>
        <w:rPr>
          <w:sz w:val="20"/>
          <w:szCs w:val="20"/>
          <w:color w:val="auto"/>
        </w:rPr>
      </w:pPr>
    </w:p>
    <w:p>
      <w:pPr>
        <w:ind w:left="840" w:hanging="406"/>
        <w:spacing w:after="0"/>
        <w:tabs>
          <w:tab w:leader="none" w:pos="840" w:val="left"/>
        </w:tabs>
        <w:numPr>
          <w:ilvl w:val="0"/>
          <w:numId w:val="19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Retirement Plan</w:t>
      </w:r>
    </w:p>
    <w:p>
      <w:pPr>
        <w:spacing w:after="0" w:line="110" w:lineRule="exact"/>
        <w:rPr>
          <w:sz w:val="20"/>
          <w:szCs w:val="20"/>
          <w:color w:val="auto"/>
        </w:rPr>
      </w:pPr>
    </w:p>
    <w:p>
      <w:pPr>
        <w:ind w:left="440" w:right="240" w:firstLine="415"/>
        <w:spacing w:after="0" w:line="257" w:lineRule="auto"/>
        <w:rPr>
          <w:sz w:val="20"/>
          <w:szCs w:val="20"/>
          <w:color w:val="auto"/>
        </w:rPr>
      </w:pPr>
      <w:r>
        <w:rPr>
          <w:rFonts w:ascii="Arial" w:cs="Arial" w:eastAsia="Arial" w:hAnsi="Arial"/>
          <w:sz w:val="17"/>
          <w:szCs w:val="17"/>
          <w:color w:val="auto"/>
        </w:rPr>
        <w:t>The Company has a 401(k) plan covering all employees who have met certain eligibility requirements. The Company made matching contributions in accordance with the plan documents. The Company incurred $1.6 million in employer matching contributions during the year ended December 31, 2020 and $0.5 million and $0.6 million during the periods from July 16, 2019 to December 31, 2019 (Successor), and from January 1, 2019 to July 15, 2019 (Predecessor), respectively.</w:t>
      </w:r>
    </w:p>
    <w:p>
      <w:pPr>
        <w:spacing w:after="0" w:line="320" w:lineRule="exact"/>
        <w:rPr>
          <w:sz w:val="20"/>
          <w:szCs w:val="20"/>
          <w:color w:val="auto"/>
        </w:rPr>
      </w:pPr>
    </w:p>
    <w:p>
      <w:pPr>
        <w:ind w:left="840" w:hanging="406"/>
        <w:spacing w:after="0"/>
        <w:tabs>
          <w:tab w:leader="none" w:pos="840" w:val="left"/>
        </w:tabs>
        <w:numPr>
          <w:ilvl w:val="0"/>
          <w:numId w:val="19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Income Taxes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components of the income tax provision are as follows (in thousands):</w:t>
      </w:r>
    </w:p>
    <w:p>
      <w:pPr>
        <w:spacing w:after="0" w:line="208"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5"/>
          </w:tcPr>
          <w:p>
            <w:pPr>
              <w:ind w:left="260"/>
              <w:spacing w:after="0"/>
              <w:rPr>
                <w:sz w:val="20"/>
                <w:szCs w:val="20"/>
                <w:color w:val="auto"/>
              </w:rPr>
            </w:pPr>
            <w:r>
              <w:rPr>
                <w:rFonts w:ascii="Arial" w:cs="Arial" w:eastAsia="Arial" w:hAnsi="Arial"/>
                <w:sz w:val="14"/>
                <w:szCs w:val="14"/>
                <w:b w:val="1"/>
                <w:bCs w:val="1"/>
                <w:color w:val="auto"/>
              </w:rPr>
              <w:t>Successor Company</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860" w:type="dxa"/>
            <w:vAlign w:val="bottom"/>
            <w:tcBorders>
              <w:top w:val="single" w:sz="8" w:color="auto"/>
            </w:tcBorders>
            <w:gridSpan w:val="3"/>
          </w:tcPr>
          <w:p>
            <w:pPr>
              <w:jc w:val="right"/>
              <w:ind w:right="200"/>
              <w:spacing w:after="0" w:line="114" w:lineRule="exact"/>
              <w:rPr>
                <w:sz w:val="20"/>
                <w:szCs w:val="20"/>
                <w:color w:val="auto"/>
              </w:rPr>
            </w:pPr>
            <w:r>
              <w:rPr>
                <w:rFonts w:ascii="Arial" w:cs="Arial" w:eastAsia="Arial" w:hAnsi="Arial"/>
                <w:sz w:val="12"/>
                <w:szCs w:val="12"/>
                <w:color w:val="auto"/>
              </w:rPr>
              <w:t>Year ended</w:t>
            </w: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ind w:left="120"/>
              <w:spacing w:after="0" w:line="114" w:lineRule="exact"/>
              <w:rPr>
                <w:sz w:val="20"/>
                <w:szCs w:val="20"/>
                <w:color w:val="auto"/>
              </w:rPr>
            </w:pPr>
            <w:r>
              <w:rPr>
                <w:rFonts w:ascii="Arial" w:cs="Arial" w:eastAsia="Arial" w:hAnsi="Arial"/>
                <w:sz w:val="12"/>
                <w:szCs w:val="12"/>
                <w:color w:val="auto"/>
              </w:rPr>
              <w:t>Period from</w:t>
            </w:r>
          </w:p>
        </w:tc>
        <w:tc>
          <w:tcPr>
            <w:tcW w:w="2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jc w:val="center"/>
              <w:ind w:right="41"/>
              <w:spacing w:after="0" w:line="114" w:lineRule="exact"/>
              <w:rPr>
                <w:sz w:val="20"/>
                <w:szCs w:val="20"/>
                <w:color w:val="auto"/>
              </w:rPr>
            </w:pPr>
            <w:r>
              <w:rPr>
                <w:rFonts w:ascii="Arial" w:cs="Arial" w:eastAsia="Arial" w:hAnsi="Arial"/>
                <w:sz w:val="12"/>
                <w:szCs w:val="12"/>
                <w:color w:val="auto"/>
              </w:rPr>
              <w:t>Period from</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020" w:type="dxa"/>
            <w:vAlign w:val="bottom"/>
            <w:gridSpan w:val="4"/>
          </w:tcPr>
          <w:p>
            <w:pPr>
              <w:ind w:left="2140"/>
              <w:spacing w:after="0" w:line="140" w:lineRule="exact"/>
              <w:rPr>
                <w:sz w:val="20"/>
                <w:szCs w:val="20"/>
                <w:color w:val="auto"/>
              </w:rPr>
            </w:pPr>
            <w:r>
              <w:rPr>
                <w:rFonts w:ascii="Arial" w:cs="Arial" w:eastAsia="Arial" w:hAnsi="Arial"/>
                <w:sz w:val="14"/>
                <w:szCs w:val="14"/>
                <w:color w:val="auto"/>
                <w:w w:val="97"/>
              </w:rPr>
              <w:t>December 31,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line="140" w:lineRule="exact"/>
              <w:rPr>
                <w:sz w:val="20"/>
                <w:szCs w:val="20"/>
                <w:color w:val="auto"/>
              </w:rPr>
            </w:pPr>
            <w:r>
              <w:rPr>
                <w:rFonts w:ascii="Arial" w:cs="Arial" w:eastAsia="Arial" w:hAnsi="Arial"/>
                <w:sz w:val="14"/>
                <w:szCs w:val="14"/>
                <w:color w:val="auto"/>
                <w:w w:val="97"/>
              </w:rPr>
              <w:t>July 16, 2019 to</w:t>
            </w:r>
          </w:p>
        </w:tc>
        <w:tc>
          <w:tcPr>
            <w:tcW w:w="240" w:type="dxa"/>
            <w:vAlign w:val="bottom"/>
            <w:tcBorders>
              <w:right w:val="single" w:sz="8" w:color="auto"/>
            </w:tcBorders>
          </w:tcPr>
          <w:p>
            <w:pPr>
              <w:spacing w:after="0"/>
              <w:rPr>
                <w:sz w:val="12"/>
                <w:szCs w:val="12"/>
                <w:color w:val="auto"/>
              </w:rPr>
            </w:pPr>
          </w:p>
        </w:tc>
        <w:tc>
          <w:tcPr>
            <w:tcW w:w="1280" w:type="dxa"/>
            <w:vAlign w:val="bottom"/>
            <w:gridSpan w:val="4"/>
          </w:tcPr>
          <w:p>
            <w:pPr>
              <w:ind w:left="220"/>
              <w:spacing w:after="0" w:line="140" w:lineRule="exact"/>
              <w:rPr>
                <w:sz w:val="20"/>
                <w:szCs w:val="20"/>
                <w:color w:val="auto"/>
              </w:rPr>
            </w:pPr>
            <w:r>
              <w:rPr>
                <w:rFonts w:ascii="Arial" w:cs="Arial" w:eastAsia="Arial" w:hAnsi="Arial"/>
                <w:sz w:val="14"/>
                <w:szCs w:val="14"/>
                <w:color w:val="auto"/>
                <w:w w:val="89"/>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78"/>
              <w:spacing w:after="0" w:line="158"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3"/>
                <w:szCs w:val="13"/>
                <w:color w:val="auto"/>
              </w:rPr>
            </w:pPr>
          </w:p>
        </w:tc>
        <w:tc>
          <w:tcPr>
            <w:tcW w:w="1140" w:type="dxa"/>
            <w:vAlign w:val="bottom"/>
            <w:gridSpan w:val="3"/>
          </w:tcPr>
          <w:p>
            <w:pPr>
              <w:ind w:left="60"/>
              <w:spacing w:after="0" w:line="158" w:lineRule="exact"/>
              <w:rPr>
                <w:sz w:val="20"/>
                <w:szCs w:val="20"/>
                <w:color w:val="auto"/>
              </w:rPr>
            </w:pPr>
            <w:r>
              <w:rPr>
                <w:rFonts w:ascii="Arial" w:cs="Arial" w:eastAsia="Arial" w:hAnsi="Arial"/>
                <w:sz w:val="14"/>
                <w:szCs w:val="14"/>
                <w:color w:val="auto"/>
                <w:w w:val="86"/>
              </w:rPr>
              <w:t>December 31, 2019</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color w:val="auto"/>
                <w:w w:val="88"/>
              </w:rPr>
              <w:t>July 15, 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02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Current tax provision:</w:t>
            </w:r>
          </w:p>
        </w:tc>
        <w:tc>
          <w:tcPr>
            <w:tcW w:w="2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Federal</w:t>
            </w:r>
          </w:p>
        </w:tc>
        <w:tc>
          <w:tcPr>
            <w:tcW w:w="2300" w:type="dxa"/>
            <w:vAlign w:val="bottom"/>
            <w:gridSpan w:val="2"/>
          </w:tcPr>
          <w:p>
            <w:pPr>
              <w:ind w:left="214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160" w:type="dxa"/>
            <w:vAlign w:val="bottom"/>
            <w:gridSpan w:val="2"/>
          </w:tcPr>
          <w:p>
            <w:pPr>
              <w:ind w:left="60"/>
              <w:spacing w:after="0"/>
              <w:rPr>
                <w:sz w:val="20"/>
                <w:szCs w:val="20"/>
                <w:color w:val="auto"/>
              </w:rPr>
            </w:pPr>
            <w:r>
              <w:rPr>
                <w:rFonts w:ascii="Arial" w:cs="Arial" w:eastAsia="Arial" w:hAnsi="Arial"/>
                <w:sz w:val="17"/>
                <w:szCs w:val="17"/>
                <w:color w:val="auto"/>
                <w:w w:val="84"/>
              </w:rPr>
              <w:t>$</w:t>
            </w: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State</w:t>
            </w:r>
          </w:p>
        </w:tc>
        <w:tc>
          <w:tcPr>
            <w:tcW w:w="2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Foreign</w:t>
            </w:r>
          </w:p>
        </w:tc>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current tax provision</w:t>
            </w:r>
          </w:p>
        </w:tc>
        <w:tc>
          <w:tcPr>
            <w:tcW w:w="2300" w:type="dxa"/>
            <w:vAlign w:val="bottom"/>
            <w:gridSpan w:val="2"/>
            <w:shd w:val="clear" w:color="auto" w:fill="CCEEFF"/>
          </w:tcPr>
          <w:p>
            <w:pPr>
              <w:ind w:left="21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tcPr>
          <w:p>
            <w:pPr>
              <w:spacing w:after="0"/>
              <w:rPr>
                <w:sz w:val="20"/>
                <w:szCs w:val="20"/>
                <w:color w:val="auto"/>
              </w:rPr>
            </w:pPr>
            <w:r>
              <w:rPr>
                <w:rFonts w:ascii="Arial" w:cs="Arial" w:eastAsia="Arial" w:hAnsi="Arial"/>
                <w:sz w:val="17"/>
                <w:szCs w:val="17"/>
                <w:color w:val="auto"/>
              </w:rPr>
              <w:t>Deferred tax provision:</w:t>
            </w: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Federal</w:t>
            </w:r>
          </w:p>
        </w:tc>
        <w:tc>
          <w:tcPr>
            <w:tcW w:w="2300" w:type="dxa"/>
            <w:vAlign w:val="bottom"/>
            <w:gridSpan w:val="2"/>
            <w:shd w:val="clear" w:color="auto" w:fill="CCEEFF"/>
          </w:tcPr>
          <w:p>
            <w:pPr>
              <w:ind w:left="21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tcPr>
          <w:p>
            <w:pPr>
              <w:ind w:left="320"/>
              <w:spacing w:after="0"/>
              <w:rPr>
                <w:sz w:val="20"/>
                <w:szCs w:val="20"/>
                <w:color w:val="auto"/>
              </w:rPr>
            </w:pPr>
            <w:r>
              <w:rPr>
                <w:rFonts w:ascii="Arial" w:cs="Arial" w:eastAsia="Arial" w:hAnsi="Arial"/>
                <w:sz w:val="17"/>
                <w:szCs w:val="17"/>
                <w:color w:val="auto"/>
              </w:rPr>
              <w:t>State</w:t>
            </w: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w:t>
            </w:r>
          </w:p>
        </w:tc>
        <w:tc>
          <w:tcPr>
            <w:tcW w:w="2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3040" w:type="dxa"/>
            <w:vAlign w:val="bottom"/>
            <w:gridSpan w:val="2"/>
          </w:tcPr>
          <w:p>
            <w:pPr>
              <w:spacing w:after="0"/>
              <w:rPr>
                <w:sz w:val="20"/>
                <w:szCs w:val="20"/>
                <w:color w:val="auto"/>
              </w:rPr>
            </w:pPr>
            <w:r>
              <w:rPr>
                <w:rFonts w:ascii="Arial" w:cs="Arial" w:eastAsia="Arial" w:hAnsi="Arial"/>
                <w:sz w:val="17"/>
                <w:szCs w:val="17"/>
                <w:color w:val="auto"/>
              </w:rPr>
              <w:t>Total deferred tax provision</w:t>
            </w:r>
          </w:p>
        </w:tc>
        <w:tc>
          <w:tcPr>
            <w:tcW w:w="2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Total provision</w:t>
            </w:r>
          </w:p>
        </w:tc>
        <w:tc>
          <w:tcPr>
            <w:tcW w:w="2300" w:type="dxa"/>
            <w:vAlign w:val="bottom"/>
            <w:gridSpan w:val="2"/>
            <w:shd w:val="clear" w:color="auto" w:fill="CCEEFF"/>
          </w:tcPr>
          <w:p>
            <w:pPr>
              <w:ind w:left="21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7"/>
                <w:szCs w:val="17"/>
                <w:color w:val="auto"/>
                <w:w w:val="84"/>
              </w:rPr>
              <w:t>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24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00" w:type="dxa"/>
            <w:vAlign w:val="bottom"/>
            <w:gridSpan w:val="2"/>
          </w:tcPr>
          <w:p>
            <w:pPr>
              <w:ind w:left="1160"/>
              <w:spacing w:after="0"/>
              <w:rPr>
                <w:sz w:val="20"/>
                <w:szCs w:val="20"/>
                <w:color w:val="auto"/>
              </w:rPr>
            </w:pPr>
            <w:r>
              <w:rPr>
                <w:rFonts w:ascii="Arial" w:cs="Arial" w:eastAsia="Arial" w:hAnsi="Arial"/>
                <w:sz w:val="17"/>
                <w:szCs w:val="17"/>
                <w:color w:val="auto"/>
              </w:rPr>
              <w:t>F-43</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320" w:top="442" w:right="819" w:bottom="1440" w:gutter="0" w:footer="0" w:header="0"/>
        </w:sectPr>
      </w:pPr>
    </w:p>
    <w:bookmarkStart w:id="270" w:name="page271"/>
    <w:bookmarkEnd w:id="2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Deferred taxes are recognized for temporary differences between the basis of assets and liabilities for financial statement and income tax purposes.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significant components of the deferred tax assets are comprised of the following (in thousands):</w:t>
      </w:r>
    </w:p>
    <w:p>
      <w:pPr>
        <w:spacing w:after="0" w:line="21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Successor Company</w:t>
            </w: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40" w:type="dxa"/>
            <w:vAlign w:val="bottom"/>
            <w:gridSpan w:val="3"/>
          </w:tcPr>
          <w:p>
            <w:pPr>
              <w:spacing w:after="0" w:line="133" w:lineRule="exact"/>
              <w:rPr>
                <w:sz w:val="20"/>
                <w:szCs w:val="20"/>
                <w:color w:val="auto"/>
              </w:rPr>
            </w:pPr>
            <w:r>
              <w:rPr>
                <w:rFonts w:ascii="Arial" w:cs="Arial" w:eastAsia="Arial" w:hAnsi="Arial"/>
                <w:sz w:val="14"/>
                <w:szCs w:val="14"/>
                <w:color w:val="auto"/>
              </w:rPr>
              <w:t>December 31, 2020</w:t>
            </w:r>
          </w:p>
        </w:tc>
        <w:tc>
          <w:tcPr>
            <w:tcW w:w="54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4"/>
                <w:szCs w:val="14"/>
                <w:color w:val="auto"/>
                <w:w w:val="84"/>
              </w:rPr>
              <w:t>December 31, 2019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624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Deferred tax assets:</w:t>
            </w:r>
          </w:p>
        </w:tc>
        <w:tc>
          <w:tcPr>
            <w:tcW w:w="3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240" w:type="dxa"/>
            <w:vAlign w:val="bottom"/>
          </w:tcPr>
          <w:p>
            <w:pPr>
              <w:ind w:left="340"/>
              <w:spacing w:after="0"/>
              <w:rPr>
                <w:sz w:val="20"/>
                <w:szCs w:val="20"/>
                <w:color w:val="auto"/>
              </w:rPr>
            </w:pPr>
            <w:r>
              <w:rPr>
                <w:rFonts w:ascii="Arial" w:cs="Arial" w:eastAsia="Arial" w:hAnsi="Arial"/>
                <w:sz w:val="17"/>
                <w:szCs w:val="17"/>
                <w:color w:val="auto"/>
              </w:rPr>
              <w:t>Foreign, U.S. and state net operating loss carryforwards</w:t>
            </w:r>
          </w:p>
        </w:tc>
        <w:tc>
          <w:tcPr>
            <w:tcW w:w="3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1,517</w:t>
            </w:r>
          </w:p>
        </w:tc>
        <w:tc>
          <w:tcPr>
            <w:tcW w:w="580" w:type="dxa"/>
            <w:vAlign w:val="bottom"/>
          </w:tcPr>
          <w:p>
            <w:pPr>
              <w:spacing w:after="0"/>
              <w:rPr>
                <w:sz w:val="17"/>
                <w:szCs w:val="17"/>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4"/>
        </w:trPr>
        <w:tc>
          <w:tcPr>
            <w:tcW w:w="6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Expenses</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6240" w:type="dxa"/>
            <w:vAlign w:val="bottom"/>
          </w:tcPr>
          <w:p>
            <w:pPr>
              <w:ind w:left="340"/>
              <w:spacing w:after="0"/>
              <w:rPr>
                <w:sz w:val="20"/>
                <w:szCs w:val="20"/>
                <w:color w:val="auto"/>
              </w:rPr>
            </w:pPr>
            <w:r>
              <w:rPr>
                <w:rFonts w:ascii="Arial" w:cs="Arial" w:eastAsia="Arial" w:hAnsi="Arial"/>
                <w:sz w:val="17"/>
                <w:szCs w:val="17"/>
                <w:color w:val="auto"/>
              </w:rPr>
              <w:t>Unrealized foreign exchange losses</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Subtotal</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1,591</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4"/>
        </w:trPr>
        <w:tc>
          <w:tcPr>
            <w:tcW w:w="6240" w:type="dxa"/>
            <w:vAlign w:val="bottom"/>
          </w:tcPr>
          <w:p>
            <w:pPr>
              <w:spacing w:after="0"/>
              <w:rPr>
                <w:sz w:val="20"/>
                <w:szCs w:val="20"/>
                <w:color w:val="auto"/>
              </w:rPr>
            </w:pPr>
            <w:r>
              <w:rPr>
                <w:rFonts w:ascii="Arial" w:cs="Arial" w:eastAsia="Arial" w:hAnsi="Arial"/>
                <w:sz w:val="17"/>
                <w:szCs w:val="17"/>
                <w:color w:val="auto"/>
              </w:rPr>
              <w:t>Less valuation allowance</w:t>
            </w:r>
          </w:p>
        </w:tc>
        <w:tc>
          <w:tcPr>
            <w:tcW w:w="360" w:type="dxa"/>
            <w:vAlign w:val="bottom"/>
          </w:tcPr>
          <w:p>
            <w:pPr>
              <w:spacing w:after="0"/>
              <w:rPr>
                <w:sz w:val="17"/>
                <w:szCs w:val="17"/>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(1,430)</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6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624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tax assets</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7"/>
                <w:szCs w:val="17"/>
                <w:color w:val="auto"/>
              </w:rPr>
              <w:t>Net deferred tax assets</w:t>
            </w: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vMerge w:val="continue"/>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161</w:t>
            </w:r>
          </w:p>
        </w:tc>
        <w:tc>
          <w:tcPr>
            <w:tcW w:w="580" w:type="dxa"/>
            <w:vAlign w:val="bottom"/>
          </w:tcPr>
          <w:p>
            <w:pPr>
              <w:spacing w:after="0"/>
              <w:rPr>
                <w:sz w:val="18"/>
                <w:szCs w:val="18"/>
                <w:color w:val="auto"/>
              </w:rPr>
            </w:pPr>
          </w:p>
        </w:tc>
        <w:tc>
          <w:tcPr>
            <w:tcW w:w="98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680" w:type="dxa"/>
            <w:vAlign w:val="bottom"/>
            <w:gridSpan w:val="2"/>
          </w:tcPr>
          <w:p>
            <w:pPr>
              <w:ind w:left="360"/>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60" w:firstLine="415"/>
        <w:spacing w:after="0" w:line="273" w:lineRule="auto"/>
        <w:rPr>
          <w:sz w:val="20"/>
          <w:szCs w:val="20"/>
          <w:color w:val="auto"/>
        </w:rPr>
      </w:pPr>
      <w:r>
        <w:rPr>
          <w:rFonts w:ascii="Arial" w:cs="Arial" w:eastAsia="Arial" w:hAnsi="Arial"/>
          <w:sz w:val="17"/>
          <w:szCs w:val="17"/>
          <w:color w:val="auto"/>
        </w:rPr>
        <w:t>A reconciliation of income tax expense computed at the statutory federal income tax rate to income taxes as reflected in the financial statements is as follows:</w:t>
      </w:r>
    </w:p>
    <w:p>
      <w:pPr>
        <w:spacing w:after="0" w:line="162" w:lineRule="exact"/>
        <w:rPr>
          <w:sz w:val="20"/>
          <w:szCs w:val="20"/>
          <w:color w:val="auto"/>
        </w:rPr>
      </w:pPr>
    </w:p>
    <w:tbl>
      <w:tblPr>
        <w:tblLayout w:type="fixed"/>
        <w:tblInd w:w="860" w:type="dxa"/>
        <w:tblCellMar>
          <w:top w:w="0" w:type="dxa"/>
          <w:left w:w="0" w:type="dxa"/>
          <w:bottom w:w="0" w:type="dxa"/>
          <w:right w:w="0" w:type="dxa"/>
        </w:tblCellMar>
      </w:tblPr>
      <w:tr>
        <w:trPr>
          <w:trHeight w:val="41"/>
        </w:trPr>
        <w:tc>
          <w:tcPr>
            <w:tcW w:w="5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20"/>
        </w:trPr>
        <w:tc>
          <w:tcPr>
            <w:tcW w:w="5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5700" w:type="dxa"/>
            <w:vAlign w:val="bottom"/>
          </w:tcPr>
          <w:p>
            <w:pPr>
              <w:spacing w:after="0"/>
              <w:rPr>
                <w:sz w:val="13"/>
                <w:szCs w:val="13"/>
                <w:color w:val="auto"/>
              </w:rPr>
            </w:pPr>
          </w:p>
        </w:tc>
        <w:tc>
          <w:tcPr>
            <w:tcW w:w="2320" w:type="dxa"/>
            <w:vAlign w:val="bottom"/>
            <w:tcBorders>
              <w:right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Successor Company</w:t>
            </w:r>
          </w:p>
        </w:tc>
        <w:tc>
          <w:tcPr>
            <w:tcW w:w="24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57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color w:val="auto"/>
              </w:rPr>
              <w:t>Period from</w:t>
            </w:r>
          </w:p>
        </w:tc>
        <w:tc>
          <w:tcPr>
            <w:tcW w:w="36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2"/>
                <w:szCs w:val="12"/>
                <w:color w:val="auto"/>
              </w:rPr>
              <w:t>Period from</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5700" w:type="dxa"/>
            <w:vAlign w:val="bottom"/>
          </w:tcPr>
          <w:p>
            <w:pPr>
              <w:spacing w:after="0"/>
              <w:rPr>
                <w:sz w:val="12"/>
                <w:szCs w:val="12"/>
                <w:color w:val="auto"/>
              </w:rPr>
            </w:pPr>
          </w:p>
        </w:tc>
        <w:tc>
          <w:tcPr>
            <w:tcW w:w="1080" w:type="dxa"/>
            <w:vAlign w:val="bottom"/>
            <w:gridSpan w:val="2"/>
          </w:tcPr>
          <w:p>
            <w:pPr>
              <w:jc w:val="center"/>
              <w:ind w:right="320"/>
              <w:spacing w:after="0" w:line="140" w:lineRule="exact"/>
              <w:rPr>
                <w:sz w:val="20"/>
                <w:szCs w:val="20"/>
                <w:color w:val="auto"/>
              </w:rPr>
            </w:pPr>
            <w:r>
              <w:rPr>
                <w:rFonts w:ascii="Arial" w:cs="Arial" w:eastAsia="Arial" w:hAnsi="Arial"/>
                <w:sz w:val="14"/>
                <w:szCs w:val="14"/>
                <w:color w:val="auto"/>
                <w:w w:val="82"/>
              </w:rPr>
              <w:t>Year ended</w:t>
            </w:r>
          </w:p>
        </w:tc>
        <w:tc>
          <w:tcPr>
            <w:tcW w:w="1240" w:type="dxa"/>
            <w:vAlign w:val="bottom"/>
            <w:tcBorders>
              <w:right w:val="single" w:sz="8" w:color="auto"/>
            </w:tcBorders>
            <w:gridSpan w:val="2"/>
          </w:tcPr>
          <w:p>
            <w:pPr>
              <w:jc w:val="center"/>
              <w:ind w:right="380"/>
              <w:spacing w:after="0" w:line="140" w:lineRule="exact"/>
              <w:rPr>
                <w:sz w:val="20"/>
                <w:szCs w:val="20"/>
                <w:color w:val="auto"/>
              </w:rPr>
            </w:pPr>
            <w:r>
              <w:rPr>
                <w:rFonts w:ascii="Arial" w:cs="Arial" w:eastAsia="Arial" w:hAnsi="Arial"/>
                <w:sz w:val="14"/>
                <w:szCs w:val="14"/>
                <w:color w:val="auto"/>
                <w:w w:val="86"/>
              </w:rPr>
              <w:t>July 16, 2019 to</w:t>
            </w:r>
          </w:p>
        </w:tc>
        <w:tc>
          <w:tcPr>
            <w:tcW w:w="240" w:type="dxa"/>
            <w:vAlign w:val="bottom"/>
          </w:tcPr>
          <w:p>
            <w:pPr>
              <w:spacing w:after="0"/>
              <w:rPr>
                <w:sz w:val="12"/>
                <w:szCs w:val="12"/>
                <w:color w:val="auto"/>
              </w:rPr>
            </w:pPr>
          </w:p>
        </w:tc>
        <w:tc>
          <w:tcPr>
            <w:tcW w:w="128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87"/>
              </w:rPr>
              <w:t>January 16, 2019 to</w:t>
            </w:r>
          </w:p>
        </w:tc>
        <w:tc>
          <w:tcPr>
            <w:tcW w:w="0" w:type="dxa"/>
            <w:vAlign w:val="bottom"/>
          </w:tcPr>
          <w:p>
            <w:pPr>
              <w:spacing w:after="0"/>
              <w:rPr>
                <w:sz w:val="1"/>
                <w:szCs w:val="1"/>
                <w:color w:val="auto"/>
              </w:rPr>
            </w:pPr>
          </w:p>
        </w:tc>
      </w:tr>
      <w:tr>
        <w:trPr>
          <w:trHeight w:val="140"/>
        </w:trPr>
        <w:tc>
          <w:tcPr>
            <w:tcW w:w="5700" w:type="dxa"/>
            <w:vAlign w:val="bottom"/>
          </w:tcPr>
          <w:p>
            <w:pPr>
              <w:spacing w:after="0"/>
              <w:rPr>
                <w:sz w:val="12"/>
                <w:szCs w:val="12"/>
                <w:color w:val="auto"/>
              </w:rPr>
            </w:pPr>
          </w:p>
        </w:tc>
        <w:tc>
          <w:tcPr>
            <w:tcW w:w="1080" w:type="dxa"/>
            <w:vAlign w:val="bottom"/>
            <w:gridSpan w:val="2"/>
          </w:tcPr>
          <w:p>
            <w:pPr>
              <w:jc w:val="center"/>
              <w:ind w:right="320"/>
              <w:spacing w:after="0" w:line="140" w:lineRule="exact"/>
              <w:rPr>
                <w:sz w:val="20"/>
                <w:szCs w:val="20"/>
                <w:color w:val="auto"/>
              </w:rPr>
            </w:pPr>
            <w:r>
              <w:rPr>
                <w:rFonts w:ascii="Arial" w:cs="Arial" w:eastAsia="Arial" w:hAnsi="Arial"/>
                <w:sz w:val="14"/>
                <w:szCs w:val="14"/>
                <w:color w:val="auto"/>
                <w:w w:val="86"/>
              </w:rPr>
              <w:t>December 31,</w:t>
            </w:r>
          </w:p>
        </w:tc>
        <w:tc>
          <w:tcPr>
            <w:tcW w:w="1240" w:type="dxa"/>
            <w:vAlign w:val="bottom"/>
            <w:tcBorders>
              <w:right w:val="single" w:sz="8" w:color="auto"/>
            </w:tcBorders>
            <w:gridSpan w:val="2"/>
          </w:tcPr>
          <w:p>
            <w:pPr>
              <w:jc w:val="center"/>
              <w:ind w:right="360"/>
              <w:spacing w:after="0" w:line="140" w:lineRule="exact"/>
              <w:rPr>
                <w:sz w:val="20"/>
                <w:szCs w:val="20"/>
                <w:color w:val="auto"/>
              </w:rPr>
            </w:pPr>
            <w:r>
              <w:rPr>
                <w:rFonts w:ascii="Arial" w:cs="Arial" w:eastAsia="Arial" w:hAnsi="Arial"/>
                <w:sz w:val="14"/>
                <w:szCs w:val="14"/>
                <w:color w:val="auto"/>
                <w:w w:val="86"/>
              </w:rPr>
              <w:t>December 31,</w:t>
            </w:r>
          </w:p>
        </w:tc>
        <w:tc>
          <w:tcPr>
            <w:tcW w:w="240" w:type="dxa"/>
            <w:vAlign w:val="bottom"/>
          </w:tcPr>
          <w:p>
            <w:pPr>
              <w:spacing w:after="0"/>
              <w:rPr>
                <w:sz w:val="12"/>
                <w:szCs w:val="12"/>
                <w:color w:val="auto"/>
              </w:rPr>
            </w:pPr>
          </w:p>
        </w:tc>
        <w:tc>
          <w:tcPr>
            <w:tcW w:w="128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86"/>
              </w:rPr>
              <w:t>December 31,</w:t>
            </w:r>
          </w:p>
        </w:tc>
        <w:tc>
          <w:tcPr>
            <w:tcW w:w="0" w:type="dxa"/>
            <w:vAlign w:val="bottom"/>
          </w:tcPr>
          <w:p>
            <w:pPr>
              <w:spacing w:after="0"/>
              <w:rPr>
                <w:sz w:val="1"/>
                <w:szCs w:val="1"/>
                <w:color w:val="auto"/>
              </w:rPr>
            </w:pPr>
          </w:p>
        </w:tc>
      </w:tr>
      <w:tr>
        <w:trPr>
          <w:trHeight w:val="158"/>
        </w:trPr>
        <w:tc>
          <w:tcPr>
            <w:tcW w:w="57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color w:val="auto"/>
                <w:w w:val="83"/>
              </w:rPr>
              <w:t>2020</w:t>
            </w:r>
          </w:p>
        </w:tc>
        <w:tc>
          <w:tcPr>
            <w:tcW w:w="3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color w:val="auto"/>
                <w:w w:val="83"/>
              </w:rPr>
              <w:t>2019</w:t>
            </w:r>
          </w:p>
        </w:tc>
        <w:tc>
          <w:tcPr>
            <w:tcW w:w="360" w:type="dxa"/>
            <w:vAlign w:val="bottom"/>
            <w:tcBorders>
              <w:bottom w:val="single" w:sz="8" w:color="CCEEFF"/>
              <w:right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color w:val="auto"/>
                <w:w w:val="89"/>
              </w:rPr>
              <w:t>2019</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Federal income tax expense at statutory rate</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21.00%</w:t>
            </w:r>
          </w:p>
        </w:tc>
        <w:tc>
          <w:tcPr>
            <w:tcW w:w="124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21.00%</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99"/>
              </w:rPr>
              <w:t>0.00%</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7"/>
                <w:szCs w:val="17"/>
                <w:color w:val="auto"/>
              </w:rPr>
              <w:t>State income tax, net of federal benefit</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(0.14)</w:t>
            </w:r>
          </w:p>
        </w:tc>
        <w:tc>
          <w:tcPr>
            <w:tcW w:w="12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0.04</w:t>
            </w:r>
          </w:p>
        </w:tc>
        <w:tc>
          <w:tcPr>
            <w:tcW w:w="240" w:type="dxa"/>
            <w:vAlign w:val="bottom"/>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Permanent differences</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(0.98)</w:t>
            </w:r>
          </w:p>
        </w:tc>
        <w:tc>
          <w:tcPr>
            <w:tcW w:w="12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(2.73)</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7"/>
                <w:szCs w:val="17"/>
                <w:color w:val="auto"/>
              </w:rPr>
              <w:t>Research and development credit</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0.00</w:t>
            </w:r>
          </w:p>
        </w:tc>
        <w:tc>
          <w:tcPr>
            <w:tcW w:w="12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Foreign rate differential</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(0.01)</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0.60</w:t>
            </w:r>
          </w:p>
        </w:tc>
        <w:tc>
          <w:tcPr>
            <w:tcW w:w="124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Provision to return adjustments</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0.46</w:t>
            </w:r>
          </w:p>
        </w:tc>
        <w:tc>
          <w:tcPr>
            <w:tcW w:w="124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0.00</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0.00</w:t>
            </w:r>
          </w:p>
        </w:tc>
        <w:tc>
          <w:tcPr>
            <w:tcW w:w="0" w:type="dxa"/>
            <w:vAlign w:val="bottom"/>
          </w:tcPr>
          <w:p>
            <w:pPr>
              <w:spacing w:after="0"/>
              <w:rPr>
                <w:sz w:val="1"/>
                <w:szCs w:val="1"/>
                <w:color w:val="auto"/>
              </w:rPr>
            </w:pPr>
          </w:p>
        </w:tc>
      </w:tr>
      <w:tr>
        <w:trPr>
          <w:trHeight w:val="204"/>
        </w:trPr>
        <w:tc>
          <w:tcPr>
            <w:tcW w:w="5700" w:type="dxa"/>
            <w:vAlign w:val="bottom"/>
          </w:tcPr>
          <w:p>
            <w:pPr>
              <w:spacing w:after="0"/>
              <w:rPr>
                <w:sz w:val="20"/>
                <w:szCs w:val="20"/>
                <w:color w:val="auto"/>
              </w:rPr>
            </w:pPr>
            <w:r>
              <w:rPr>
                <w:rFonts w:ascii="Arial" w:cs="Arial" w:eastAsia="Arial" w:hAnsi="Arial"/>
                <w:sz w:val="17"/>
                <w:szCs w:val="17"/>
                <w:color w:val="auto"/>
              </w:rPr>
              <w:t>Other</w:t>
            </w: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6.50</w:t>
            </w:r>
          </w:p>
        </w:tc>
        <w:tc>
          <w:tcPr>
            <w:tcW w:w="124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7"/>
                <w:szCs w:val="17"/>
                <w:color w:val="auto"/>
              </w:rPr>
              <w:t>(0.04)</w:t>
            </w:r>
          </w:p>
        </w:tc>
        <w:tc>
          <w:tcPr>
            <w:tcW w:w="240" w:type="dxa"/>
            <w:vAlign w:val="bottom"/>
          </w:tcPr>
          <w:p>
            <w:pPr>
              <w:spacing w:after="0"/>
              <w:rPr>
                <w:sz w:val="17"/>
                <w:szCs w:val="17"/>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rPr>
              <w:t>0.37</w:t>
            </w:r>
          </w:p>
        </w:tc>
        <w:tc>
          <w:tcPr>
            <w:tcW w:w="0" w:type="dxa"/>
            <w:vAlign w:val="bottom"/>
          </w:tcPr>
          <w:p>
            <w:pPr>
              <w:spacing w:after="0"/>
              <w:rPr>
                <w:sz w:val="1"/>
                <w:szCs w:val="1"/>
                <w:color w:val="auto"/>
              </w:rPr>
            </w:pPr>
          </w:p>
        </w:tc>
      </w:tr>
      <w:tr>
        <w:trPr>
          <w:trHeight w:val="204"/>
        </w:trPr>
        <w:tc>
          <w:tcPr>
            <w:tcW w:w="5700" w:type="dxa"/>
            <w:vAlign w:val="bottom"/>
            <w:shd w:val="clear" w:color="auto" w:fill="CCEEFF"/>
          </w:tcPr>
          <w:p>
            <w:pPr>
              <w:spacing w:after="0"/>
              <w:rPr>
                <w:sz w:val="20"/>
                <w:szCs w:val="20"/>
                <w:color w:val="auto"/>
              </w:rPr>
            </w:pPr>
            <w:r>
              <w:rPr>
                <w:rFonts w:ascii="Arial" w:cs="Arial" w:eastAsia="Arial" w:hAnsi="Arial"/>
                <w:sz w:val="17"/>
                <w:szCs w:val="17"/>
                <w:color w:val="auto"/>
              </w:rPr>
              <w:t>Pass through income not subject to tax</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(27.55)</w:t>
            </w:r>
          </w:p>
        </w:tc>
        <w:tc>
          <w:tcPr>
            <w:tcW w:w="124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(18.27)</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0"/>
        </w:trPr>
        <w:tc>
          <w:tcPr>
            <w:tcW w:w="5700" w:type="dxa"/>
            <w:vAlign w:val="bottom"/>
            <w:vMerge w:val="restart"/>
          </w:tcPr>
          <w:p>
            <w:pPr>
              <w:ind w:left="340"/>
              <w:spacing w:after="0"/>
              <w:rPr>
                <w:sz w:val="20"/>
                <w:szCs w:val="20"/>
                <w:color w:val="auto"/>
              </w:rPr>
            </w:pPr>
            <w:r>
              <w:rPr>
                <w:rFonts w:ascii="Arial" w:cs="Arial" w:eastAsia="Arial" w:hAnsi="Arial"/>
                <w:sz w:val="17"/>
                <w:szCs w:val="17"/>
                <w:color w:val="auto"/>
              </w:rPr>
              <w:t>Effective income tax rate</w:t>
            </w: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(0.12%)</w:t>
            </w:r>
          </w:p>
        </w:tc>
        <w:tc>
          <w:tcPr>
            <w:tcW w:w="124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0.00%</w:t>
            </w:r>
          </w:p>
        </w:tc>
        <w:tc>
          <w:tcPr>
            <w:tcW w:w="240" w:type="dxa"/>
            <w:vAlign w:val="bottom"/>
          </w:tcPr>
          <w:p>
            <w:pPr>
              <w:spacing w:after="0"/>
              <w:rPr>
                <w:sz w:val="18"/>
                <w:szCs w:val="18"/>
                <w:color w:val="auto"/>
              </w:rPr>
            </w:pPr>
          </w:p>
        </w:tc>
        <w:tc>
          <w:tcPr>
            <w:tcW w:w="1280" w:type="dxa"/>
            <w:vAlign w:val="bottom"/>
            <w:gridSpan w:val="2"/>
          </w:tcPr>
          <w:p>
            <w:pPr>
              <w:ind w:left="780"/>
              <w:spacing w:after="0"/>
              <w:rPr>
                <w:sz w:val="20"/>
                <w:szCs w:val="20"/>
                <w:color w:val="auto"/>
              </w:rPr>
            </w:pPr>
            <w:r>
              <w:rPr>
                <w:rFonts w:ascii="Arial" w:cs="Arial" w:eastAsia="Arial" w:hAnsi="Arial"/>
                <w:sz w:val="17"/>
                <w:szCs w:val="17"/>
                <w:color w:val="auto"/>
                <w:w w:val="99"/>
              </w:rPr>
              <w:t>0.38%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440" w:right="300" w:firstLine="415"/>
        <w:spacing w:after="0" w:line="273" w:lineRule="auto"/>
        <w:rPr>
          <w:sz w:val="20"/>
          <w:szCs w:val="20"/>
          <w:color w:val="auto"/>
        </w:rPr>
      </w:pPr>
      <w:r>
        <w:rPr>
          <w:rFonts w:ascii="Arial" w:cs="Arial" w:eastAsia="Arial" w:hAnsi="Arial"/>
          <w:sz w:val="16"/>
          <w:szCs w:val="16"/>
          <w:color w:val="auto"/>
        </w:rPr>
        <w:t>As of December 31, 2020 and 2019, the HSE subsidiary had U.S. federal net operating loss carryforwards of approximately $0.6 million and $1.1 million, respectively, a portion of which expire at various dates through 2037, and a portion of which may be carried forward indefinitely. As of December 31, 2020 and 2019, HSE had U.S. state net operating loss carryforwards of approximately $0.6 million and $1.5 million, respectively, a portion of which expire at various dates through 2037, and a portion of which may be carried forward indefinitely. As of December 31, 2020, the Swedish Monocl subsidiaries had foreign net operating loss carryforwards of approximately $6.9 million, which may be available to offset future Swedish income tax liabilities and may be carried forward indefinitely.</w:t>
      </w:r>
    </w:p>
    <w:p>
      <w:pPr>
        <w:spacing w:after="0" w:line="169"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the deferred tax assets of the Swedish Monocl subsidiaries at December 31, 2020, because the Company’s management has determined that it is more likely than not that the Company will not recognize the benefits of its foreign deferred tax assets primarily due to its historical loss position and, as a result, a valuation allowance of approximately $1.4 million has been established at December 31, 2020. The valuation allowance</w:t>
      </w:r>
    </w:p>
    <w:p>
      <w:pPr>
        <w:spacing w:after="0" w:line="12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0820"/>
          </w:cols>
          <w:pgMar w:left="320" w:top="442" w:right="759" w:bottom="1440" w:gutter="0" w:footer="0" w:header="0"/>
        </w:sectPr>
      </w:pPr>
    </w:p>
    <w:bookmarkStart w:id="271" w:name="page272"/>
    <w:bookmarkEnd w:id="2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color w:val="auto"/>
        </w:rPr>
        <w:t>increased by approximately $1.4 million in the tax year ended December 31, 2020. The increase in valuation allowance for the year ended December 31, 2020 primarily related to the net operating losses in the Swedish Monocl subsidiary.</w:t>
      </w:r>
    </w:p>
    <w:p>
      <w:pPr>
        <w:spacing w:after="0" w:line="166" w:lineRule="exact"/>
        <w:rPr>
          <w:sz w:val="20"/>
          <w:szCs w:val="20"/>
          <w:color w:val="auto"/>
        </w:rPr>
      </w:pPr>
    </w:p>
    <w:p>
      <w:pPr>
        <w:ind w:left="440" w:right="200" w:firstLine="415"/>
        <w:spacing w:after="0" w:line="288" w:lineRule="auto"/>
        <w:rPr>
          <w:sz w:val="20"/>
          <w:szCs w:val="20"/>
          <w:color w:val="auto"/>
        </w:rPr>
      </w:pPr>
      <w:r>
        <w:rPr>
          <w:rFonts w:ascii="Arial" w:cs="Arial" w:eastAsia="Arial" w:hAnsi="Arial"/>
          <w:sz w:val="15"/>
          <w:szCs w:val="15"/>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spacing w:after="0" w:line="1" w:lineRule="exact"/>
        <w:rPr>
          <w:sz w:val="20"/>
          <w:szCs w:val="20"/>
          <w:color w:val="auto"/>
        </w:rPr>
      </w:pPr>
    </w:p>
    <w:p>
      <w:pPr>
        <w:ind w:left="440" w:right="80"/>
        <w:spacing w:after="0" w:line="271" w:lineRule="auto"/>
        <w:rPr>
          <w:sz w:val="20"/>
          <w:szCs w:val="20"/>
          <w:color w:val="auto"/>
        </w:rPr>
      </w:pPr>
      <w:r>
        <w:rPr>
          <w:rFonts w:ascii="Arial" w:cs="Arial" w:eastAsia="Arial" w:hAnsi="Arial"/>
          <w:sz w:val="16"/>
          <w:szCs w:val="16"/>
          <w:color w:val="auto"/>
        </w:rPr>
        <w:t>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us immediately prior to the ownership change. Subsequent ownership changes may further affect the limitation in future years. In the future, the Company may complete financings that could result in a change in control, which will reduce the deferred tax assets for tax attributes the Company believes will expire unused due to the change in control limitations.</w:t>
      </w:r>
    </w:p>
    <w:p>
      <w:pPr>
        <w:spacing w:after="0" w:line="171" w:lineRule="exact"/>
        <w:rPr>
          <w:sz w:val="20"/>
          <w:szCs w:val="20"/>
          <w:color w:val="auto"/>
        </w:rPr>
      </w:pPr>
    </w:p>
    <w:p>
      <w:pPr>
        <w:ind w:left="440" w:right="280" w:firstLine="415"/>
        <w:spacing w:after="0" w:line="279" w:lineRule="auto"/>
        <w:rPr>
          <w:sz w:val="20"/>
          <w:szCs w:val="20"/>
          <w:color w:val="auto"/>
        </w:rPr>
      </w:pPr>
      <w:r>
        <w:rPr>
          <w:rFonts w:ascii="Arial" w:cs="Arial" w:eastAsia="Arial" w:hAnsi="Arial"/>
          <w:sz w:val="16"/>
          <w:szCs w:val="16"/>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The tax law changes in the Act did not have a material impact on the Company’s income tax provision.</w:t>
      </w:r>
    </w:p>
    <w:p>
      <w:pPr>
        <w:spacing w:after="0" w:line="162" w:lineRule="exact"/>
        <w:rPr>
          <w:sz w:val="20"/>
          <w:szCs w:val="20"/>
          <w:color w:val="auto"/>
        </w:rPr>
      </w:pPr>
    </w:p>
    <w:p>
      <w:pPr>
        <w:ind w:left="440" w:right="140" w:firstLine="415"/>
        <w:spacing w:after="0" w:line="306" w:lineRule="auto"/>
        <w:rPr>
          <w:sz w:val="20"/>
          <w:szCs w:val="20"/>
          <w:color w:val="auto"/>
        </w:rPr>
      </w:pPr>
      <w:r>
        <w:rPr>
          <w:rFonts w:ascii="Arial" w:cs="Arial" w:eastAsia="Arial" w:hAnsi="Arial"/>
          <w:sz w:val="16"/>
          <w:szCs w:val="16"/>
          <w:color w:val="auto"/>
        </w:rPr>
        <w:t>The Company will recognize interest and penalties related to uncertain tax positions in income tax expense. As of December 31, 2020, and 2019, there was no accrued interest or penalties related to uncertain tax positions and no such amounts have been recognized.</w:t>
      </w:r>
    </w:p>
    <w:p>
      <w:pPr>
        <w:spacing w:after="0" w:line="141" w:lineRule="exact"/>
        <w:rPr>
          <w:sz w:val="20"/>
          <w:szCs w:val="20"/>
          <w:color w:val="auto"/>
        </w:rPr>
      </w:pPr>
    </w:p>
    <w:p>
      <w:pPr>
        <w:ind w:left="440" w:right="80" w:firstLine="415"/>
        <w:spacing w:after="0" w:line="279" w:lineRule="auto"/>
        <w:rPr>
          <w:sz w:val="20"/>
          <w:szCs w:val="20"/>
          <w:color w:val="auto"/>
        </w:rPr>
      </w:pPr>
      <w:r>
        <w:rPr>
          <w:rFonts w:ascii="Arial" w:cs="Arial" w:eastAsia="Arial" w:hAnsi="Arial"/>
          <w:sz w:val="16"/>
          <w:szCs w:val="16"/>
          <w:color w:val="auto"/>
        </w:rPr>
        <w:t>The Company or one of its subsidiaries file income tax returns in the United States, and various state and foreign jurisdictions. The federal, state and foreign income tax returns are generally subject to tax examinations for the tax years ended December 31, 2017 through December 31, 2020. To the extent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302" w:lineRule="exact"/>
        <w:rPr>
          <w:sz w:val="20"/>
          <w:szCs w:val="20"/>
          <w:color w:val="auto"/>
        </w:rPr>
      </w:pPr>
    </w:p>
    <w:p>
      <w:pPr>
        <w:ind w:left="840" w:hanging="406"/>
        <w:spacing w:after="0"/>
        <w:tabs>
          <w:tab w:leader="none" w:pos="840" w:val="left"/>
        </w:tabs>
        <w:numPr>
          <w:ilvl w:val="0"/>
          <w:numId w:val="20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Net Loss per Unit</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the calculation of basic and diluted net income/(loss) per unit (“EPU”) for the Company’s common units:</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Successor Company</w:t>
            </w:r>
          </w:p>
        </w:tc>
      </w:tr>
      <w:tr>
        <w:trPr>
          <w:trHeight w:val="114"/>
        </w:trPr>
        <w:tc>
          <w:tcPr>
            <w:tcW w:w="2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center"/>
              <w:ind w:right="25"/>
              <w:spacing w:after="0" w:line="114" w:lineRule="exact"/>
              <w:rPr>
                <w:sz w:val="20"/>
                <w:szCs w:val="20"/>
                <w:color w:val="auto"/>
              </w:rPr>
            </w:pPr>
            <w:r>
              <w:rPr>
                <w:rFonts w:ascii="Arial" w:cs="Arial" w:eastAsia="Arial" w:hAnsi="Arial"/>
                <w:sz w:val="12"/>
                <w:szCs w:val="12"/>
                <w:color w:val="auto"/>
              </w:rPr>
              <w:t>Period from</w:t>
            </w:r>
          </w:p>
        </w:tc>
        <w:tc>
          <w:tcPr>
            <w:tcW w:w="100" w:type="dxa"/>
            <w:vAlign w:val="bottom"/>
          </w:tcPr>
          <w:p>
            <w:pPr>
              <w:spacing w:after="0"/>
              <w:rPr>
                <w:sz w:val="9"/>
                <w:szCs w:val="9"/>
                <w:color w:val="auto"/>
              </w:rPr>
            </w:pPr>
          </w:p>
        </w:tc>
      </w:tr>
      <w:tr>
        <w:trPr>
          <w:trHeight w:val="140"/>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760"/>
              <w:spacing w:after="0" w:line="140" w:lineRule="exact"/>
              <w:rPr>
                <w:sz w:val="20"/>
                <w:szCs w:val="20"/>
                <w:color w:val="auto"/>
              </w:rPr>
            </w:pPr>
            <w:r>
              <w:rPr>
                <w:rFonts w:ascii="Arial" w:cs="Arial" w:eastAsia="Arial" w:hAnsi="Arial"/>
                <w:sz w:val="14"/>
                <w:szCs w:val="14"/>
                <w:color w:val="auto"/>
                <w:w w:val="83"/>
              </w:rPr>
              <w:t>Year Ended</w:t>
            </w:r>
          </w:p>
        </w:tc>
        <w:tc>
          <w:tcPr>
            <w:tcW w:w="1040" w:type="dxa"/>
            <w:vAlign w:val="bottom"/>
            <w:gridSpan w:val="3"/>
          </w:tcPr>
          <w:p>
            <w:pPr>
              <w:jc w:val="center"/>
              <w:ind w:right="120"/>
              <w:spacing w:after="0" w:line="140" w:lineRule="exact"/>
              <w:rPr>
                <w:sz w:val="20"/>
                <w:szCs w:val="20"/>
                <w:color w:val="auto"/>
              </w:rPr>
            </w:pPr>
            <w:r>
              <w:rPr>
                <w:rFonts w:ascii="Arial" w:cs="Arial" w:eastAsia="Arial" w:hAnsi="Arial"/>
                <w:sz w:val="14"/>
                <w:szCs w:val="14"/>
                <w:color w:val="auto"/>
                <w:w w:val="88"/>
              </w:rPr>
              <w:t>July 16, 2019 to</w:t>
            </w:r>
          </w:p>
        </w:tc>
      </w:tr>
      <w:tr>
        <w:trPr>
          <w:trHeight w:val="140"/>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780"/>
              <w:spacing w:after="0" w:line="140" w:lineRule="exact"/>
              <w:rPr>
                <w:sz w:val="20"/>
                <w:szCs w:val="20"/>
                <w:color w:val="auto"/>
              </w:rPr>
            </w:pPr>
            <w:r>
              <w:rPr>
                <w:rFonts w:ascii="Arial" w:cs="Arial" w:eastAsia="Arial" w:hAnsi="Arial"/>
                <w:sz w:val="14"/>
                <w:szCs w:val="14"/>
                <w:color w:val="auto"/>
                <w:w w:val="86"/>
              </w:rPr>
              <w:t>December 31,</w:t>
            </w:r>
          </w:p>
        </w:tc>
        <w:tc>
          <w:tcPr>
            <w:tcW w:w="80" w:type="dxa"/>
            <w:vAlign w:val="bottom"/>
          </w:tcPr>
          <w:p>
            <w:pPr>
              <w:spacing w:after="0"/>
              <w:rPr>
                <w:sz w:val="12"/>
                <w:szCs w:val="12"/>
                <w:color w:val="auto"/>
              </w:rPr>
            </w:pPr>
          </w:p>
        </w:tc>
        <w:tc>
          <w:tcPr>
            <w:tcW w:w="960" w:type="dxa"/>
            <w:vAlign w:val="bottom"/>
            <w:gridSpan w:val="2"/>
          </w:tcPr>
          <w:p>
            <w:pPr>
              <w:jc w:val="center"/>
              <w:ind w:right="200"/>
              <w:spacing w:after="0" w:line="140" w:lineRule="exact"/>
              <w:rPr>
                <w:sz w:val="20"/>
                <w:szCs w:val="20"/>
                <w:color w:val="auto"/>
              </w:rPr>
            </w:pPr>
            <w:r>
              <w:rPr>
                <w:rFonts w:ascii="Arial" w:cs="Arial" w:eastAsia="Arial" w:hAnsi="Arial"/>
                <w:sz w:val="14"/>
                <w:szCs w:val="14"/>
                <w:color w:val="auto"/>
                <w:w w:val="86"/>
              </w:rPr>
              <w:t>December 31,</w:t>
            </w:r>
          </w:p>
        </w:tc>
      </w:tr>
      <w:tr>
        <w:trPr>
          <w:trHeight w:val="158"/>
        </w:trPr>
        <w:tc>
          <w:tcPr>
            <w:tcW w:w="20" w:type="dxa"/>
            <w:vAlign w:val="bottom"/>
          </w:tcPr>
          <w:p>
            <w:pPr>
              <w:spacing w:after="0"/>
              <w:rPr>
                <w:sz w:val="13"/>
                <w:szCs w:val="13"/>
                <w:color w:val="auto"/>
              </w:rPr>
            </w:pPr>
          </w:p>
        </w:tc>
        <w:tc>
          <w:tcPr>
            <w:tcW w:w="636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5"/>
              <w:spacing w:after="0" w:line="158" w:lineRule="exact"/>
              <w:rPr>
                <w:sz w:val="20"/>
                <w:szCs w:val="20"/>
                <w:color w:val="auto"/>
              </w:rPr>
            </w:pPr>
            <w:r>
              <w:rPr>
                <w:rFonts w:ascii="Arial" w:cs="Arial" w:eastAsia="Arial" w:hAnsi="Arial"/>
                <w:sz w:val="14"/>
                <w:szCs w:val="14"/>
                <w:color w:val="auto"/>
                <w:w w:val="83"/>
              </w:rPr>
              <w:t>2020</w:t>
            </w:r>
          </w:p>
        </w:tc>
        <w:tc>
          <w:tcPr>
            <w:tcW w:w="6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5"/>
              <w:spacing w:after="0" w:line="158" w:lineRule="exact"/>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(51,157)</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(49,266)</w:t>
            </w:r>
          </w:p>
        </w:tc>
        <w:tc>
          <w:tcPr>
            <w:tcW w:w="10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7"/>
                <w:szCs w:val="17"/>
                <w:color w:val="auto"/>
              </w:rPr>
              <w:t>Weighted-average units used to compute basic and diluted net loss per unit</w:t>
            </w:r>
          </w:p>
        </w:tc>
        <w:tc>
          <w:tcPr>
            <w:tcW w:w="1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127,682,376</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126,794,329</w:t>
            </w:r>
          </w:p>
        </w:tc>
        <w:tc>
          <w:tcPr>
            <w:tcW w:w="10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 basic and diluted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(0.40)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(0.39)</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60" w:firstLine="415"/>
        <w:spacing w:after="0" w:line="254" w:lineRule="auto"/>
        <w:rPr>
          <w:sz w:val="20"/>
          <w:szCs w:val="20"/>
          <w:color w:val="auto"/>
        </w:rPr>
      </w:pPr>
      <w:r>
        <w:rPr>
          <w:rFonts w:ascii="Arial" w:cs="Arial" w:eastAsia="Arial" w:hAnsi="Arial"/>
          <w:sz w:val="17"/>
          <w:szCs w:val="17"/>
          <w:color w:val="auto"/>
        </w:rPr>
        <w:t>The Company has issued potentially dilutive instruments in the form of Class B Profit Interest Units granted to the Company’s employees. As of December 31, 2020, there were 474,920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period from July 16, 2019 to December 31, 2019 (Successor) and for the year ended December 31, 2020 (Successor) because to include them would be anti-dilutive due to the Company’s net loss during the period.</w:t>
      </w:r>
    </w:p>
    <w:p>
      <w:pPr>
        <w:spacing w:after="0" w:line="120"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F-45</w:t>
      </w:r>
    </w:p>
    <w:p>
      <w:pPr>
        <w:sectPr>
          <w:pgSz w:w="11900" w:h="16838" w:orient="portrait"/>
          <w:cols w:equalWidth="0" w:num="1">
            <w:col w:w="10820"/>
          </w:cols>
          <w:pgMar w:left="320" w:top="442" w:right="759" w:bottom="1440" w:gutter="0" w:footer="0" w:header="0"/>
        </w:sectPr>
      </w:pPr>
    </w:p>
    <w:bookmarkStart w:id="272" w:name="page273"/>
    <w:bookmarkEnd w:id="2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Segment and Geographic Data</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Revenues by geographic area presented based upon the location of the customer are as follows (in thousands):</w:t>
      </w:r>
    </w:p>
    <w:p>
      <w:pPr>
        <w:spacing w:after="0" w:line="208" w:lineRule="exact"/>
        <w:rPr>
          <w:sz w:val="20"/>
          <w:szCs w:val="20"/>
          <w:color w:val="auto"/>
        </w:rPr>
      </w:pPr>
    </w:p>
    <w:tbl>
      <w:tblPr>
        <w:tblLayout w:type="fixed"/>
        <w:tblInd w:w="1260" w:type="dxa"/>
        <w:tblCellMar>
          <w:top w:w="0" w:type="dxa"/>
          <w:left w:w="0" w:type="dxa"/>
          <w:bottom w:w="0" w:type="dxa"/>
          <w:right w:w="0" w:type="dxa"/>
        </w:tblCellMar>
      </w:tblPr>
      <w:tr>
        <w:trPr>
          <w:trHeight w:val="41"/>
        </w:trPr>
        <w:tc>
          <w:tcPr>
            <w:tcW w:w="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3"/>
              </w:rPr>
              <w:t>Predecessor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right"/>
              <w:ind w:right="243"/>
              <w:spacing w:after="0"/>
              <w:rPr>
                <w:sz w:val="20"/>
                <w:szCs w:val="20"/>
                <w:color w:val="auto"/>
              </w:rPr>
            </w:pPr>
            <w:r>
              <w:rPr>
                <w:rFonts w:ascii="Arial" w:cs="Arial" w:eastAsia="Arial" w:hAnsi="Arial"/>
                <w:sz w:val="14"/>
                <w:szCs w:val="14"/>
                <w:b w:val="1"/>
                <w:bCs w:val="1"/>
                <w:color w:val="auto"/>
                <w:w w:val="93"/>
              </w:rPr>
              <w:t>Successor Company</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center"/>
              <w:ind w:right="43"/>
              <w:spacing w:after="0" w:line="114" w:lineRule="exact"/>
              <w:rPr>
                <w:sz w:val="20"/>
                <w:szCs w:val="20"/>
                <w:color w:val="auto"/>
              </w:rPr>
            </w:pPr>
            <w:r>
              <w:rPr>
                <w:rFonts w:ascii="Arial" w:cs="Arial" w:eastAsia="Arial" w:hAnsi="Arial"/>
                <w:sz w:val="12"/>
                <w:szCs w:val="12"/>
                <w:color w:val="auto"/>
              </w:rPr>
              <w:t>Period from</w:t>
            </w:r>
          </w:p>
        </w:tc>
        <w:tc>
          <w:tcPr>
            <w:tcW w:w="240" w:type="dxa"/>
            <w:vAlign w:val="bottom"/>
            <w:tcBorders>
              <w:righ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60" w:type="dxa"/>
            <w:vAlign w:val="bottom"/>
            <w:gridSpan w:val="2"/>
          </w:tcPr>
          <w:p>
            <w:pPr>
              <w:jc w:val="right"/>
              <w:spacing w:after="0" w:line="140" w:lineRule="exact"/>
              <w:rPr>
                <w:sz w:val="20"/>
                <w:szCs w:val="20"/>
                <w:color w:val="auto"/>
              </w:rPr>
            </w:pPr>
            <w:r>
              <w:rPr>
                <w:rFonts w:ascii="Arial" w:cs="Arial" w:eastAsia="Arial" w:hAnsi="Arial"/>
                <w:sz w:val="14"/>
                <w:szCs w:val="14"/>
                <w:color w:val="auto"/>
                <w:w w:val="91"/>
              </w:rPr>
              <w:t>Year Ended</w:t>
            </w:r>
          </w:p>
        </w:tc>
        <w:tc>
          <w:tcPr>
            <w:tcW w:w="1020" w:type="dxa"/>
            <w:vAlign w:val="bottom"/>
            <w:gridSpan w:val="3"/>
          </w:tcPr>
          <w:p>
            <w:pPr>
              <w:jc w:val="center"/>
              <w:ind w:left="64"/>
              <w:spacing w:after="0" w:line="140" w:lineRule="exact"/>
              <w:rPr>
                <w:sz w:val="20"/>
                <w:szCs w:val="20"/>
                <w:color w:val="auto"/>
              </w:rPr>
            </w:pPr>
            <w:r>
              <w:rPr>
                <w:rFonts w:ascii="Arial" w:cs="Arial" w:eastAsia="Arial" w:hAnsi="Arial"/>
                <w:sz w:val="14"/>
                <w:szCs w:val="14"/>
                <w:color w:val="auto"/>
                <w:w w:val="88"/>
              </w:rPr>
              <w:t>July 16, 2019 to</w:t>
            </w:r>
          </w:p>
        </w:tc>
        <w:tc>
          <w:tcPr>
            <w:tcW w:w="24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0" w:lineRule="exact"/>
              <w:rPr>
                <w:sz w:val="20"/>
                <w:szCs w:val="20"/>
                <w:color w:val="auto"/>
              </w:rPr>
            </w:pPr>
            <w:r>
              <w:rPr>
                <w:rFonts w:ascii="Arial" w:cs="Arial" w:eastAsia="Arial" w:hAnsi="Arial"/>
                <w:sz w:val="14"/>
                <w:szCs w:val="14"/>
                <w:color w:val="auto"/>
                <w:w w:val="91"/>
              </w:rPr>
              <w:t>Period from</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800" w:type="dxa"/>
            <w:vAlign w:val="bottom"/>
            <w:gridSpan w:val="3"/>
          </w:tcPr>
          <w:p>
            <w:pPr>
              <w:ind w:left="2040"/>
              <w:spacing w:after="0" w:line="140" w:lineRule="exact"/>
              <w:rPr>
                <w:sz w:val="20"/>
                <w:szCs w:val="20"/>
                <w:color w:val="auto"/>
              </w:rPr>
            </w:pPr>
            <w:r>
              <w:rPr>
                <w:rFonts w:ascii="Arial" w:cs="Arial" w:eastAsia="Arial" w:hAnsi="Arial"/>
                <w:sz w:val="14"/>
                <w:szCs w:val="14"/>
                <w:color w:val="auto"/>
                <w:w w:val="84"/>
              </w:rPr>
              <w:t>December 31,</w:t>
            </w:r>
          </w:p>
        </w:tc>
        <w:tc>
          <w:tcPr>
            <w:tcW w:w="140" w:type="dxa"/>
            <w:vAlign w:val="bottom"/>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4"/>
                <w:szCs w:val="14"/>
                <w:color w:val="auto"/>
                <w:w w:val="86"/>
              </w:rPr>
              <w:t>December 31,</w:t>
            </w:r>
          </w:p>
        </w:tc>
        <w:tc>
          <w:tcPr>
            <w:tcW w:w="240" w:type="dxa"/>
            <w:vAlign w:val="bottom"/>
            <w:tcBorders>
              <w:right w:val="single" w:sz="8" w:color="auto"/>
            </w:tcBorders>
          </w:tcPr>
          <w:p>
            <w:pPr>
              <w:spacing w:after="0"/>
              <w:rPr>
                <w:sz w:val="12"/>
                <w:szCs w:val="12"/>
                <w:color w:val="auto"/>
              </w:rPr>
            </w:pPr>
          </w:p>
        </w:tc>
        <w:tc>
          <w:tcPr>
            <w:tcW w:w="1280" w:type="dxa"/>
            <w:vAlign w:val="bottom"/>
            <w:gridSpan w:val="4"/>
          </w:tcPr>
          <w:p>
            <w:pPr>
              <w:jc w:val="center"/>
              <w:ind w:left="84"/>
              <w:spacing w:after="0" w:line="140" w:lineRule="exact"/>
              <w:rPr>
                <w:sz w:val="20"/>
                <w:szCs w:val="20"/>
                <w:color w:val="auto"/>
              </w:rPr>
            </w:pPr>
            <w:r>
              <w:rPr>
                <w:rFonts w:ascii="Arial" w:cs="Arial" w:eastAsia="Arial" w:hAnsi="Arial"/>
                <w:sz w:val="14"/>
                <w:szCs w:val="14"/>
                <w:color w:val="auto"/>
                <w:w w:val="86"/>
              </w:rPr>
              <w:t>January 1, 2019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162"/>
              <w:spacing w:after="0" w:line="158" w:lineRule="exact"/>
              <w:rPr>
                <w:sz w:val="20"/>
                <w:szCs w:val="20"/>
                <w:color w:val="auto"/>
              </w:rPr>
            </w:pPr>
            <w:r>
              <w:rPr>
                <w:rFonts w:ascii="Arial" w:cs="Arial" w:eastAsia="Arial" w:hAnsi="Arial"/>
                <w:sz w:val="14"/>
                <w:szCs w:val="14"/>
                <w:color w:val="auto"/>
              </w:rPr>
              <w:t>2020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center"/>
              <w:ind w:right="23"/>
              <w:spacing w:after="0" w:line="158" w:lineRule="exact"/>
              <w:rPr>
                <w:sz w:val="20"/>
                <w:szCs w:val="20"/>
                <w:color w:val="auto"/>
              </w:rPr>
            </w:pPr>
            <w:r>
              <w:rPr>
                <w:rFonts w:ascii="Arial" w:cs="Arial" w:eastAsia="Arial" w:hAnsi="Arial"/>
                <w:sz w:val="14"/>
                <w:szCs w:val="14"/>
                <w:color w:val="auto"/>
                <w:w w:val="89"/>
              </w:rPr>
              <w:t>2019</w:t>
            </w:r>
          </w:p>
        </w:tc>
        <w:tc>
          <w:tcPr>
            <w:tcW w:w="240" w:type="dxa"/>
            <w:vAlign w:val="bottom"/>
            <w:tcBorders>
              <w:right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60"/>
              <w:spacing w:after="0" w:line="158" w:lineRule="exact"/>
              <w:rPr>
                <w:sz w:val="20"/>
                <w:szCs w:val="20"/>
                <w:color w:val="auto"/>
              </w:rPr>
            </w:pPr>
            <w:r>
              <w:rPr>
                <w:rFonts w:ascii="Arial" w:cs="Arial" w:eastAsia="Arial" w:hAnsi="Arial"/>
                <w:sz w:val="14"/>
                <w:szCs w:val="14"/>
                <w:color w:val="auto"/>
                <w:w w:val="88"/>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0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117,755</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40" w:type="dxa"/>
            <w:vAlign w:val="bottom"/>
            <w:tcBorders>
              <w:top w:val="single" w:sz="8" w:color="CCEEFF"/>
              <w:right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7"/>
                <w:szCs w:val="17"/>
                <w:color w:val="auto"/>
              </w:rPr>
              <w:t>Rest of world</w:t>
            </w:r>
          </w:p>
        </w:tc>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revenues</w:t>
            </w:r>
          </w:p>
        </w:tc>
        <w:tc>
          <w:tcPr>
            <w:tcW w:w="2180" w:type="dxa"/>
            <w:vAlign w:val="bottom"/>
            <w:gridSpan w:val="2"/>
            <w:shd w:val="clear" w:color="auto" w:fill="CCEEFF"/>
          </w:tcPr>
          <w:p>
            <w:pPr>
              <w:ind w:left="204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40,045</w:t>
            </w:r>
          </w:p>
        </w:tc>
        <w:tc>
          <w:tcPr>
            <w:tcW w:w="240" w:type="dxa"/>
            <w:vAlign w:val="bottom"/>
            <w:tcBorders>
              <w:right w:val="single" w:sz="8" w:color="auto"/>
            </w:tcBorders>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For a summary of our revenue disaggregated by service, refer to Note 4. </w:t>
      </w:r>
      <w:r>
        <w:rPr>
          <w:rFonts w:ascii="Arial" w:cs="Arial" w:eastAsia="Arial" w:hAnsi="Arial"/>
          <w:sz w:val="17"/>
          <w:szCs w:val="17"/>
          <w:i w:val="1"/>
          <w:iCs w:val="1"/>
          <w:color w:val="auto"/>
        </w:rPr>
        <w:t>Revenue</w:t>
      </w:r>
      <w:r>
        <w:rPr>
          <w:rFonts w:ascii="Arial" w:cs="Arial" w:eastAsia="Arial" w:hAnsi="Arial"/>
          <w:sz w:val="17"/>
          <w:szCs w:val="17"/>
          <w:color w:val="auto"/>
        </w:rPr>
        <w:t>.</w:t>
      </w:r>
    </w:p>
    <w:p>
      <w:pPr>
        <w:spacing w:after="0" w:line="212"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Successor Company</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3"/>
        </w:trPr>
        <w:tc>
          <w:tcPr>
            <w:tcW w:w="4640" w:type="dxa"/>
            <w:vAlign w:val="bottom"/>
          </w:tcPr>
          <w:p>
            <w:pPr>
              <w:spacing w:after="0"/>
              <w:rPr>
                <w:sz w:val="11"/>
                <w:szCs w:val="11"/>
                <w:color w:val="auto"/>
              </w:rPr>
            </w:pPr>
          </w:p>
        </w:tc>
        <w:tc>
          <w:tcPr>
            <w:tcW w:w="1600" w:type="dxa"/>
            <w:vAlign w:val="bottom"/>
            <w:gridSpan w:val="3"/>
          </w:tcPr>
          <w:p>
            <w:pPr>
              <w:spacing w:after="0" w:line="133" w:lineRule="exact"/>
              <w:rPr>
                <w:sz w:val="20"/>
                <w:szCs w:val="20"/>
                <w:color w:val="auto"/>
              </w:rPr>
            </w:pPr>
            <w:r>
              <w:rPr>
                <w:rFonts w:ascii="Arial" w:cs="Arial" w:eastAsia="Arial" w:hAnsi="Arial"/>
                <w:sz w:val="14"/>
                <w:szCs w:val="14"/>
                <w:color w:val="auto"/>
              </w:rPr>
              <w:t>December 31, 2020</w:t>
            </w:r>
          </w:p>
        </w:tc>
        <w:tc>
          <w:tcPr>
            <w:tcW w:w="5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4"/>
                <w:szCs w:val="14"/>
                <w:color w:val="auto"/>
                <w:w w:val="86"/>
              </w:rPr>
              <w:t>December 31, 2019</w:t>
            </w:r>
          </w:p>
        </w:tc>
        <w:tc>
          <w:tcPr>
            <w:tcW w:w="40" w:type="dxa"/>
            <w:vAlign w:val="bottom"/>
          </w:tcPr>
          <w:p>
            <w:pPr>
              <w:spacing w:after="0"/>
              <w:rPr>
                <w:sz w:val="11"/>
                <w:szCs w:val="11"/>
                <w:color w:val="auto"/>
              </w:rPr>
            </w:pPr>
          </w:p>
        </w:tc>
      </w:tr>
      <w:tr>
        <w:trPr>
          <w:trHeight w:val="196"/>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United States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5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2,558</w:t>
            </w:r>
          </w:p>
        </w:tc>
        <w:tc>
          <w:tcPr>
            <w:tcW w:w="40" w:type="dxa"/>
            <w:vAlign w:val="bottom"/>
            <w:tcBorders>
              <w:top w:val="single" w:sz="8" w:color="CCEEFF"/>
            </w:tcBorders>
            <w:shd w:val="clear" w:color="auto" w:fill="CCEEFF"/>
          </w:tcPr>
          <w:p>
            <w:pPr>
              <w:spacing w:after="0"/>
              <w:rPr>
                <w:sz w:val="17"/>
                <w:szCs w:val="17"/>
                <w:color w:val="auto"/>
              </w:rPr>
            </w:pPr>
          </w:p>
        </w:tc>
      </w:tr>
      <w:tr>
        <w:trPr>
          <w:trHeight w:val="209"/>
        </w:trPr>
        <w:tc>
          <w:tcPr>
            <w:tcW w:w="4640" w:type="dxa"/>
            <w:vAlign w:val="bottom"/>
          </w:tcPr>
          <w:p>
            <w:pPr>
              <w:spacing w:after="0"/>
              <w:rPr>
                <w:sz w:val="20"/>
                <w:szCs w:val="20"/>
                <w:color w:val="auto"/>
              </w:rPr>
            </w:pPr>
            <w:r>
              <w:rPr>
                <w:rFonts w:ascii="Arial" w:cs="Arial" w:eastAsia="Arial" w:hAnsi="Arial"/>
                <w:sz w:val="17"/>
                <w:szCs w:val="17"/>
                <w:color w:val="auto"/>
              </w:rPr>
              <w:t>Rest of world</w:t>
            </w: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4"/>
        </w:trPr>
        <w:tc>
          <w:tcPr>
            <w:tcW w:w="4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long-lived assets</w:t>
            </w: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3,248</w:t>
            </w:r>
          </w:p>
        </w:tc>
        <w:tc>
          <w:tcPr>
            <w:tcW w:w="920" w:type="dxa"/>
            <w:vAlign w:val="bottom"/>
            <w:gridSpan w:val="2"/>
            <w:shd w:val="clear" w:color="auto" w:fill="CCEEFF"/>
          </w:tcPr>
          <w:p>
            <w:pPr>
              <w:ind w:left="520"/>
              <w:spacing w:after="0"/>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2,558</w:t>
            </w:r>
          </w:p>
        </w:tc>
      </w:tr>
      <w:tr>
        <w:trPr>
          <w:trHeight w:val="20"/>
        </w:trPr>
        <w:tc>
          <w:tcPr>
            <w:tcW w:w="4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 Parties</w:t>
      </w:r>
    </w:p>
    <w:p>
      <w:pPr>
        <w:spacing w:after="0" w:line="110" w:lineRule="exact"/>
        <w:rPr>
          <w:sz w:val="20"/>
          <w:szCs w:val="20"/>
          <w:color w:val="auto"/>
        </w:rPr>
      </w:pPr>
    </w:p>
    <w:p>
      <w:pPr>
        <w:ind w:left="440" w:right="120" w:firstLine="415"/>
        <w:spacing w:after="0" w:line="312" w:lineRule="auto"/>
        <w:rPr>
          <w:sz w:val="20"/>
          <w:szCs w:val="20"/>
          <w:color w:val="auto"/>
        </w:rPr>
      </w:pPr>
      <w:r>
        <w:rPr>
          <w:rFonts w:ascii="Arial" w:cs="Arial" w:eastAsia="Arial" w:hAnsi="Arial"/>
          <w:sz w:val="15"/>
          <w:szCs w:val="15"/>
          <w:color w:val="auto"/>
        </w:rPr>
        <w:t>The Company reimburses its private equity sponsors for services and any related travel and out-of-pocket expenses. During the years ended December 31, 2020, and 2019, the Company had expenses for services, travel and out-of-pocket expenses to its private equity sponsors of $0.1 million and $0.0 million, respectively. The associated payable for the service transactions was de minimis at December 31, 2020 and 2019.</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has engaged in revenue transactions within the ordinary course of business with entities affiliated with its private equity sponsors</w:t>
      </w:r>
    </w:p>
    <w:p>
      <w:pPr>
        <w:spacing w:after="0" w:line="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and with members of the Company’s board of directors. During the years ended December 31, 2020, and 2019 the Company recorded revenue of</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$0.4 million and $0.2 million, respectively. The associated receivables for the revenue transactions were $0.1 million and $0.1 million at December 31,</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2020 and 2019, respectively.</w:t>
      </w:r>
    </w:p>
    <w:p>
      <w:pPr>
        <w:spacing w:after="0" w:line="340" w:lineRule="exact"/>
        <w:rPr>
          <w:sz w:val="20"/>
          <w:szCs w:val="20"/>
          <w:color w:val="auto"/>
        </w:rPr>
      </w:pPr>
    </w:p>
    <w:p>
      <w:pPr>
        <w:ind w:left="840" w:hanging="406"/>
        <w:spacing w:after="0"/>
        <w:tabs>
          <w:tab w:leader="none" w:pos="840" w:val="left"/>
        </w:tabs>
        <w:numPr>
          <w:ilvl w:val="0"/>
          <w:numId w:val="20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Subsequent Events</w:t>
      </w:r>
    </w:p>
    <w:p>
      <w:pPr>
        <w:spacing w:after="0" w:line="110"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The Company has evaluated subsequent events through May 28, 2021, the date which the consolidated financial statements were issued, and did not identify any additional matters that require disclosure.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0780"/>
          </w:cols>
          <w:pgMar w:left="320" w:top="442" w:right="799" w:bottom="1440" w:gutter="0" w:footer="0" w:header="0"/>
        </w:sectPr>
      </w:pPr>
    </w:p>
    <w:bookmarkStart w:id="273" w:name="page274"/>
    <w:bookmarkEnd w:id="2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AIDH TopCo, LLC</w:t>
      </w:r>
    </w:p>
    <w:p>
      <w:pPr>
        <w:spacing w:after="0" w:line="2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and Subsidiaries</w:t>
      </w:r>
    </w:p>
    <w:p>
      <w:pPr>
        <w:spacing w:after="0" w:line="98" w:lineRule="exact"/>
        <w:rPr>
          <w:sz w:val="20"/>
          <w:szCs w:val="20"/>
          <w:color w:val="auto"/>
        </w:rPr>
      </w:pPr>
    </w:p>
    <w:p>
      <w:pPr>
        <w:ind w:left="440"/>
        <w:spacing w:after="0" w:line="273" w:lineRule="auto"/>
        <w:rPr>
          <w:sz w:val="20"/>
          <w:szCs w:val="20"/>
          <w:color w:val="auto"/>
        </w:rPr>
      </w:pPr>
      <w:r>
        <w:rPr>
          <w:rFonts w:ascii="Arial" w:cs="Arial" w:eastAsia="Arial" w:hAnsi="Arial"/>
          <w:sz w:val="17"/>
          <w:szCs w:val="17"/>
          <w:color w:val="auto"/>
        </w:rPr>
        <w:t>Condensed Consolidated Financial Statements as of June 30, 2021 and December 31, 2020 and for the Six Months Ended June 30, 2021 and 2020 (Unaudited)</w:t>
      </w:r>
    </w:p>
    <w:p>
      <w:pPr>
        <w:spacing w:after="0" w:line="102"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0340"/>
          </w:cols>
          <w:pgMar w:left="320" w:top="442" w:right="1239" w:bottom="1440" w:gutter="0" w:footer="0" w:header="0"/>
        </w:sectPr>
      </w:pPr>
    </w:p>
    <w:bookmarkStart w:id="274" w:name="page275"/>
    <w:bookmarkEnd w:id="2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(in thousands, except number of units)</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color w:val="auto"/>
                <w:w w:val="95"/>
              </w:rPr>
              <w:t>(Unaudited)</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Current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38,438</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24,774</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Accounts receivable,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22,818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33,108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3,660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Current portion of deferred contract costs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4,549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69,465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63,845</w:t>
            </w:r>
          </w:p>
        </w:tc>
        <w:tc>
          <w:tcPr>
            <w:tcW w:w="0" w:type="dxa"/>
            <w:vAlign w:val="bottom"/>
          </w:tcPr>
          <w:p>
            <w:pPr>
              <w:spacing w:after="0"/>
              <w:rPr>
                <w:sz w:val="1"/>
                <w:szCs w:val="1"/>
                <w:color w:val="auto"/>
              </w:rPr>
            </w:pPr>
          </w:p>
        </w:tc>
      </w:tr>
      <w:tr>
        <w:trPr>
          <w:trHeight w:val="304"/>
        </w:trPr>
        <w:tc>
          <w:tcPr>
            <w:tcW w:w="7560" w:type="dxa"/>
            <w:vAlign w:val="bottom"/>
            <w:gridSpan w:val="2"/>
          </w:tcPr>
          <w:p>
            <w:pPr>
              <w:spacing w:after="0"/>
              <w:rPr>
                <w:sz w:val="20"/>
                <w:szCs w:val="20"/>
                <w:color w:val="auto"/>
              </w:rPr>
            </w:pPr>
            <w:r>
              <w:rPr>
                <w:rFonts w:ascii="Arial" w:cs="Arial" w:eastAsia="Arial" w:hAnsi="Arial"/>
                <w:sz w:val="17"/>
                <w:szCs w:val="17"/>
                <w:color w:val="auto"/>
              </w:rPr>
              <w:t>Property and equipment, net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4,340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3,248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4,226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Deferred contract costs, net of current portion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8,490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Intangible assets, net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381,387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410,237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1,261,444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Pr>
          <w:p>
            <w:pPr>
              <w:ind w:left="660"/>
              <w:spacing w:after="0"/>
              <w:rPr>
                <w:sz w:val="20"/>
                <w:szCs w:val="20"/>
                <w:color w:val="auto"/>
              </w:rPr>
            </w:pPr>
            <w:r>
              <w:rPr>
                <w:rFonts w:ascii="Arial" w:cs="Arial" w:eastAsia="Arial" w:hAnsi="Arial"/>
                <w:sz w:val="17"/>
                <w:szCs w:val="17"/>
                <w:b w:val="1"/>
                <w:bCs w:val="1"/>
                <w:color w:val="auto"/>
              </w:rPr>
              <w:t>Total assets</w:t>
            </w:r>
          </w:p>
        </w:tc>
        <w:tc>
          <w:tcPr>
            <w:tcW w:w="420" w:type="dxa"/>
            <w:vAlign w:val="bottom"/>
            <w:gridSpan w:val="2"/>
          </w:tcPr>
          <w:p>
            <w:pPr>
              <w:ind w:left="320"/>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87"/>
              </w:rPr>
              <w:t>1,729,513</w:t>
            </w:r>
          </w:p>
        </w:tc>
        <w:tc>
          <w:tcPr>
            <w:tcW w:w="300" w:type="dxa"/>
            <w:vAlign w:val="bottom"/>
          </w:tcPr>
          <w:p>
            <w:pPr>
              <w:spacing w:after="0"/>
              <w:rPr>
                <w:sz w:val="18"/>
                <w:szCs w:val="18"/>
                <w:color w:val="auto"/>
              </w:rPr>
            </w:pPr>
          </w:p>
        </w:tc>
        <w:tc>
          <w:tcPr>
            <w:tcW w:w="4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1,745,359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Members’ Capital</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color w:val="auto"/>
              </w:rPr>
              <w:t>Current liabilities: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4,556</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20,485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17,321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Current portion of deferred revenue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68,885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61,060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Current portion of term loan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4,680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current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98,606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88,723</w:t>
            </w:r>
          </w:p>
        </w:tc>
        <w:tc>
          <w:tcPr>
            <w:tcW w:w="0" w:type="dxa"/>
            <w:vAlign w:val="bottom"/>
          </w:tcPr>
          <w:p>
            <w:pPr>
              <w:spacing w:after="0"/>
              <w:rPr>
                <w:sz w:val="1"/>
                <w:szCs w:val="1"/>
                <w:color w:val="auto"/>
              </w:rPr>
            </w:pPr>
          </w:p>
        </w:tc>
      </w:tr>
      <w:tr>
        <w:trPr>
          <w:trHeight w:val="305"/>
        </w:trPr>
        <w:tc>
          <w:tcPr>
            <w:tcW w:w="7560" w:type="dxa"/>
            <w:vAlign w:val="bottom"/>
            <w:gridSpan w:val="2"/>
          </w:tcPr>
          <w:p>
            <w:pPr>
              <w:spacing w:after="0"/>
              <w:rPr>
                <w:sz w:val="20"/>
                <w:szCs w:val="20"/>
                <w:color w:val="auto"/>
              </w:rPr>
            </w:pPr>
            <w:r>
              <w:rPr>
                <w:rFonts w:ascii="Arial" w:cs="Arial" w:eastAsia="Arial" w:hAnsi="Arial"/>
                <w:sz w:val="17"/>
                <w:szCs w:val="17"/>
                <w:color w:val="auto"/>
              </w:rPr>
              <w:t>Long term liabilities: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236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Term loan, net of current portion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455,838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457,197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long-term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460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ind w:left="660"/>
              <w:spacing w:after="0"/>
              <w:rPr>
                <w:sz w:val="20"/>
                <w:szCs w:val="20"/>
                <w:color w:val="auto"/>
              </w:rPr>
            </w:pPr>
            <w:r>
              <w:rPr>
                <w:rFonts w:ascii="Arial" w:cs="Arial" w:eastAsia="Arial" w:hAnsi="Arial"/>
                <w:sz w:val="17"/>
                <w:szCs w:val="17"/>
                <w:b w:val="1"/>
                <w:bCs w:val="1"/>
                <w:color w:val="auto"/>
              </w:rPr>
              <w:t>Total liabilities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555,140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549,796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7"/>
                <w:szCs w:val="17"/>
                <w:b w:val="1"/>
                <w:bCs w:val="1"/>
                <w:color w:val="auto"/>
              </w:rPr>
              <w:t>Members’ capital: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40" w:type="dxa"/>
            <w:vAlign w:val="bottom"/>
            <w:shd w:val="clear" w:color="auto" w:fill="CCEEFF"/>
          </w:tcPr>
          <w:p>
            <w:pPr>
              <w:ind w:left="320"/>
              <w:spacing w:after="0" w:line="191" w:lineRule="exact"/>
              <w:rPr>
                <w:sz w:val="20"/>
                <w:szCs w:val="20"/>
                <w:color w:val="auto"/>
              </w:rPr>
            </w:pPr>
            <w:r>
              <w:rPr>
                <w:rFonts w:ascii="Arial" w:cs="Arial" w:eastAsia="Arial" w:hAnsi="Arial"/>
                <w:sz w:val="17"/>
                <w:szCs w:val="17"/>
                <w:color w:val="auto"/>
                <w:w w:val="92"/>
              </w:rPr>
              <w:t>Class A units, 130,609,506 and 130,245,990 units authorized, issued and outstanding at June 30, 2021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80"/>
              <w:spacing w:after="0"/>
              <w:rPr>
                <w:sz w:val="20"/>
                <w:szCs w:val="20"/>
                <w:color w:val="auto"/>
              </w:rPr>
            </w:pPr>
            <w:r>
              <w:rPr>
                <w:rFonts w:ascii="Arial" w:cs="Arial" w:eastAsia="Arial" w:hAnsi="Arial"/>
                <w:sz w:val="17"/>
                <w:szCs w:val="17"/>
                <w:color w:val="auto"/>
              </w:rPr>
              <w:t>and December 31, 2020, respectively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1,309,614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1,303,058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540" w:type="dxa"/>
            <w:vAlign w:val="bottom"/>
          </w:tcPr>
          <w:p>
            <w:pPr>
              <w:ind w:left="320"/>
              <w:spacing w:after="0" w:line="191" w:lineRule="exact"/>
              <w:rPr>
                <w:sz w:val="20"/>
                <w:szCs w:val="20"/>
                <w:color w:val="auto"/>
              </w:rPr>
            </w:pPr>
            <w:r>
              <w:rPr>
                <w:rFonts w:ascii="Arial" w:cs="Arial" w:eastAsia="Arial" w:hAnsi="Arial"/>
                <w:sz w:val="17"/>
                <w:szCs w:val="17"/>
                <w:color w:val="auto"/>
                <w:w w:val="96"/>
              </w:rPr>
              <w:t>Class B units, 8,088,877 units authorized at June 30, 2021 and December 31, 2020; 6,349,125 and</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tcPr>
          <w:p>
            <w:pPr>
              <w:ind w:left="480"/>
              <w:spacing w:after="0"/>
              <w:rPr>
                <w:sz w:val="20"/>
                <w:szCs w:val="20"/>
                <w:color w:val="auto"/>
              </w:rPr>
            </w:pPr>
            <w:r>
              <w:rPr>
                <w:rFonts w:ascii="Arial" w:cs="Arial" w:eastAsia="Arial" w:hAnsi="Arial"/>
                <w:sz w:val="17"/>
                <w:szCs w:val="17"/>
                <w:color w:val="auto"/>
                <w:w w:val="97"/>
              </w:rPr>
              <w:t>3,720,063 units issued at June 30, 2021 and December 31, 2020, respectively; and 493,073 and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80"/>
              <w:spacing w:after="0"/>
              <w:rPr>
                <w:sz w:val="20"/>
                <w:szCs w:val="20"/>
                <w:color w:val="auto"/>
              </w:rPr>
            </w:pPr>
            <w:r>
              <w:rPr>
                <w:rFonts w:ascii="Arial" w:cs="Arial" w:eastAsia="Arial" w:hAnsi="Arial"/>
                <w:sz w:val="17"/>
                <w:szCs w:val="17"/>
                <w:color w:val="auto"/>
              </w:rPr>
              <w:t>474,920 units outstanding at June 30, 2021 and December 31, 2020, respectively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3,456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deficit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8"/>
              </w:rPr>
              <w:t>(138,710)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(109,855)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540" w:type="dxa"/>
            <w:vAlign w:val="bottom"/>
          </w:tcPr>
          <w:p>
            <w:pPr>
              <w:ind w:left="320"/>
              <w:spacing w:after="0"/>
              <w:rPr>
                <w:sz w:val="20"/>
                <w:szCs w:val="20"/>
                <w:color w:val="auto"/>
              </w:rPr>
            </w:pPr>
            <w:r>
              <w:rPr>
                <w:rFonts w:ascii="Arial" w:cs="Arial" w:eastAsia="Arial" w:hAnsi="Arial"/>
                <w:sz w:val="17"/>
                <w:szCs w:val="17"/>
                <w:color w:val="auto"/>
              </w:rPr>
              <w:t>Accumulated other comprehensive income (loss)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members’ capital</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1,174,373</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1,195,563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540" w:type="dxa"/>
            <w:vAlign w:val="bottom"/>
            <w:shd w:val="clear" w:color="auto" w:fill="CCEEFF"/>
          </w:tcPr>
          <w:p>
            <w:pPr>
              <w:ind w:left="660"/>
              <w:spacing w:after="0"/>
              <w:rPr>
                <w:sz w:val="20"/>
                <w:szCs w:val="20"/>
                <w:color w:val="auto"/>
              </w:rPr>
            </w:pPr>
            <w:r>
              <w:rPr>
                <w:rFonts w:ascii="Arial" w:cs="Arial" w:eastAsia="Arial" w:hAnsi="Arial"/>
                <w:sz w:val="17"/>
                <w:szCs w:val="17"/>
                <w:b w:val="1"/>
                <w:bCs w:val="1"/>
                <w:color w:val="auto"/>
              </w:rPr>
              <w:t>Total liabilities and members’ capital</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1,729,513</w:t>
            </w:r>
          </w:p>
        </w:tc>
        <w:tc>
          <w:tcPr>
            <w:tcW w:w="3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1,745,359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vMerge w:val="restart"/>
          </w:tcPr>
          <w:p>
            <w:pPr>
              <w:ind w:left="3220"/>
              <w:spacing w:after="0"/>
              <w:rPr>
                <w:sz w:val="20"/>
                <w:szCs w:val="20"/>
                <w:color w:val="auto"/>
              </w:rPr>
            </w:pPr>
            <w:r>
              <w:rPr>
                <w:rFonts w:ascii="Arial" w:cs="Arial" w:eastAsia="Arial" w:hAnsi="Arial"/>
                <w:sz w:val="17"/>
                <w:szCs w:val="17"/>
                <w:color w:val="auto"/>
                <w:w w:val="98"/>
              </w:rPr>
              <w:t>See notes to condensed consolidated financial statements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75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7540" w:type="dxa"/>
            <w:vAlign w:val="bottom"/>
          </w:tcPr>
          <w:p>
            <w:pPr>
              <w:ind w:left="5000"/>
              <w:spacing w:after="0"/>
              <w:rPr>
                <w:sz w:val="20"/>
                <w:szCs w:val="20"/>
                <w:color w:val="auto"/>
              </w:rPr>
            </w:pPr>
            <w:r>
              <w:rPr>
                <w:rFonts w:ascii="Arial" w:cs="Arial" w:eastAsia="Arial" w:hAnsi="Arial"/>
                <w:sz w:val="17"/>
                <w:szCs w:val="17"/>
                <w:color w:val="auto"/>
              </w:rPr>
              <w:t>F-48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20"/>
          </w:cols>
          <w:pgMar w:left="320" w:top="442" w:right="759" w:bottom="1440" w:gutter="0" w:footer="0" w:header="0"/>
        </w:sectPr>
      </w:pPr>
    </w:p>
    <w:bookmarkStart w:id="275" w:name="page276"/>
    <w:bookmarkEnd w:id="2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 except number of units and per unit data)</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7"/>
              <w:spacing w:after="0" w:line="133"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6"/>
              <w:spacing w:after="0" w:line="133"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59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76,757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54,586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Cost of revenue:</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Cost of revenue exclusive of amortization shown below</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8,766</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Amortization</w:t>
            </w:r>
          </w:p>
        </w:tc>
        <w:tc>
          <w:tcPr>
            <w:tcW w:w="1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10,540</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Gross profit</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57,451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39,845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Operating expenses:</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Sales and marketing</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24,627</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Product development</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8,071</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11,011</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7"/>
                <w:szCs w:val="17"/>
                <w:color w:val="auto"/>
              </w:rPr>
              <w:t>19,054</w:t>
            </w:r>
          </w:p>
        </w:tc>
        <w:tc>
          <w:tcPr>
            <w:tcW w:w="8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19,925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Transaction expenses</w:t>
            </w:r>
          </w:p>
        </w:tc>
        <w:tc>
          <w:tcPr>
            <w:tcW w:w="18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3,469</w:t>
            </w:r>
          </w:p>
        </w:tc>
        <w:tc>
          <w:tcPr>
            <w:tcW w:w="6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00" w:type="dxa"/>
            <w:vAlign w:val="bottom"/>
          </w:tcPr>
          <w:p>
            <w:pPr>
              <w:ind w:left="660"/>
              <w:spacing w:after="0"/>
              <w:rPr>
                <w:sz w:val="20"/>
                <w:szCs w:val="20"/>
                <w:color w:val="auto"/>
              </w:rPr>
            </w:pPr>
            <w:r>
              <w:rPr>
                <w:rFonts w:ascii="Arial" w:cs="Arial" w:eastAsia="Arial" w:hAnsi="Arial"/>
                <w:sz w:val="17"/>
                <w:szCs w:val="17"/>
                <w:color w:val="auto"/>
              </w:rPr>
              <w:t>Total operating expenses</w:t>
            </w:r>
          </w:p>
        </w:tc>
        <w:tc>
          <w:tcPr>
            <w:tcW w:w="18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66,232</w:t>
            </w:r>
          </w:p>
        </w:tc>
        <w:tc>
          <w:tcPr>
            <w:tcW w:w="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Loss from operations</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(8,781)</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(6,553)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spacing w:after="0"/>
              <w:rPr>
                <w:sz w:val="20"/>
                <w:szCs w:val="20"/>
                <w:color w:val="auto"/>
              </w:rPr>
            </w:pPr>
            <w:r>
              <w:rPr>
                <w:rFonts w:ascii="Arial" w:cs="Arial" w:eastAsia="Arial" w:hAnsi="Arial"/>
                <w:sz w:val="17"/>
                <w:szCs w:val="17"/>
                <w:color w:val="auto"/>
              </w:rPr>
              <w:t>Other expense, net:</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Foreign currency transaction gain</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Interest expense, net</w:t>
            </w: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7"/>
                <w:szCs w:val="17"/>
                <w:color w:val="auto"/>
              </w:rPr>
              <w:t>(16,770)</w:t>
            </w:r>
          </w:p>
        </w:tc>
        <w:tc>
          <w:tcPr>
            <w:tcW w:w="8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(18,780)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other expense, net</w:t>
            </w:r>
          </w:p>
        </w:tc>
        <w:tc>
          <w:tcPr>
            <w:tcW w:w="1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(16,746)</w:t>
            </w: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vMerge w:val="restart"/>
          </w:tcPr>
          <w:p>
            <w:pPr>
              <w:ind w:left="1000"/>
              <w:spacing w:after="0"/>
              <w:rPr>
                <w:sz w:val="20"/>
                <w:szCs w:val="20"/>
                <w:color w:val="auto"/>
              </w:rPr>
            </w:pPr>
            <w:r>
              <w:rPr>
                <w:rFonts w:ascii="Arial" w:cs="Arial" w:eastAsia="Arial" w:hAnsi="Arial"/>
                <w:sz w:val="17"/>
                <w:szCs w:val="17"/>
                <w:color w:val="auto"/>
              </w:rPr>
              <w:t>Net loss</w:t>
            </w:r>
          </w:p>
        </w:tc>
        <w:tc>
          <w:tcPr>
            <w:tcW w:w="1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vMerge w:val="continue"/>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7"/>
                <w:szCs w:val="17"/>
                <w:color w:val="auto"/>
              </w:rPr>
              <w:t>(25,527)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(25,333)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18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620"/>
              <w:spacing w:after="0"/>
              <w:rPr>
                <w:sz w:val="20"/>
                <w:szCs w:val="20"/>
                <w:color w:val="auto"/>
              </w:rPr>
            </w:pPr>
            <w:r>
              <w:rPr>
                <w:rFonts w:ascii="Arial" w:cs="Arial" w:eastAsia="Arial" w:hAnsi="Arial"/>
                <w:sz w:val="17"/>
                <w:szCs w:val="17"/>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Weighted average common units outstanding:</w:t>
            </w:r>
          </w:p>
        </w:tc>
        <w:tc>
          <w:tcPr>
            <w:tcW w:w="1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00" w:type="dxa"/>
            <w:vAlign w:val="bottom"/>
          </w:tcPr>
          <w:p>
            <w:pPr>
              <w:ind w:left="320"/>
              <w:spacing w:after="0"/>
              <w:rPr>
                <w:sz w:val="20"/>
                <w:szCs w:val="20"/>
                <w:color w:val="auto"/>
              </w:rPr>
            </w:pPr>
            <w:r>
              <w:rPr>
                <w:rFonts w:ascii="Arial" w:cs="Arial" w:eastAsia="Arial" w:hAnsi="Arial"/>
                <w:sz w:val="17"/>
                <w:szCs w:val="17"/>
                <w:color w:val="auto"/>
              </w:rPr>
              <w:t>Basic and diluted</w:t>
            </w:r>
          </w:p>
        </w:tc>
        <w:tc>
          <w:tcPr>
            <w:tcW w:w="18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130,268,082</w:t>
            </w:r>
          </w:p>
        </w:tc>
        <w:tc>
          <w:tcPr>
            <w:tcW w:w="6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127,125,435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F-49</w:t>
      </w:r>
    </w:p>
    <w:p>
      <w:pPr>
        <w:sectPr>
          <w:pgSz w:w="11900" w:h="16838" w:orient="portrait"/>
          <w:cols w:equalWidth="0" w:num="1">
            <w:col w:w="10820"/>
          </w:cols>
          <w:pgMar w:left="320" w:top="442" w:right="759" w:bottom="1440" w:gutter="0" w:footer="0" w:header="0"/>
        </w:sectPr>
      </w:pPr>
    </w:p>
    <w:bookmarkStart w:id="276" w:name="page277"/>
    <w:bookmarkEnd w:id="2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COMPREHENSIVE (LOSS) INCOME</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86"/>
              </w:rPr>
              <w:t>Six Months Ended June 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8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62"/>
              <w:spacing w:after="0" w:line="133"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ind w:left="120"/>
              <w:spacing w:after="0" w:line="133"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8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8480" w:type="dxa"/>
            <w:vAlign w:val="bottom"/>
            <w:shd w:val="clear" w:color="auto" w:fill="CCEEFF"/>
          </w:tcPr>
          <w:p>
            <w:pPr>
              <w:jc w:val="right"/>
              <w:ind w:right="7875"/>
              <w:spacing w:after="0"/>
              <w:rPr>
                <w:sz w:val="20"/>
                <w:szCs w:val="20"/>
                <w:color w:val="auto"/>
              </w:rPr>
            </w:pPr>
            <w:r>
              <w:rPr>
                <w:rFonts w:ascii="Arial" w:cs="Arial" w:eastAsia="Arial" w:hAnsi="Arial"/>
                <w:sz w:val="17"/>
                <w:szCs w:val="17"/>
                <w:color w:val="auto"/>
                <w:w w:val="81"/>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(25,527)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7"/>
              </w:rPr>
              <w:t>(25,333)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tcPr>
          <w:p>
            <w:pPr>
              <w:jc w:val="right"/>
              <w:ind w:right="6375"/>
              <w:spacing w:after="0"/>
              <w:rPr>
                <w:sz w:val="20"/>
                <w:szCs w:val="20"/>
                <w:color w:val="auto"/>
              </w:rPr>
            </w:pPr>
            <w:r>
              <w:rPr>
                <w:rFonts w:ascii="Arial" w:cs="Arial" w:eastAsia="Arial" w:hAnsi="Arial"/>
                <w:sz w:val="17"/>
                <w:szCs w:val="17"/>
                <w:color w:val="auto"/>
                <w:w w:val="88"/>
              </w:rPr>
              <w:t>Other comprehensive income:</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80" w:type="dxa"/>
            <w:vAlign w:val="bottom"/>
            <w:shd w:val="clear" w:color="auto" w:fill="CCEEFF"/>
          </w:tcPr>
          <w:p>
            <w:pPr>
              <w:jc w:val="right"/>
              <w:ind w:right="5835"/>
              <w:spacing w:after="0"/>
              <w:rPr>
                <w:sz w:val="20"/>
                <w:szCs w:val="20"/>
                <w:color w:val="auto"/>
              </w:rPr>
            </w:pPr>
            <w:r>
              <w:rPr>
                <w:rFonts w:ascii="Arial" w:cs="Arial" w:eastAsia="Arial" w:hAnsi="Arial"/>
                <w:sz w:val="17"/>
                <w:szCs w:val="17"/>
                <w:color w:val="auto"/>
              </w:rPr>
              <w:t>Foreign currency translation gain</w:t>
            </w: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3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80" w:type="dxa"/>
            <w:vAlign w:val="bottom"/>
          </w:tcPr>
          <w:p>
            <w:pPr>
              <w:jc w:val="right"/>
              <w:ind w:right="6375"/>
              <w:spacing w:after="0"/>
              <w:rPr>
                <w:sz w:val="20"/>
                <w:szCs w:val="20"/>
                <w:color w:val="auto"/>
              </w:rPr>
            </w:pPr>
            <w:r>
              <w:rPr>
                <w:rFonts w:ascii="Arial" w:cs="Arial" w:eastAsia="Arial" w:hAnsi="Arial"/>
                <w:sz w:val="17"/>
                <w:szCs w:val="17"/>
                <w:color w:val="auto"/>
              </w:rPr>
              <w:t>Comprehensive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(25,383)</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4"/>
              </w:rPr>
              <w:t>(25,333)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F-50</w:t>
      </w:r>
    </w:p>
    <w:p>
      <w:pPr>
        <w:sectPr>
          <w:pgSz w:w="11900" w:h="16838" w:orient="portrait"/>
          <w:cols w:equalWidth="0" w:num="1">
            <w:col w:w="10820"/>
          </w:cols>
          <w:pgMar w:left="320" w:top="442" w:right="759" w:bottom="1440" w:gutter="0" w:footer="0" w:header="0"/>
        </w:sectPr>
      </w:pPr>
    </w:p>
    <w:bookmarkStart w:id="277" w:name="page278"/>
    <w:bookmarkEnd w:id="2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CHANGES IN MEMBERS’ EQUITY</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 except number of units)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19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5"/>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5"/>
          </w:tcPr>
          <w:p>
            <w:pPr>
              <w:spacing w:after="0" w:line="140"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145"/>
              <w:spacing w:after="0" w:line="140"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80" w:type="dxa"/>
            <w:vAlign w:val="bottom"/>
            <w:gridSpan w:val="3"/>
          </w:tcPr>
          <w:p>
            <w:pPr>
              <w:jc w:val="center"/>
              <w:ind w:right="104"/>
              <w:spacing w:after="0" w:line="140"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3"/>
          </w:tcPr>
          <w:p>
            <w:pPr>
              <w:jc w:val="center"/>
              <w:ind w:right="120"/>
              <w:spacing w:after="0" w:line="140" w:lineRule="exact"/>
              <w:rPr>
                <w:sz w:val="20"/>
                <w:szCs w:val="20"/>
                <w:color w:val="auto"/>
              </w:rPr>
            </w:pPr>
            <w:r>
              <w:rPr>
                <w:rFonts w:ascii="Arial" w:cs="Arial" w:eastAsia="Arial" w:hAnsi="Arial"/>
                <w:sz w:val="14"/>
                <w:szCs w:val="14"/>
                <w:b w:val="1"/>
                <w:bCs w:val="1"/>
                <w:color w:val="auto"/>
                <w:w w:val="85"/>
              </w:rPr>
              <w:t>Class B</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spacing w:after="0" w:line="140"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5"/>
          </w:tcPr>
          <w:p>
            <w:pPr>
              <w:spacing w:after="0" w:line="140" w:lineRule="exact"/>
              <w:rPr>
                <w:sz w:val="20"/>
                <w:szCs w:val="20"/>
                <w:color w:val="auto"/>
              </w:rPr>
            </w:pPr>
            <w:r>
              <w:rPr>
                <w:rFonts w:ascii="Arial" w:cs="Arial" w:eastAsia="Arial" w:hAnsi="Arial"/>
                <w:sz w:val="14"/>
                <w:szCs w:val="14"/>
                <w:b w:val="1"/>
                <w:bCs w:val="1"/>
                <w:color w:val="auto"/>
              </w:rPr>
              <w:t>Accumulated</w:t>
            </w:r>
          </w:p>
        </w:tc>
        <w:tc>
          <w:tcPr>
            <w:tcW w:w="920" w:type="dxa"/>
            <w:vAlign w:val="bottom"/>
            <w:gridSpan w:val="3"/>
          </w:tcPr>
          <w:p>
            <w:pPr>
              <w:jc w:val="center"/>
              <w:spacing w:after="0" w:line="140"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center"/>
              <w:ind w:right="344"/>
              <w:spacing w:after="0"/>
              <w:rPr>
                <w:sz w:val="20"/>
                <w:szCs w:val="20"/>
                <w:color w:val="auto"/>
              </w:rPr>
            </w:pPr>
            <w:r>
              <w:rPr>
                <w:rFonts w:ascii="Arial" w:cs="Arial" w:eastAsia="Arial" w:hAnsi="Arial"/>
                <w:sz w:val="14"/>
                <w:szCs w:val="14"/>
                <w:b w:val="1"/>
                <w:bCs w:val="1"/>
                <w:color w:val="auto"/>
                <w:w w:val="85"/>
              </w:rPr>
              <w:t>Units</w:t>
            </w:r>
          </w:p>
        </w:tc>
        <w:tc>
          <w:tcPr>
            <w:tcW w:w="60" w:type="dxa"/>
            <w:vAlign w:val="bottom"/>
          </w:tcPr>
          <w:p>
            <w:pPr>
              <w:spacing w:after="0"/>
              <w:rPr>
                <w:sz w:val="13"/>
                <w:szCs w:val="13"/>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88"/>
              </w:rPr>
              <w:t>Deficit</w:t>
            </w: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(Loss) Income</w:t>
            </w:r>
          </w:p>
        </w:tc>
        <w:tc>
          <w:tcPr>
            <w:tcW w:w="26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2020</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3"/>
              </w:rPr>
              <w:t>130,245,990</w:t>
            </w: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right w:val="single" w:sz="8" w:color="CCEEFF"/>
            </w:tcBorders>
            <w:shd w:val="clear" w:color="auto" w:fill="CCEEFF"/>
          </w:tcPr>
          <w:p>
            <w:pPr>
              <w:spacing w:after="0"/>
              <w:rPr>
                <w:sz w:val="15"/>
                <w:szCs w:val="15"/>
                <w:color w:val="auto"/>
              </w:rPr>
            </w:pPr>
          </w:p>
        </w:tc>
        <w:tc>
          <w:tcPr>
            <w:tcW w:w="660" w:type="dxa"/>
            <w:vAlign w:val="bottom"/>
            <w:tcBorders>
              <w:top w:val="single" w:sz="8" w:color="auto"/>
              <w:left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85"/>
              </w:rPr>
              <w:t>$1,303,058</w:t>
            </w:r>
          </w:p>
        </w:tc>
        <w:tc>
          <w:tcPr>
            <w:tcW w:w="2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left w:val="single" w:sz="8" w:color="CCEEFF"/>
            </w:tcBorders>
            <w:gridSpan w:val="2"/>
            <w:shd w:val="clear" w:color="auto" w:fill="CCEEFF"/>
          </w:tcPr>
          <w:p>
            <w:pPr>
              <w:jc w:val="center"/>
              <w:spacing w:after="0"/>
              <w:rPr>
                <w:sz w:val="20"/>
                <w:szCs w:val="20"/>
                <w:color w:val="auto"/>
              </w:rPr>
            </w:pPr>
            <w:r>
              <w:rPr>
                <w:rFonts w:ascii="Arial" w:cs="Arial" w:eastAsia="Arial" w:hAnsi="Arial"/>
                <w:sz w:val="15"/>
                <w:szCs w:val="15"/>
                <w:b w:val="1"/>
                <w:bCs w:val="1"/>
                <w:color w:val="auto"/>
                <w:w w:val="88"/>
              </w:rPr>
              <w:t>474,920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91"/>
              </w:rPr>
              <w:t>$ 2,491</w:t>
            </w: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95"/>
              </w:rPr>
              <w:t>$</w:t>
            </w:r>
          </w:p>
        </w:tc>
        <w:tc>
          <w:tcPr>
            <w:tcW w:w="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0"/>
              </w:rPr>
              <w:t>(109,855)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ind w:right="76"/>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(131)</w:t>
            </w:r>
          </w:p>
        </w:tc>
        <w:tc>
          <w:tcPr>
            <w:tcW w:w="260" w:type="dxa"/>
            <w:vAlign w:val="bottom"/>
            <w:tcBorders>
              <w:top w:val="single" w:sz="8" w:color="CCEEFF"/>
              <w:left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7"/>
              </w:rPr>
              <w:t>$1,195,563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Net loss</w:t>
            </w:r>
          </w:p>
        </w:tc>
        <w:tc>
          <w:tcPr>
            <w:tcW w:w="220" w:type="dxa"/>
            <w:vAlign w:val="bottom"/>
          </w:tcPr>
          <w:p>
            <w:pPr>
              <w:spacing w:after="0"/>
              <w:rPr>
                <w:sz w:val="16"/>
                <w:szCs w:val="16"/>
                <w:color w:val="auto"/>
              </w:rPr>
            </w:pPr>
          </w:p>
        </w:tc>
        <w:tc>
          <w:tcPr>
            <w:tcW w:w="760" w:type="dxa"/>
            <w:vAlign w:val="bottom"/>
            <w:gridSpan w:val="2"/>
          </w:tcPr>
          <w:p>
            <w:pPr>
              <w:jc w:val="center"/>
              <w:ind w:left="7"/>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(25,527)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5"/>
                <w:szCs w:val="15"/>
                <w:color w:val="auto"/>
              </w:rPr>
              <w:t>(25,527)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Vesting of Class B units / Unit-based</w:t>
            </w: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80" w:type="dxa"/>
            <w:vAlign w:val="bottom"/>
            <w:tcBorders>
              <w:left w:val="single" w:sz="8" w:color="CCEEFF"/>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tcBorders>
              <w:left w:val="single" w:sz="8" w:color="CCEEFF"/>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tcBorders>
              <w:left w:val="single" w:sz="8" w:color="CCEEFF"/>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compensation</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lef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1,056</w:t>
            </w:r>
          </w:p>
        </w:tc>
        <w:tc>
          <w:tcPr>
            <w:tcW w:w="6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color w:val="auto"/>
              </w:rPr>
              <w:t>18,153</w:t>
            </w:r>
          </w:p>
        </w:tc>
        <w:tc>
          <w:tcPr>
            <w:tcW w:w="700" w:type="dxa"/>
            <w:vAlign w:val="bottom"/>
            <w:gridSpan w:val="4"/>
            <w:shd w:val="clear" w:color="auto" w:fill="CCEEFF"/>
          </w:tcPr>
          <w:p>
            <w:pPr>
              <w:ind w:left="360"/>
              <w:spacing w:after="0"/>
              <w:rPr>
                <w:sz w:val="20"/>
                <w:szCs w:val="20"/>
                <w:color w:val="auto"/>
              </w:rPr>
            </w:pPr>
            <w:r>
              <w:rPr>
                <w:rFonts w:ascii="Arial" w:cs="Arial" w:eastAsia="Arial" w:hAnsi="Arial"/>
                <w:sz w:val="15"/>
                <w:szCs w:val="15"/>
                <w:color w:val="auto"/>
              </w:rPr>
              <w:t>965</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0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2,021</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Members’ contributions</w:t>
            </w:r>
          </w:p>
        </w:tc>
        <w:tc>
          <w:tcPr>
            <w:tcW w:w="980" w:type="dxa"/>
            <w:vAlign w:val="bottom"/>
            <w:gridSpan w:val="3"/>
          </w:tcPr>
          <w:p>
            <w:pPr>
              <w:jc w:val="right"/>
              <w:ind w:right="104"/>
              <w:spacing w:after="0"/>
              <w:rPr>
                <w:sz w:val="20"/>
                <w:szCs w:val="20"/>
                <w:color w:val="auto"/>
              </w:rPr>
            </w:pPr>
            <w:r>
              <w:rPr>
                <w:rFonts w:ascii="Arial" w:cs="Arial" w:eastAsia="Arial" w:hAnsi="Arial"/>
                <w:sz w:val="15"/>
                <w:szCs w:val="15"/>
                <w:color w:val="auto"/>
              </w:rPr>
              <w:t>363,516</w:t>
            </w:r>
          </w:p>
        </w:tc>
        <w:tc>
          <w:tcPr>
            <w:tcW w:w="60" w:type="dxa"/>
            <w:vAlign w:val="bottom"/>
          </w:tcPr>
          <w:p>
            <w:pPr>
              <w:spacing w:after="0"/>
              <w:rPr>
                <w:sz w:val="16"/>
                <w:szCs w:val="16"/>
                <w:color w:val="auto"/>
              </w:rPr>
            </w:pPr>
          </w:p>
        </w:tc>
        <w:tc>
          <w:tcPr>
            <w:tcW w:w="880" w:type="dxa"/>
            <w:vAlign w:val="bottom"/>
            <w:gridSpan w:val="3"/>
          </w:tcPr>
          <w:p>
            <w:pPr>
              <w:jc w:val="right"/>
              <w:ind w:right="220"/>
              <w:spacing w:after="0"/>
              <w:rPr>
                <w:sz w:val="20"/>
                <w:szCs w:val="20"/>
                <w:color w:val="auto"/>
              </w:rPr>
            </w:pPr>
            <w:r>
              <w:rPr>
                <w:rFonts w:ascii="Arial" w:cs="Arial" w:eastAsia="Arial" w:hAnsi="Arial"/>
                <w:sz w:val="15"/>
                <w:szCs w:val="15"/>
                <w:color w:val="auto"/>
              </w:rPr>
              <w:t>5,500</w:t>
            </w:r>
          </w:p>
        </w:tc>
        <w:tc>
          <w:tcPr>
            <w:tcW w:w="200" w:type="dxa"/>
            <w:vAlign w:val="bottom"/>
          </w:tcPr>
          <w:p>
            <w:pPr>
              <w:spacing w:after="0"/>
              <w:rPr>
                <w:sz w:val="16"/>
                <w:szCs w:val="16"/>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ind w:left="1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Arial" w:cs="Arial" w:eastAsia="Arial" w:hAnsi="Arial"/>
                <w:sz w:val="15"/>
                <w:szCs w:val="15"/>
                <w:color w:val="auto"/>
              </w:rPr>
              <w:t>—</w:t>
            </w:r>
          </w:p>
        </w:tc>
        <w:tc>
          <w:tcPr>
            <w:tcW w:w="1040" w:type="dxa"/>
            <w:vAlign w:val="bottom"/>
            <w:gridSpan w:val="3"/>
          </w:tcPr>
          <w:p>
            <w:pPr>
              <w:jc w:val="right"/>
              <w:ind w:right="100"/>
              <w:spacing w:after="0"/>
              <w:rPr>
                <w:sz w:val="20"/>
                <w:szCs w:val="20"/>
                <w:color w:val="auto"/>
              </w:rPr>
            </w:pPr>
            <w:r>
              <w:rPr>
                <w:rFonts w:ascii="Arial" w:cs="Arial" w:eastAsia="Arial" w:hAnsi="Arial"/>
                <w:sz w:val="15"/>
                <w:szCs w:val="15"/>
                <w:color w:val="auto"/>
              </w:rPr>
              <w:t>5,500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Distribution to members</w:t>
            </w:r>
          </w:p>
        </w:tc>
        <w:tc>
          <w:tcPr>
            <w:tcW w:w="2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left="7"/>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3"/>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(3,328)</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104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5"/>
                <w:szCs w:val="15"/>
                <w:color w:val="auto"/>
              </w:rPr>
              <w:t>(3,328)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Comprehensive income</w:t>
            </w:r>
          </w:p>
        </w:tc>
        <w:tc>
          <w:tcPr>
            <w:tcW w:w="220" w:type="dxa"/>
            <w:vAlign w:val="bottom"/>
          </w:tcPr>
          <w:p>
            <w:pPr>
              <w:spacing w:after="0"/>
              <w:rPr>
                <w:sz w:val="16"/>
                <w:szCs w:val="16"/>
                <w:color w:val="auto"/>
              </w:rPr>
            </w:pPr>
          </w:p>
        </w:tc>
        <w:tc>
          <w:tcPr>
            <w:tcW w:w="580" w:type="dxa"/>
            <w:vAlign w:val="bottom"/>
          </w:tcPr>
          <w:p>
            <w:pPr>
              <w:jc w:val="center"/>
              <w:ind w:left="187"/>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ind w:left="24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ind w:left="160"/>
              <w:spacing w:after="0"/>
              <w:rPr>
                <w:sz w:val="20"/>
                <w:szCs w:val="20"/>
                <w:color w:val="auto"/>
              </w:rPr>
            </w:pPr>
            <w:r>
              <w:rPr>
                <w:rFonts w:ascii="Arial" w:cs="Arial" w:eastAsia="Arial" w:hAnsi="Arial"/>
                <w:sz w:val="15"/>
                <w:szCs w:val="15"/>
                <w:color w:val="auto"/>
              </w:rPr>
              <w:t>—</w:t>
            </w:r>
          </w:p>
        </w:tc>
        <w:tc>
          <w:tcPr>
            <w:tcW w:w="16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ind w:left="220"/>
              <w:spacing w:after="0"/>
              <w:rPr>
                <w:sz w:val="20"/>
                <w:szCs w:val="20"/>
                <w:color w:val="auto"/>
              </w:rPr>
            </w:pPr>
            <w:r>
              <w:rPr>
                <w:rFonts w:ascii="Arial" w:cs="Arial" w:eastAsia="Arial" w:hAnsi="Arial"/>
                <w:sz w:val="15"/>
                <w:szCs w:val="15"/>
                <w:color w:val="auto"/>
              </w:rPr>
              <w:t>—</w:t>
            </w:r>
          </w:p>
        </w:tc>
        <w:tc>
          <w:tcPr>
            <w:tcW w:w="22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2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60"/>
              <w:spacing w:after="0"/>
              <w:rPr>
                <w:sz w:val="20"/>
                <w:szCs w:val="20"/>
                <w:color w:val="auto"/>
              </w:rPr>
            </w:pPr>
            <w:r>
              <w:rPr>
                <w:rFonts w:ascii="Arial" w:cs="Arial" w:eastAsia="Arial" w:hAnsi="Arial"/>
                <w:sz w:val="15"/>
                <w:szCs w:val="15"/>
                <w:color w:val="auto"/>
                <w:w w:val="79"/>
              </w:rPr>
              <w:t>144</w:t>
            </w:r>
          </w:p>
        </w:tc>
        <w:tc>
          <w:tcPr>
            <w:tcW w:w="26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5"/>
                <w:szCs w:val="15"/>
                <w:color w:val="auto"/>
              </w:rPr>
              <w:t>144</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June 30, 2021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93"/>
              </w:rPr>
              <w:t>130,609,506</w:t>
            </w:r>
          </w:p>
        </w:tc>
        <w:tc>
          <w:tcPr>
            <w:tcW w:w="1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5"/>
                <w:szCs w:val="15"/>
                <w:b w:val="1"/>
                <w:bCs w:val="1"/>
                <w:u w:val="single" w:color="auto"/>
                <w:color w:val="auto"/>
                <w:w w:val="93"/>
              </w:rPr>
              <w:t>$</w:t>
            </w:r>
            <w:r>
              <w:rPr>
                <w:rFonts w:ascii="Arial" w:cs="Arial" w:eastAsia="Arial" w:hAnsi="Arial"/>
                <w:sz w:val="15"/>
                <w:szCs w:val="15"/>
                <w:b w:val="1"/>
                <w:bCs w:val="1"/>
                <w:color w:val="auto"/>
                <w:w w:val="93"/>
              </w:rPr>
              <w:t>1,309,614</w:t>
            </w:r>
          </w:p>
        </w:tc>
        <w:tc>
          <w:tcPr>
            <w:tcW w:w="640" w:type="dxa"/>
            <w:vAlign w:val="bottom"/>
            <w:tcBorders>
              <w:lef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5"/>
                <w:szCs w:val="15"/>
                <w:b w:val="1"/>
                <w:bCs w:val="1"/>
                <w:color w:val="auto"/>
                <w:w w:val="92"/>
              </w:rPr>
              <w:t>493,073</w:t>
            </w:r>
          </w:p>
        </w:tc>
        <w:tc>
          <w:tcPr>
            <w:tcW w:w="700" w:type="dxa"/>
            <w:vAlign w:val="bottom"/>
            <w:gridSpan w:val="4"/>
            <w:shd w:val="clear" w:color="auto" w:fill="CCEEFF"/>
          </w:tcPr>
          <w:p>
            <w:pPr>
              <w:ind w:left="100"/>
              <w:spacing w:after="0"/>
              <w:rPr>
                <w:sz w:val="20"/>
                <w:szCs w:val="20"/>
                <w:color w:val="auto"/>
              </w:rPr>
            </w:pPr>
            <w:r>
              <w:rPr>
                <w:rFonts w:ascii="Arial" w:cs="Arial" w:eastAsia="Arial" w:hAnsi="Arial"/>
                <w:sz w:val="15"/>
                <w:szCs w:val="15"/>
                <w:b w:val="1"/>
                <w:bCs w:val="1"/>
                <w:color w:val="auto"/>
              </w:rPr>
              <w:t>$ 3,456</w:t>
            </w:r>
          </w:p>
        </w:tc>
        <w:tc>
          <w:tcPr>
            <w:tcW w:w="40" w:type="dxa"/>
            <w:vAlign w:val="bottom"/>
            <w:shd w:val="clear" w:color="auto" w:fill="CCEEFF"/>
          </w:tcPr>
          <w:p>
            <w:pPr>
              <w:spacing w:after="0"/>
              <w:rPr>
                <w:sz w:val="16"/>
                <w:szCs w:val="16"/>
                <w:color w:val="auto"/>
              </w:rPr>
            </w:pP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5"/>
                <w:szCs w:val="15"/>
                <w:b w:val="1"/>
                <w:bCs w:val="1"/>
                <w:color w:val="auto"/>
                <w:w w:val="95"/>
              </w:rPr>
              <w:t>$</w:t>
            </w: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22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b w:val="1"/>
                <w:bCs w:val="1"/>
                <w:color w:val="auto"/>
                <w:w w:val="99"/>
              </w:rPr>
              <w:t>(138,710)</w:t>
            </w:r>
          </w:p>
        </w:tc>
        <w:tc>
          <w:tcPr>
            <w:tcW w:w="1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76"/>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13</w:t>
            </w:r>
          </w:p>
        </w:tc>
        <w:tc>
          <w:tcPr>
            <w:tcW w:w="10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1,174,373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tcPr>
          <w:p>
            <w:pPr>
              <w:spacing w:after="0" w:line="140"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25"/>
              <w:spacing w:after="0" w:line="140" w:lineRule="exact"/>
              <w:rPr>
                <w:sz w:val="20"/>
                <w:szCs w:val="20"/>
                <w:color w:val="auto"/>
              </w:rPr>
            </w:pPr>
            <w:r>
              <w:rPr>
                <w:rFonts w:ascii="Arial" w:cs="Arial" w:eastAsia="Arial" w:hAnsi="Arial"/>
                <w:sz w:val="14"/>
                <w:szCs w:val="14"/>
                <w:b w:val="1"/>
                <w:bCs w:val="1"/>
                <w:color w:val="auto"/>
                <w:w w:val="96"/>
              </w:rPr>
              <w:t>Other</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gridSpan w:val="2"/>
          </w:tcPr>
          <w:p>
            <w:pPr>
              <w:jc w:val="right"/>
              <w:spacing w:after="0" w:line="140" w:lineRule="exact"/>
              <w:rPr>
                <w:sz w:val="20"/>
                <w:szCs w:val="20"/>
                <w:color w:val="auto"/>
              </w:rPr>
            </w:pPr>
            <w:r>
              <w:rPr>
                <w:rFonts w:ascii="Arial" w:cs="Arial" w:eastAsia="Arial" w:hAnsi="Arial"/>
                <w:sz w:val="14"/>
                <w:szCs w:val="14"/>
                <w:b w:val="1"/>
                <w:bCs w:val="1"/>
                <w:color w:val="auto"/>
                <w:w w:val="81"/>
              </w:rPr>
              <w:t>Class B</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spacing w:after="0" w:line="140"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960" w:type="dxa"/>
            <w:vAlign w:val="bottom"/>
            <w:gridSpan w:val="4"/>
          </w:tcPr>
          <w:p>
            <w:pPr>
              <w:spacing w:after="0" w:line="140"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840" w:type="dxa"/>
            <w:vAlign w:val="bottom"/>
            <w:gridSpan w:val="2"/>
          </w:tcPr>
          <w:p>
            <w:pPr>
              <w:jc w:val="center"/>
              <w:spacing w:after="0" w:line="140" w:lineRule="exact"/>
              <w:rPr>
                <w:sz w:val="20"/>
                <w:szCs w:val="20"/>
                <w:color w:val="auto"/>
              </w:rPr>
            </w:pPr>
            <w:r>
              <w:rPr>
                <w:rFonts w:ascii="Arial" w:cs="Arial" w:eastAsia="Arial" w:hAnsi="Arial"/>
                <w:sz w:val="14"/>
                <w:szCs w:val="14"/>
                <w:b w:val="1"/>
                <w:bCs w:val="1"/>
                <w:color w:val="auto"/>
                <w:w w:val="85"/>
              </w:rPr>
              <w:t>Comprehensive</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0"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(Loss) Income</w:t>
            </w:r>
          </w:p>
        </w:tc>
        <w:tc>
          <w:tcPr>
            <w:tcW w:w="26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Balance at December 31, 2019</w:t>
            </w: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right w:val="single" w:sz="8" w:color="CCEEFF"/>
            </w:tcBorders>
            <w:gridSpan w:val="3"/>
            <w:shd w:val="clear" w:color="auto" w:fill="CCEEFF"/>
          </w:tcPr>
          <w:p>
            <w:pPr>
              <w:jc w:val="center"/>
              <w:spacing w:after="0"/>
              <w:rPr>
                <w:sz w:val="20"/>
                <w:szCs w:val="20"/>
                <w:color w:val="auto"/>
              </w:rPr>
            </w:pPr>
            <w:r>
              <w:rPr>
                <w:rFonts w:ascii="Arial" w:cs="Arial" w:eastAsia="Arial" w:hAnsi="Arial"/>
                <w:sz w:val="15"/>
                <w:szCs w:val="15"/>
                <w:b w:val="1"/>
                <w:bCs w:val="1"/>
                <w:color w:val="auto"/>
                <w:w w:val="91"/>
              </w:rPr>
              <w:t>127,125,435</w:t>
            </w:r>
          </w:p>
        </w:tc>
        <w:tc>
          <w:tcPr>
            <w:tcW w:w="180" w:type="dxa"/>
            <w:vAlign w:val="bottom"/>
            <w:tcBorders>
              <w:top w:val="single" w:sz="8" w:color="CCEEFF"/>
              <w:left w:val="single" w:sz="8" w:color="CCEEFF"/>
            </w:tcBorders>
            <w:shd w:val="clear" w:color="auto" w:fill="CCEEFF"/>
          </w:tcPr>
          <w:p>
            <w:pPr>
              <w:spacing w:after="0"/>
              <w:rPr>
                <w:sz w:val="15"/>
                <w:szCs w:val="15"/>
                <w:color w:val="auto"/>
              </w:rPr>
            </w:pPr>
          </w:p>
        </w:tc>
        <w:tc>
          <w:tcPr>
            <w:tcW w:w="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w w:val="87"/>
              </w:rPr>
              <w:t>$1,271,254</w:t>
            </w:r>
          </w:p>
        </w:tc>
        <w:tc>
          <w:tcPr>
            <w:tcW w:w="200" w:type="dxa"/>
            <w:vAlign w:val="bottom"/>
            <w:tcBorders>
              <w:top w:val="single" w:sz="8" w:color="CCEEFF"/>
              <w:left w:val="single" w:sz="8" w:color="CCEEFF"/>
            </w:tcBorders>
            <w:shd w:val="clear" w:color="auto" w:fill="CCEEFF"/>
          </w:tcPr>
          <w:p>
            <w:pPr>
              <w:spacing w:after="0"/>
              <w:rPr>
                <w:sz w:val="15"/>
                <w:szCs w:val="15"/>
                <w:color w:val="auto"/>
              </w:rPr>
            </w:pPr>
          </w:p>
        </w:tc>
        <w:tc>
          <w:tcPr>
            <w:tcW w:w="4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w:t>
            </w:r>
          </w:p>
        </w:tc>
        <w:tc>
          <w:tcPr>
            <w:tcW w:w="200" w:type="dxa"/>
            <w:vAlign w:val="bottom"/>
            <w:tcBorders>
              <w:top w:val="single" w:sz="8" w:color="CCEEFF"/>
            </w:tcBorders>
            <w:gridSpan w:val="2"/>
            <w:shd w:val="clear" w:color="auto" w:fill="CCEEFF"/>
          </w:tcPr>
          <w:p>
            <w:pPr>
              <w:spacing w:after="0"/>
              <w:rPr>
                <w:sz w:val="15"/>
                <w:szCs w:val="15"/>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5"/>
                <w:szCs w:val="15"/>
                <w:b w:val="1"/>
                <w:bCs w:val="1"/>
                <w:color w:val="auto"/>
              </w:rPr>
              <w:t>$  744</w:t>
            </w: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gridSpan w:val="2"/>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gridSpan w:val="2"/>
            <w:shd w:val="clear" w:color="auto" w:fill="CCEEFF"/>
          </w:tcPr>
          <w:p>
            <w:pPr>
              <w:ind w:left="300"/>
              <w:spacing w:after="0"/>
              <w:rPr>
                <w:sz w:val="20"/>
                <w:szCs w:val="20"/>
                <w:color w:val="auto"/>
              </w:rPr>
            </w:pPr>
            <w:r>
              <w:rPr>
                <w:rFonts w:ascii="Arial" w:cs="Arial" w:eastAsia="Arial" w:hAnsi="Arial"/>
                <w:sz w:val="15"/>
                <w:szCs w:val="15"/>
                <w:b w:val="1"/>
                <w:bCs w:val="1"/>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(55,758)</w:t>
            </w: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5"/>
                <w:szCs w:val="15"/>
                <w:b w:val="1"/>
                <w:bCs w:val="1"/>
                <w:color w:val="auto"/>
                <w:w w:val="93"/>
              </w:rPr>
              <w:t>—</w:t>
            </w:r>
          </w:p>
        </w:tc>
        <w:tc>
          <w:tcPr>
            <w:tcW w:w="260" w:type="dxa"/>
            <w:vAlign w:val="bottom"/>
            <w:tcBorders>
              <w:top w:val="single" w:sz="8" w:color="CCEEFF"/>
              <w:left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87"/>
              </w:rPr>
              <w:t>$1,216,240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Net loss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3"/>
          </w:tcPr>
          <w:p>
            <w:pPr>
              <w:ind w:left="2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3"/>
          </w:tcPr>
          <w:p>
            <w:pPr>
              <w:ind w:left="3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(25,333)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520"/>
              <w:spacing w:after="0"/>
              <w:rPr>
                <w:sz w:val="20"/>
                <w:szCs w:val="20"/>
                <w:color w:val="auto"/>
              </w:rPr>
            </w:pPr>
            <w:r>
              <w:rPr>
                <w:rFonts w:ascii="Arial" w:cs="Arial" w:eastAsia="Arial" w:hAnsi="Arial"/>
                <w:sz w:val="15"/>
                <w:szCs w:val="15"/>
                <w:color w:val="auto"/>
                <w:w w:val="93"/>
              </w:rPr>
              <w:t>—</w:t>
            </w:r>
          </w:p>
        </w:tc>
        <w:tc>
          <w:tcPr>
            <w:tcW w:w="1040" w:type="dxa"/>
            <w:vAlign w:val="bottom"/>
            <w:gridSpan w:val="3"/>
          </w:tcPr>
          <w:p>
            <w:pPr>
              <w:jc w:val="right"/>
              <w:ind w:right="40"/>
              <w:spacing w:after="0"/>
              <w:rPr>
                <w:sz w:val="20"/>
                <w:szCs w:val="20"/>
                <w:color w:val="auto"/>
              </w:rPr>
            </w:pPr>
            <w:r>
              <w:rPr>
                <w:rFonts w:ascii="Arial" w:cs="Arial" w:eastAsia="Arial" w:hAnsi="Arial"/>
                <w:sz w:val="15"/>
                <w:szCs w:val="15"/>
                <w:color w:val="auto"/>
              </w:rPr>
              <w:t>(25,333)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Unit-based compensation</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5"/>
                <w:szCs w:val="15"/>
                <w:color w:val="auto"/>
              </w:rPr>
              <w:t>—</w:t>
            </w:r>
          </w:p>
        </w:tc>
        <w:tc>
          <w:tcPr>
            <w:tcW w:w="6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w:t>
            </w:r>
          </w:p>
        </w:tc>
        <w:tc>
          <w:tcPr>
            <w:tcW w:w="20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740" w:type="dxa"/>
            <w:vAlign w:val="bottom"/>
            <w:gridSpan w:val="5"/>
            <w:shd w:val="clear" w:color="auto" w:fill="CCEEFF"/>
          </w:tcPr>
          <w:p>
            <w:pPr>
              <w:ind w:left="460"/>
              <w:spacing w:after="0"/>
              <w:rPr>
                <w:sz w:val="20"/>
                <w:szCs w:val="20"/>
                <w:color w:val="auto"/>
              </w:rPr>
            </w:pPr>
            <w:r>
              <w:rPr>
                <w:rFonts w:ascii="Arial" w:cs="Arial" w:eastAsia="Arial" w:hAnsi="Arial"/>
                <w:sz w:val="15"/>
                <w:szCs w:val="15"/>
                <w:color w:val="auto"/>
              </w:rPr>
              <w:t>872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ind w:left="520"/>
              <w:spacing w:after="0"/>
              <w:rPr>
                <w:sz w:val="20"/>
                <w:szCs w:val="20"/>
                <w:color w:val="auto"/>
              </w:rPr>
            </w:pPr>
            <w:r>
              <w:rPr>
                <w:rFonts w:ascii="Arial" w:cs="Arial" w:eastAsia="Arial" w:hAnsi="Arial"/>
                <w:sz w:val="15"/>
                <w:szCs w:val="15"/>
                <w:color w:val="auto"/>
                <w:w w:val="93"/>
              </w:rPr>
              <w:t>—</w:t>
            </w:r>
          </w:p>
        </w:tc>
        <w:tc>
          <w:tcPr>
            <w:tcW w:w="10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color w:val="auto"/>
              </w:rPr>
              <w:t>872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60" w:type="dxa"/>
            <w:vAlign w:val="bottom"/>
          </w:tcPr>
          <w:p>
            <w:pPr>
              <w:spacing w:after="0"/>
              <w:rPr>
                <w:sz w:val="20"/>
                <w:szCs w:val="20"/>
                <w:color w:val="auto"/>
              </w:rPr>
            </w:pPr>
            <w:r>
              <w:rPr>
                <w:rFonts w:ascii="Arial" w:cs="Arial" w:eastAsia="Arial" w:hAnsi="Arial"/>
                <w:sz w:val="15"/>
                <w:szCs w:val="15"/>
                <w:color w:val="auto"/>
              </w:rPr>
              <w:t>Distribution to members</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ind w:left="260"/>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520"/>
              <w:spacing w:after="0"/>
              <w:rPr>
                <w:sz w:val="20"/>
                <w:szCs w:val="20"/>
                <w:color w:val="auto"/>
              </w:rPr>
            </w:pPr>
            <w:r>
              <w:rPr>
                <w:rFonts w:ascii="Arial" w:cs="Arial" w:eastAsia="Arial" w:hAnsi="Arial"/>
                <w:sz w:val="15"/>
                <w:szCs w:val="15"/>
                <w:color w:val="auto"/>
                <w:w w:val="93"/>
              </w:rPr>
              <w:t>—</w:t>
            </w:r>
          </w:p>
        </w:tc>
        <w:tc>
          <w:tcPr>
            <w:tcW w:w="1040" w:type="dxa"/>
            <w:vAlign w:val="bottom"/>
            <w:gridSpan w:val="3"/>
          </w:tcPr>
          <w:p>
            <w:pPr>
              <w:jc w:val="right"/>
              <w:ind w:right="4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vMerge w:val="continue"/>
          </w:tcPr>
          <w:p>
            <w:pPr>
              <w:spacing w:after="0"/>
              <w:rPr>
                <w:sz w:val="16"/>
                <w:szCs w:val="16"/>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Balance at June 30, 2020</w:t>
            </w:r>
          </w:p>
        </w:tc>
        <w:tc>
          <w:tcPr>
            <w:tcW w:w="220" w:type="dxa"/>
            <w:vAlign w:val="bottom"/>
            <w:shd w:val="clear" w:color="auto" w:fill="CCEEFF"/>
          </w:tcPr>
          <w:p>
            <w:pPr>
              <w:spacing w:after="0"/>
              <w:rPr>
                <w:sz w:val="16"/>
                <w:szCs w:val="16"/>
                <w:color w:val="auto"/>
              </w:rPr>
            </w:pPr>
          </w:p>
        </w:tc>
        <w:tc>
          <w:tcPr>
            <w:tcW w:w="82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5"/>
                <w:szCs w:val="15"/>
                <w:b w:val="1"/>
                <w:bCs w:val="1"/>
                <w:color w:val="auto"/>
                <w:w w:val="91"/>
              </w:rPr>
              <w:t>127,125,435</w:t>
            </w:r>
          </w:p>
        </w:tc>
        <w:tc>
          <w:tcPr>
            <w:tcW w:w="180" w:type="dxa"/>
            <w:vAlign w:val="bottom"/>
            <w:tcBorders>
              <w:left w:val="single" w:sz="8" w:color="CCEEFF"/>
            </w:tcBorders>
            <w:shd w:val="clear" w:color="auto" w:fill="CCEEFF"/>
          </w:tcPr>
          <w:p>
            <w:pPr>
              <w:spacing w:after="0"/>
              <w:rPr>
                <w:sz w:val="16"/>
                <w:szCs w:val="16"/>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u w:val="single" w:color="auto"/>
                <w:color w:val="auto"/>
                <w:w w:val="87"/>
              </w:rPr>
              <w:t>$</w:t>
            </w:r>
            <w:r>
              <w:rPr>
                <w:rFonts w:ascii="Arial" w:cs="Arial" w:eastAsia="Arial" w:hAnsi="Arial"/>
                <w:sz w:val="15"/>
                <w:szCs w:val="15"/>
                <w:b w:val="1"/>
                <w:bCs w:val="1"/>
                <w:color w:val="auto"/>
                <w:w w:val="87"/>
              </w:rPr>
              <w:t>1,271,254</w:t>
            </w:r>
          </w:p>
        </w:tc>
        <w:tc>
          <w:tcPr>
            <w:tcW w:w="200" w:type="dxa"/>
            <w:vAlign w:val="bottom"/>
            <w:tcBorders>
              <w:left w:val="single" w:sz="8" w:color="CCEEFF"/>
            </w:tcBorders>
            <w:shd w:val="clear" w:color="auto" w:fill="CCEEFF"/>
          </w:tcPr>
          <w:p>
            <w:pPr>
              <w:spacing w:after="0"/>
              <w:rPr>
                <w:sz w:val="16"/>
                <w:szCs w:val="16"/>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b w:val="1"/>
                <w:bCs w:val="1"/>
                <w:color w:val="auto"/>
              </w:rPr>
              <w:t>—</w:t>
            </w:r>
          </w:p>
        </w:tc>
        <w:tc>
          <w:tcPr>
            <w:tcW w:w="200" w:type="dxa"/>
            <w:vAlign w:val="bottom"/>
            <w:gridSpan w:val="2"/>
            <w:shd w:val="clear" w:color="auto" w:fill="CCEEFF"/>
          </w:tcPr>
          <w:p>
            <w:pPr>
              <w:spacing w:after="0"/>
              <w:rPr>
                <w:sz w:val="16"/>
                <w:szCs w:val="16"/>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w w:val="95"/>
              </w:rPr>
              <w:t>$ 1,616</w:t>
            </w:r>
          </w:p>
        </w:tc>
        <w:tc>
          <w:tcPr>
            <w:tcW w:w="40" w:type="dxa"/>
            <w:vAlign w:val="bottom"/>
            <w:shd w:val="clear" w:color="auto" w:fill="CCEEFF"/>
          </w:tcPr>
          <w:p>
            <w:pPr>
              <w:spacing w:after="0"/>
              <w:rPr>
                <w:sz w:val="16"/>
                <w:szCs w:val="16"/>
                <w:color w:val="auto"/>
              </w:rPr>
            </w:pP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5"/>
                <w:szCs w:val="15"/>
                <w:b w:val="1"/>
                <w:bCs w:val="1"/>
                <w:color w:val="auto"/>
                <w:w w:val="71"/>
              </w:rPr>
              <w:t>$</w:t>
            </w:r>
          </w:p>
        </w:tc>
        <w:tc>
          <w:tcPr>
            <w:tcW w:w="660" w:type="dxa"/>
            <w:vAlign w:val="bottom"/>
            <w:gridSpan w:val="3"/>
            <w:shd w:val="clear" w:color="auto" w:fill="CCEEFF"/>
          </w:tcPr>
          <w:p>
            <w:pPr>
              <w:ind w:left="300"/>
              <w:spacing w:after="0"/>
              <w:rPr>
                <w:sz w:val="20"/>
                <w:szCs w:val="20"/>
                <w:color w:val="auto"/>
              </w:rPr>
            </w:pPr>
            <w:r>
              <w:rPr>
                <w:rFonts w:ascii="Arial" w:cs="Arial" w:eastAsia="Arial" w:hAnsi="Arial"/>
                <w:sz w:val="15"/>
                <w:szCs w:val="15"/>
                <w:b w:val="1"/>
                <w:bCs w:val="1"/>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5"/>
                <w:szCs w:val="15"/>
                <w:b w:val="1"/>
                <w:bCs w:val="1"/>
                <w:color w:val="auto"/>
                <w:w w:val="95"/>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(81,139)</w:t>
            </w:r>
          </w:p>
        </w:tc>
        <w:tc>
          <w:tcPr>
            <w:tcW w:w="220" w:type="dxa"/>
            <w:vAlign w:val="bottom"/>
            <w:gridSpan w:val="2"/>
            <w:shd w:val="clear" w:color="auto" w:fill="CCEEFF"/>
          </w:tcPr>
          <w:p>
            <w:pPr>
              <w:jc w:val="right"/>
              <w:ind w:right="16"/>
              <w:spacing w:after="0"/>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5"/>
                <w:szCs w:val="15"/>
                <w:b w:val="1"/>
                <w:bCs w:val="1"/>
                <w:color w:val="auto"/>
                <w:w w:val="93"/>
              </w:rPr>
              <w:t>—</w:t>
            </w:r>
          </w:p>
        </w:tc>
        <w:tc>
          <w:tcPr>
            <w:tcW w:w="1040" w:type="dxa"/>
            <w:vAlign w:val="bottom"/>
            <w:tcBorders>
              <w:lef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1,191,731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F-51</w:t>
      </w:r>
    </w:p>
    <w:p>
      <w:pPr>
        <w:sectPr>
          <w:pgSz w:w="11900" w:h="16838" w:orient="portrait"/>
          <w:cols w:equalWidth="0" w:num="1">
            <w:col w:w="10820"/>
          </w:cols>
          <w:pgMar w:left="320" w:top="442" w:right="759" w:bottom="1440" w:gutter="0" w:footer="0" w:header="0"/>
        </w:sectPr>
      </w:pPr>
    </w:p>
    <w:bookmarkStart w:id="278" w:name="page279"/>
    <w:bookmarkEnd w:id="2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7"/>
              </w:rPr>
              <w:t>Six Months Ended June 30,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6"/>
              <w:spacing w:after="0" w:line="133"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6"/>
              <w:spacing w:after="0" w:line="13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40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Cash flows provided by (used in) operating activities:</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(25,527)</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(25,333)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741</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516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intangible assets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28,853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28,893</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Amortization of deferred contract costs</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1,902</w:t>
            </w:r>
          </w:p>
        </w:tc>
        <w:tc>
          <w:tcPr>
            <w:tcW w:w="1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589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Unit-based compensation</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Noncash paid in-kind interest expense</w:t>
            </w:r>
          </w:p>
        </w:tc>
        <w:tc>
          <w:tcPr>
            <w:tcW w:w="12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4,354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debt issuance costs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1,047</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Changes in fair value of contingent consideration</w:t>
            </w:r>
          </w:p>
        </w:tc>
        <w:tc>
          <w:tcPr>
            <w:tcW w:w="120" w:type="dxa"/>
            <w:vAlign w:val="bottom"/>
          </w:tcPr>
          <w:p>
            <w:pPr>
              <w:spacing w:after="0"/>
              <w:rPr>
                <w:sz w:val="17"/>
                <w:szCs w:val="17"/>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3,381</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(Recovery of) provision for doubtful accounts receivable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375</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receivable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10,476</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(614)</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contract costs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(6,042)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(2,572)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Accounts payable, accrued expenses and other liabilities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(2,119)</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(3,939)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7,927</w:t>
            </w:r>
          </w:p>
        </w:tc>
        <w:tc>
          <w:tcPr>
            <w:tcW w:w="4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420" w:type="dxa"/>
            <w:vAlign w:val="bottom"/>
            <w:gridSpan w:val="2"/>
          </w:tcPr>
          <w:p>
            <w:pPr>
              <w:spacing w:after="0"/>
              <w:rPr>
                <w:sz w:val="20"/>
                <w:szCs w:val="20"/>
                <w:color w:val="auto"/>
              </w:rPr>
            </w:pPr>
            <w:r>
              <w:rPr>
                <w:rFonts w:ascii="Arial" w:cs="Arial" w:eastAsia="Arial" w:hAnsi="Arial"/>
                <w:sz w:val="17"/>
                <w:szCs w:val="17"/>
                <w:color w:val="auto"/>
              </w:rPr>
              <w:t>Net cash provided by operating activities</w:t>
            </w: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21,941</w:t>
            </w: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13,749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used in investing activities:</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Purchases of property, equipment and other assets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(5,222)</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(5,222)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09"/>
        </w:trPr>
        <w:tc>
          <w:tcPr>
            <w:tcW w:w="8420" w:type="dxa"/>
            <w:vAlign w:val="bottom"/>
            <w:gridSpan w:val="2"/>
          </w:tcPr>
          <w:p>
            <w:pPr>
              <w:spacing w:after="0"/>
              <w:rPr>
                <w:sz w:val="20"/>
                <w:szCs w:val="20"/>
                <w:color w:val="auto"/>
              </w:rPr>
            </w:pPr>
            <w:r>
              <w:rPr>
                <w:rFonts w:ascii="Arial" w:cs="Arial" w:eastAsia="Arial" w:hAnsi="Arial"/>
                <w:sz w:val="17"/>
                <w:szCs w:val="17"/>
                <w:b w:val="1"/>
                <w:bCs w:val="1"/>
                <w:color w:val="auto"/>
              </w:rPr>
              <w:t>Cash flows (used in) provided by financing activities: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Revolving Line of Credit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Repayments on Term Loan and Delayed Draw Term Loan</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(2,340)</w:t>
            </w:r>
          </w:p>
        </w:tc>
        <w:tc>
          <w:tcPr>
            <w:tcW w:w="16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(2,250)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Payment of contingent consideration</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(1,500)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Payments of deferred IPO costs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7"/>
                <w:szCs w:val="17"/>
                <w:color w:val="auto"/>
              </w:rPr>
              <w:t>(1,394)</w:t>
            </w:r>
          </w:p>
        </w:tc>
        <w:tc>
          <w:tcPr>
            <w:tcW w:w="1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Distribution to members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(3,328)</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Members’ contributions</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5,500</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(3,062)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22,702</w:t>
            </w:r>
          </w:p>
        </w:tc>
        <w:tc>
          <w:tcPr>
            <w:tcW w:w="0" w:type="dxa"/>
            <w:vAlign w:val="bottom"/>
          </w:tcPr>
          <w:p>
            <w:pPr>
              <w:spacing w:after="0"/>
              <w:rPr>
                <w:sz w:val="1"/>
                <w:szCs w:val="1"/>
                <w:color w:val="auto"/>
              </w:rPr>
            </w:pPr>
          </w:p>
        </w:tc>
      </w:tr>
      <w:tr>
        <w:trPr>
          <w:trHeight w:val="209"/>
        </w:trPr>
        <w:tc>
          <w:tcPr>
            <w:tcW w:w="8420" w:type="dxa"/>
            <w:vAlign w:val="bottom"/>
            <w:gridSpan w:val="2"/>
          </w:tcPr>
          <w:p>
            <w:pPr>
              <w:spacing w:after="0"/>
              <w:rPr>
                <w:sz w:val="20"/>
                <w:szCs w:val="20"/>
                <w:color w:val="auto"/>
              </w:rPr>
            </w:pPr>
            <w:r>
              <w:rPr>
                <w:rFonts w:ascii="Arial" w:cs="Arial" w:eastAsia="Arial" w:hAnsi="Arial"/>
                <w:sz w:val="17"/>
                <w:szCs w:val="17"/>
                <w:color w:val="auto"/>
              </w:rPr>
              <w:t>Net increase in cash and cash equivalents</w:t>
            </w: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13,657</w:t>
            </w:r>
          </w:p>
        </w:tc>
        <w:tc>
          <w:tcPr>
            <w:tcW w:w="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Effect of exchange rate changes on cash and cash equivalents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400" w:type="dxa"/>
            <w:vAlign w:val="bottom"/>
          </w:tcPr>
          <w:p>
            <w:pPr>
              <w:ind w:left="320"/>
              <w:spacing w:after="0"/>
              <w:rPr>
                <w:sz w:val="20"/>
                <w:szCs w:val="20"/>
                <w:color w:val="auto"/>
              </w:rPr>
            </w:pPr>
            <w:r>
              <w:rPr>
                <w:rFonts w:ascii="Arial" w:cs="Arial" w:eastAsia="Arial" w:hAnsi="Arial"/>
                <w:sz w:val="17"/>
                <w:szCs w:val="17"/>
                <w:color w:val="auto"/>
              </w:rPr>
              <w:t>Cash and cash equivalents, beginning of period</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24,774</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38,438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44,174</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disclosures for cash flow information: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 paid during the period for:</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tcPr>
          <w:p>
            <w:pPr>
              <w:ind w:left="660"/>
              <w:spacing w:after="0"/>
              <w:rPr>
                <w:sz w:val="20"/>
                <w:szCs w:val="20"/>
                <w:color w:val="auto"/>
              </w:rPr>
            </w:pPr>
            <w:r>
              <w:rPr>
                <w:rFonts w:ascii="Arial" w:cs="Arial" w:eastAsia="Arial" w:hAnsi="Arial"/>
                <w:sz w:val="17"/>
                <w:szCs w:val="17"/>
                <w:color w:val="auto"/>
              </w:rPr>
              <w:t>Interest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15,972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13,886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4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Income taxes</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F-52</w:t>
      </w:r>
    </w:p>
    <w:p>
      <w:pPr>
        <w:sectPr>
          <w:pgSz w:w="11900" w:h="16838" w:orient="portrait"/>
          <w:cols w:equalWidth="0" w:num="1">
            <w:col w:w="10820"/>
          </w:cols>
          <w:pgMar w:left="320" w:top="442" w:right="759" w:bottom="1440" w:gutter="0" w:footer="0" w:header="0"/>
        </w:sectPr>
      </w:pPr>
    </w:p>
    <w:bookmarkStart w:id="279" w:name="page280"/>
    <w:bookmarkEnd w:id="2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4"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(amounts in thousands)</w:t>
      </w:r>
    </w:p>
    <w:p>
      <w:pPr>
        <w:spacing w:after="0" w:line="8" w:lineRule="exact"/>
        <w:rPr>
          <w:sz w:val="20"/>
          <w:szCs w:val="20"/>
          <w:color w:val="auto"/>
        </w:rPr>
      </w:pPr>
    </w:p>
    <w:p>
      <w:pPr>
        <w:jc w:val="center"/>
        <w:ind w:right="-419"/>
        <w:spacing w:after="0"/>
        <w:rPr>
          <w:sz w:val="20"/>
          <w:szCs w:val="20"/>
          <w:color w:val="auto"/>
        </w:rPr>
      </w:pPr>
      <w:r>
        <w:rPr>
          <w:rFonts w:ascii="Arial" w:cs="Arial" w:eastAsia="Arial" w:hAnsi="Arial"/>
          <w:sz w:val="17"/>
          <w:szCs w:val="17"/>
          <w:i w:val="1"/>
          <w:iCs w:val="1"/>
          <w:color w:val="auto"/>
        </w:rPr>
        <w:t>(Unaudited)</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822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4"/>
              <w:spacing w:after="0" w:line="133"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CCEEFF"/>
            </w:tcBorders>
          </w:tcPr>
          <w:p>
            <w:pPr>
              <w:spacing w:after="0"/>
              <w:rPr>
                <w:sz w:val="11"/>
                <w:szCs w:val="11"/>
                <w:color w:val="auto"/>
              </w:rPr>
            </w:pPr>
          </w:p>
        </w:tc>
        <w:tc>
          <w:tcPr>
            <w:tcW w:w="32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1"/>
              <w:spacing w:after="0" w:line="133"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1"/>
                <w:szCs w:val="11"/>
                <w:color w:val="auto"/>
              </w:rPr>
            </w:pPr>
          </w:p>
        </w:tc>
      </w:tr>
      <w:tr>
        <w:trPr>
          <w:trHeight w:val="184"/>
        </w:trPr>
        <w:tc>
          <w:tcPr>
            <w:tcW w:w="8220" w:type="dxa"/>
            <w:vAlign w:val="bottom"/>
            <w:shd w:val="clear" w:color="auto" w:fill="CCEEFF"/>
          </w:tcPr>
          <w:p>
            <w:pPr>
              <w:spacing w:after="0" w:line="184" w:lineRule="exact"/>
              <w:rPr>
                <w:sz w:val="20"/>
                <w:szCs w:val="20"/>
                <w:color w:val="auto"/>
              </w:rPr>
            </w:pPr>
            <w:r>
              <w:rPr>
                <w:rFonts w:ascii="Arial" w:cs="Arial" w:eastAsia="Arial" w:hAnsi="Arial"/>
                <w:sz w:val="17"/>
                <w:szCs w:val="17"/>
                <w:b w:val="1"/>
                <w:bCs w:val="1"/>
                <w:color w:val="auto"/>
              </w:rPr>
              <w:t>Supplemental noncash disclosures of investing activities:</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4"/>
        </w:trPr>
        <w:tc>
          <w:tcPr>
            <w:tcW w:w="8220" w:type="dxa"/>
            <w:vAlign w:val="bottom"/>
          </w:tcPr>
          <w:p>
            <w:pPr>
              <w:ind w:left="340"/>
              <w:spacing w:after="0"/>
              <w:rPr>
                <w:sz w:val="20"/>
                <w:szCs w:val="20"/>
                <w:color w:val="auto"/>
              </w:rPr>
            </w:pPr>
            <w:r>
              <w:rPr>
                <w:rFonts w:ascii="Arial" w:cs="Arial" w:eastAsia="Arial" w:hAnsi="Arial"/>
                <w:sz w:val="17"/>
                <w:szCs w:val="17"/>
                <w:color w:val="auto"/>
              </w:rPr>
              <w:t>Purchases of data within accounts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(3,389)</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0"/>
        </w:trPr>
        <w:tc>
          <w:tcPr>
            <w:tcW w:w="8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4"/>
        </w:trPr>
        <w:tc>
          <w:tcPr>
            <w:tcW w:w="82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Supplemental noncash disclosures of financing activities:</w:t>
            </w: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4"/>
        </w:trPr>
        <w:tc>
          <w:tcPr>
            <w:tcW w:w="8220" w:type="dxa"/>
            <w:vAlign w:val="bottom"/>
          </w:tcPr>
          <w:p>
            <w:pPr>
              <w:ind w:left="340"/>
              <w:spacing w:after="0"/>
              <w:rPr>
                <w:sz w:val="20"/>
                <w:szCs w:val="20"/>
                <w:color w:val="auto"/>
              </w:rPr>
            </w:pPr>
            <w:r>
              <w:rPr>
                <w:rFonts w:ascii="Arial" w:cs="Arial" w:eastAsia="Arial" w:hAnsi="Arial"/>
                <w:sz w:val="17"/>
                <w:szCs w:val="17"/>
                <w:color w:val="auto"/>
              </w:rPr>
              <w:t>Accrued expenditures of deferred IPO costs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2,426</w:t>
            </w:r>
          </w:p>
        </w:tc>
        <w:tc>
          <w:tcPr>
            <w:tcW w:w="36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w:t>
            </w:r>
          </w:p>
        </w:tc>
      </w:tr>
      <w:tr>
        <w:trPr>
          <w:trHeight w:val="20"/>
        </w:trPr>
        <w:tc>
          <w:tcPr>
            <w:tcW w:w="8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See notes to condensed consolidated financial statements</w:t>
      </w:r>
    </w:p>
    <w:p>
      <w:pPr>
        <w:spacing w:after="0" w:line="148"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F-53</w:t>
      </w:r>
    </w:p>
    <w:p>
      <w:pPr>
        <w:sectPr>
          <w:pgSz w:w="11900" w:h="16838" w:orient="portrait"/>
          <w:cols w:equalWidth="0" w:num="1">
            <w:col w:w="10820"/>
          </w:cols>
          <w:pgMar w:left="320" w:top="442" w:right="759" w:bottom="1440" w:gutter="0" w:footer="0" w:header="0"/>
        </w:sectPr>
      </w:pPr>
    </w:p>
    <w:bookmarkStart w:id="280" w:name="page281"/>
    <w:bookmarkEnd w:id="2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AIDH TOPCO, LLC</w:t>
      </w:r>
    </w:p>
    <w:p>
      <w:pPr>
        <w:spacing w:after="0" w:line="212" w:lineRule="exact"/>
        <w:rPr>
          <w:sz w:val="20"/>
          <w:szCs w:val="20"/>
          <w:color w:val="auto"/>
        </w:rPr>
      </w:pPr>
    </w:p>
    <w:p>
      <w:pPr>
        <w:ind w:left="2640"/>
        <w:spacing w:after="0"/>
        <w:rPr>
          <w:sz w:val="20"/>
          <w:szCs w:val="20"/>
          <w:color w:val="auto"/>
        </w:rPr>
      </w:pPr>
      <w:r>
        <w:rPr>
          <w:rFonts w:ascii="Arial" w:cs="Arial" w:eastAsia="Arial" w:hAnsi="Arial"/>
          <w:sz w:val="17"/>
          <w:szCs w:val="17"/>
          <w:b w:val="1"/>
          <w:bCs w:val="1"/>
          <w:color w:val="auto"/>
        </w:rPr>
        <w:t>NOTES TO THE CONDENSED CONSOLIDATED FINANCIAL STATEMENTS</w:t>
      </w:r>
    </w:p>
    <w:p>
      <w:pPr>
        <w:spacing w:after="0" w:line="237" w:lineRule="exact"/>
        <w:rPr>
          <w:sz w:val="20"/>
          <w:szCs w:val="20"/>
          <w:color w:val="auto"/>
        </w:rPr>
      </w:pPr>
    </w:p>
    <w:p>
      <w:pPr>
        <w:ind w:left="840" w:hanging="406"/>
        <w:spacing w:after="0"/>
        <w:tabs>
          <w:tab w:leader="none" w:pos="840" w:val="left"/>
        </w:tabs>
        <w:numPr>
          <w:ilvl w:val="0"/>
          <w:numId w:val="204"/>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w:t>
      </w:r>
    </w:p>
    <w:p>
      <w:pPr>
        <w:spacing w:after="0" w:line="114" w:lineRule="exact"/>
        <w:rPr>
          <w:sz w:val="20"/>
          <w:szCs w:val="20"/>
          <w:color w:val="auto"/>
        </w:rPr>
      </w:pPr>
    </w:p>
    <w:p>
      <w:pPr>
        <w:ind w:left="440" w:right="140" w:firstLine="415"/>
        <w:spacing w:after="0" w:line="255" w:lineRule="auto"/>
        <w:rPr>
          <w:sz w:val="20"/>
          <w:szCs w:val="20"/>
          <w:color w:val="auto"/>
        </w:rPr>
      </w:pPr>
      <w:r>
        <w:rPr>
          <w:rFonts w:ascii="Arial" w:cs="Arial" w:eastAsia="Arial" w:hAnsi="Arial"/>
          <w:sz w:val="17"/>
          <w:szCs w:val="17"/>
          <w:color w:val="auto"/>
        </w:rPr>
        <w:t>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w:t>
      </w:r>
    </w:p>
    <w:p>
      <w:pPr>
        <w:spacing w:after="0" w:line="183" w:lineRule="exact"/>
        <w:rPr>
          <w:sz w:val="20"/>
          <w:szCs w:val="20"/>
          <w:color w:val="auto"/>
        </w:rPr>
      </w:pPr>
    </w:p>
    <w:p>
      <w:pPr>
        <w:ind w:left="440" w:right="580" w:firstLine="415"/>
        <w:spacing w:after="0" w:line="306" w:lineRule="auto"/>
        <w:rPr>
          <w:sz w:val="20"/>
          <w:szCs w:val="20"/>
          <w:color w:val="auto"/>
        </w:rPr>
      </w:pPr>
      <w:r>
        <w:rPr>
          <w:rFonts w:ascii="Arial" w:cs="Arial" w:eastAsia="Arial" w:hAnsi="Arial"/>
          <w:sz w:val="16"/>
          <w:szCs w:val="16"/>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1" w:lineRule="exact"/>
        <w:rPr>
          <w:sz w:val="20"/>
          <w:szCs w:val="20"/>
          <w:color w:val="auto"/>
        </w:rPr>
      </w:pPr>
    </w:p>
    <w:p>
      <w:pPr>
        <w:ind w:left="440" w:right="340" w:firstLine="415"/>
        <w:spacing w:after="0" w:line="273" w:lineRule="auto"/>
        <w:rPr>
          <w:sz w:val="20"/>
          <w:szCs w:val="20"/>
          <w:color w:val="auto"/>
        </w:rPr>
      </w:pPr>
      <w:r>
        <w:rPr>
          <w:rFonts w:ascii="Arial" w:cs="Arial" w:eastAsia="Arial" w:hAnsi="Arial"/>
          <w:sz w:val="17"/>
          <w:szCs w:val="17"/>
          <w:color w:val="auto"/>
        </w:rPr>
        <w:t>The Company’s headquarters are located in Framingham, MA, with operations in three offices throughout the United States and one office in Sweden.</w:t>
      </w:r>
    </w:p>
    <w:p>
      <w:pPr>
        <w:spacing w:after="0" w:line="166"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On January 16, 2019, Definitive acquired substantially all of the assets and assumed substantially all of the liabilities of HIMSS Analytics, LLC (“HIMSS”).</w:t>
      </w:r>
    </w:p>
    <w:p>
      <w:pPr>
        <w:spacing w:after="0" w:line="166" w:lineRule="exact"/>
        <w:rPr>
          <w:sz w:val="20"/>
          <w:szCs w:val="20"/>
          <w:color w:val="auto"/>
        </w:rPr>
      </w:pPr>
    </w:p>
    <w:p>
      <w:pPr>
        <w:ind w:left="840" w:right="3140"/>
        <w:spacing w:after="0" w:line="273" w:lineRule="auto"/>
        <w:rPr>
          <w:sz w:val="20"/>
          <w:szCs w:val="20"/>
          <w:color w:val="auto"/>
        </w:rPr>
      </w:pPr>
      <w:r>
        <w:rPr>
          <w:rFonts w:ascii="Arial" w:cs="Arial" w:eastAsia="Arial" w:hAnsi="Arial"/>
          <w:sz w:val="17"/>
          <w:szCs w:val="17"/>
          <w:color w:val="auto"/>
        </w:rPr>
        <w:t>On December 2, 2019, the Company acquired all of the outstanding common and preferred stock of Healthcare Sales Enablement, Inc. (“HSE”).</w:t>
      </w:r>
    </w:p>
    <w:p>
      <w:pPr>
        <w:spacing w:after="0" w:line="166"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302" w:lineRule="exact"/>
        <w:rPr>
          <w:sz w:val="20"/>
          <w:szCs w:val="20"/>
          <w:color w:val="auto"/>
        </w:rPr>
      </w:pPr>
    </w:p>
    <w:p>
      <w:pPr>
        <w:ind w:left="840" w:right="6740" w:hanging="406"/>
        <w:spacing w:after="0" w:line="377" w:lineRule="auto"/>
        <w:tabs>
          <w:tab w:leader="none" w:pos="832" w:val="left"/>
        </w:tabs>
        <w:numPr>
          <w:ilvl w:val="0"/>
          <w:numId w:val="2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w:t>
      </w:r>
    </w:p>
    <w:p>
      <w:pPr>
        <w:ind w:left="440" w:firstLine="415"/>
        <w:spacing w:after="0" w:line="293"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(“GAAP”) and in conformity with rules applicable to quarterly financial information.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 The condensed consolidated financial statements as of June 30, 2021 and for the six months ended June 30, 2021 and June 30, 2020 are unaudited.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25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0"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color w:val="auto"/>
        </w:rPr>
        <w:t>The consolidated financial statements include the accounts of the Company and its consolidated subsidiaries. All significant intercompany accounts and transactions have been eliminated in consolidation.</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Use of Estimates in the Preparation of Financial Statements</w:t>
      </w:r>
    </w:p>
    <w:p>
      <w:pPr>
        <w:spacing w:after="0" w:line="110" w:lineRule="exact"/>
        <w:rPr>
          <w:sz w:val="20"/>
          <w:szCs w:val="20"/>
          <w:color w:val="auto"/>
        </w:rPr>
      </w:pPr>
    </w:p>
    <w:p>
      <w:pPr>
        <w:ind w:left="440" w:right="580" w:firstLine="415"/>
        <w:spacing w:after="0" w:line="273"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judgements, and assumptions that affect the reported amounts of assets and liabilities and</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F-54</w:t>
      </w:r>
    </w:p>
    <w:p>
      <w:pPr>
        <w:sectPr>
          <w:pgSz w:w="11900" w:h="16838" w:orient="portrait"/>
          <w:cols w:equalWidth="0" w:num="1">
            <w:col w:w="10760"/>
          </w:cols>
          <w:pgMar w:left="320" w:top="442" w:right="819" w:bottom="1440" w:gutter="0" w:footer="0" w:header="0"/>
        </w:sectPr>
      </w:pPr>
    </w:p>
    <w:bookmarkStart w:id="281" w:name="page282"/>
    <w:bookmarkEnd w:id="2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0"/>
        <w:spacing w:after="0" w:line="257" w:lineRule="auto"/>
        <w:rPr>
          <w:sz w:val="20"/>
          <w:szCs w:val="20"/>
          <w:color w:val="auto"/>
        </w:rPr>
      </w:pPr>
      <w:r>
        <w:rPr>
          <w:rFonts w:ascii="Arial" w:cs="Arial" w:eastAsia="Arial" w:hAnsi="Arial"/>
          <w:sz w:val="17"/>
          <w:szCs w:val="17"/>
          <w:color w:val="auto"/>
        </w:rPr>
        <w:t>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82"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0" w:lineRule="exact"/>
        <w:rPr>
          <w:sz w:val="20"/>
          <w:szCs w:val="20"/>
          <w:color w:val="auto"/>
        </w:rPr>
      </w:pPr>
    </w:p>
    <w:p>
      <w:pPr>
        <w:ind w:left="440" w:firstLine="415"/>
        <w:spacing w:after="0" w:line="312" w:lineRule="auto"/>
        <w:rPr>
          <w:sz w:val="20"/>
          <w:szCs w:val="20"/>
          <w:color w:val="auto"/>
        </w:rPr>
      </w:pPr>
      <w:r>
        <w:rPr>
          <w:rFonts w:ascii="Arial" w:cs="Arial" w:eastAsia="Arial" w:hAnsi="Arial"/>
          <w:sz w:val="15"/>
          <w:szCs w:val="15"/>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1"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The Company recognizes revenue in accordance with ASC 606–</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76"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76" w:lineRule="exact"/>
        <w:rPr>
          <w:sz w:val="20"/>
          <w:szCs w:val="20"/>
          <w:color w:val="auto"/>
        </w:rPr>
      </w:pPr>
    </w:p>
    <w:p>
      <w:pPr>
        <w:jc w:val="both"/>
        <w:ind w:left="440" w:right="180" w:firstLine="415"/>
        <w:spacing w:after="0" w:line="257" w:lineRule="auto"/>
        <w:rPr>
          <w:sz w:val="20"/>
          <w:szCs w:val="20"/>
          <w:color w:val="auto"/>
        </w:rPr>
      </w:pPr>
      <w:r>
        <w:rPr>
          <w:rFonts w:ascii="Arial" w:cs="Arial" w:eastAsia="Arial" w:hAnsi="Arial"/>
          <w:sz w:val="17"/>
          <w:szCs w:val="17"/>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0" w:lineRule="exact"/>
        <w:rPr>
          <w:sz w:val="20"/>
          <w:szCs w:val="20"/>
          <w:color w:val="auto"/>
        </w:rPr>
      </w:pPr>
    </w:p>
    <w:p>
      <w:pPr>
        <w:ind w:left="440" w:firstLine="415"/>
        <w:spacing w:after="0" w:line="257" w:lineRule="auto"/>
        <w:rPr>
          <w:sz w:val="20"/>
          <w:szCs w:val="20"/>
          <w:color w:val="auto"/>
        </w:rPr>
      </w:pPr>
      <w:r>
        <w:rPr>
          <w:rFonts w:ascii="Arial" w:cs="Arial" w:eastAsia="Arial" w:hAnsi="Arial"/>
          <w:sz w:val="17"/>
          <w:szCs w:val="17"/>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0" w:lineRule="exact"/>
        <w:rPr>
          <w:sz w:val="20"/>
          <w:szCs w:val="20"/>
          <w:color w:val="auto"/>
        </w:rPr>
      </w:pPr>
    </w:p>
    <w:p>
      <w:pPr>
        <w:ind w:left="440" w:firstLine="415"/>
        <w:spacing w:after="0" w:line="252" w:lineRule="auto"/>
        <w:rPr>
          <w:sz w:val="20"/>
          <w:szCs w:val="20"/>
          <w:color w:val="auto"/>
        </w:rPr>
      </w:pPr>
      <w:r>
        <w:rPr>
          <w:rFonts w:ascii="Arial" w:cs="Arial" w:eastAsia="Arial" w:hAnsi="Arial"/>
          <w:sz w:val="17"/>
          <w:szCs w:val="17"/>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88" w:lineRule="exact"/>
        <w:rPr>
          <w:sz w:val="20"/>
          <w:szCs w:val="20"/>
          <w:color w:val="auto"/>
        </w:rPr>
      </w:pPr>
    </w:p>
    <w:p>
      <w:pPr>
        <w:ind w:left="440" w:right="80" w:firstLine="415"/>
        <w:spacing w:after="0" w:line="257" w:lineRule="auto"/>
        <w:rPr>
          <w:sz w:val="20"/>
          <w:szCs w:val="20"/>
          <w:color w:val="auto"/>
        </w:rPr>
      </w:pPr>
      <w:r>
        <w:rPr>
          <w:rFonts w:ascii="Arial" w:cs="Arial" w:eastAsia="Arial" w:hAnsi="Arial"/>
          <w:sz w:val="17"/>
          <w:szCs w:val="17"/>
          <w:color w:val="auto"/>
        </w:rPr>
        <w:t>The Company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w:t>
      </w:r>
    </w:p>
    <w:p>
      <w:pPr>
        <w:spacing w:after="0" w:line="11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0780"/>
          </w:cols>
          <w:pgMar w:left="320" w:top="442" w:right="799" w:bottom="1440" w:gutter="0" w:footer="0" w:header="0"/>
        </w:sectPr>
      </w:pPr>
    </w:p>
    <w:bookmarkStart w:id="282" w:name="page283"/>
    <w:bookmarkEnd w:id="2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600"/>
        <w:spacing w:after="0" w:line="273" w:lineRule="auto"/>
        <w:rPr>
          <w:sz w:val="20"/>
          <w:szCs w:val="20"/>
          <w:color w:val="auto"/>
        </w:rPr>
      </w:pPr>
      <w:r>
        <w:rPr>
          <w:rFonts w:ascii="Arial" w:cs="Arial" w:eastAsia="Arial" w:hAnsi="Arial"/>
          <w:sz w:val="17"/>
          <w:szCs w:val="17"/>
          <w:color w:val="auto"/>
        </w:rPr>
        <w:t>of variable considerations at the expected value based on its assessment of legal enforceability, anticipated performance and a review of specific transactions, historical experience and market and economic conditions.</w:t>
      </w:r>
    </w:p>
    <w:p>
      <w:pPr>
        <w:spacing w:after="0" w:line="166" w:lineRule="exact"/>
        <w:rPr>
          <w:sz w:val="20"/>
          <w:szCs w:val="20"/>
          <w:color w:val="auto"/>
        </w:rPr>
      </w:pPr>
    </w:p>
    <w:p>
      <w:pPr>
        <w:ind w:left="440" w:right="120" w:firstLine="415"/>
        <w:spacing w:after="0" w:line="273" w:lineRule="auto"/>
        <w:rPr>
          <w:sz w:val="20"/>
          <w:szCs w:val="20"/>
          <w:color w:val="auto"/>
        </w:rPr>
      </w:pPr>
      <w:r>
        <w:rPr>
          <w:rFonts w:ascii="Arial" w:cs="Arial" w:eastAsia="Arial" w:hAnsi="Arial"/>
          <w:sz w:val="17"/>
          <w:szCs w:val="17"/>
          <w:color w:val="auto"/>
        </w:rPr>
        <w:t>The Company historically has not experienced any significant incidents that affected the defined levels of reliability and performance as required by the contracts.</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Level 1 - Observable inputs that reflect unadjusted quoted prices in active markets for identical assets or liabilities</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7"/>
          <w:szCs w:val="17"/>
          <w:color w:val="auto"/>
        </w:rPr>
        <w:t>Level 2 - Other inputs that are directly or indirectly observable in the marketplace</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Level 3 - Unobservable inputs that are supported by little or no market activity, including the Company’s own assumptions in determining fair</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value.</w:t>
      </w:r>
    </w:p>
    <w:p>
      <w:pPr>
        <w:spacing w:after="0" w:line="302"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Company considers all short-term, highly liquid investments with an original maturity of three months or less to be cash and cash equivalents.</w:t>
      </w:r>
    </w:p>
    <w:p>
      <w:pPr>
        <w:spacing w:after="0" w:line="33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Concentration of Credit Risk and Significant Customers</w:t>
      </w:r>
    </w:p>
    <w:p>
      <w:pPr>
        <w:spacing w:after="0" w:line="110" w:lineRule="exact"/>
        <w:rPr>
          <w:sz w:val="20"/>
          <w:szCs w:val="20"/>
          <w:color w:val="auto"/>
        </w:rPr>
      </w:pPr>
    </w:p>
    <w:p>
      <w:pPr>
        <w:ind w:left="440" w:right="40" w:firstLine="415"/>
        <w:spacing w:after="0" w:line="254"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83"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Concentrations of credit risk with respect to trade account receivables are limited due to the large number of customers comprising the Company’s customer base. No single customer accounted for more than 10% of total net sales in the six months ended June 30, 2021 or 2020, or total accounts receivable as of June 30, 2021, or December 31, 2020.</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Accounts Receivable, Net and Contract Assets</w:t>
      </w:r>
    </w:p>
    <w:p>
      <w:pPr>
        <w:spacing w:after="0" w:line="110" w:lineRule="exact"/>
        <w:rPr>
          <w:sz w:val="20"/>
          <w:szCs w:val="20"/>
          <w:color w:val="auto"/>
        </w:rPr>
      </w:pPr>
    </w:p>
    <w:p>
      <w:pPr>
        <w:ind w:left="440" w:right="340" w:firstLine="415"/>
        <w:spacing w:after="0" w:line="298" w:lineRule="auto"/>
        <w:rPr>
          <w:sz w:val="20"/>
          <w:szCs w:val="20"/>
          <w:color w:val="auto"/>
        </w:rPr>
      </w:pPr>
      <w:r>
        <w:rPr>
          <w:rFonts w:ascii="Arial" w:cs="Arial" w:eastAsia="Arial" w:hAnsi="Arial"/>
          <w:sz w:val="15"/>
          <w:szCs w:val="15"/>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June 30, 2021 and December 31, 2020, the allowance for doubtful accounts was $0.7 million and $0.9 million, respectively.</w:t>
      </w:r>
    </w:p>
    <w:p>
      <w:pPr>
        <w:spacing w:after="0" w:line="87"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F-56</w:t>
      </w:r>
    </w:p>
    <w:p>
      <w:pPr>
        <w:sectPr>
          <w:pgSz w:w="11900" w:h="16838" w:orient="portrait"/>
          <w:cols w:equalWidth="0" w:num="1">
            <w:col w:w="10800"/>
          </w:cols>
          <w:pgMar w:left="320" w:top="442" w:right="779" w:bottom="1440" w:gutter="0" w:footer="0" w:header="0"/>
        </w:sectPr>
      </w:pPr>
    </w:p>
    <w:bookmarkStart w:id="283" w:name="page284"/>
    <w:bookmarkEnd w:id="2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80" w:firstLine="415"/>
        <w:spacing w:after="0" w:line="279" w:lineRule="auto"/>
        <w:rPr>
          <w:sz w:val="20"/>
          <w:szCs w:val="20"/>
          <w:color w:val="auto"/>
        </w:rPr>
      </w:pPr>
      <w:r>
        <w:rPr>
          <w:rFonts w:ascii="Arial" w:cs="Arial" w:eastAsia="Arial" w:hAnsi="Arial"/>
          <w:sz w:val="16"/>
          <w:szCs w:val="16"/>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10" w:lineRule="exact"/>
        <w:rPr>
          <w:sz w:val="20"/>
          <w:szCs w:val="20"/>
          <w:color w:val="auto"/>
        </w:rPr>
      </w:pPr>
    </w:p>
    <w:p>
      <w:pPr>
        <w:ind w:left="440" w:right="40" w:firstLine="415"/>
        <w:spacing w:after="0" w:line="257" w:lineRule="auto"/>
        <w:rPr>
          <w:sz w:val="20"/>
          <w:szCs w:val="20"/>
          <w:color w:val="auto"/>
        </w:rPr>
      </w:pPr>
      <w:r>
        <w:rPr>
          <w:rFonts w:ascii="Arial" w:cs="Arial" w:eastAsia="Arial" w:hAnsi="Arial"/>
          <w:sz w:val="17"/>
          <w:szCs w:val="17"/>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0"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 basis over 2 years, which reflects the average renewal period. Renewal contracts with a term of one year or less are expensed.</w:t>
      </w:r>
    </w:p>
    <w:p>
      <w:pPr>
        <w:spacing w:after="0" w:line="149" w:lineRule="exact"/>
        <w:rPr>
          <w:sz w:val="20"/>
          <w:szCs w:val="20"/>
          <w:color w:val="auto"/>
        </w:rPr>
      </w:pPr>
    </w:p>
    <w:p>
      <w:pPr>
        <w:ind w:left="440" w:right="40" w:firstLine="415"/>
        <w:spacing w:after="0" w:line="272" w:lineRule="auto"/>
        <w:rPr>
          <w:sz w:val="20"/>
          <w:szCs w:val="20"/>
          <w:color w:val="auto"/>
        </w:rPr>
      </w:pPr>
      <w:r>
        <w:rPr>
          <w:rFonts w:ascii="Arial" w:cs="Arial" w:eastAsia="Arial" w:hAnsi="Arial"/>
          <w:sz w:val="16"/>
          <w:szCs w:val="16"/>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 Costs capitalized to obtain a revenue contract, net on the Company’s consolidated balance sheets totaled $13.0 million and $8.9 million at June 30, 2021 and December 31, 2020, respectively and are included in current portion of deferred contract costs ($4.5 million and $2.9 million, as of June 30, 2021 and December 31, 2020, respectively) and deferred contract costs, net of current portion ($8.5 million and $6.0 million, as of June 30, 2021 and December 31, 2020, respectively) in the accompanying condensed consolidated balance sheets. There were no impairments of costs to obtain revenue contracts in the six months ended June 2021, and 2020.</w:t>
      </w:r>
    </w:p>
    <w:p>
      <w:pPr>
        <w:spacing w:after="0" w:line="270"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10" w:lineRule="exact"/>
        <w:rPr>
          <w:sz w:val="20"/>
          <w:szCs w:val="20"/>
          <w:color w:val="auto"/>
        </w:rPr>
      </w:pPr>
    </w:p>
    <w:p>
      <w:pPr>
        <w:ind w:left="440" w:right="280" w:firstLine="415"/>
        <w:spacing w:after="0" w:line="273" w:lineRule="auto"/>
        <w:rPr>
          <w:sz w:val="20"/>
          <w:szCs w:val="20"/>
          <w:color w:val="auto"/>
        </w:rPr>
      </w:pPr>
      <w:r>
        <w:rPr>
          <w:rFonts w:ascii="Arial" w:cs="Arial" w:eastAsia="Arial" w:hAnsi="Arial"/>
          <w:sz w:val="17"/>
          <w:szCs w:val="17"/>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0800"/>
          </w:cols>
          <w:pgMar w:left="320" w:top="442" w:right="779" w:bottom="1440" w:gutter="0" w:footer="0" w:header="0"/>
        </w:sectPr>
      </w:pP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Furniture and equipment</w:t>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Computers and software</w:t>
      </w:r>
    </w:p>
    <w:p>
      <w:pPr>
        <w:spacing w:after="0" w:line="31"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Leasehold improvements</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 to 5 years</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Lesser of the asset life or lease term</w:t>
      </w:r>
    </w:p>
    <w:p>
      <w:pPr>
        <w:spacing w:after="0" w:line="200" w:lineRule="exact"/>
        <w:rPr>
          <w:sz w:val="20"/>
          <w:szCs w:val="20"/>
          <w:color w:val="auto"/>
        </w:rPr>
      </w:pPr>
    </w:p>
    <w:p>
      <w:pPr>
        <w:sectPr>
          <w:pgSz w:w="11900" w:h="16838" w:orient="portrait"/>
          <w:cols w:equalWidth="0" w:num="2">
            <w:col w:w="5260" w:space="720"/>
            <w:col w:w="4820"/>
          </w:cols>
          <w:pgMar w:left="320" w:top="442" w:right="779" w:bottom="1440" w:gutter="0" w:footer="0" w:header="0"/>
          <w:type w:val="continuous"/>
        </w:sectPr>
      </w:pPr>
    </w:p>
    <w:p>
      <w:pPr>
        <w:spacing w:after="0" w:line="23" w:lineRule="exact"/>
        <w:rPr>
          <w:sz w:val="20"/>
          <w:szCs w:val="20"/>
          <w:color w:val="auto"/>
        </w:rPr>
      </w:pPr>
    </w:p>
    <w:p>
      <w:pPr>
        <w:jc w:val="both"/>
        <w:ind w:left="440" w:right="200" w:firstLine="415"/>
        <w:spacing w:after="0" w:line="261" w:lineRule="auto"/>
        <w:rPr>
          <w:sz w:val="20"/>
          <w:szCs w:val="20"/>
          <w:color w:val="auto"/>
        </w:rPr>
      </w:pPr>
      <w:r>
        <w:rPr>
          <w:rFonts w:ascii="Arial" w:cs="Arial" w:eastAsia="Arial" w:hAnsi="Arial"/>
          <w:sz w:val="17"/>
          <w:szCs w:val="17"/>
          <w:color w:val="auto"/>
        </w:rPr>
        <w:t>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Advertising and Promotional Expenses</w:t>
      </w:r>
    </w:p>
    <w:p>
      <w:pPr>
        <w:spacing w:after="0" w:line="110"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Company expenses advertising costs as incurred in accordance with ASC 720—</w:t>
      </w:r>
      <w:r>
        <w:rPr>
          <w:rFonts w:ascii="Arial" w:cs="Arial" w:eastAsia="Arial" w:hAnsi="Arial"/>
          <w:sz w:val="17"/>
          <w:szCs w:val="17"/>
          <w:i w:val="1"/>
          <w:iCs w:val="1"/>
          <w:color w:val="auto"/>
        </w:rPr>
        <w:t>Other Expenses – Advertising Cost</w:t>
      </w:r>
      <w:r>
        <w:rPr>
          <w:rFonts w:ascii="Arial" w:cs="Arial" w:eastAsia="Arial" w:hAnsi="Arial"/>
          <w:sz w:val="17"/>
          <w:szCs w:val="17"/>
          <w:color w:val="auto"/>
        </w:rPr>
        <w:t>. Advertising expenses of $0.4 million and $0.3 million for the six months ended June 30, 2021 and 2020, respectively, are included in sales and marketing on the consolidated statements of operations.</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F-57</w:t>
      </w:r>
    </w:p>
    <w:p>
      <w:pPr>
        <w:sectPr>
          <w:pgSz w:w="11900" w:h="16838" w:orient="portrait"/>
          <w:cols w:equalWidth="0" w:num="1">
            <w:col w:w="10800"/>
          </w:cols>
          <w:pgMar w:left="320" w:top="442" w:right="779" w:bottom="1440" w:gutter="0" w:footer="0" w:header="0"/>
          <w:type w:val="continuous"/>
        </w:sectPr>
      </w:pPr>
    </w:p>
    <w:bookmarkStart w:id="284" w:name="page285"/>
    <w:bookmarkEnd w:id="2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110" w:lineRule="exact"/>
        <w:rPr>
          <w:sz w:val="20"/>
          <w:szCs w:val="20"/>
          <w:color w:val="auto"/>
        </w:rPr>
      </w:pPr>
    </w:p>
    <w:p>
      <w:pPr>
        <w:jc w:val="both"/>
        <w:ind w:left="440" w:right="120" w:firstLine="415"/>
        <w:spacing w:after="0" w:line="298" w:lineRule="auto"/>
        <w:rPr>
          <w:sz w:val="20"/>
          <w:szCs w:val="20"/>
          <w:color w:val="auto"/>
        </w:rPr>
      </w:pPr>
      <w:r>
        <w:rPr>
          <w:rFonts w:ascii="Arial" w:cs="Arial" w:eastAsia="Arial" w:hAnsi="Arial"/>
          <w:sz w:val="15"/>
          <w:szCs w:val="15"/>
          <w:color w:val="auto"/>
        </w:rPr>
        <w:t xml:space="preserve">The Company accounts for its software development costs in accordance with the guidance set forth in ASC 350-40, </w:t>
      </w:r>
      <w:r>
        <w:rPr>
          <w:rFonts w:ascii="Arial" w:cs="Arial" w:eastAsia="Arial" w:hAnsi="Arial"/>
          <w:sz w:val="15"/>
          <w:szCs w:val="15"/>
          <w:i w:val="1"/>
          <w:iCs w:val="1"/>
          <w:color w:val="auto"/>
        </w:rPr>
        <w:t>Intangibles – Goodwill and</w:t>
      </w:r>
      <w:r>
        <w:rPr>
          <w:rFonts w:ascii="Arial" w:cs="Arial" w:eastAsia="Arial" w:hAnsi="Arial"/>
          <w:sz w:val="15"/>
          <w:szCs w:val="15"/>
          <w:color w:val="auto"/>
        </w:rPr>
        <w:t xml:space="preserve"> </w:t>
      </w:r>
      <w:r>
        <w:rPr>
          <w:rFonts w:ascii="Arial" w:cs="Arial" w:eastAsia="Arial" w:hAnsi="Arial"/>
          <w:sz w:val="15"/>
          <w:szCs w:val="15"/>
          <w:i w:val="1"/>
          <w:iCs w:val="1"/>
          <w:color w:val="auto"/>
        </w:rPr>
        <w:t>Other – Internal Use Software</w:t>
      </w:r>
      <w:r>
        <w:rPr>
          <w:rFonts w:ascii="Arial" w:cs="Arial" w:eastAsia="Arial" w:hAnsi="Arial"/>
          <w:sz w:val="15"/>
          <w:szCs w:val="15"/>
          <w:color w:val="auto"/>
        </w:rPr>
        <w:t>. The Company capitalizes costs to develop software for internal use incurred during the application development stage.</w:t>
      </w:r>
      <w:r>
        <w:rPr>
          <w:rFonts w:ascii="Arial" w:cs="Arial" w:eastAsia="Arial" w:hAnsi="Arial"/>
          <w:sz w:val="15"/>
          <w:szCs w:val="15"/>
          <w:i w:val="1"/>
          <w:iCs w:val="1"/>
          <w:color w:val="auto"/>
        </w:rPr>
        <w:t xml:space="preserve"> </w:t>
      </w:r>
      <w:r>
        <w:rPr>
          <w:rFonts w:ascii="Arial" w:cs="Arial" w:eastAsia="Arial" w:hAnsi="Arial"/>
          <w:sz w:val="15"/>
          <w:szCs w:val="15"/>
          <w:color w:val="auto"/>
        </w:rPr>
        <w:t>Costs related to preliminary project activities and post implementation activities are expensed as incurred. Capitalized costs of $0.5 million for the six months ended June 30, 2021 are included in property and equipment, net. No capitalized costs were included in property and equipment, net during the six months ended June 30, 2020. Software development costs are amortized over a period of 5 years once in service.</w:t>
      </w:r>
    </w:p>
    <w:p>
      <w:pPr>
        <w:spacing w:after="0" w:line="252"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80" w:firstLine="415"/>
        <w:spacing w:after="0" w:line="290" w:lineRule="auto"/>
        <w:rPr>
          <w:sz w:val="20"/>
          <w:szCs w:val="20"/>
          <w:color w:val="auto"/>
        </w:rPr>
      </w:pPr>
      <w:r>
        <w:rPr>
          <w:rFonts w:ascii="Arial" w:cs="Arial" w:eastAsia="Arial" w:hAnsi="Arial"/>
          <w:sz w:val="15"/>
          <w:szCs w:val="15"/>
          <w:color w:val="auto"/>
        </w:rPr>
        <w:t xml:space="preserve">The Company accounts for business combinations using the acquisition method in accordance with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59" w:lineRule="exact"/>
        <w:rPr>
          <w:sz w:val="20"/>
          <w:szCs w:val="20"/>
          <w:color w:val="auto"/>
        </w:rPr>
      </w:pPr>
    </w:p>
    <w:p>
      <w:pPr>
        <w:ind w:left="440" w:right="180" w:firstLine="415"/>
        <w:spacing w:after="0" w:line="255" w:lineRule="auto"/>
        <w:rPr>
          <w:sz w:val="20"/>
          <w:szCs w:val="20"/>
          <w:color w:val="auto"/>
        </w:rPr>
      </w:pPr>
      <w:r>
        <w:rPr>
          <w:rFonts w:ascii="Arial" w:cs="Arial" w:eastAsia="Arial" w:hAnsi="Arial"/>
          <w:sz w:val="17"/>
          <w:szCs w:val="17"/>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3" w:lineRule="exact"/>
        <w:rPr>
          <w:sz w:val="20"/>
          <w:szCs w:val="20"/>
          <w:color w:val="auto"/>
        </w:rPr>
      </w:pPr>
    </w:p>
    <w:p>
      <w:pPr>
        <w:ind w:left="440" w:firstLine="415"/>
        <w:spacing w:after="0" w:line="302" w:lineRule="auto"/>
        <w:rPr>
          <w:sz w:val="20"/>
          <w:szCs w:val="20"/>
          <w:color w:val="auto"/>
        </w:rPr>
      </w:pPr>
      <w:r>
        <w:rPr>
          <w:rFonts w:ascii="Arial" w:cs="Arial" w:eastAsia="Arial" w:hAnsi="Arial"/>
          <w:sz w:val="15"/>
          <w:szCs w:val="15"/>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49" w:lineRule="exact"/>
        <w:rPr>
          <w:sz w:val="20"/>
          <w:szCs w:val="20"/>
          <w:color w:val="auto"/>
        </w:rPr>
      </w:pPr>
    </w:p>
    <w:p>
      <w:pPr>
        <w:ind w:left="440" w:right="180" w:firstLine="415"/>
        <w:spacing w:after="0" w:line="261" w:lineRule="auto"/>
        <w:rPr>
          <w:sz w:val="20"/>
          <w:szCs w:val="20"/>
          <w:color w:val="auto"/>
        </w:rPr>
      </w:pPr>
      <w:r>
        <w:rPr>
          <w:rFonts w:ascii="Arial" w:cs="Arial" w:eastAsia="Arial" w:hAnsi="Arial"/>
          <w:sz w:val="17"/>
          <w:szCs w:val="17"/>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110" w:lineRule="exact"/>
        <w:rPr>
          <w:sz w:val="20"/>
          <w:szCs w:val="20"/>
          <w:color w:val="auto"/>
        </w:rPr>
      </w:pPr>
    </w:p>
    <w:p>
      <w:pPr>
        <w:jc w:val="both"/>
        <w:ind w:left="440" w:firstLine="415"/>
        <w:spacing w:after="0" w:line="261" w:lineRule="auto"/>
        <w:rPr>
          <w:sz w:val="20"/>
          <w:szCs w:val="20"/>
          <w:color w:val="auto"/>
        </w:rPr>
      </w:pPr>
      <w:r>
        <w:rPr>
          <w:rFonts w:ascii="Arial" w:cs="Arial" w:eastAsia="Arial" w:hAnsi="Arial"/>
          <w:sz w:val="17"/>
          <w:szCs w:val="17"/>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F-58</w:t>
      </w:r>
    </w:p>
    <w:p>
      <w:pPr>
        <w:sectPr>
          <w:pgSz w:w="11900" w:h="16838" w:orient="portrait"/>
          <w:cols w:equalWidth="0" w:num="1">
            <w:col w:w="10800"/>
          </w:cols>
          <w:pgMar w:left="320" w:top="442" w:right="779" w:bottom="1440" w:gutter="0" w:footer="0" w:header="0"/>
        </w:sectPr>
      </w:pPr>
    </w:p>
    <w:bookmarkStart w:id="285" w:name="page286"/>
    <w:bookmarkEnd w:id="2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1" w:lineRule="auto"/>
        <w:rPr>
          <w:sz w:val="20"/>
          <w:szCs w:val="20"/>
          <w:color w:val="auto"/>
        </w:rPr>
      </w:pPr>
      <w:r>
        <w:rPr>
          <w:rFonts w:ascii="Arial" w:cs="Arial" w:eastAsia="Arial" w:hAnsi="Arial"/>
          <w:sz w:val="15"/>
          <w:szCs w:val="15"/>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59"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Customer relationships</w:t>
            </w:r>
          </w:p>
        </w:tc>
        <w:tc>
          <w:tcPr>
            <w:tcW w:w="1940" w:type="dxa"/>
            <w:vAlign w:val="bottom"/>
          </w:tcPr>
          <w:p>
            <w:pPr>
              <w:jc w:val="right"/>
              <w:spacing w:after="0"/>
              <w:rPr>
                <w:sz w:val="20"/>
                <w:szCs w:val="20"/>
                <w:color w:val="auto"/>
              </w:rPr>
            </w:pPr>
            <w:r>
              <w:rPr>
                <w:rFonts w:ascii="Arial" w:cs="Arial" w:eastAsia="Arial" w:hAnsi="Arial"/>
                <w:sz w:val="17"/>
                <w:szCs w:val="17"/>
                <w:color w:val="auto"/>
              </w:rPr>
              <w:t>14</w:t>
            </w:r>
          </w:p>
        </w:tc>
        <w:tc>
          <w:tcPr>
            <w:tcW w:w="720" w:type="dxa"/>
            <w:vAlign w:val="bottom"/>
          </w:tcPr>
          <w:p>
            <w:pPr>
              <w:ind w:left="20"/>
              <w:spacing w:after="0"/>
              <w:rPr>
                <w:sz w:val="20"/>
                <w:szCs w:val="20"/>
                <w:color w:val="auto"/>
              </w:rPr>
            </w:pPr>
            <w:r>
              <w:rPr>
                <w:rFonts w:ascii="Arial" w:cs="Arial" w:eastAsia="Arial" w:hAnsi="Arial"/>
                <w:sz w:val="17"/>
                <w:szCs w:val="17"/>
                <w:color w:val="auto"/>
                <w:w w:val="85"/>
              </w:rPr>
              <w:t>– 15 years</w:t>
            </w:r>
          </w:p>
        </w:tc>
      </w:t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Technology</w:t>
            </w:r>
          </w:p>
        </w:tc>
        <w:tc>
          <w:tcPr>
            <w:tcW w:w="1940" w:type="dxa"/>
            <w:vAlign w:val="bottom"/>
          </w:tcPr>
          <w:p>
            <w:pPr>
              <w:jc w:val="right"/>
              <w:spacing w:after="0"/>
              <w:rPr>
                <w:sz w:val="20"/>
                <w:szCs w:val="20"/>
                <w:color w:val="auto"/>
              </w:rPr>
            </w:pPr>
            <w:r>
              <w:rPr>
                <w:rFonts w:ascii="Arial" w:cs="Arial" w:eastAsia="Arial" w:hAnsi="Arial"/>
                <w:sz w:val="17"/>
                <w:szCs w:val="17"/>
                <w:color w:val="auto"/>
              </w:rPr>
              <w:t>7</w:t>
            </w:r>
          </w:p>
        </w:tc>
        <w:tc>
          <w:tcPr>
            <w:tcW w:w="720" w:type="dxa"/>
            <w:vAlign w:val="bottom"/>
          </w:tcPr>
          <w:p>
            <w:pPr>
              <w:ind w:left="20"/>
              <w:spacing w:after="0"/>
              <w:rPr>
                <w:sz w:val="20"/>
                <w:szCs w:val="20"/>
                <w:color w:val="auto"/>
              </w:rPr>
            </w:pPr>
            <w:r>
              <w:rPr>
                <w:rFonts w:ascii="Arial" w:cs="Arial" w:eastAsia="Arial" w:hAnsi="Arial"/>
                <w:sz w:val="17"/>
                <w:szCs w:val="17"/>
                <w:color w:val="auto"/>
                <w:w w:val="97"/>
              </w:rPr>
              <w:t>– 8 years</w:t>
            </w:r>
          </w:p>
        </w:tc>
      </w:tr>
      <w:tr>
        <w:trPr>
          <w:trHeight w:val="204"/>
        </w:trPr>
        <w:tc>
          <w:tcPr>
            <w:tcW w:w="3400" w:type="dxa"/>
            <w:vAlign w:val="bottom"/>
          </w:tcPr>
          <w:p>
            <w:pPr>
              <w:spacing w:after="0"/>
              <w:rPr>
                <w:sz w:val="20"/>
                <w:szCs w:val="20"/>
                <w:color w:val="auto"/>
              </w:rPr>
            </w:pPr>
            <w:r>
              <w:rPr>
                <w:rFonts w:ascii="Arial" w:cs="Arial" w:eastAsia="Arial" w:hAnsi="Arial"/>
                <w:sz w:val="17"/>
                <w:szCs w:val="17"/>
                <w:color w:val="auto"/>
              </w:rPr>
              <w:t>Tradenames / trademark</w:t>
            </w:r>
          </w:p>
        </w:tc>
        <w:tc>
          <w:tcPr>
            <w:tcW w:w="1940" w:type="dxa"/>
            <w:vAlign w:val="bottom"/>
          </w:tcPr>
          <w:p>
            <w:pPr>
              <w:jc w:val="right"/>
              <w:spacing w:after="0"/>
              <w:rPr>
                <w:sz w:val="20"/>
                <w:szCs w:val="20"/>
                <w:color w:val="auto"/>
              </w:rPr>
            </w:pPr>
            <w:r>
              <w:rPr>
                <w:rFonts w:ascii="Arial" w:cs="Arial" w:eastAsia="Arial" w:hAnsi="Arial"/>
                <w:sz w:val="17"/>
                <w:szCs w:val="17"/>
                <w:color w:val="auto"/>
              </w:rPr>
              <w:t>17</w:t>
            </w:r>
          </w:p>
        </w:tc>
        <w:tc>
          <w:tcPr>
            <w:tcW w:w="720" w:type="dxa"/>
            <w:vAlign w:val="bottom"/>
          </w:tcPr>
          <w:p>
            <w:pPr>
              <w:ind w:left="20"/>
              <w:spacing w:after="0"/>
              <w:rPr>
                <w:sz w:val="20"/>
                <w:szCs w:val="20"/>
                <w:color w:val="auto"/>
              </w:rPr>
            </w:pPr>
            <w:r>
              <w:rPr>
                <w:rFonts w:ascii="Arial" w:cs="Arial" w:eastAsia="Arial" w:hAnsi="Arial"/>
                <w:sz w:val="17"/>
                <w:szCs w:val="17"/>
                <w:color w:val="auto"/>
                <w:w w:val="85"/>
              </w:rPr>
              <w:t>– 19 years</w:t>
            </w:r>
          </w:p>
        </w:tc>
      </w:tr>
      <w:tr>
        <w:trPr>
          <w:trHeight w:val="215"/>
        </w:trPr>
        <w:tc>
          <w:tcPr>
            <w:tcW w:w="3400" w:type="dxa"/>
            <w:vAlign w:val="bottom"/>
          </w:tcPr>
          <w:p>
            <w:pPr>
              <w:spacing w:after="0"/>
              <w:rPr>
                <w:sz w:val="20"/>
                <w:szCs w:val="20"/>
                <w:color w:val="auto"/>
              </w:rPr>
            </w:pPr>
            <w:r>
              <w:rPr>
                <w:rFonts w:ascii="Arial" w:cs="Arial" w:eastAsia="Arial" w:hAnsi="Arial"/>
                <w:sz w:val="17"/>
                <w:szCs w:val="17"/>
                <w:color w:val="auto"/>
              </w:rPr>
              <w:t>Data</w:t>
            </w:r>
          </w:p>
        </w:tc>
        <w:tc>
          <w:tcPr>
            <w:tcW w:w="1940" w:type="dxa"/>
            <w:vAlign w:val="bottom"/>
          </w:tcPr>
          <w:p>
            <w:pPr>
              <w:jc w:val="right"/>
              <w:spacing w:after="0"/>
              <w:rPr>
                <w:sz w:val="20"/>
                <w:szCs w:val="20"/>
                <w:color w:val="auto"/>
              </w:rPr>
            </w:pPr>
            <w:r>
              <w:rPr>
                <w:rFonts w:ascii="Arial" w:cs="Arial" w:eastAsia="Arial" w:hAnsi="Arial"/>
                <w:sz w:val="17"/>
                <w:szCs w:val="17"/>
                <w:color w:val="auto"/>
              </w:rPr>
              <w:t>1</w:t>
            </w:r>
          </w:p>
        </w:tc>
        <w:tc>
          <w:tcPr>
            <w:tcW w:w="720" w:type="dxa"/>
            <w:vAlign w:val="bottom"/>
          </w:tcPr>
          <w:p>
            <w:pPr>
              <w:ind w:left="20"/>
              <w:spacing w:after="0"/>
              <w:rPr>
                <w:sz w:val="20"/>
                <w:szCs w:val="20"/>
                <w:color w:val="auto"/>
              </w:rPr>
            </w:pPr>
            <w:r>
              <w:rPr>
                <w:rFonts w:ascii="Arial" w:cs="Arial" w:eastAsia="Arial" w:hAnsi="Arial"/>
                <w:sz w:val="17"/>
                <w:szCs w:val="17"/>
                <w:color w:val="auto"/>
                <w:w w:val="97"/>
              </w:rPr>
              <w:t>– 4 years</w:t>
            </w:r>
          </w:p>
        </w:tc>
      </w:tr>
    </w:tbl>
    <w:p>
      <w:pPr>
        <w:spacing w:after="0" w:line="29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10" w:lineRule="exact"/>
        <w:rPr>
          <w:sz w:val="20"/>
          <w:szCs w:val="20"/>
          <w:color w:val="auto"/>
        </w:rPr>
      </w:pPr>
    </w:p>
    <w:p>
      <w:pPr>
        <w:ind w:left="440" w:right="120" w:firstLine="415"/>
        <w:spacing w:after="0" w:line="302" w:lineRule="auto"/>
        <w:rPr>
          <w:sz w:val="20"/>
          <w:szCs w:val="20"/>
          <w:color w:val="auto"/>
        </w:rPr>
      </w:pPr>
      <w:r>
        <w:rPr>
          <w:rFonts w:ascii="Arial" w:cs="Arial" w:eastAsia="Arial" w:hAnsi="Arial"/>
          <w:sz w:val="15"/>
          <w:szCs w:val="15"/>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5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Revenue</w:t>
      </w:r>
    </w:p>
    <w:p>
      <w:pPr>
        <w:spacing w:after="0" w:line="110" w:lineRule="exact"/>
        <w:rPr>
          <w:sz w:val="20"/>
          <w:szCs w:val="20"/>
          <w:color w:val="auto"/>
        </w:rPr>
      </w:pPr>
    </w:p>
    <w:p>
      <w:pPr>
        <w:jc w:val="both"/>
        <w:ind w:left="440" w:right="60" w:firstLine="415"/>
        <w:spacing w:after="0" w:line="312" w:lineRule="auto"/>
        <w:rPr>
          <w:sz w:val="20"/>
          <w:szCs w:val="20"/>
          <w:color w:val="auto"/>
        </w:rPr>
      </w:pPr>
      <w:r>
        <w:rPr>
          <w:rFonts w:ascii="Arial" w:cs="Arial" w:eastAsia="Arial" w:hAnsi="Arial"/>
          <w:sz w:val="15"/>
          <w:szCs w:val="15"/>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4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Debt Issuance Costs</w:t>
      </w:r>
    </w:p>
    <w:p>
      <w:pPr>
        <w:spacing w:after="0" w:line="110" w:lineRule="exact"/>
        <w:rPr>
          <w:sz w:val="20"/>
          <w:szCs w:val="20"/>
          <w:color w:val="auto"/>
        </w:rPr>
      </w:pPr>
    </w:p>
    <w:p>
      <w:pPr>
        <w:ind w:left="440" w:right="20" w:firstLine="415"/>
        <w:spacing w:after="0" w:line="270" w:lineRule="auto"/>
        <w:rPr>
          <w:sz w:val="20"/>
          <w:szCs w:val="20"/>
          <w:color w:val="auto"/>
        </w:rPr>
      </w:pPr>
      <w:r>
        <w:rPr>
          <w:rFonts w:ascii="Arial" w:cs="Arial" w:eastAsia="Arial" w:hAnsi="Arial"/>
          <w:sz w:val="16"/>
          <w:szCs w:val="16"/>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June 30, 2021 and December 31, 2020, the Company had $9.9 million and $10.9 million, respectively, of unamortized deferred financing costs related to its non-revolving credit facilities.</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F-59</w:t>
      </w:r>
    </w:p>
    <w:p>
      <w:pPr>
        <w:sectPr>
          <w:pgSz w:w="11900" w:h="16838" w:orient="portrait"/>
          <w:cols w:equalWidth="0" w:num="1">
            <w:col w:w="10760"/>
          </w:cols>
          <w:pgMar w:left="320" w:top="442" w:right="819" w:bottom="1440" w:gutter="0" w:footer="0" w:header="0"/>
        </w:sectPr>
      </w:pPr>
    </w:p>
    <w:bookmarkStart w:id="286" w:name="page287"/>
    <w:bookmarkEnd w:id="2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Initial Public Offering Costs</w:t>
      </w:r>
    </w:p>
    <w:p>
      <w:pPr>
        <w:spacing w:after="0" w:line="110" w:lineRule="exact"/>
        <w:rPr>
          <w:sz w:val="20"/>
          <w:szCs w:val="20"/>
          <w:color w:val="auto"/>
        </w:rPr>
      </w:pPr>
    </w:p>
    <w:p>
      <w:pPr>
        <w:ind w:left="440" w:right="120" w:firstLine="415"/>
        <w:spacing w:after="0" w:line="254" w:lineRule="auto"/>
        <w:rPr>
          <w:sz w:val="20"/>
          <w:szCs w:val="20"/>
          <w:color w:val="auto"/>
        </w:rPr>
      </w:pPr>
      <w:r>
        <w:rPr>
          <w:rFonts w:ascii="Arial" w:cs="Arial" w:eastAsia="Arial" w:hAnsi="Arial"/>
          <w:sz w:val="17"/>
          <w:szCs w:val="17"/>
          <w:color w:val="auto"/>
        </w:rPr>
        <w:t>The Company capitalizes deferred initial public offering (“IPO”) costs, which primarily consist of direct, incremental legal, professional, accounting and other third-party fees relating to the Company’s initial public offering, within other assets in the accompanying condensed consolidated balance sheets. The deferred IPO costs will be offset against IPO proceeds upon the consummation of an offering. Should the planned IPO be abandoned, the deferred issuance costs will be expensed immediately as a charge to operating expenses in the condensed consolidated statements of operations and comprehensive loss. At June 30, 2021, deferred IPO costs amounted to $3.8 million. There were no deferred IPO costs as of December 31, 2020.</w:t>
      </w:r>
    </w:p>
    <w:p>
      <w:pPr>
        <w:spacing w:after="0" w:line="285"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Sales Tax</w:t>
      </w:r>
    </w:p>
    <w:p>
      <w:pPr>
        <w:spacing w:after="0" w:line="110" w:lineRule="exact"/>
        <w:rPr>
          <w:sz w:val="20"/>
          <w:szCs w:val="20"/>
          <w:color w:val="auto"/>
        </w:rPr>
      </w:pPr>
    </w:p>
    <w:p>
      <w:pPr>
        <w:ind w:left="440" w:right="160" w:firstLine="415"/>
        <w:spacing w:after="0" w:line="261" w:lineRule="auto"/>
        <w:rPr>
          <w:sz w:val="20"/>
          <w:szCs w:val="20"/>
          <w:color w:val="auto"/>
        </w:rPr>
      </w:pPr>
      <w:r>
        <w:rPr>
          <w:rFonts w:ascii="Arial" w:cs="Arial" w:eastAsia="Arial" w:hAnsi="Arial"/>
          <w:sz w:val="17"/>
          <w:szCs w:val="17"/>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Income Taxes</w:t>
      </w:r>
    </w:p>
    <w:p>
      <w:pPr>
        <w:spacing w:after="0" w:line="110" w:lineRule="exact"/>
        <w:rPr>
          <w:sz w:val="20"/>
          <w:szCs w:val="20"/>
          <w:color w:val="auto"/>
        </w:rPr>
      </w:pPr>
    </w:p>
    <w:p>
      <w:pPr>
        <w:ind w:left="440" w:right="40" w:firstLine="415"/>
        <w:spacing w:after="0" w:line="275" w:lineRule="auto"/>
        <w:rPr>
          <w:sz w:val="20"/>
          <w:szCs w:val="20"/>
          <w:color w:val="auto"/>
        </w:rPr>
      </w:pPr>
      <w:r>
        <w:rPr>
          <w:rFonts w:ascii="Arial" w:cs="Arial" w:eastAsia="Arial" w:hAnsi="Arial"/>
          <w:sz w:val="16"/>
          <w:szCs w:val="16"/>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six months ended June 30, 2021 or 2020, nor was it subject to state income taxes in certain jurisdictions for the said periods.</w:t>
      </w:r>
    </w:p>
    <w:p>
      <w:pPr>
        <w:spacing w:after="0" w:line="167"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statements of operations.</w:t>
      </w:r>
    </w:p>
    <w:p>
      <w:pPr>
        <w:spacing w:after="0" w:line="169" w:lineRule="exact"/>
        <w:rPr>
          <w:sz w:val="20"/>
          <w:szCs w:val="20"/>
          <w:color w:val="auto"/>
        </w:rPr>
      </w:pPr>
    </w:p>
    <w:p>
      <w:pPr>
        <w:ind w:left="440" w:right="40" w:firstLine="415"/>
        <w:spacing w:after="0" w:line="279" w:lineRule="auto"/>
        <w:rPr>
          <w:sz w:val="20"/>
          <w:szCs w:val="20"/>
          <w:color w:val="auto"/>
        </w:rPr>
      </w:pPr>
      <w:r>
        <w:rPr>
          <w:rFonts w:ascii="Arial" w:cs="Arial" w:eastAsia="Arial" w:hAnsi="Arial"/>
          <w:sz w:val="16"/>
          <w:szCs w:val="16"/>
          <w:color w:val="auto"/>
        </w:rPr>
        <w:t>Under the provisions of ASC 740</w:t>
      </w:r>
      <w:r>
        <w:rPr>
          <w:rFonts w:ascii="Arial" w:cs="Arial" w:eastAsia="Arial" w:hAnsi="Arial"/>
          <w:sz w:val="16"/>
          <w:szCs w:val="16"/>
          <w:i w:val="1"/>
          <w:iCs w:val="1"/>
          <w:color w:val="auto"/>
        </w:rPr>
        <w:t>, Income Taxes</w:t>
      </w:r>
      <w:r>
        <w:rPr>
          <w:rFonts w:ascii="Arial" w:cs="Arial" w:eastAsia="Arial" w:hAnsi="Arial"/>
          <w:sz w:val="16"/>
          <w:szCs w:val="16"/>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six-month periods ended June 30, 2021 and 2020, the Company did not have any uncertain tax positions.</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Net Loss Per Unit</w:t>
      </w:r>
    </w:p>
    <w:p>
      <w:pPr>
        <w:spacing w:after="0" w:line="110" w:lineRule="exact"/>
        <w:rPr>
          <w:sz w:val="20"/>
          <w:szCs w:val="20"/>
          <w:color w:val="auto"/>
        </w:rPr>
      </w:pPr>
    </w:p>
    <w:p>
      <w:pPr>
        <w:ind w:left="440" w:right="60" w:firstLine="415"/>
        <w:spacing w:after="0" w:line="255" w:lineRule="auto"/>
        <w:rPr>
          <w:sz w:val="20"/>
          <w:szCs w:val="20"/>
          <w:color w:val="auto"/>
        </w:rPr>
      </w:pPr>
      <w:r>
        <w:rPr>
          <w:rFonts w:ascii="Arial" w:cs="Arial" w:eastAsia="Arial" w:hAnsi="Arial"/>
          <w:sz w:val="17"/>
          <w:szCs w:val="17"/>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3" w:lineRule="exact"/>
        <w:rPr>
          <w:sz w:val="20"/>
          <w:szCs w:val="20"/>
          <w:color w:val="auto"/>
        </w:rPr>
      </w:pPr>
    </w:p>
    <w:p>
      <w:pPr>
        <w:ind w:left="440" w:right="620" w:firstLine="415"/>
        <w:spacing w:after="0" w:line="273" w:lineRule="auto"/>
        <w:rPr>
          <w:sz w:val="20"/>
          <w:szCs w:val="20"/>
          <w:color w:val="auto"/>
        </w:rPr>
      </w:pPr>
      <w:r>
        <w:rPr>
          <w:rFonts w:ascii="Arial" w:cs="Arial" w:eastAsia="Arial" w:hAnsi="Arial"/>
          <w:sz w:val="17"/>
          <w:szCs w:val="17"/>
          <w:color w:val="auto"/>
        </w:rPr>
        <w:t>Basic net income or loss per unit is computed by dividing the net income or loss by the weighted-average number of common units of the Company outstanding during the period. Diluted net income or loss per unit is</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F-60</w:t>
      </w:r>
    </w:p>
    <w:p>
      <w:pPr>
        <w:sectPr>
          <w:pgSz w:w="11900" w:h="16838" w:orient="portrait"/>
          <w:cols w:equalWidth="0" w:num="1">
            <w:col w:w="10800"/>
          </w:cols>
          <w:pgMar w:left="320" w:top="442" w:right="779" w:bottom="1440" w:gutter="0" w:footer="0" w:header="0"/>
        </w:sectPr>
      </w:pPr>
    </w:p>
    <w:bookmarkStart w:id="287" w:name="page288"/>
    <w:bookmarkEnd w:id="2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7" w:lineRule="auto"/>
        <w:rPr>
          <w:sz w:val="20"/>
          <w:szCs w:val="20"/>
          <w:color w:val="auto"/>
        </w:rPr>
      </w:pPr>
      <w:r>
        <w:rPr>
          <w:rFonts w:ascii="Arial" w:cs="Arial" w:eastAsia="Arial" w:hAnsi="Arial"/>
          <w:sz w:val="17"/>
          <w:szCs w:val="17"/>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8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See Note 16. </w:t>
      </w:r>
      <w:r>
        <w:rPr>
          <w:rFonts w:ascii="Arial" w:cs="Arial" w:eastAsia="Arial" w:hAnsi="Arial"/>
          <w:sz w:val="17"/>
          <w:szCs w:val="17"/>
          <w:i w:val="1"/>
          <w:iCs w:val="1"/>
          <w:color w:val="auto"/>
        </w:rPr>
        <w:t>Net Loss Per Unit</w:t>
      </w:r>
      <w:r>
        <w:rPr>
          <w:rFonts w:ascii="Arial" w:cs="Arial" w:eastAsia="Arial" w:hAnsi="Arial"/>
          <w:sz w:val="17"/>
          <w:szCs w:val="17"/>
          <w:color w:val="auto"/>
        </w:rPr>
        <w:t xml:space="preserve"> for additional information on dilutive securities.</w:t>
      </w:r>
    </w:p>
    <w:p>
      <w:pPr>
        <w:spacing w:after="0" w:line="313"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100" w:firstLine="415"/>
        <w:spacing w:after="0" w:line="312" w:lineRule="auto"/>
        <w:rPr>
          <w:sz w:val="20"/>
          <w:szCs w:val="20"/>
          <w:color w:val="auto"/>
        </w:rPr>
      </w:pPr>
      <w:r>
        <w:rPr>
          <w:rFonts w:ascii="Arial" w:cs="Arial" w:eastAsia="Arial" w:hAnsi="Arial"/>
          <w:sz w:val="15"/>
          <w:szCs w:val="15"/>
          <w:color w:val="auto"/>
        </w:rPr>
        <w:t>The Company periodically grants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1" w:lineRule="exact"/>
        <w:rPr>
          <w:sz w:val="20"/>
          <w:szCs w:val="20"/>
          <w:color w:val="auto"/>
        </w:rPr>
      </w:pPr>
    </w:p>
    <w:p>
      <w:pPr>
        <w:ind w:left="440" w:right="80" w:firstLine="415"/>
        <w:spacing w:after="0" w:line="275" w:lineRule="auto"/>
        <w:rPr>
          <w:sz w:val="20"/>
          <w:szCs w:val="20"/>
          <w:color w:val="auto"/>
        </w:rPr>
      </w:pPr>
      <w:r>
        <w:rPr>
          <w:rFonts w:ascii="Arial" w:cs="Arial" w:eastAsia="Arial" w:hAnsi="Arial"/>
          <w:sz w:val="16"/>
          <w:szCs w:val="16"/>
          <w:color w:val="auto"/>
        </w:rPr>
        <w:t>The Company accounts for these profit interest units in accordance with ASC 718—</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67" w:lineRule="exact"/>
        <w:rPr>
          <w:sz w:val="20"/>
          <w:szCs w:val="20"/>
          <w:color w:val="auto"/>
        </w:rPr>
      </w:pPr>
    </w:p>
    <w:p>
      <w:pPr>
        <w:ind w:left="440" w:right="200" w:firstLine="415"/>
        <w:spacing w:after="0" w:line="273" w:lineRule="auto"/>
        <w:rPr>
          <w:sz w:val="20"/>
          <w:szCs w:val="20"/>
          <w:color w:val="auto"/>
        </w:rPr>
      </w:pPr>
      <w:r>
        <w:rPr>
          <w:rFonts w:ascii="Arial" w:cs="Arial" w:eastAsia="Arial" w:hAnsi="Arial"/>
          <w:sz w:val="17"/>
          <w:szCs w:val="17"/>
          <w:color w:val="auto"/>
        </w:rPr>
        <w:t>The Company classifies equity-based compensation expense in its consolidated statements of operations in the same manner in which the award recipient’s salary and related costs are classified.</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Adoption of Recently Issued Financial Accounting Standards</w:t>
      </w:r>
    </w:p>
    <w:p>
      <w:pPr>
        <w:spacing w:after="0" w:line="110"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In August 2018, the FASB issued ASU No. 2018-15—</w:t>
      </w:r>
      <w:r>
        <w:rPr>
          <w:rFonts w:ascii="Arial" w:cs="Arial" w:eastAsia="Arial" w:hAnsi="Arial"/>
          <w:sz w:val="17"/>
          <w:szCs w:val="17"/>
          <w:i w:val="1"/>
          <w:iCs w:val="1"/>
          <w:color w:val="auto"/>
        </w:rPr>
        <w:t>Intangibles — Goodwill and Other — 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for Implementation Costs Incurred in a Cloud Computing Arrangement That Is a Service Contract</w:t>
      </w:r>
      <w:r>
        <w:rPr>
          <w:rFonts w:ascii="Arial" w:cs="Arial" w:eastAsia="Arial" w:hAnsi="Arial"/>
          <w:sz w:val="17"/>
          <w:szCs w:val="17"/>
          <w:color w:val="auto"/>
        </w:rPr>
        <w:t>. This standard aligns the requirements for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capitalizing implementation costs incurred in a hosting arrangement that is a service contract with the requirements for capitalizing implementation costs incurred to develop or obtain internal-use software. The amendment is effective for fiscal years beginning after December 15, 2020 and early adoption is permitted. The Company adopted the update effective January 1, 2021. The adoption did not have a material impact on the consolidated financial statements.</w:t>
      </w:r>
    </w:p>
    <w:p>
      <w:pPr>
        <w:spacing w:after="0" w:line="285"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Recently-Issued Accounting Pronouncements Not Yet Adopted</w:t>
      </w:r>
    </w:p>
    <w:p>
      <w:pPr>
        <w:spacing w:after="0" w:line="110" w:lineRule="exact"/>
        <w:rPr>
          <w:sz w:val="20"/>
          <w:szCs w:val="20"/>
          <w:color w:val="auto"/>
        </w:rPr>
      </w:pPr>
    </w:p>
    <w:p>
      <w:pPr>
        <w:ind w:left="440" w:right="80" w:firstLine="415"/>
        <w:spacing w:after="0" w:line="255" w:lineRule="auto"/>
        <w:rPr>
          <w:sz w:val="20"/>
          <w:szCs w:val="20"/>
          <w:color w:val="auto"/>
        </w:rPr>
      </w:pPr>
      <w:r>
        <w:rPr>
          <w:rFonts w:ascii="Arial" w:cs="Arial" w:eastAsia="Arial" w:hAnsi="Arial"/>
          <w:sz w:val="17"/>
          <w:szCs w:val="17"/>
          <w:color w:val="auto"/>
        </w:rPr>
        <w:t>In June 2016, the FASB issued ASU No. 2016-13</w:t>
      </w:r>
      <w:r>
        <w:rPr>
          <w:rFonts w:ascii="Arial" w:cs="Arial" w:eastAsia="Arial" w:hAnsi="Arial"/>
          <w:sz w:val="17"/>
          <w:szCs w:val="17"/>
          <w:i w:val="1"/>
          <w:iCs w:val="1"/>
          <w:color w:val="auto"/>
        </w:rPr>
        <w:t>—Financial Instruments — Credit Losses (Topic 326) —Measurement of Credit Losses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This standard is intended to improve financial reporting by requiring earlier recognition of credit losses on financing receivables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financial assets in scope, such as trade receivables. The amendment is effective for fiscal years beginning after December 15, 2022. The Company will adopt the update effective January 1, 2023, and does not expect the adoption of the standard to have a material impact on its consolidated financial statements.</w:t>
      </w:r>
    </w:p>
    <w:p>
      <w:pPr>
        <w:spacing w:after="0" w:line="183" w:lineRule="exact"/>
        <w:rPr>
          <w:sz w:val="20"/>
          <w:szCs w:val="20"/>
          <w:color w:val="auto"/>
        </w:rPr>
      </w:pPr>
    </w:p>
    <w:p>
      <w:pPr>
        <w:ind w:left="440" w:right="180" w:firstLine="415"/>
        <w:spacing w:after="0" w:line="255" w:lineRule="auto"/>
        <w:rPr>
          <w:sz w:val="20"/>
          <w:szCs w:val="20"/>
          <w:color w:val="auto"/>
        </w:rPr>
      </w:pPr>
      <w:r>
        <w:rPr>
          <w:rFonts w:ascii="Arial" w:cs="Arial" w:eastAsia="Arial" w:hAnsi="Arial"/>
          <w:sz w:val="17"/>
          <w:szCs w:val="17"/>
          <w:color w:val="auto"/>
        </w:rPr>
        <w:t>In February 2016, the FASB issued ASU 2016-02—</w:t>
      </w:r>
      <w:r>
        <w:rPr>
          <w:rFonts w:ascii="Arial" w:cs="Arial" w:eastAsia="Arial" w:hAnsi="Arial"/>
          <w:sz w:val="17"/>
          <w:szCs w:val="17"/>
          <w:i w:val="1"/>
          <w:iCs w:val="1"/>
          <w:color w:val="auto"/>
        </w:rPr>
        <w:t>Leases</w:t>
      </w:r>
      <w:r>
        <w:rPr>
          <w:rFonts w:ascii="Arial" w:cs="Arial" w:eastAsia="Arial" w:hAnsi="Arial"/>
          <w:sz w:val="17"/>
          <w:szCs w:val="17"/>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w:t>
      </w:r>
    </w:p>
    <w:p>
      <w:pPr>
        <w:spacing w:after="0" w:line="119"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F-61</w:t>
      </w:r>
    </w:p>
    <w:p>
      <w:pPr>
        <w:sectPr>
          <w:pgSz w:w="11900" w:h="16838" w:orient="portrait"/>
          <w:cols w:equalWidth="0" w:num="1">
            <w:col w:w="10820"/>
          </w:cols>
          <w:pgMar w:left="320" w:top="442" w:right="759" w:bottom="1440" w:gutter="0" w:footer="0" w:header="0"/>
        </w:sectPr>
      </w:pPr>
    </w:p>
    <w:bookmarkStart w:id="288" w:name="page289"/>
    <w:bookmarkEnd w:id="2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260"/>
        <w:spacing w:after="0" w:line="261" w:lineRule="auto"/>
        <w:rPr>
          <w:sz w:val="20"/>
          <w:szCs w:val="20"/>
          <w:color w:val="auto"/>
        </w:rPr>
      </w:pPr>
      <w:r>
        <w:rPr>
          <w:rFonts w:ascii="Arial" w:cs="Arial" w:eastAsia="Arial" w:hAnsi="Arial"/>
          <w:sz w:val="17"/>
          <w:szCs w:val="17"/>
          <w:color w:val="auto"/>
        </w:rPr>
        <w:t>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76"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In December 2019, the FASB issued ASU No. 2019-12—</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80" w:lineRule="exact"/>
        <w:rPr>
          <w:sz w:val="20"/>
          <w:szCs w:val="20"/>
          <w:color w:val="auto"/>
        </w:rPr>
      </w:pPr>
    </w:p>
    <w:p>
      <w:pPr>
        <w:ind w:left="440" w:right="20" w:firstLine="415"/>
        <w:spacing w:after="0" w:line="270" w:lineRule="auto"/>
        <w:rPr>
          <w:sz w:val="20"/>
          <w:szCs w:val="20"/>
          <w:color w:val="auto"/>
        </w:rPr>
      </w:pPr>
      <w:r>
        <w:rPr>
          <w:rFonts w:ascii="Arial" w:cs="Arial" w:eastAsia="Arial" w:hAnsi="Arial"/>
          <w:sz w:val="16"/>
          <w:szCs w:val="16"/>
          <w:color w:val="auto"/>
        </w:rPr>
        <w:t>In March 2020, the FASB issued ASU No. 2020-04—</w:t>
      </w:r>
      <w:r>
        <w:rPr>
          <w:rFonts w:ascii="Arial" w:cs="Arial" w:eastAsia="Arial" w:hAnsi="Arial"/>
          <w:sz w:val="16"/>
          <w:szCs w:val="16"/>
          <w:i w:val="1"/>
          <w:iCs w:val="1"/>
          <w:color w:val="auto"/>
        </w:rPr>
        <w:t>Reference Rate Reform (Topic 848): Facilitation of the Effects of Reference Rate Reform on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w:t>
      </w:r>
      <w:r>
        <w:rPr>
          <w:rFonts w:ascii="Arial" w:cs="Arial" w:eastAsia="Arial" w:hAnsi="Arial"/>
          <w:sz w:val="16"/>
          <w:szCs w:val="16"/>
          <w:color w:val="auto"/>
        </w:rPr>
        <w:t>. The amendments of ASU No. 2020-04 are effective for companies as of March 12, 2020 through December 31, 2022.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12" w:lineRule="exact"/>
        <w:rPr>
          <w:sz w:val="20"/>
          <w:szCs w:val="20"/>
          <w:color w:val="auto"/>
        </w:rPr>
      </w:pPr>
    </w:p>
    <w:p>
      <w:pPr>
        <w:ind w:left="840" w:hanging="406"/>
        <w:spacing w:after="0"/>
        <w:tabs>
          <w:tab w:leader="none" w:pos="840" w:val="left"/>
        </w:tabs>
        <w:numPr>
          <w:ilvl w:val="0"/>
          <w:numId w:val="20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Business Combinations</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6"/>
          <w:szCs w:val="16"/>
          <w:color w:val="auto"/>
        </w:rPr>
        <w:t>On October 27, 2020, the Company completed the purchase of all of the outstanding shares of Monocl Holding Company (“Monocl”), a cloud-based platform with millions of expert profiles, for a total estimated consideration of $46.3 million and up to $60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6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640" w:type="dxa"/>
            <w:vAlign w:val="bottom"/>
            <w:gridSpan w:val="2"/>
          </w:tcPr>
          <w:p>
            <w:pPr>
              <w:spacing w:after="0"/>
              <w:rPr>
                <w:sz w:val="20"/>
                <w:szCs w:val="20"/>
                <w:color w:val="auto"/>
              </w:rPr>
            </w:pPr>
            <w:r>
              <w:rPr>
                <w:rFonts w:ascii="Arial" w:cs="Arial" w:eastAsia="Arial" w:hAnsi="Arial"/>
                <w:sz w:val="17"/>
                <w:szCs w:val="17"/>
                <w:color w:val="auto"/>
              </w:rPr>
              <w:t>The consideration transferred for the transaction is summarized as follows (in thousands):</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12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Cash consideration</w:t>
            </w:r>
          </w:p>
        </w:tc>
        <w:tc>
          <w:tcPr>
            <w:tcW w:w="620" w:type="dxa"/>
            <w:vAlign w:val="bottom"/>
            <w:shd w:val="clear" w:color="auto" w:fill="CCEEFF"/>
          </w:tcPr>
          <w:p>
            <w:pPr>
              <w:jc w:val="right"/>
              <w:spacing w:after="0" w:line="216" w:lineRule="exact"/>
              <w:rPr>
                <w:sz w:val="20"/>
                <w:szCs w:val="20"/>
                <w:color w:val="auto"/>
              </w:rPr>
            </w:pPr>
            <w:r>
              <w:rPr>
                <w:rFonts w:ascii="Arial" w:cs="Arial" w:eastAsia="Arial" w:hAnsi="Arial"/>
                <w:sz w:val="19"/>
                <w:szCs w:val="19"/>
                <w:color w:val="auto"/>
                <w:w w:val="87"/>
              </w:rPr>
              <w:t>$18,307</w:t>
            </w:r>
          </w:p>
        </w:tc>
        <w:tc>
          <w:tcPr>
            <w:tcW w:w="4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7"/>
                <w:szCs w:val="17"/>
                <w:color w:val="auto"/>
              </w:rPr>
              <w:t>Equity issuance</w:t>
            </w:r>
          </w:p>
        </w:tc>
        <w:tc>
          <w:tcPr>
            <w:tcW w:w="620" w:type="dxa"/>
            <w:vAlign w:val="bottom"/>
          </w:tcPr>
          <w:p>
            <w:pPr>
              <w:jc w:val="right"/>
              <w:spacing w:after="0" w:line="216" w:lineRule="exact"/>
              <w:rPr>
                <w:sz w:val="20"/>
                <w:szCs w:val="20"/>
                <w:color w:val="auto"/>
              </w:rPr>
            </w:pPr>
            <w:r>
              <w:rPr>
                <w:rFonts w:ascii="Arial" w:cs="Arial" w:eastAsia="Arial" w:hAnsi="Arial"/>
                <w:sz w:val="19"/>
                <w:szCs w:val="19"/>
                <w:color w:val="auto"/>
              </w:rPr>
              <w:t>25,439</w:t>
            </w:r>
          </w:p>
        </w:tc>
        <w:tc>
          <w:tcPr>
            <w:tcW w:w="4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w:t>
            </w:r>
          </w:p>
        </w:tc>
        <w:tc>
          <w:tcPr>
            <w:tcW w:w="620" w:type="dxa"/>
            <w:vAlign w:val="bottom"/>
            <w:tcBorders>
              <w:bottom w:val="single" w:sz="8" w:color="auto"/>
            </w:tcBorders>
            <w:shd w:val="clear" w:color="auto" w:fill="CCEEFF"/>
          </w:tcPr>
          <w:p>
            <w:pPr>
              <w:jc w:val="right"/>
              <w:spacing w:after="0" w:line="216" w:lineRule="exact"/>
              <w:rPr>
                <w:sz w:val="20"/>
                <w:szCs w:val="20"/>
                <w:color w:val="auto"/>
              </w:rPr>
            </w:pPr>
            <w:r>
              <w:rPr>
                <w:rFonts w:ascii="Arial" w:cs="Arial" w:eastAsia="Arial" w:hAnsi="Arial"/>
                <w:sz w:val="19"/>
                <w:szCs w:val="19"/>
                <w:color w:val="auto"/>
              </w:rPr>
              <w:t>2,600</w:t>
            </w:r>
          </w:p>
        </w:tc>
        <w:tc>
          <w:tcPr>
            <w:tcW w:w="40" w:type="dxa"/>
            <w:vAlign w:val="bottom"/>
            <w:shd w:val="clear" w:color="auto" w:fill="CCEEFF"/>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$ 46,346</w:t>
            </w:r>
          </w:p>
        </w:tc>
        <w:tc>
          <w:tcPr>
            <w:tcW w:w="40" w:type="dxa"/>
            <w:vAlign w:val="bottom"/>
          </w:tcPr>
          <w:p>
            <w:pPr>
              <w:spacing w:after="0"/>
              <w:rPr>
                <w:sz w:val="18"/>
                <w:szCs w:val="18"/>
                <w:color w:val="auto"/>
              </w:rPr>
            </w:pPr>
          </w:p>
        </w:tc>
      </w:tr>
      <w:tr>
        <w:trPr>
          <w:trHeight w:val="20"/>
        </w:trPr>
        <w:tc>
          <w:tcPr>
            <w:tcW w:w="12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Cash consideration for the acquisition was primarily provided through borrowings under the Company’s credit facility.</w:t>
      </w:r>
    </w:p>
    <w:p>
      <w:pPr>
        <w:spacing w:after="0" w:line="212" w:lineRule="exact"/>
        <w:rPr>
          <w:sz w:val="20"/>
          <w:szCs w:val="20"/>
          <w:color w:val="auto"/>
        </w:rPr>
      </w:pPr>
    </w:p>
    <w:p>
      <w:pPr>
        <w:ind w:left="440" w:right="40" w:firstLine="415"/>
        <w:spacing w:after="0" w:line="291" w:lineRule="auto"/>
        <w:rPr>
          <w:sz w:val="20"/>
          <w:szCs w:val="20"/>
          <w:color w:val="auto"/>
        </w:rPr>
      </w:pPr>
      <w:r>
        <w:rPr>
          <w:rFonts w:ascii="Arial" w:cs="Arial" w:eastAsia="Arial" w:hAnsi="Arial"/>
          <w:sz w:val="15"/>
          <w:szCs w:val="15"/>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ind w:left="440"/>
        <w:spacing w:after="0" w:line="259" w:lineRule="auto"/>
        <w:rPr>
          <w:sz w:val="20"/>
          <w:szCs w:val="20"/>
          <w:color w:val="auto"/>
        </w:rPr>
      </w:pPr>
      <w:r>
        <w:rPr>
          <w:rFonts w:ascii="Arial" w:cs="Arial" w:eastAsia="Arial" w:hAnsi="Arial"/>
          <w:sz w:val="17"/>
          <w:szCs w:val="17"/>
          <w:color w:val="auto"/>
        </w:rPr>
        <w:t>$5.0 million and $0 to $10.0 million based on ARR of below $8.5 million to over $9.5 million and below $12.0 million to over $16.0 million for each of the twelve-month periods ending December 31, 2020 and 2021, respectively.</w:t>
      </w:r>
    </w:p>
    <w:p>
      <w:pPr>
        <w:spacing w:after="0" w:line="114"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F-62</w:t>
      </w:r>
    </w:p>
    <w:p>
      <w:pPr>
        <w:sectPr>
          <w:pgSz w:w="11900" w:h="16838" w:orient="portrait"/>
          <w:cols w:equalWidth="0" w:num="1">
            <w:col w:w="10780"/>
          </w:cols>
          <w:pgMar w:left="320" w:top="442" w:right="799" w:bottom="1440" w:gutter="0" w:footer="0" w:header="0"/>
        </w:sectPr>
      </w:pPr>
    </w:p>
    <w:bookmarkStart w:id="289" w:name="page290"/>
    <w:bookmarkEnd w:id="2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61" w:lineRule="auto"/>
        <w:rPr>
          <w:sz w:val="20"/>
          <w:szCs w:val="20"/>
          <w:color w:val="auto"/>
        </w:rPr>
      </w:pPr>
      <w:r>
        <w:rPr>
          <w:rFonts w:ascii="Arial" w:cs="Arial" w:eastAsia="Arial" w:hAnsi="Arial"/>
          <w:sz w:val="17"/>
          <w:szCs w:val="17"/>
          <w:color w:val="auto"/>
        </w:rPr>
        <w:t xml:space="preserve">The Company estimated the fair value of the contingent consideration to be $7.1 million and $5.2 million at June 30, 2021 and December 31, 2020 based on the achievement of Annual 2020 ARR targets and the probability of achieving the 2021 targets. Refer to Note 9.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for more detail.</w:t>
      </w:r>
    </w:p>
    <w:p>
      <w:pPr>
        <w:spacing w:after="0" w:line="176"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83"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spacing w:after="0"/>
              <w:rPr>
                <w:sz w:val="20"/>
                <w:szCs w:val="20"/>
                <w:color w:val="auto"/>
              </w:rPr>
            </w:pPr>
            <w:r>
              <w:rPr>
                <w:rFonts w:ascii="Arial" w:cs="Arial" w:eastAsia="Arial" w:hAnsi="Arial"/>
                <w:sz w:val="14"/>
                <w:szCs w:val="14"/>
                <w:color w:val="auto"/>
                <w:w w:val="92"/>
              </w:rPr>
              <w:t>October 27, 2020</w:t>
            </w:r>
          </w:p>
        </w:tc>
      </w:tr>
      <w:tr>
        <w:trPr>
          <w:trHeight w:val="196"/>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Accounts receivable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788</w:t>
            </w:r>
          </w:p>
        </w:tc>
        <w:tc>
          <w:tcPr>
            <w:tcW w:w="80" w:type="dxa"/>
            <w:vAlign w:val="bottom"/>
          </w:tcPr>
          <w:p>
            <w:pPr>
              <w:spacing w:after="0"/>
              <w:rPr>
                <w:sz w:val="17"/>
                <w:szCs w:val="17"/>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614</w:t>
            </w:r>
          </w:p>
        </w:tc>
        <w:tc>
          <w:tcPr>
            <w:tcW w:w="80" w:type="dxa"/>
            <w:vAlign w:val="bottom"/>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Property and equipment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18,900</w:t>
            </w:r>
          </w:p>
        </w:tc>
        <w:tc>
          <w:tcPr>
            <w:tcW w:w="80" w:type="dxa"/>
            <w:vAlign w:val="bottom"/>
            <w:shd w:val="clear" w:color="auto" w:fill="CCEEFF"/>
          </w:tcPr>
          <w:p>
            <w:pPr>
              <w:spacing w:after="0"/>
              <w:rPr>
                <w:sz w:val="17"/>
                <w:szCs w:val="17"/>
                <w:color w:val="auto"/>
              </w:rPr>
            </w:pPr>
          </w:p>
        </w:tc>
      </w:tr>
      <w:tr>
        <w:trPr>
          <w:trHeight w:val="204"/>
        </w:trPr>
        <w:tc>
          <w:tcPr>
            <w:tcW w:w="600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(2,137)</w:t>
            </w: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(2,884)</w:t>
            </w:r>
          </w:p>
        </w:tc>
      </w:tr>
      <w:tr>
        <w:trPr>
          <w:trHeight w:val="209"/>
        </w:trPr>
        <w:tc>
          <w:tcPr>
            <w:tcW w:w="6000" w:type="dxa"/>
            <w:vAlign w:val="bottom"/>
          </w:tcPr>
          <w:p>
            <w:pPr>
              <w:spacing w:after="0"/>
              <w:rPr>
                <w:sz w:val="20"/>
                <w:szCs w:val="20"/>
                <w:color w:val="auto"/>
              </w:rPr>
            </w:pPr>
            <w:r>
              <w:rPr>
                <w:rFonts w:ascii="Arial" w:cs="Arial" w:eastAsia="Arial" w:hAnsi="Arial"/>
                <w:sz w:val="17"/>
                <w:szCs w:val="17"/>
                <w:color w:val="auto"/>
              </w:rPr>
              <w:t>Total assets acquired and liabilities assumed</w:t>
            </w: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18,075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28,271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9"/>
        </w:trPr>
        <w:tc>
          <w:tcPr>
            <w:tcW w:w="6000" w:type="dxa"/>
            <w:vAlign w:val="bottom"/>
          </w:tcPr>
          <w:p>
            <w:pPr>
              <w:ind w:left="340"/>
              <w:spacing w:after="0"/>
              <w:rPr>
                <w:sz w:val="20"/>
                <w:szCs w:val="20"/>
                <w:color w:val="auto"/>
              </w:rPr>
            </w:pPr>
            <w:r>
              <w:rPr>
                <w:rFonts w:ascii="Arial" w:cs="Arial" w:eastAsia="Arial" w:hAnsi="Arial"/>
                <w:sz w:val="17"/>
                <w:szCs w:val="17"/>
                <w:color w:val="auto"/>
              </w:rPr>
              <w:t>Purchase price</w:t>
            </w: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46,346</w:t>
            </w:r>
          </w:p>
        </w:tc>
        <w:tc>
          <w:tcPr>
            <w:tcW w:w="80" w:type="dxa"/>
            <w:vAlign w:val="bottom"/>
          </w:tcPr>
          <w:p>
            <w:pPr>
              <w:spacing w:after="0"/>
              <w:rPr>
                <w:sz w:val="18"/>
                <w:szCs w:val="18"/>
                <w:color w:val="auto"/>
              </w:rPr>
            </w:pPr>
          </w:p>
        </w:tc>
      </w:tr>
      <w:tr>
        <w:trPr>
          <w:trHeight w:val="20"/>
        </w:trPr>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80" w:firstLine="415"/>
        <w:spacing w:after="0" w:line="254" w:lineRule="auto"/>
        <w:rPr>
          <w:sz w:val="20"/>
          <w:szCs w:val="20"/>
          <w:color w:val="auto"/>
        </w:rPr>
      </w:pPr>
      <w:r>
        <w:rPr>
          <w:rFonts w:ascii="Arial" w:cs="Arial" w:eastAsia="Arial" w:hAnsi="Arial"/>
          <w:sz w:val="17"/>
          <w:szCs w:val="17"/>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w:t>
      </w:r>
      <w:r>
        <w:rPr>
          <w:rFonts w:ascii="Arial" w:cs="Arial" w:eastAsia="Arial" w:hAnsi="Arial"/>
          <w:sz w:val="17"/>
          <w:szCs w:val="17"/>
          <w:color w:val="auto"/>
        </w:rPr>
        <w:t>for more detail on determination of fair value.</w:t>
      </w:r>
    </w:p>
    <w:p>
      <w:pPr>
        <w:spacing w:after="0" w:line="183" w:lineRule="exact"/>
        <w:rPr>
          <w:sz w:val="20"/>
          <w:szCs w:val="20"/>
          <w:color w:val="auto"/>
        </w:rPr>
      </w:pPr>
    </w:p>
    <w:p>
      <w:pPr>
        <w:ind w:left="440" w:right="20" w:firstLine="415"/>
        <w:spacing w:after="0" w:line="255" w:lineRule="auto"/>
        <w:rPr>
          <w:sz w:val="20"/>
          <w:szCs w:val="20"/>
          <w:color w:val="auto"/>
        </w:rPr>
      </w:pPr>
      <w:r>
        <w:rPr>
          <w:rFonts w:ascii="Arial" w:cs="Arial" w:eastAsia="Arial" w:hAnsi="Arial"/>
          <w:sz w:val="17"/>
          <w:szCs w:val="17"/>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3" w:lineRule="exact"/>
        <w:rPr>
          <w:sz w:val="20"/>
          <w:szCs w:val="20"/>
          <w:color w:val="auto"/>
        </w:rPr>
      </w:pPr>
    </w:p>
    <w:p>
      <w:pPr>
        <w:jc w:val="both"/>
        <w:ind w:left="440" w:right="80" w:firstLine="415"/>
        <w:spacing w:after="0" w:line="261" w:lineRule="auto"/>
        <w:rPr>
          <w:sz w:val="20"/>
          <w:szCs w:val="20"/>
          <w:color w:val="auto"/>
        </w:rPr>
      </w:pPr>
      <w:r>
        <w:rPr>
          <w:rFonts w:ascii="Arial" w:cs="Arial" w:eastAsia="Arial" w:hAnsi="Arial"/>
          <w:sz w:val="17"/>
          <w:szCs w:val="17"/>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76" w:lineRule="exact"/>
        <w:rPr>
          <w:sz w:val="20"/>
          <w:szCs w:val="20"/>
          <w:color w:val="auto"/>
        </w:rPr>
      </w:pPr>
    </w:p>
    <w:p>
      <w:pPr>
        <w:ind w:left="440" w:right="40" w:firstLine="415"/>
        <w:spacing w:after="0" w:line="275" w:lineRule="auto"/>
        <w:rPr>
          <w:sz w:val="20"/>
          <w:szCs w:val="20"/>
          <w:color w:val="auto"/>
        </w:rPr>
      </w:pPr>
      <w:r>
        <w:rPr>
          <w:rFonts w:ascii="Arial" w:cs="Arial" w:eastAsia="Arial" w:hAnsi="Arial"/>
          <w:sz w:val="16"/>
          <w:szCs w:val="16"/>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0820"/>
          </w:cols>
          <w:pgMar w:left="320" w:top="442" w:right="759" w:bottom="1440" w:gutter="0" w:footer="0" w:header="0"/>
        </w:sectPr>
      </w:pPr>
    </w:p>
    <w:bookmarkStart w:id="290" w:name="page291"/>
    <w:bookmarkEnd w:id="2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160" w:firstLine="415"/>
        <w:spacing w:after="0" w:line="257" w:lineRule="auto"/>
        <w:rPr>
          <w:sz w:val="20"/>
          <w:szCs w:val="20"/>
          <w:color w:val="auto"/>
        </w:rPr>
      </w:pPr>
      <w:r>
        <w:rPr>
          <w:rFonts w:ascii="Arial" w:cs="Arial" w:eastAsia="Arial" w:hAnsi="Arial"/>
          <w:sz w:val="17"/>
          <w:szCs w:val="17"/>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80" w:lineRule="exact"/>
        <w:rPr>
          <w:sz w:val="20"/>
          <w:szCs w:val="20"/>
          <w:color w:val="auto"/>
        </w:rPr>
      </w:pPr>
    </w:p>
    <w:p>
      <w:pPr>
        <w:ind w:left="440" w:right="260" w:firstLine="415"/>
        <w:spacing w:after="0" w:line="273" w:lineRule="auto"/>
        <w:rPr>
          <w:sz w:val="20"/>
          <w:szCs w:val="20"/>
          <w:color w:val="auto"/>
        </w:rPr>
      </w:pPr>
      <w:r>
        <w:rPr>
          <w:rFonts w:ascii="Arial" w:cs="Arial" w:eastAsia="Arial" w:hAnsi="Arial"/>
          <w:sz w:val="17"/>
          <w:szCs w:val="17"/>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66" w:lineRule="exact"/>
        <w:rPr>
          <w:sz w:val="20"/>
          <w:szCs w:val="20"/>
          <w:color w:val="auto"/>
        </w:rPr>
      </w:pPr>
    </w:p>
    <w:p>
      <w:pPr>
        <w:ind w:left="440" w:right="400" w:firstLine="415"/>
        <w:spacing w:after="0" w:line="273" w:lineRule="auto"/>
        <w:rPr>
          <w:sz w:val="20"/>
          <w:szCs w:val="20"/>
          <w:color w:val="auto"/>
        </w:rPr>
      </w:pPr>
      <w:r>
        <w:rPr>
          <w:rFonts w:ascii="Arial" w:cs="Arial" w:eastAsia="Arial" w:hAnsi="Arial"/>
          <w:sz w:val="17"/>
          <w:szCs w:val="17"/>
          <w:color w:val="auto"/>
        </w:rPr>
        <w:t>In connection with the acquisition, the Company recognized acquisition related costs of $0.4 million which were recorded within transaction expenses in the accompanying consolidated statements of operations.</w:t>
      </w:r>
    </w:p>
    <w:p>
      <w:pPr>
        <w:spacing w:after="0" w:line="166" w:lineRule="exact"/>
        <w:rPr>
          <w:sz w:val="20"/>
          <w:szCs w:val="20"/>
          <w:color w:val="auto"/>
        </w:rPr>
      </w:pPr>
    </w:p>
    <w:p>
      <w:pPr>
        <w:ind w:left="840"/>
        <w:spacing w:after="0"/>
        <w:rPr>
          <w:sz w:val="20"/>
          <w:szCs w:val="20"/>
          <w:color w:val="auto"/>
        </w:rPr>
      </w:pPr>
      <w:r>
        <w:rPr>
          <w:rFonts w:ascii="Arial" w:cs="Arial" w:eastAsia="Arial" w:hAnsi="Arial"/>
          <w:sz w:val="17"/>
          <w:szCs w:val="17"/>
          <w:color w:val="auto"/>
        </w:rPr>
        <w:t>Unaudited Pro Forma Supplementary Data (in thousands):</w:t>
      </w:r>
    </w:p>
    <w:p>
      <w:pPr>
        <w:spacing w:after="0" w:line="20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Six Months Ended</w:t>
            </w:r>
          </w:p>
        </w:tc>
      </w:tr>
      <w:tr>
        <w:trPr>
          <w:trHeight w:val="160"/>
        </w:trPr>
        <w:tc>
          <w:tcPr>
            <w:tcW w:w="6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June 30, 2020</w:t>
            </w:r>
          </w:p>
        </w:tc>
      </w:tr>
      <w:tr>
        <w:trPr>
          <w:trHeight w:val="196"/>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56,846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5"/>
        </w:trPr>
        <w:tc>
          <w:tcPr>
            <w:tcW w:w="6700" w:type="dxa"/>
            <w:vAlign w:val="bottom"/>
          </w:tcPr>
          <w:p>
            <w:pPr>
              <w:spacing w:after="0"/>
              <w:rPr>
                <w:sz w:val="20"/>
                <w:szCs w:val="20"/>
                <w:color w:val="auto"/>
              </w:rPr>
            </w:pPr>
            <w:r>
              <w:rPr>
                <w:rFonts w:ascii="Arial" w:cs="Arial" w:eastAsia="Arial" w:hAnsi="Arial"/>
                <w:sz w:val="17"/>
                <w:szCs w:val="17"/>
                <w:color w:val="auto"/>
              </w:rPr>
              <w:t>Net loss</w:t>
            </w: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(28,700)</w:t>
            </w:r>
          </w:p>
        </w:tc>
      </w:tr>
    </w:tbl>
    <w:p>
      <w:pPr>
        <w:spacing w:after="0" w:line="180" w:lineRule="exact"/>
        <w:rPr>
          <w:sz w:val="20"/>
          <w:szCs w:val="20"/>
          <w:color w:val="auto"/>
        </w:rPr>
      </w:pPr>
    </w:p>
    <w:p>
      <w:pPr>
        <w:ind w:left="440" w:right="20" w:firstLine="415"/>
        <w:spacing w:after="0" w:line="272" w:lineRule="auto"/>
        <w:rPr>
          <w:sz w:val="20"/>
          <w:szCs w:val="20"/>
          <w:color w:val="auto"/>
        </w:rPr>
      </w:pPr>
      <w:r>
        <w:rPr>
          <w:rFonts w:ascii="Arial" w:cs="Arial" w:eastAsia="Arial" w:hAnsi="Arial"/>
          <w:sz w:val="16"/>
          <w:szCs w:val="16"/>
          <w:color w:val="auto"/>
        </w:rPr>
        <w:t>The unaudited pro forma supplementary data presented in the table above shows the effect of the Monocl and Definitive Holdco acquisitions, as if the transactions had occurred at the beginning of fiscal year 2020. The pro forma net loss includes adjustments to amortization expense for the valuation of other intangible assets of $0.5 million and interest expense related to incremental borrowings used to finance the transaction of $0.6 million for the six months ended June 30, 2020. Acquisition expenses of $0.2 million were excluded from the pro forma net loss for the year ended December 31, 2020 and included in the pro forma net loss for the six months ended June 30, 2020.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308" w:lineRule="exact"/>
        <w:rPr>
          <w:sz w:val="20"/>
          <w:szCs w:val="20"/>
          <w:color w:val="auto"/>
        </w:rPr>
      </w:pPr>
    </w:p>
    <w:p>
      <w:pPr>
        <w:ind w:left="840" w:hanging="406"/>
        <w:spacing w:after="0"/>
        <w:tabs>
          <w:tab w:leader="none" w:pos="840" w:val="left"/>
        </w:tabs>
        <w:numPr>
          <w:ilvl w:val="0"/>
          <w:numId w:val="20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Revenue</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The Company disaggregates revenue from its arrangements with customers by type of service as it believes these categories best depicts how the nature, amount, timing, and uncertainty of revenue and cash flows are affected by economic factors.</w:t>
      </w:r>
    </w:p>
    <w:p>
      <w:pPr>
        <w:spacing w:after="0" w:line="166"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The following table represents a disaggregation of revenue from arrangements with customers for the six months periods ended June 30, 2021 and 2020 (in thousands).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2660" w:type="dxa"/>
            <w:vAlign w:val="bottom"/>
            <w:tcBorders>
              <w:bottom w:val="single" w:sz="8" w:color="CCEEFF"/>
            </w:tcBorders>
          </w:tcPr>
          <w:p>
            <w:pPr>
              <w:spacing w:after="0"/>
              <w:rPr>
                <w:sz w:val="11"/>
                <w:szCs w:val="11"/>
                <w:color w:val="auto"/>
              </w:rPr>
            </w:pPr>
          </w:p>
        </w:tc>
        <w:tc>
          <w:tcPr>
            <w:tcW w:w="314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3"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1"/>
                <w:szCs w:val="11"/>
                <w:color w:val="auto"/>
              </w:rPr>
            </w:pPr>
          </w:p>
        </w:tc>
      </w:tr>
      <w:tr>
        <w:trPr>
          <w:trHeight w:val="196"/>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Platform subscriptions</w:t>
            </w:r>
          </w:p>
        </w:tc>
        <w:tc>
          <w:tcPr>
            <w:tcW w:w="3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75,765</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54,083</w:t>
            </w:r>
          </w:p>
        </w:tc>
        <w:tc>
          <w:tcPr>
            <w:tcW w:w="40" w:type="dxa"/>
            <w:vAlign w:val="bottom"/>
            <w:shd w:val="clear" w:color="auto" w:fill="CCEEFF"/>
          </w:tcPr>
          <w:p>
            <w:pPr>
              <w:spacing w:after="0"/>
              <w:rPr>
                <w:sz w:val="17"/>
                <w:szCs w:val="17"/>
                <w:color w:val="auto"/>
              </w:rPr>
            </w:pPr>
          </w:p>
        </w:tc>
      </w:tr>
      <w:tr>
        <w:trPr>
          <w:trHeight w:val="209"/>
        </w:trPr>
        <w:tc>
          <w:tcPr>
            <w:tcW w:w="2660" w:type="dxa"/>
            <w:vAlign w:val="bottom"/>
          </w:tcPr>
          <w:p>
            <w:pPr>
              <w:spacing w:after="0"/>
              <w:rPr>
                <w:sz w:val="20"/>
                <w:szCs w:val="20"/>
                <w:color w:val="auto"/>
              </w:rPr>
            </w:pPr>
            <w:r>
              <w:rPr>
                <w:rFonts w:ascii="Arial" w:cs="Arial" w:eastAsia="Arial" w:hAnsi="Arial"/>
                <w:sz w:val="17"/>
                <w:szCs w:val="17"/>
                <w:color w:val="auto"/>
              </w:rPr>
              <w:t>Professional services</w:t>
            </w:r>
          </w:p>
        </w:tc>
        <w:tc>
          <w:tcPr>
            <w:tcW w:w="3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992</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w:t>
            </w:r>
          </w:p>
        </w:tc>
        <w:tc>
          <w:tcPr>
            <w:tcW w:w="40" w:type="dxa"/>
            <w:vAlign w:val="bottom"/>
          </w:tcPr>
          <w:p>
            <w:pPr>
              <w:spacing w:after="0"/>
              <w:rPr>
                <w:sz w:val="18"/>
                <w:szCs w:val="18"/>
                <w:color w:val="auto"/>
              </w:rPr>
            </w:pPr>
          </w:p>
        </w:tc>
      </w:tr>
      <w:tr>
        <w:trPr>
          <w:trHeight w:val="204"/>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3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76,757</w:t>
            </w:r>
          </w:p>
        </w:tc>
        <w:tc>
          <w:tcPr>
            <w:tcW w:w="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40" w:type="dxa"/>
            <w:vAlign w:val="bottom"/>
            <w:shd w:val="clear" w:color="auto" w:fill="CCEEFF"/>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3"/>
        </w:trPr>
        <w:tc>
          <w:tcPr>
            <w:tcW w:w="2660" w:type="dxa"/>
            <w:vAlign w:val="bottom"/>
          </w:tcPr>
          <w:p>
            <w:pPr>
              <w:spacing w:after="0"/>
              <w:rPr>
                <w:sz w:val="24"/>
                <w:szCs w:val="24"/>
                <w:color w:val="auto"/>
              </w:rPr>
            </w:pPr>
          </w:p>
        </w:tc>
        <w:tc>
          <w:tcPr>
            <w:tcW w:w="3300" w:type="dxa"/>
            <w:vAlign w:val="bottom"/>
            <w:gridSpan w:val="2"/>
          </w:tcPr>
          <w:p>
            <w:pPr>
              <w:jc w:val="right"/>
              <w:ind w:right="1786"/>
              <w:spacing w:after="0"/>
              <w:rPr>
                <w:sz w:val="20"/>
                <w:szCs w:val="20"/>
                <w:color w:val="auto"/>
              </w:rPr>
            </w:pPr>
            <w:r>
              <w:rPr>
                <w:rFonts w:ascii="Arial" w:cs="Arial" w:eastAsia="Arial" w:hAnsi="Arial"/>
                <w:sz w:val="17"/>
                <w:szCs w:val="17"/>
                <w:color w:val="auto"/>
              </w:rPr>
              <w:t>F-64</w:t>
            </w: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80"/>
          </w:cols>
          <w:pgMar w:left="320" w:top="442" w:right="799" w:bottom="1440" w:gutter="0" w:footer="0" w:header="0"/>
        </w:sectPr>
      </w:pPr>
    </w:p>
    <w:bookmarkStart w:id="291" w:name="page292"/>
    <w:bookmarkEnd w:id="2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80" w:firstLine="415"/>
        <w:spacing w:after="0" w:line="273" w:lineRule="auto"/>
        <w:rPr>
          <w:sz w:val="20"/>
          <w:szCs w:val="20"/>
          <w:color w:val="auto"/>
        </w:rPr>
      </w:pPr>
      <w:r>
        <w:rPr>
          <w:rFonts w:ascii="Arial" w:cs="Arial" w:eastAsia="Arial" w:hAnsi="Arial"/>
          <w:sz w:val="17"/>
          <w:szCs w:val="17"/>
          <w:color w:val="auto"/>
        </w:rPr>
        <w:t>The opening and closing balances of the Company’s receivables, deferred contract costs and contract liabilities from contracts with customers are as follows at the dates presented (in thousands):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2020</w:t>
            </w:r>
          </w:p>
        </w:tc>
      </w:tr>
      <w:tr>
        <w:trPr>
          <w:trHeight w:val="19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22,818</w:t>
            </w:r>
          </w:p>
        </w:tc>
        <w:tc>
          <w:tcPr>
            <w:tcW w:w="8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33,108</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5060" w:type="dxa"/>
            <w:vAlign w:val="bottom"/>
          </w:tcPr>
          <w:p>
            <w:pPr>
              <w:spacing w:after="0"/>
              <w:rPr>
                <w:sz w:val="20"/>
                <w:szCs w:val="20"/>
                <w:color w:val="auto"/>
              </w:rPr>
            </w:pPr>
            <w:r>
              <w:rPr>
                <w:rFonts w:ascii="Arial" w:cs="Arial" w:eastAsia="Arial" w:hAnsi="Arial"/>
                <w:sz w:val="17"/>
                <w:szCs w:val="17"/>
                <w:color w:val="auto"/>
              </w:rPr>
              <w:t>Deferred contract costs</w:t>
            </w:r>
          </w:p>
        </w:tc>
        <w:tc>
          <w:tcPr>
            <w:tcW w:w="200" w:type="dxa"/>
            <w:vAlign w:val="bottom"/>
          </w:tcPr>
          <w:p>
            <w:pPr>
              <w:spacing w:after="0"/>
              <w:rPr>
                <w:sz w:val="17"/>
                <w:szCs w:val="17"/>
                <w:color w:val="auto"/>
              </w:rPr>
            </w:pPr>
          </w:p>
        </w:tc>
        <w:tc>
          <w:tcPr>
            <w:tcW w:w="1480" w:type="dxa"/>
            <w:vAlign w:val="bottom"/>
            <w:gridSpan w:val="2"/>
          </w:tcPr>
          <w:p>
            <w:pPr>
              <w:jc w:val="right"/>
              <w:ind w:right="880"/>
              <w:spacing w:after="0"/>
              <w:rPr>
                <w:sz w:val="20"/>
                <w:szCs w:val="20"/>
                <w:color w:val="auto"/>
              </w:rPr>
            </w:pPr>
            <w:r>
              <w:rPr>
                <w:rFonts w:ascii="Arial" w:cs="Arial" w:eastAsia="Arial" w:hAnsi="Arial"/>
                <w:sz w:val="17"/>
                <w:szCs w:val="17"/>
                <w:color w:val="auto"/>
              </w:rPr>
              <w:t>4,549</w:t>
            </w:r>
          </w:p>
        </w:tc>
        <w:tc>
          <w:tcPr>
            <w:tcW w:w="3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2,947</w:t>
            </w:r>
          </w:p>
        </w:tc>
      </w:tr>
      <w:tr>
        <w:trPr>
          <w:trHeight w:val="204"/>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Long-term deferred contract costs</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7"/>
                <w:szCs w:val="17"/>
                <w:color w:val="auto"/>
              </w:rPr>
              <w:t>8,490</w:t>
            </w:r>
          </w:p>
        </w:tc>
        <w:tc>
          <w:tcPr>
            <w:tcW w:w="3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5,952</w:t>
            </w:r>
          </w:p>
        </w:tc>
      </w:tr>
      <w:tr>
        <w:trPr>
          <w:trHeight w:val="215"/>
        </w:trPr>
        <w:tc>
          <w:tcPr>
            <w:tcW w:w="5060" w:type="dxa"/>
            <w:vAlign w:val="bottom"/>
          </w:tcPr>
          <w:p>
            <w:pPr>
              <w:spacing w:after="0"/>
              <w:rPr>
                <w:sz w:val="20"/>
                <w:szCs w:val="20"/>
                <w:color w:val="auto"/>
              </w:rPr>
            </w:pPr>
            <w:r>
              <w:rPr>
                <w:rFonts w:ascii="Arial" w:cs="Arial" w:eastAsia="Arial" w:hAnsi="Arial"/>
                <w:sz w:val="17"/>
                <w:szCs w:val="17"/>
                <w:color w:val="auto"/>
              </w:rPr>
              <w:t>Deferred revenue</w:t>
            </w:r>
          </w:p>
        </w:tc>
        <w:tc>
          <w:tcPr>
            <w:tcW w:w="200" w:type="dxa"/>
            <w:vAlign w:val="bottom"/>
          </w:tcPr>
          <w:p>
            <w:pPr>
              <w:spacing w:after="0"/>
              <w:rPr>
                <w:sz w:val="18"/>
                <w:szCs w:val="18"/>
                <w:color w:val="auto"/>
              </w:rPr>
            </w:pPr>
          </w:p>
        </w:tc>
        <w:tc>
          <w:tcPr>
            <w:tcW w:w="1480" w:type="dxa"/>
            <w:vAlign w:val="bottom"/>
            <w:gridSpan w:val="2"/>
          </w:tcPr>
          <w:p>
            <w:pPr>
              <w:jc w:val="right"/>
              <w:ind w:right="880"/>
              <w:spacing w:after="0"/>
              <w:rPr>
                <w:sz w:val="20"/>
                <w:szCs w:val="20"/>
                <w:color w:val="auto"/>
              </w:rPr>
            </w:pPr>
            <w:r>
              <w:rPr>
                <w:rFonts w:ascii="Arial" w:cs="Arial" w:eastAsia="Arial" w:hAnsi="Arial"/>
                <w:sz w:val="17"/>
                <w:szCs w:val="17"/>
                <w:color w:val="auto"/>
              </w:rPr>
              <w:t>69,121</w:t>
            </w:r>
          </w:p>
        </w:tc>
        <w:tc>
          <w:tcPr>
            <w:tcW w:w="3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61,200</w:t>
            </w:r>
          </w:p>
        </w:tc>
      </w:tr>
    </w:tbl>
    <w:p>
      <w:pPr>
        <w:spacing w:after="0" w:line="281"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Deferred Contract Costs</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 summary of the activity impacting the deferred contract costs is presented below (in thousands):</w:t>
      </w:r>
    </w:p>
    <w:p>
      <w:pPr>
        <w:spacing w:after="0" w:line="20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Year End</w:t>
            </w:r>
          </w:p>
        </w:tc>
        <w:tc>
          <w:tcPr>
            <w:tcW w:w="0" w:type="dxa"/>
            <w:vAlign w:val="bottom"/>
          </w:tcPr>
          <w:p>
            <w:pPr>
              <w:spacing w:after="0"/>
              <w:rPr>
                <w:sz w:val="1"/>
                <w:szCs w:val="1"/>
                <w:color w:val="auto"/>
              </w:rPr>
            </w:pPr>
          </w:p>
        </w:tc>
      </w:tr>
      <w:tr>
        <w:trPr>
          <w:trHeight w:val="160"/>
        </w:trPr>
        <w:tc>
          <w:tcPr>
            <w:tcW w:w="4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w w:val="87"/>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8,899</w:t>
            </w: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60" w:type="dxa"/>
            <w:vAlign w:val="bottom"/>
          </w:tcPr>
          <w:p>
            <w:pPr>
              <w:ind w:left="340"/>
              <w:spacing w:after="0"/>
              <w:rPr>
                <w:sz w:val="20"/>
                <w:szCs w:val="20"/>
                <w:color w:val="auto"/>
              </w:rPr>
            </w:pPr>
            <w:r>
              <w:rPr>
                <w:rFonts w:ascii="Arial" w:cs="Arial" w:eastAsia="Arial" w:hAnsi="Arial"/>
                <w:sz w:val="17"/>
                <w:szCs w:val="17"/>
                <w:color w:val="auto"/>
              </w:rPr>
              <w:t>Additional amounts deferred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6,042</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7,684</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amortized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jc w:val="right"/>
              <w:ind w:right="1000"/>
              <w:spacing w:after="0"/>
              <w:rPr>
                <w:sz w:val="20"/>
                <w:szCs w:val="20"/>
                <w:color w:val="auto"/>
              </w:rPr>
            </w:pPr>
            <w:r>
              <w:rPr>
                <w:rFonts w:ascii="Arial" w:cs="Arial" w:eastAsia="Arial" w:hAnsi="Arial"/>
                <w:sz w:val="17"/>
                <w:szCs w:val="17"/>
                <w:color w:val="auto"/>
              </w:rPr>
              <w:t>(1,902)</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(1,670)</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7"/>
                <w:szCs w:val="17"/>
                <w:color w:val="auto"/>
              </w:rPr>
              <w:t>Balance at end of period</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13,039</w:t>
            </w: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8,899</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Classified as: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60" w:type="dxa"/>
            <w:vAlign w:val="bottom"/>
          </w:tcPr>
          <w:p>
            <w:pPr>
              <w:ind w:left="340"/>
              <w:spacing w:after="0"/>
              <w:rPr>
                <w:sz w:val="20"/>
                <w:szCs w:val="20"/>
                <w:color w:val="auto"/>
              </w:rPr>
            </w:pPr>
            <w:r>
              <w:rPr>
                <w:rFonts w:ascii="Arial" w:cs="Arial" w:eastAsia="Arial" w:hAnsi="Arial"/>
                <w:sz w:val="17"/>
                <w:szCs w:val="17"/>
                <w:color w:val="auto"/>
              </w:rPr>
              <w:t>Current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4,549</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2,947</w:t>
            </w:r>
          </w:p>
        </w:tc>
        <w:tc>
          <w:tcPr>
            <w:tcW w:w="0" w:type="dxa"/>
            <w:vAlign w:val="bottom"/>
          </w:tcPr>
          <w:p>
            <w:pPr>
              <w:spacing w:after="0"/>
              <w:rPr>
                <w:sz w:val="1"/>
                <w:szCs w:val="1"/>
                <w:color w:val="auto"/>
              </w:rPr>
            </w:pPr>
          </w:p>
        </w:tc>
      </w:tr>
      <w:tr>
        <w:trPr>
          <w:trHeight w:val="204"/>
        </w:trPr>
        <w:tc>
          <w:tcPr>
            <w:tcW w:w="45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Non-current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8,490</w:t>
            </w: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5,952</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7"/>
                <w:szCs w:val="17"/>
                <w:color w:val="auto"/>
              </w:rPr>
              <w:t>Total deferred contract costs (deferred commissions)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vMerge w:val="continue"/>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7"/>
                <w:szCs w:val="17"/>
                <w:color w:val="auto"/>
              </w:rPr>
              <w:t>13,039</w:t>
            </w:r>
          </w:p>
        </w:tc>
        <w:tc>
          <w:tcPr>
            <w:tcW w:w="10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8,899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10" w:lineRule="exact"/>
        <w:rPr>
          <w:sz w:val="20"/>
          <w:szCs w:val="20"/>
          <w:color w:val="auto"/>
        </w:rPr>
      </w:pPr>
    </w:p>
    <w:p>
      <w:pPr>
        <w:ind w:left="440" w:right="140" w:firstLine="415"/>
        <w:spacing w:after="0" w:line="273" w:lineRule="auto"/>
        <w:rPr>
          <w:sz w:val="20"/>
          <w:szCs w:val="20"/>
          <w:color w:val="auto"/>
        </w:rPr>
      </w:pPr>
      <w:r>
        <w:rPr>
          <w:rFonts w:ascii="Arial" w:cs="Arial" w:eastAsia="Arial" w:hAnsi="Arial"/>
          <w:sz w:val="17"/>
          <w:szCs w:val="17"/>
          <w:color w:val="auto"/>
        </w:rPr>
        <w:t>A summary of the activity impacting deferred revenue balances during the six months ended June 30, 2021, and year Ended December 31, 2020, is presented below (in thousands):</w:t>
      </w:r>
    </w:p>
    <w:p>
      <w:pPr>
        <w:spacing w:after="0" w:line="162"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08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60"/>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w w:val="87"/>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61,200</w:t>
            </w:r>
          </w:p>
        </w:tc>
        <w:tc>
          <w:tcPr>
            <w:tcW w:w="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46,125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Revenue recognized</w:t>
            </w:r>
          </w:p>
        </w:tc>
        <w:tc>
          <w:tcPr>
            <w:tcW w:w="120" w:type="dxa"/>
            <w:vAlign w:val="bottom"/>
          </w:tcPr>
          <w:p>
            <w:pPr>
              <w:spacing w:after="0"/>
              <w:rPr>
                <w:sz w:val="17"/>
                <w:szCs w:val="17"/>
                <w:color w:val="auto"/>
              </w:rPr>
            </w:pPr>
          </w:p>
        </w:tc>
        <w:tc>
          <w:tcPr>
            <w:tcW w:w="1960" w:type="dxa"/>
            <w:vAlign w:val="bottom"/>
            <w:gridSpan w:val="3"/>
          </w:tcPr>
          <w:p>
            <w:pPr>
              <w:jc w:val="right"/>
              <w:ind w:right="940"/>
              <w:spacing w:after="0"/>
              <w:rPr>
                <w:sz w:val="20"/>
                <w:szCs w:val="20"/>
                <w:color w:val="auto"/>
              </w:rPr>
            </w:pPr>
            <w:r>
              <w:rPr>
                <w:rFonts w:ascii="Arial" w:cs="Arial" w:eastAsia="Arial" w:hAnsi="Arial"/>
                <w:sz w:val="17"/>
                <w:szCs w:val="17"/>
                <w:color w:val="auto"/>
              </w:rPr>
              <w:t>(76,757)</w:t>
            </w:r>
          </w:p>
        </w:tc>
        <w:tc>
          <w:tcPr>
            <w:tcW w:w="1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(118,317)</w:t>
            </w:r>
          </w:p>
        </w:tc>
        <w:tc>
          <w:tcPr>
            <w:tcW w:w="0" w:type="dxa"/>
            <w:vAlign w:val="bottom"/>
          </w:tcPr>
          <w:p>
            <w:pPr>
              <w:spacing w:after="0"/>
              <w:rPr>
                <w:sz w:val="1"/>
                <w:szCs w:val="1"/>
                <w:color w:val="auto"/>
              </w:rPr>
            </w:pPr>
          </w:p>
        </w:tc>
      </w:tr>
      <w:tr>
        <w:trPr>
          <w:trHeight w:val="204"/>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Additional amounts deferred</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84,678</w:t>
            </w:r>
          </w:p>
        </w:tc>
        <w:tc>
          <w:tcPr>
            <w:tcW w:w="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133,392</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340"/>
              <w:spacing w:after="0"/>
              <w:rPr>
                <w:sz w:val="20"/>
                <w:szCs w:val="20"/>
                <w:color w:val="auto"/>
              </w:rPr>
            </w:pPr>
            <w:r>
              <w:rPr>
                <w:rFonts w:ascii="Arial" w:cs="Arial" w:eastAsia="Arial" w:hAnsi="Arial"/>
                <w:sz w:val="17"/>
                <w:szCs w:val="17"/>
                <w:color w:val="auto"/>
              </w:rPr>
              <w:t>Balance at end of period</w:t>
            </w: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69,121</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61,200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840"/>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10" w:lineRule="exact"/>
        <w:rPr>
          <w:sz w:val="20"/>
          <w:szCs w:val="20"/>
          <w:color w:val="auto"/>
        </w:rPr>
      </w:pPr>
    </w:p>
    <w:p>
      <w:pPr>
        <w:ind w:left="440" w:firstLine="415"/>
        <w:spacing w:after="0" w:line="272" w:lineRule="auto"/>
        <w:rPr>
          <w:sz w:val="20"/>
          <w:szCs w:val="20"/>
          <w:color w:val="auto"/>
        </w:rPr>
      </w:pPr>
      <w:r>
        <w:rPr>
          <w:rFonts w:ascii="Arial" w:cs="Arial" w:eastAsia="Arial" w:hAnsi="Arial"/>
          <w:sz w:val="16"/>
          <w:szCs w:val="16"/>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0800"/>
          </w:cols>
          <w:pgMar w:left="320" w:top="442" w:right="779" w:bottom="1440" w:gutter="0" w:footer="0" w:header="0"/>
        </w:sectPr>
      </w:pPr>
    </w:p>
    <w:bookmarkStart w:id="292" w:name="page293"/>
    <w:bookmarkEnd w:id="2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89535</wp:posOffset>
            </wp:positionV>
            <wp:extent cx="7181850" cy="368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remaining performance obligations consisted of the following (in thousands):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2020</w:t>
            </w:r>
          </w:p>
        </w:tc>
      </w:tr>
      <w:tr>
        <w:trPr>
          <w:trHeight w:val="196"/>
        </w:trPr>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Current</w:t>
            </w:r>
          </w:p>
        </w:tc>
        <w:tc>
          <w:tcPr>
            <w:tcW w:w="2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123,756</w:t>
            </w:r>
          </w:p>
        </w:tc>
        <w:tc>
          <w:tcPr>
            <w:tcW w:w="8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114,284</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2940" w:type="dxa"/>
            <w:vAlign w:val="bottom"/>
          </w:tcPr>
          <w:p>
            <w:pPr>
              <w:spacing w:after="0"/>
              <w:rPr>
                <w:sz w:val="20"/>
                <w:szCs w:val="20"/>
                <w:color w:val="auto"/>
              </w:rPr>
            </w:pPr>
            <w:r>
              <w:rPr>
                <w:rFonts w:ascii="Arial" w:cs="Arial" w:eastAsia="Arial" w:hAnsi="Arial"/>
                <w:sz w:val="17"/>
                <w:szCs w:val="17"/>
                <w:color w:val="auto"/>
              </w:rPr>
              <w:t>Noncurrent</w:t>
            </w: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7"/>
                <w:szCs w:val="17"/>
                <w:color w:val="auto"/>
              </w:rPr>
              <w:t>71,468</w:t>
            </w:r>
          </w:p>
        </w:tc>
        <w:tc>
          <w:tcPr>
            <w:tcW w:w="3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58,250</w:t>
            </w:r>
          </w:p>
        </w:tc>
      </w:tr>
      <w:tr>
        <w:trPr>
          <w:trHeight w:val="25"/>
        </w:trPr>
        <w:tc>
          <w:tcPr>
            <w:tcW w:w="29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340" w:type="dxa"/>
            <w:vAlign w:val="bottom"/>
            <w:gridSpan w:val="2"/>
            <w:shd w:val="clear" w:color="auto" w:fill="CCEEFF"/>
          </w:tcPr>
          <w:p>
            <w:pPr>
              <w:ind w:left="2180"/>
              <w:spacing w:after="0"/>
              <w:rPr>
                <w:sz w:val="20"/>
                <w:szCs w:val="20"/>
                <w:color w:val="auto"/>
              </w:rPr>
            </w:pPr>
            <w:r>
              <w:rPr>
                <w:rFonts w:ascii="Arial" w:cs="Arial" w:eastAsia="Arial" w:hAnsi="Arial"/>
                <w:sz w:val="17"/>
                <w:szCs w:val="17"/>
                <w:color w:val="auto"/>
              </w:rPr>
              <w:t>$</w:t>
            </w:r>
          </w:p>
        </w:tc>
        <w:tc>
          <w:tcPr>
            <w:tcW w:w="1460" w:type="dxa"/>
            <w:vAlign w:val="bottom"/>
            <w:gridSpan w:val="2"/>
            <w:shd w:val="clear" w:color="auto" w:fill="CCEEFF"/>
          </w:tcPr>
          <w:p>
            <w:pPr>
              <w:jc w:val="right"/>
              <w:ind w:right="840"/>
              <w:spacing w:after="0"/>
              <w:rPr>
                <w:sz w:val="20"/>
                <w:szCs w:val="20"/>
                <w:color w:val="auto"/>
              </w:rPr>
            </w:pPr>
            <w:r>
              <w:rPr>
                <w:rFonts w:ascii="Arial" w:cs="Arial" w:eastAsia="Arial" w:hAnsi="Arial"/>
                <w:sz w:val="17"/>
                <w:szCs w:val="17"/>
                <w:color w:val="auto"/>
                <w:w w:val="97"/>
              </w:rPr>
              <w:t>195,224</w:t>
            </w: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172,534</w:t>
            </w:r>
          </w:p>
        </w:tc>
      </w:tr>
      <w:tr>
        <w:trPr>
          <w:trHeight w:val="20"/>
        </w:trPr>
        <w:tc>
          <w:tcPr>
            <w:tcW w:w="29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0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Accounts Receivable</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Accounts receivable consisted of the following (in thousands):</w:t>
      </w:r>
    </w:p>
    <w:p>
      <w:pPr>
        <w:spacing w:after="0" w:line="228"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68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23,309</w:t>
            </w:r>
          </w:p>
        </w:tc>
        <w:tc>
          <w:tcPr>
            <w:tcW w:w="96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33,635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Unbilled receivable</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236</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Borders>
              <w:lef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23,545</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33,964</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ind w:left="340"/>
              <w:spacing w:after="0"/>
              <w:rPr>
                <w:sz w:val="20"/>
                <w:szCs w:val="20"/>
                <w:color w:val="auto"/>
              </w:rPr>
            </w:pPr>
            <w:r>
              <w:rPr>
                <w:rFonts w:ascii="Arial" w:cs="Arial" w:eastAsia="Arial" w:hAnsi="Arial"/>
                <w:sz w:val="17"/>
                <w:szCs w:val="17"/>
                <w:color w:val="auto"/>
              </w:rPr>
              <w:t>Less: allowance for doubtful accounts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860"/>
              <w:spacing w:after="0"/>
              <w:rPr>
                <w:sz w:val="20"/>
                <w:szCs w:val="20"/>
                <w:color w:val="auto"/>
              </w:rPr>
            </w:pPr>
            <w:r>
              <w:rPr>
                <w:rFonts w:ascii="Arial" w:cs="Arial" w:eastAsia="Arial" w:hAnsi="Arial"/>
                <w:sz w:val="17"/>
                <w:szCs w:val="17"/>
                <w:color w:val="auto"/>
              </w:rPr>
              <w:t>(727)</w:t>
            </w:r>
          </w:p>
        </w:tc>
        <w:tc>
          <w:tcPr>
            <w:tcW w:w="3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Borders>
              <w:lef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Accounts receivable, net</w:t>
            </w: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22,818</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33,108</w:t>
            </w: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55"/>
              <w:spacing w:after="0"/>
              <w:rPr>
                <w:sz w:val="20"/>
                <w:szCs w:val="20"/>
                <w:color w:val="auto"/>
              </w:rPr>
            </w:pPr>
            <w:r>
              <w:rPr>
                <w:rFonts w:ascii="Arial" w:cs="Arial" w:eastAsia="Arial" w:hAnsi="Arial"/>
                <w:sz w:val="17"/>
                <w:szCs w:val="17"/>
                <w:b w:val="1"/>
                <w:bCs w:val="1"/>
                <w:color w:val="auto"/>
                <w:w w:val="70"/>
              </w:rPr>
              <w:t>6.</w:t>
            </w:r>
          </w:p>
        </w:tc>
        <w:tc>
          <w:tcPr>
            <w:tcW w:w="5280" w:type="dxa"/>
            <w:vAlign w:val="bottom"/>
            <w:gridSpan w:val="2"/>
            <w:vMerge w:val="restart"/>
          </w:tcPr>
          <w:p>
            <w:pPr>
              <w:ind w:left="140"/>
              <w:spacing w:after="0"/>
              <w:rPr>
                <w:sz w:val="20"/>
                <w:szCs w:val="20"/>
                <w:color w:val="auto"/>
              </w:rPr>
            </w:pPr>
            <w:r>
              <w:rPr>
                <w:rFonts w:ascii="Arial" w:cs="Arial" w:eastAsia="Arial" w:hAnsi="Arial"/>
                <w:sz w:val="17"/>
                <w:szCs w:val="17"/>
                <w:b w:val="1"/>
                <w:bCs w:val="1"/>
                <w:i w:val="1"/>
                <w:iCs w:val="1"/>
                <w:color w:val="auto"/>
              </w:rPr>
              <w:t>Property and Equipment</w:t>
            </w: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7"/>
        </w:trPr>
        <w:tc>
          <w:tcPr>
            <w:tcW w:w="260" w:type="dxa"/>
            <w:vAlign w:val="bottom"/>
            <w:vMerge w:val="continue"/>
          </w:tcPr>
          <w:p>
            <w:pPr>
              <w:spacing w:after="0"/>
              <w:rPr>
                <w:sz w:val="24"/>
                <w:szCs w:val="24"/>
                <w:color w:val="auto"/>
              </w:rPr>
            </w:pPr>
          </w:p>
        </w:tc>
        <w:tc>
          <w:tcPr>
            <w:tcW w:w="52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60" w:type="dxa"/>
            <w:vAlign w:val="bottom"/>
          </w:tcPr>
          <w:p>
            <w:pPr>
              <w:spacing w:after="0"/>
              <w:rPr>
                <w:sz w:val="24"/>
                <w:szCs w:val="24"/>
                <w:color w:val="auto"/>
              </w:rPr>
            </w:pPr>
          </w:p>
        </w:tc>
        <w:tc>
          <w:tcPr>
            <w:tcW w:w="5280" w:type="dxa"/>
            <w:vAlign w:val="bottom"/>
            <w:gridSpan w:val="2"/>
          </w:tcPr>
          <w:p>
            <w:pPr>
              <w:ind w:left="140"/>
              <w:spacing w:after="0"/>
              <w:rPr>
                <w:sz w:val="20"/>
                <w:szCs w:val="20"/>
                <w:color w:val="auto"/>
              </w:rPr>
            </w:pPr>
            <w:r>
              <w:rPr>
                <w:rFonts w:ascii="Arial" w:cs="Arial" w:eastAsia="Arial" w:hAnsi="Arial"/>
                <w:sz w:val="17"/>
                <w:szCs w:val="17"/>
                <w:color w:val="auto"/>
              </w:rPr>
              <w:t>Property and equipment consisted of the following (in thousands):</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Computers and software</w:t>
            </w:r>
          </w:p>
        </w:tc>
        <w:tc>
          <w:tcPr>
            <w:tcW w:w="68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3,853</w:t>
            </w:r>
          </w:p>
        </w:tc>
        <w:tc>
          <w:tcPr>
            <w:tcW w:w="96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Furniture and equipment</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1,115</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1,109</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1,781</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Construction in process</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1,228</w:t>
            </w: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7,992</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6,159</w:t>
            </w:r>
          </w:p>
        </w:tc>
        <w:tc>
          <w:tcPr>
            <w:tcW w:w="0" w:type="dxa"/>
            <w:vAlign w:val="bottom"/>
          </w:tcPr>
          <w:p>
            <w:pPr>
              <w:spacing w:after="0"/>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tcPr>
          <w:p>
            <w:pPr>
              <w:ind w:left="340"/>
              <w:spacing w:after="0"/>
              <w:rPr>
                <w:sz w:val="20"/>
                <w:szCs w:val="20"/>
                <w:color w:val="auto"/>
              </w:rPr>
            </w:pPr>
            <w:r>
              <w:rPr>
                <w:rFonts w:ascii="Arial" w:cs="Arial" w:eastAsia="Arial" w:hAnsi="Arial"/>
                <w:sz w:val="17"/>
                <w:szCs w:val="17"/>
                <w:color w:val="auto"/>
              </w:rPr>
              <w:t>Less: accumulated depreciation and amortization</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7"/>
                <w:szCs w:val="17"/>
                <w:color w:val="auto"/>
              </w:rPr>
              <w:t>(3,652)</w:t>
            </w:r>
          </w:p>
        </w:tc>
        <w:tc>
          <w:tcPr>
            <w:tcW w:w="3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(2,911)</w:t>
            </w: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68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4,340</w:t>
            </w:r>
          </w:p>
        </w:tc>
        <w:tc>
          <w:tcPr>
            <w:tcW w:w="960" w:type="dxa"/>
            <w:vAlign w:val="bottom"/>
            <w:tcBorders>
              <w:left w:val="single" w:sz="8" w:color="CCEEFF"/>
            </w:tcBorders>
            <w:shd w:val="clear" w:color="auto" w:fill="CCEEFF"/>
          </w:tcPr>
          <w:p>
            <w:pPr>
              <w:spacing w:after="0"/>
              <w:rPr>
                <w:sz w:val="17"/>
                <w:szCs w:val="17"/>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5"/>
          <w:szCs w:val="15"/>
          <w:color w:val="auto"/>
        </w:rPr>
        <w:t>Depreciation and amortization expense was $0.7 million and $0.5 million for the six months ended June 30, 2021 and 2020, respectively.</w:t>
      </w:r>
    </w:p>
    <w:p>
      <w:pPr>
        <w:spacing w:after="0" w:line="374" w:lineRule="exact"/>
        <w:rPr>
          <w:sz w:val="20"/>
          <w:szCs w:val="20"/>
          <w:color w:val="auto"/>
        </w:rPr>
      </w:pPr>
    </w:p>
    <w:p>
      <w:pPr>
        <w:ind w:left="840" w:hanging="406"/>
        <w:spacing w:after="0"/>
        <w:tabs>
          <w:tab w:leader="none" w:pos="840" w:val="left"/>
        </w:tabs>
        <w:numPr>
          <w:ilvl w:val="0"/>
          <w:numId w:val="20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Goodwill and Intangible Assets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5"/>
          <w:szCs w:val="15"/>
          <w:color w:val="auto"/>
        </w:rPr>
        <w:t>The carrying amounts of goodwill and intangible assets, as of June 30, 2021 and December 31, 2020, consist of the following (in thousands):</w:t>
      </w:r>
    </w:p>
    <w:p>
      <w:pPr>
        <w:spacing w:after="0" w:line="251"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30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40" w:type="dxa"/>
            <w:vAlign w:val="bottom"/>
            <w:gridSpan w:val="2"/>
          </w:tcPr>
          <w:p>
            <w:pPr>
              <w:spacing w:after="0" w:line="114" w:lineRule="exact"/>
              <w:rPr>
                <w:sz w:val="20"/>
                <w:szCs w:val="20"/>
                <w:color w:val="auto"/>
              </w:rPr>
            </w:pPr>
            <w:r>
              <w:rPr>
                <w:rFonts w:ascii="Arial" w:cs="Arial" w:eastAsia="Arial" w:hAnsi="Arial"/>
                <w:sz w:val="12"/>
                <w:szCs w:val="12"/>
                <w:color w:val="auto"/>
              </w:rPr>
              <w:t>Gross Carrying</w:t>
            </w:r>
          </w:p>
        </w:tc>
        <w:tc>
          <w:tcPr>
            <w:tcW w:w="1500" w:type="dxa"/>
            <w:vAlign w:val="bottom"/>
            <w:gridSpan w:val="4"/>
          </w:tcPr>
          <w:p>
            <w:pPr>
              <w:ind w:left="480"/>
              <w:spacing w:after="0" w:line="114" w:lineRule="exact"/>
              <w:rPr>
                <w:sz w:val="20"/>
                <w:szCs w:val="20"/>
                <w:color w:val="auto"/>
              </w:rPr>
            </w:pPr>
            <w:r>
              <w:rPr>
                <w:rFonts w:ascii="Arial" w:cs="Arial" w:eastAsia="Arial" w:hAnsi="Arial"/>
                <w:sz w:val="12"/>
                <w:szCs w:val="12"/>
                <w:color w:val="auto"/>
              </w:rPr>
              <w:t>Accumulated</w:t>
            </w:r>
          </w:p>
        </w:tc>
        <w:tc>
          <w:tcPr>
            <w:tcW w:w="24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2"/>
                <w:szCs w:val="12"/>
                <w:color w:val="auto"/>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17"/>
              <w:spacing w:after="0" w:line="158" w:lineRule="exact"/>
              <w:rPr>
                <w:sz w:val="20"/>
                <w:szCs w:val="20"/>
                <w:color w:val="auto"/>
              </w:rPr>
            </w:pPr>
            <w:r>
              <w:rPr>
                <w:rFonts w:ascii="Arial" w:cs="Arial" w:eastAsia="Arial" w:hAnsi="Arial"/>
                <w:sz w:val="14"/>
                <w:szCs w:val="14"/>
                <w:color w:val="auto"/>
              </w:rPr>
              <w:t>Amount</w:t>
            </w:r>
          </w:p>
        </w:tc>
        <w:tc>
          <w:tcPr>
            <w:tcW w:w="1500" w:type="dxa"/>
            <w:vAlign w:val="bottom"/>
            <w:gridSpan w:val="4"/>
          </w:tcPr>
          <w:p>
            <w:pPr>
              <w:ind w:left="480"/>
              <w:spacing w:after="0" w:line="158" w:lineRule="exact"/>
              <w:rPr>
                <w:sz w:val="20"/>
                <w:szCs w:val="20"/>
                <w:color w:val="auto"/>
              </w:rPr>
            </w:pPr>
            <w:r>
              <w:rPr>
                <w:rFonts w:ascii="Arial" w:cs="Arial" w:eastAsia="Arial" w:hAnsi="Arial"/>
                <w:sz w:val="14"/>
                <w:szCs w:val="14"/>
                <w:color w:val="auto"/>
              </w:rPr>
              <w:t>Amortization</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Finite-lived intangible assets:</w:t>
            </w:r>
          </w:p>
        </w:tc>
        <w:tc>
          <w:tcPr>
            <w:tcW w:w="2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2120" w:type="dxa"/>
            <w:vAlign w:val="bottom"/>
            <w:gridSpan w:val="2"/>
          </w:tcPr>
          <w:p>
            <w:pPr>
              <w:ind w:left="20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370,030</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(75,376)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294,654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(13,818)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35,500</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(3,985)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31,515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(24,720)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20" w:type="dxa"/>
            <w:vAlign w:val="bottom"/>
            <w:gridSpan w:val="2"/>
            <w:vMerge w:val="continue"/>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499,286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w w:val="90"/>
              </w:rPr>
              <w:t>(117,899)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381,387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2120" w:type="dxa"/>
            <w:vAlign w:val="bottom"/>
            <w:gridSpan w:val="2"/>
          </w:tcPr>
          <w:p>
            <w:pPr>
              <w:ind w:left="200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1,760,730</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w w:val="90"/>
              </w:rPr>
              <w:t>(117,899)</w:t>
            </w:r>
          </w:p>
        </w:tc>
        <w:tc>
          <w:tcPr>
            <w:tcW w:w="3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7"/>
              </w:rPr>
              <w:t>1,642,831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20" w:type="dxa"/>
            <w:vAlign w:val="bottom"/>
            <w:gridSpan w:val="2"/>
          </w:tcPr>
          <w:p>
            <w:pPr>
              <w:ind w:left="880"/>
              <w:spacing w:after="0"/>
              <w:rPr>
                <w:sz w:val="20"/>
                <w:szCs w:val="20"/>
                <w:color w:val="auto"/>
              </w:rPr>
            </w:pPr>
            <w:r>
              <w:rPr>
                <w:rFonts w:ascii="Arial" w:cs="Arial" w:eastAsia="Arial" w:hAnsi="Arial"/>
                <w:sz w:val="17"/>
                <w:szCs w:val="17"/>
                <w:color w:val="auto"/>
              </w:rPr>
              <w:t>F-66</w:t>
            </w: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20"/>
          </w:cols>
          <w:pgMar w:left="320" w:top="442" w:right="1159" w:bottom="1440" w:gutter="0" w:footer="0" w:header="0"/>
        </w:sectPr>
      </w:pPr>
    </w:p>
    <w:bookmarkStart w:id="293" w:name="page294"/>
    <w:bookmarkEnd w:id="2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spacing w:after="0" w:line="114" w:lineRule="exact"/>
              <w:rPr>
                <w:sz w:val="20"/>
                <w:szCs w:val="20"/>
                <w:color w:val="auto"/>
              </w:rPr>
            </w:pPr>
            <w:r>
              <w:rPr>
                <w:rFonts w:ascii="Arial" w:cs="Arial" w:eastAsia="Arial" w:hAnsi="Arial"/>
                <w:sz w:val="12"/>
                <w:szCs w:val="12"/>
                <w:color w:val="auto"/>
                <w:w w:val="99"/>
              </w:rPr>
              <w:t>Gross Carrying</w:t>
            </w:r>
          </w:p>
        </w:tc>
        <w:tc>
          <w:tcPr>
            <w:tcW w:w="1560" w:type="dxa"/>
            <w:vAlign w:val="bottom"/>
            <w:gridSpan w:val="4"/>
          </w:tcPr>
          <w:p>
            <w:pPr>
              <w:ind w:left="480"/>
              <w:spacing w:after="0" w:line="114" w:lineRule="exact"/>
              <w:rPr>
                <w:sz w:val="20"/>
                <w:szCs w:val="20"/>
                <w:color w:val="auto"/>
              </w:rPr>
            </w:pPr>
            <w:r>
              <w:rPr>
                <w:rFonts w:ascii="Arial" w:cs="Arial" w:eastAsia="Arial" w:hAnsi="Arial"/>
                <w:sz w:val="12"/>
                <w:szCs w:val="12"/>
                <w:color w:val="auto"/>
              </w:rPr>
              <w:t>Accumulated</w:t>
            </w:r>
          </w:p>
        </w:tc>
        <w:tc>
          <w:tcPr>
            <w:tcW w:w="180" w:type="dxa"/>
            <w:vAlign w:val="bottom"/>
          </w:tcPr>
          <w:p>
            <w:pPr>
              <w:spacing w:after="0"/>
              <w:rPr>
                <w:sz w:val="9"/>
                <w:szCs w:val="9"/>
                <w:color w:val="auto"/>
              </w:rPr>
            </w:pPr>
          </w:p>
        </w:tc>
        <w:tc>
          <w:tcPr>
            <w:tcW w:w="780" w:type="dxa"/>
            <w:vAlign w:val="bottom"/>
            <w:gridSpan w:val="2"/>
          </w:tcPr>
          <w:p>
            <w:pPr>
              <w:jc w:val="center"/>
              <w:spacing w:after="0" w:line="114" w:lineRule="exact"/>
              <w:rPr>
                <w:sz w:val="20"/>
                <w:szCs w:val="20"/>
                <w:color w:val="auto"/>
              </w:rPr>
            </w:pPr>
            <w:r>
              <w:rPr>
                <w:rFonts w:ascii="Arial" w:cs="Arial" w:eastAsia="Arial" w:hAnsi="Arial"/>
                <w:sz w:val="12"/>
                <w:szCs w:val="12"/>
                <w:color w:val="auto"/>
              </w:rPr>
              <w:t>Net Carrying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117"/>
              <w:spacing w:after="0" w:line="158" w:lineRule="exact"/>
              <w:rPr>
                <w:sz w:val="20"/>
                <w:szCs w:val="20"/>
                <w:color w:val="auto"/>
              </w:rPr>
            </w:pPr>
            <w:r>
              <w:rPr>
                <w:rFonts w:ascii="Arial" w:cs="Arial" w:eastAsia="Arial" w:hAnsi="Arial"/>
                <w:sz w:val="14"/>
                <w:szCs w:val="14"/>
                <w:color w:val="auto"/>
              </w:rPr>
              <w:t>Amount</w:t>
            </w:r>
          </w:p>
        </w:tc>
        <w:tc>
          <w:tcPr>
            <w:tcW w:w="1560" w:type="dxa"/>
            <w:vAlign w:val="bottom"/>
            <w:gridSpan w:val="4"/>
          </w:tcPr>
          <w:p>
            <w:pPr>
              <w:ind w:left="480"/>
              <w:spacing w:after="0" w:line="158" w:lineRule="exact"/>
              <w:rPr>
                <w:sz w:val="20"/>
                <w:szCs w:val="20"/>
                <w:color w:val="auto"/>
              </w:rPr>
            </w:pPr>
            <w:r>
              <w:rPr>
                <w:rFonts w:ascii="Arial" w:cs="Arial" w:eastAsia="Arial" w:hAnsi="Arial"/>
                <w:sz w:val="14"/>
                <w:szCs w:val="14"/>
                <w:color w:val="auto"/>
              </w:rPr>
              <w:t>Amortization</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140"/>
              <w:spacing w:after="0" w:line="158" w:lineRule="exact"/>
              <w:rPr>
                <w:sz w:val="20"/>
                <w:szCs w:val="20"/>
                <w:color w:val="auto"/>
              </w:rPr>
            </w:pPr>
            <w:r>
              <w:rPr>
                <w:rFonts w:ascii="Arial" w:cs="Arial" w:eastAsia="Arial" w:hAnsi="Arial"/>
                <w:sz w:val="14"/>
                <w:szCs w:val="14"/>
                <w:color w:val="auto"/>
                <w:w w:val="91"/>
              </w:rPr>
              <w:t>Amount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30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Finite-lived intangible assets:</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Customer relationships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370,030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w w:val="97"/>
              </w:rPr>
              <w:t>(58,097)</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311,933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Developed technologies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51,100</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(10,218)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40,882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tcPr>
          <w:p>
            <w:pPr>
              <w:ind w:left="320"/>
              <w:spacing w:after="0"/>
              <w:rPr>
                <w:sz w:val="20"/>
                <w:szCs w:val="20"/>
                <w:color w:val="auto"/>
              </w:rPr>
            </w:pPr>
            <w:r>
              <w:rPr>
                <w:rFonts w:ascii="Arial" w:cs="Arial" w:eastAsia="Arial" w:hAnsi="Arial"/>
                <w:sz w:val="17"/>
                <w:szCs w:val="17"/>
                <w:color w:val="auto"/>
              </w:rPr>
              <w:t>Tradenames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35,500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rPr>
              <w:t>(2,952)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32,548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Data</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42,656</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97"/>
              </w:rPr>
              <w:t>(17,782)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7"/>
                <w:szCs w:val="17"/>
                <w:color w:val="auto"/>
              </w:rPr>
              <w:t>Total finite-lived intangible assets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499,286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w w:val="97"/>
              </w:rPr>
              <w:t>(89,049)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410,237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Goodwill</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1,261,444</w:t>
            </w:r>
          </w:p>
        </w:tc>
        <w:tc>
          <w:tcPr>
            <w:tcW w:w="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1,261,444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20" w:type="dxa"/>
            <w:vAlign w:val="bottom"/>
            <w:gridSpan w:val="2"/>
          </w:tcPr>
          <w:p>
            <w:pPr>
              <w:spacing w:after="0"/>
              <w:rPr>
                <w:sz w:val="20"/>
                <w:szCs w:val="20"/>
                <w:color w:val="auto"/>
              </w:rPr>
            </w:pPr>
            <w:r>
              <w:rPr>
                <w:rFonts w:ascii="Arial" w:cs="Arial" w:eastAsia="Arial" w:hAnsi="Arial"/>
                <w:sz w:val="17"/>
                <w:szCs w:val="17"/>
                <w:color w:val="auto"/>
              </w:rPr>
              <w:t>Total goodwill and intangible assets</w:t>
            </w:r>
          </w:p>
        </w:tc>
        <w:tc>
          <w:tcPr>
            <w:tcW w:w="120" w:type="dxa"/>
            <w:vAlign w:val="bottom"/>
            <w:gridSpan w:val="2"/>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1,760,730</w:t>
            </w:r>
          </w:p>
        </w:tc>
        <w:tc>
          <w:tcPr>
            <w:tcW w:w="6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7"/>
                <w:szCs w:val="17"/>
                <w:color w:val="auto"/>
                <w:w w:val="97"/>
              </w:rPr>
              <w:t>(89,049)</w:t>
            </w:r>
          </w:p>
        </w:tc>
        <w:tc>
          <w:tcPr>
            <w:tcW w:w="2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w w:val="87"/>
              </w:rPr>
              <w:t>1,671,681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Amortization expense associated with finite-lived intangible assets was $28.9 million for each of the six months ended June 30, 2021 and 2020, of which $10.5 million and $9.5 million, respectively, were included in cost of services for the said periods.</w:t>
      </w:r>
    </w:p>
    <w:p>
      <w:pPr>
        <w:spacing w:after="0" w:line="166" w:lineRule="exact"/>
        <w:rPr>
          <w:sz w:val="20"/>
          <w:szCs w:val="20"/>
          <w:color w:val="auto"/>
        </w:rPr>
      </w:pPr>
    </w:p>
    <w:tbl>
      <w:tblPr>
        <w:tblLayout w:type="fixed"/>
        <w:tblInd w:w="1240" w:type="dxa"/>
        <w:tblCellMar>
          <w:top w:w="0" w:type="dxa"/>
          <w:left w:w="0" w:type="dxa"/>
          <w:bottom w:w="0" w:type="dxa"/>
          <w:right w:w="0" w:type="dxa"/>
        </w:tblCellMar>
      </w:tblPr>
      <w:tr>
        <w:trPr>
          <w:trHeight w:val="215"/>
        </w:trPr>
        <w:tc>
          <w:tcPr>
            <w:tcW w:w="7180" w:type="dxa"/>
            <w:vAlign w:val="bottom"/>
            <w:gridSpan w:val="2"/>
          </w:tcPr>
          <w:p>
            <w:pPr>
              <w:spacing w:after="0"/>
              <w:rPr>
                <w:sz w:val="20"/>
                <w:szCs w:val="20"/>
                <w:color w:val="auto"/>
              </w:rPr>
            </w:pPr>
            <w:r>
              <w:rPr>
                <w:rFonts w:ascii="Arial" w:cs="Arial" w:eastAsia="Arial" w:hAnsi="Arial"/>
                <w:sz w:val="17"/>
                <w:szCs w:val="17"/>
                <w:color w:val="auto"/>
                <w:w w:val="98"/>
              </w:rPr>
              <w:t>Estimated total intangible amortization expense as of June 30, 2021, is as follows (in 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29,320</w:t>
            </w:r>
          </w:p>
        </w:tc>
      </w:tr>
      <w:tr>
        <w:trPr>
          <w:trHeight w:val="204"/>
        </w:trPr>
        <w:tc>
          <w:tcPr>
            <w:tcW w:w="8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53,652</w:t>
            </w:r>
          </w:p>
        </w:tc>
      </w:tr>
      <w:tr>
        <w:trPr>
          <w:trHeight w:val="204"/>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45,698</w:t>
            </w:r>
          </w:p>
        </w:tc>
      </w:tr>
      <w:tr>
        <w:trPr>
          <w:trHeight w:val="204"/>
        </w:trPr>
        <w:tc>
          <w:tcPr>
            <w:tcW w:w="8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42,485</w:t>
            </w:r>
          </w:p>
        </w:tc>
      </w:tr>
      <w:tr>
        <w:trPr>
          <w:trHeight w:val="204"/>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38,296</w:t>
            </w:r>
          </w:p>
        </w:tc>
      </w:tr>
      <w:tr>
        <w:trPr>
          <w:trHeight w:val="204"/>
        </w:trPr>
        <w:tc>
          <w:tcPr>
            <w:tcW w:w="8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2026 and thereafter</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171,936</w:t>
            </w:r>
          </w:p>
        </w:tc>
      </w:tr>
      <w:tr>
        <w:trPr>
          <w:trHeight w:val="25"/>
        </w:trPr>
        <w:tc>
          <w:tcPr>
            <w:tcW w:w="8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381,387</w:t>
            </w: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There were no changes to the carrying value of goodwill during the six months ended June 30, 2021.</w:t>
      </w:r>
    </w:p>
    <w:p>
      <w:pPr>
        <w:spacing w:after="0" w:line="212" w:lineRule="exact"/>
        <w:rPr>
          <w:sz w:val="20"/>
          <w:szCs w:val="20"/>
          <w:color w:val="auto"/>
        </w:rPr>
      </w:pPr>
    </w:p>
    <w:p>
      <w:pPr>
        <w:ind w:left="840"/>
        <w:spacing w:after="0"/>
        <w:rPr>
          <w:sz w:val="20"/>
          <w:szCs w:val="20"/>
          <w:color w:val="auto"/>
        </w:rPr>
      </w:pPr>
      <w:r>
        <w:rPr>
          <w:rFonts w:ascii="Arial" w:cs="Arial" w:eastAsia="Arial" w:hAnsi="Arial"/>
          <w:sz w:val="16"/>
          <w:szCs w:val="16"/>
          <w:color w:val="auto"/>
        </w:rPr>
        <w:t>The Company determined it had one reporting unit. There was no goodwill impairment in the six months ended June 30, 2021 or 2020.</w:t>
      </w:r>
    </w:p>
    <w:p>
      <w:pPr>
        <w:spacing w:after="0" w:line="363" w:lineRule="exact"/>
        <w:rPr>
          <w:sz w:val="20"/>
          <w:szCs w:val="20"/>
          <w:color w:val="auto"/>
        </w:rPr>
      </w:pPr>
    </w:p>
    <w:p>
      <w:pPr>
        <w:ind w:left="840" w:hanging="406"/>
        <w:spacing w:after="0"/>
        <w:tabs>
          <w:tab w:leader="none" w:pos="840" w:val="left"/>
        </w:tabs>
        <w:numPr>
          <w:ilvl w:val="0"/>
          <w:numId w:val="2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Long-Term Debt</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Long-term debt consisted of the following as of June 30, 2021 and December 31, 2020, respectively (in thousands):</w:t>
      </w:r>
    </w:p>
    <w:p>
      <w:pPr>
        <w:spacing w:after="0" w:line="228"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0"/>
              </w:rPr>
              <w:t>June 30, 2021</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60" w:type="dxa"/>
            <w:vAlign w:val="bottom"/>
            <w:gridSpan w:val="4"/>
          </w:tcPr>
          <w:p>
            <w:pPr>
              <w:jc w:val="right"/>
              <w:ind w:right="400"/>
              <w:spacing w:after="0" w:line="114" w:lineRule="exact"/>
              <w:rPr>
                <w:sz w:val="20"/>
                <w:szCs w:val="20"/>
                <w:color w:val="auto"/>
              </w:rPr>
            </w:pPr>
            <w:r>
              <w:rPr>
                <w:rFonts w:ascii="Arial" w:cs="Arial" w:eastAsia="Arial" w:hAnsi="Arial"/>
                <w:sz w:val="12"/>
                <w:szCs w:val="12"/>
                <w:color w:val="auto"/>
              </w:rPr>
              <w:t>Unamortized debt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gridSpan w:val="3"/>
          </w:tcPr>
          <w:p>
            <w:pPr>
              <w:jc w:val="right"/>
              <w:ind w:right="460"/>
              <w:spacing w:after="0" w:line="140" w:lineRule="exact"/>
              <w:rPr>
                <w:sz w:val="20"/>
                <w:szCs w:val="20"/>
                <w:color w:val="auto"/>
              </w:rPr>
            </w:pPr>
            <w:r>
              <w:rPr>
                <w:rFonts w:ascii="Arial" w:cs="Arial" w:eastAsia="Arial" w:hAnsi="Arial"/>
                <w:sz w:val="14"/>
                <w:szCs w:val="14"/>
                <w:color w:val="auto"/>
                <w:w w:val="87"/>
              </w:rPr>
              <w:t>Issuance costs /</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40" w:type="dxa"/>
            <w:vAlign w:val="bottom"/>
          </w:tcPr>
          <w:p>
            <w:pPr>
              <w:jc w:val="right"/>
              <w:ind w:right="1"/>
              <w:spacing w:after="0" w:line="158" w:lineRule="exact"/>
              <w:rPr>
                <w:sz w:val="20"/>
                <w:szCs w:val="20"/>
                <w:color w:val="auto"/>
              </w:rPr>
            </w:pPr>
            <w:r>
              <w:rPr>
                <w:rFonts w:ascii="Arial" w:cs="Arial" w:eastAsia="Arial" w:hAnsi="Arial"/>
                <w:sz w:val="14"/>
                <w:szCs w:val="14"/>
                <w:color w:val="auto"/>
              </w:rPr>
              <w:t>Principal</w:t>
            </w:r>
          </w:p>
        </w:tc>
        <w:tc>
          <w:tcPr>
            <w:tcW w:w="700" w:type="dxa"/>
            <w:vAlign w:val="bottom"/>
          </w:tcPr>
          <w:p>
            <w:pPr>
              <w:spacing w:after="0"/>
              <w:rPr>
                <w:sz w:val="13"/>
                <w:szCs w:val="13"/>
                <w:color w:val="auto"/>
              </w:rPr>
            </w:pPr>
          </w:p>
        </w:tc>
        <w:tc>
          <w:tcPr>
            <w:tcW w:w="1360" w:type="dxa"/>
            <w:vAlign w:val="bottom"/>
            <w:gridSpan w:val="3"/>
          </w:tcPr>
          <w:p>
            <w:pPr>
              <w:jc w:val="right"/>
              <w:ind w:right="480"/>
              <w:spacing w:after="0" w:line="158" w:lineRule="exact"/>
              <w:rPr>
                <w:sz w:val="20"/>
                <w:szCs w:val="20"/>
                <w:color w:val="auto"/>
              </w:rPr>
            </w:pPr>
            <w:r>
              <w:rPr>
                <w:rFonts w:ascii="Arial" w:cs="Arial" w:eastAsia="Arial" w:hAnsi="Arial"/>
                <w:sz w:val="14"/>
                <w:szCs w:val="14"/>
                <w:color w:val="auto"/>
                <w:w w:val="92"/>
              </w:rPr>
              <w:t>financing costs</w:t>
            </w:r>
          </w:p>
        </w:tc>
        <w:tc>
          <w:tcPr>
            <w:tcW w:w="1180" w:type="dxa"/>
            <w:vAlign w:val="bottom"/>
            <w:gridSpan w:val="4"/>
          </w:tcPr>
          <w:p>
            <w:pPr>
              <w:ind w:left="340"/>
              <w:spacing w:after="0" w:line="158" w:lineRule="exact"/>
              <w:rPr>
                <w:sz w:val="20"/>
                <w:szCs w:val="20"/>
                <w:color w:val="auto"/>
              </w:rPr>
            </w:pPr>
            <w:r>
              <w:rPr>
                <w:rFonts w:ascii="Arial" w:cs="Arial" w:eastAsia="Arial" w:hAnsi="Arial"/>
                <w:sz w:val="14"/>
                <w:szCs w:val="14"/>
                <w:color w:val="auto"/>
                <w:w w:val="91"/>
              </w:rPr>
              <w:t>Total debt, net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2019 Term Note</w:t>
            </w:r>
          </w:p>
        </w:tc>
        <w:tc>
          <w:tcPr>
            <w:tcW w:w="13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$442,125</w:t>
            </w: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(9,884)</w:t>
            </w:r>
          </w:p>
        </w:tc>
        <w:tc>
          <w:tcPr>
            <w:tcW w:w="4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432,241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4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202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Note</w:t>
            </w:r>
          </w:p>
        </w:tc>
        <w:tc>
          <w:tcPr>
            <w:tcW w:w="138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17,865</w:t>
            </w:r>
          </w:p>
        </w:tc>
        <w:tc>
          <w:tcPr>
            <w:tcW w:w="7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17,865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gridSpan w:val="2"/>
          </w:tcPr>
          <w:p>
            <w:pPr>
              <w:spacing w:after="0"/>
              <w:rPr>
                <w:sz w:val="20"/>
                <w:szCs w:val="20"/>
                <w:color w:val="auto"/>
              </w:rPr>
            </w:pPr>
            <w:r>
              <w:rPr>
                <w:rFonts w:ascii="Arial" w:cs="Arial" w:eastAsia="Arial" w:hAnsi="Arial"/>
                <w:sz w:val="17"/>
                <w:szCs w:val="17"/>
                <w:color w:val="auto"/>
              </w:rPr>
              <w:t>Total debt</w:t>
            </w:r>
          </w:p>
        </w:tc>
        <w:tc>
          <w:tcPr>
            <w:tcW w:w="202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470,402</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7"/>
                <w:szCs w:val="17"/>
                <w:color w:val="auto"/>
              </w:rPr>
              <w:t>(9,884)</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460,518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 of long-term debt</w:t>
            </w:r>
          </w:p>
        </w:tc>
        <w:tc>
          <w:tcPr>
            <w:tcW w:w="13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46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455,838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20" w:type="dxa"/>
            <w:vAlign w:val="bottom"/>
            <w:gridSpan w:val="2"/>
            <w:vMerge w:val="restart"/>
          </w:tcPr>
          <w:p>
            <w:pPr>
              <w:jc w:val="right"/>
              <w:ind w:right="881"/>
              <w:spacing w:after="0"/>
              <w:rPr>
                <w:sz w:val="20"/>
                <w:szCs w:val="20"/>
                <w:color w:val="auto"/>
              </w:rPr>
            </w:pPr>
            <w:r>
              <w:rPr>
                <w:rFonts w:ascii="Arial" w:cs="Arial" w:eastAsia="Arial" w:hAnsi="Arial"/>
                <w:sz w:val="17"/>
                <w:szCs w:val="17"/>
                <w:color w:val="auto"/>
              </w:rPr>
              <w:t>F-67</w:t>
            </w: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320" w:top="442" w:right="799" w:bottom="1440" w:gutter="0" w:footer="0" w:header="0"/>
        </w:sectPr>
      </w:pPr>
    </w:p>
    <w:bookmarkStart w:id="294" w:name="page295"/>
    <w:bookmarkEnd w:id="2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4"/>
        </w:trPr>
        <w:tc>
          <w:tcPr>
            <w:tcW w:w="2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40" w:type="dxa"/>
            <w:vAlign w:val="bottom"/>
            <w:gridSpan w:val="4"/>
          </w:tcPr>
          <w:p>
            <w:pPr>
              <w:ind w:left="600"/>
              <w:spacing w:after="0" w:line="114" w:lineRule="exact"/>
              <w:rPr>
                <w:sz w:val="20"/>
                <w:szCs w:val="20"/>
                <w:color w:val="auto"/>
              </w:rPr>
            </w:pPr>
            <w:r>
              <w:rPr>
                <w:rFonts w:ascii="Arial" w:cs="Arial" w:eastAsia="Arial" w:hAnsi="Arial"/>
                <w:sz w:val="12"/>
                <w:szCs w:val="12"/>
                <w:color w:val="auto"/>
              </w:rPr>
              <w:t>Unamortized debt</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gridSpan w:val="3"/>
          </w:tcPr>
          <w:p>
            <w:pPr>
              <w:ind w:left="80"/>
              <w:spacing w:after="0" w:line="140" w:lineRule="exact"/>
              <w:rPr>
                <w:sz w:val="20"/>
                <w:szCs w:val="20"/>
                <w:color w:val="auto"/>
              </w:rPr>
            </w:pPr>
            <w:r>
              <w:rPr>
                <w:rFonts w:ascii="Arial" w:cs="Arial" w:eastAsia="Arial" w:hAnsi="Arial"/>
                <w:sz w:val="14"/>
                <w:szCs w:val="14"/>
                <w:color w:val="auto"/>
              </w:rPr>
              <w:t>issuance costs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jc w:val="right"/>
              <w:ind w:right="1"/>
              <w:spacing w:after="0" w:line="158" w:lineRule="exact"/>
              <w:rPr>
                <w:sz w:val="20"/>
                <w:szCs w:val="20"/>
                <w:color w:val="auto"/>
              </w:rPr>
            </w:pPr>
            <w:r>
              <w:rPr>
                <w:rFonts w:ascii="Arial" w:cs="Arial" w:eastAsia="Arial" w:hAnsi="Arial"/>
                <w:sz w:val="14"/>
                <w:szCs w:val="14"/>
                <w:color w:val="auto"/>
              </w:rPr>
              <w:t>Principal</w:t>
            </w:r>
          </w:p>
        </w:tc>
        <w:tc>
          <w:tcPr>
            <w:tcW w:w="600" w:type="dxa"/>
            <w:vAlign w:val="bottom"/>
          </w:tcPr>
          <w:p>
            <w:pPr>
              <w:spacing w:after="0"/>
              <w:rPr>
                <w:sz w:val="13"/>
                <w:szCs w:val="13"/>
                <w:color w:val="auto"/>
              </w:rPr>
            </w:pPr>
          </w:p>
        </w:tc>
        <w:tc>
          <w:tcPr>
            <w:tcW w:w="1640" w:type="dxa"/>
            <w:vAlign w:val="bottom"/>
            <w:gridSpan w:val="3"/>
          </w:tcPr>
          <w:p>
            <w:pPr>
              <w:jc w:val="right"/>
              <w:ind w:right="740"/>
              <w:spacing w:after="0" w:line="158" w:lineRule="exact"/>
              <w:rPr>
                <w:sz w:val="20"/>
                <w:szCs w:val="20"/>
                <w:color w:val="auto"/>
              </w:rPr>
            </w:pPr>
            <w:r>
              <w:rPr>
                <w:rFonts w:ascii="Arial" w:cs="Arial" w:eastAsia="Arial" w:hAnsi="Arial"/>
                <w:sz w:val="14"/>
                <w:szCs w:val="14"/>
                <w:color w:val="auto"/>
                <w:w w:val="94"/>
              </w:rPr>
              <w:t>financing costs</w:t>
            </w:r>
          </w:p>
        </w:tc>
        <w:tc>
          <w:tcPr>
            <w:tcW w:w="840" w:type="dxa"/>
            <w:vAlign w:val="bottom"/>
            <w:gridSpan w:val="4"/>
          </w:tcPr>
          <w:p>
            <w:pPr>
              <w:spacing w:after="0" w:line="158" w:lineRule="exact"/>
              <w:rPr>
                <w:sz w:val="20"/>
                <w:szCs w:val="20"/>
                <w:color w:val="auto"/>
              </w:rPr>
            </w:pPr>
            <w:r>
              <w:rPr>
                <w:rFonts w:ascii="Arial" w:cs="Arial" w:eastAsia="Arial" w:hAnsi="Arial"/>
                <w:sz w:val="14"/>
                <w:szCs w:val="14"/>
                <w:color w:val="auto"/>
                <w:w w:val="91"/>
              </w:rPr>
              <w:t>Total debt, net</w:t>
            </w: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2019 Term Note</w:t>
            </w:r>
          </w:p>
        </w:tc>
        <w:tc>
          <w:tcPr>
            <w:tcW w:w="1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$444,375</w:t>
            </w:r>
          </w:p>
        </w:tc>
        <w:tc>
          <w:tcPr>
            <w:tcW w:w="6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7"/>
                <w:szCs w:val="17"/>
                <w:color w:val="auto"/>
                <w:w w:val="78"/>
              </w:rPr>
              <w:t>(10,865)</w:t>
            </w: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433,510</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Paid in kind interest on 2019 Term Note</w:t>
            </w:r>
          </w:p>
        </w:tc>
        <w:tc>
          <w:tcPr>
            <w:tcW w:w="1780" w:type="dxa"/>
            <w:vAlign w:val="bottom"/>
            <w:gridSpan w:val="2"/>
          </w:tcPr>
          <w:p>
            <w:pPr>
              <w:jc w:val="right"/>
              <w:spacing w:after="0"/>
              <w:rPr>
                <w:sz w:val="20"/>
                <w:szCs w:val="20"/>
                <w:color w:val="auto"/>
              </w:rPr>
            </w:pPr>
            <w:r>
              <w:rPr>
                <w:rFonts w:ascii="Arial" w:cs="Arial" w:eastAsia="Arial" w:hAnsi="Arial"/>
                <w:sz w:val="17"/>
                <w:szCs w:val="17"/>
                <w:color w:val="auto"/>
              </w:rPr>
              <w:t>10,412</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10,412</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2019 Delayed Draw Term Note</w:t>
            </w:r>
          </w:p>
        </w:tc>
        <w:tc>
          <w:tcPr>
            <w:tcW w:w="1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6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17,955</w:t>
            </w:r>
          </w:p>
        </w:tc>
        <w:tc>
          <w:tcPr>
            <w:tcW w:w="4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7"/>
                <w:szCs w:val="17"/>
                <w:color w:val="auto"/>
              </w:rPr>
              <w:t>Total debt</w:t>
            </w:r>
          </w:p>
        </w:tc>
        <w:tc>
          <w:tcPr>
            <w:tcW w:w="178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472,742</w:t>
            </w:r>
          </w:p>
        </w:tc>
        <w:tc>
          <w:tcPr>
            <w:tcW w:w="880" w:type="dxa"/>
            <w:vAlign w:val="bottom"/>
            <w:gridSpan w:val="2"/>
          </w:tcPr>
          <w:p>
            <w:pPr>
              <w:ind w:left="6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180"/>
              <w:spacing w:after="0"/>
              <w:rPr>
                <w:sz w:val="20"/>
                <w:szCs w:val="20"/>
                <w:color w:val="auto"/>
              </w:rPr>
            </w:pPr>
            <w:r>
              <w:rPr>
                <w:rFonts w:ascii="Arial" w:cs="Arial" w:eastAsia="Arial" w:hAnsi="Arial"/>
                <w:sz w:val="17"/>
                <w:szCs w:val="17"/>
                <w:color w:val="auto"/>
              </w:rPr>
              <w:t>(10,865)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461,877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 of long-term debt</w:t>
            </w:r>
          </w:p>
        </w:tc>
        <w:tc>
          <w:tcPr>
            <w:tcW w:w="1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4,680</w:t>
            </w:r>
          </w:p>
        </w:tc>
        <w:tc>
          <w:tcPr>
            <w:tcW w:w="40" w:type="dxa"/>
            <w:vAlign w:val="bottom"/>
            <w:shd w:val="clear" w:color="auto" w:fill="CCEEFF"/>
          </w:tcPr>
          <w:p>
            <w:pPr>
              <w:spacing w:after="0"/>
              <w:rPr>
                <w:sz w:val="16"/>
                <w:szCs w:val="16"/>
                <w:color w:val="auto"/>
              </w:rPr>
            </w:pPr>
          </w:p>
        </w:tc>
      </w:tr>
      <w:tr>
        <w:trPr>
          <w:trHeight w:val="209"/>
        </w:trPr>
        <w:tc>
          <w:tcPr>
            <w:tcW w:w="386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457,197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6"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Term Loan Payable</w:t>
      </w:r>
    </w:p>
    <w:p>
      <w:pPr>
        <w:spacing w:after="0" w:line="110" w:lineRule="exact"/>
        <w:rPr>
          <w:sz w:val="20"/>
          <w:szCs w:val="20"/>
          <w:color w:val="auto"/>
        </w:rPr>
      </w:pPr>
    </w:p>
    <w:p>
      <w:pPr>
        <w:ind w:left="440" w:firstLine="415"/>
        <w:spacing w:after="0" w:line="288" w:lineRule="auto"/>
        <w:rPr>
          <w:sz w:val="20"/>
          <w:szCs w:val="20"/>
          <w:color w:val="auto"/>
        </w:rPr>
      </w:pPr>
      <w:r>
        <w:rPr>
          <w:rFonts w:ascii="Arial" w:cs="Arial" w:eastAsia="Arial" w:hAnsi="Arial"/>
          <w:sz w:val="15"/>
          <w:szCs w:val="15"/>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 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June 30, 2021, the interest rate was 6.25% on both the $350.0 million loan and the $100.0 million paid in kind loan. As of December 31, 2020, the interest rate was 6.50% on both the $350.0 million loan and the $100.0 million paid in kind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$452.5 million and $454.8 million outstanding on the 2019 Term Note at June 30, 2021 and December 31, 2020, respectively, including $10.4 million of paid in kind interest, at both June 30, 2021 and December 31, 2020.</w:t>
      </w:r>
    </w:p>
    <w:p>
      <w:pPr>
        <w:spacing w:after="0" w:line="264"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Delayed Draw Term Loan Payable</w:t>
      </w:r>
    </w:p>
    <w:p>
      <w:pPr>
        <w:spacing w:after="0" w:line="110" w:lineRule="exact"/>
        <w:rPr>
          <w:sz w:val="20"/>
          <w:szCs w:val="20"/>
          <w:color w:val="auto"/>
        </w:rPr>
      </w:pPr>
    </w:p>
    <w:p>
      <w:pPr>
        <w:ind w:left="440" w:firstLine="415"/>
        <w:spacing w:after="0" w:line="269" w:lineRule="auto"/>
        <w:rPr>
          <w:sz w:val="20"/>
          <w:szCs w:val="20"/>
          <w:color w:val="auto"/>
        </w:rPr>
      </w:pPr>
      <w:r>
        <w:rPr>
          <w:rFonts w:ascii="Arial" w:cs="Arial" w:eastAsia="Arial" w:hAnsi="Arial"/>
          <w:sz w:val="16"/>
          <w:szCs w:val="16"/>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could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$17.9 million and $18.0 million at June 30, 2021 and December 31, 2020, respectively.</w:t>
      </w:r>
    </w:p>
    <w:p>
      <w:pPr>
        <w:spacing w:after="0" w:line="278"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Revolving Line of Credit</w:t>
      </w:r>
    </w:p>
    <w:p>
      <w:pPr>
        <w:spacing w:after="0" w:line="110" w:lineRule="exact"/>
        <w:rPr>
          <w:sz w:val="20"/>
          <w:szCs w:val="20"/>
          <w:color w:val="auto"/>
        </w:rPr>
      </w:pPr>
    </w:p>
    <w:p>
      <w:pPr>
        <w:jc w:val="both"/>
        <w:ind w:left="440" w:right="40" w:firstLine="415"/>
        <w:spacing w:after="0" w:line="261" w:lineRule="auto"/>
        <w:rPr>
          <w:sz w:val="20"/>
          <w:szCs w:val="20"/>
          <w:color w:val="auto"/>
        </w:rPr>
      </w:pPr>
      <w:r>
        <w:rPr>
          <w:rFonts w:ascii="Arial" w:cs="Arial" w:eastAsia="Arial" w:hAnsi="Arial"/>
          <w:sz w:val="17"/>
          <w:szCs w:val="17"/>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F-68</w:t>
      </w:r>
    </w:p>
    <w:p>
      <w:pPr>
        <w:sectPr>
          <w:pgSz w:w="11900" w:h="16838" w:orient="portrait"/>
          <w:cols w:equalWidth="0" w:num="1">
            <w:col w:w="10780"/>
          </w:cols>
          <w:pgMar w:left="320" w:top="442" w:right="799" w:bottom="1440" w:gutter="0" w:footer="0" w:header="0"/>
        </w:sectPr>
      </w:pPr>
    </w:p>
    <w:bookmarkStart w:id="295" w:name="page296"/>
    <w:bookmarkEnd w:id="2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spacing w:after="0" w:line="256" w:lineRule="auto"/>
        <w:rPr>
          <w:sz w:val="20"/>
          <w:szCs w:val="20"/>
          <w:color w:val="auto"/>
        </w:rPr>
      </w:pPr>
      <w:r>
        <w:rPr>
          <w:rFonts w:ascii="Arial" w:cs="Arial" w:eastAsia="Arial" w:hAnsi="Arial"/>
          <w:sz w:val="17"/>
          <w:szCs w:val="17"/>
          <w:color w:val="auto"/>
        </w:rPr>
        <w:t>Quarterly in arrears, the Company is required to pay the bank a fee equal to 0.5% of the amount of the 2019 Revolving Line of Credit’s unused capacity. The expense is included in interest expense in the statements of</w:t>
      </w:r>
    </w:p>
    <w:p>
      <w:pPr>
        <w:spacing w:after="0" w:line="2" w:lineRule="exact"/>
        <w:rPr>
          <w:sz w:val="20"/>
          <w:szCs w:val="20"/>
          <w:color w:val="auto"/>
        </w:rPr>
      </w:pPr>
    </w:p>
    <w:p>
      <w:pPr>
        <w:ind w:left="440" w:right="60"/>
        <w:spacing w:after="0" w:line="254" w:lineRule="auto"/>
        <w:rPr>
          <w:sz w:val="20"/>
          <w:szCs w:val="20"/>
          <w:color w:val="auto"/>
        </w:rPr>
      </w:pPr>
      <w:r>
        <w:rPr>
          <w:rFonts w:ascii="Arial" w:cs="Arial" w:eastAsia="Arial" w:hAnsi="Arial"/>
          <w:sz w:val="17"/>
          <w:szCs w:val="17"/>
          <w:color w:val="auto"/>
        </w:rPr>
        <w:t>operations. The 2019 Revolving Line of Credit is subject to certain financial covenants. During 2020, $25.0 million was drawn on the on the Revolving Line of Credit and subsequently paid back. There was no outstanding balance on the 2019 Revolving Line of Credit at June 30, 2021 or December 31, 2020.</w:t>
      </w:r>
    </w:p>
    <w:p>
      <w:pPr>
        <w:spacing w:after="0" w:line="284" w:lineRule="exact"/>
        <w:rPr>
          <w:sz w:val="20"/>
          <w:szCs w:val="20"/>
          <w:color w:val="auto"/>
        </w:rPr>
      </w:pPr>
    </w:p>
    <w:p>
      <w:pPr>
        <w:ind w:left="840"/>
        <w:spacing w:after="0"/>
        <w:rPr>
          <w:sz w:val="20"/>
          <w:szCs w:val="20"/>
          <w:color w:val="auto"/>
        </w:rPr>
      </w:pPr>
      <w:r>
        <w:rPr>
          <w:rFonts w:ascii="Arial" w:cs="Arial" w:eastAsia="Arial" w:hAnsi="Arial"/>
          <w:sz w:val="17"/>
          <w:szCs w:val="17"/>
          <w:u w:val="single" w:color="auto"/>
          <w:color w:val="auto"/>
        </w:rPr>
        <w:t>Financing Costs</w:t>
      </w:r>
    </w:p>
    <w:p>
      <w:pPr>
        <w:spacing w:after="0" w:line="110" w:lineRule="exact"/>
        <w:rPr>
          <w:sz w:val="20"/>
          <w:szCs w:val="20"/>
          <w:color w:val="auto"/>
        </w:rPr>
      </w:pPr>
    </w:p>
    <w:p>
      <w:pPr>
        <w:ind w:left="440" w:right="240" w:firstLine="415"/>
        <w:spacing w:after="0" w:line="273" w:lineRule="auto"/>
        <w:rPr>
          <w:sz w:val="20"/>
          <w:szCs w:val="20"/>
          <w:color w:val="auto"/>
        </w:rPr>
      </w:pPr>
      <w:r>
        <w:rPr>
          <w:rFonts w:ascii="Arial" w:cs="Arial" w:eastAsia="Arial" w:hAnsi="Arial"/>
          <w:sz w:val="17"/>
          <w:szCs w:val="17"/>
          <w:color w:val="auto"/>
        </w:rPr>
        <w:t>Capitalized financing costs represent costs incurred by the Company to obtain financing and are amortized over the term of the applicable loan using the effective interest method.</w:t>
      </w:r>
    </w:p>
    <w:p>
      <w:pPr>
        <w:spacing w:after="0" w:line="166" w:lineRule="exact"/>
        <w:rPr>
          <w:sz w:val="20"/>
          <w:szCs w:val="20"/>
          <w:color w:val="auto"/>
        </w:rPr>
      </w:pPr>
    </w:p>
    <w:p>
      <w:pPr>
        <w:ind w:left="440" w:right="20" w:firstLine="415"/>
        <w:spacing w:after="0" w:line="275" w:lineRule="auto"/>
        <w:rPr>
          <w:sz w:val="20"/>
          <w:szCs w:val="20"/>
          <w:color w:val="auto"/>
        </w:rPr>
      </w:pPr>
      <w:r>
        <w:rPr>
          <w:rFonts w:ascii="Arial" w:cs="Arial" w:eastAsia="Arial" w:hAnsi="Arial"/>
          <w:sz w:val="16"/>
          <w:szCs w:val="16"/>
          <w:color w:val="auto"/>
        </w:rPr>
        <w:t>The Company incurred a total of $1.6 million and $12.5 million of financing costs and original issue discounts, respectively, in connection with the debt in 2019. The amount is amortized to interest expense through the maturity dates of the underlying debt. The original issue discount is treated as a debt discount. The Company expensed capitalized financing costs and debt discount through interest expense of $1.0 million during each of the six months ended June 30, 2021 and 2020. As of June 30, 2021 and December 31, 2020, unamortized financing costs for the 2019 Revolving Line of Credit of $0.4 million and $0.5 million, respectively, were classified in other assets in the consolidated balance sheet.</w:t>
      </w:r>
    </w:p>
    <w:p>
      <w:pPr>
        <w:spacing w:after="0" w:line="167"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580" w:type="dxa"/>
            <w:vAlign w:val="bottom"/>
            <w:gridSpan w:val="2"/>
          </w:tcPr>
          <w:p>
            <w:pPr>
              <w:spacing w:after="0"/>
              <w:rPr>
                <w:sz w:val="20"/>
                <w:szCs w:val="20"/>
                <w:color w:val="auto"/>
              </w:rPr>
            </w:pPr>
            <w:r>
              <w:rPr>
                <w:rFonts w:ascii="Arial" w:cs="Arial" w:eastAsia="Arial" w:hAnsi="Arial"/>
                <w:sz w:val="17"/>
                <w:szCs w:val="17"/>
                <w:color w:val="auto"/>
              </w:rPr>
              <w:t>Future principal payments as of June 30, 2021 are as follows (in thousands):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2,340</w:t>
            </w: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4,680</w:t>
            </w: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rPr>
              <w:t>4,680</w:t>
            </w: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4,680</w:t>
            </w:r>
          </w:p>
        </w:tc>
      </w:tr>
      <w:tr>
        <w:trPr>
          <w:trHeight w:val="204"/>
        </w:trPr>
        <w:tc>
          <w:tcPr>
            <w:tcW w:w="126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Arial" w:cs="Arial" w:eastAsia="Arial" w:hAnsi="Arial"/>
                <w:sz w:val="17"/>
                <w:szCs w:val="17"/>
                <w:color w:val="auto"/>
              </w:rPr>
              <w:t>2026 and thereafter</w:t>
            </w:r>
          </w:p>
        </w:tc>
        <w:tc>
          <w:tcPr>
            <w:tcW w:w="10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7"/>
                <w:szCs w:val="17"/>
                <w:color w:val="auto"/>
                <w:w w:val="87"/>
              </w:rPr>
              <w:t>449,342</w:t>
            </w:r>
          </w:p>
        </w:tc>
      </w:tr>
      <w:tr>
        <w:trPr>
          <w:trHeight w:val="25"/>
        </w:trPr>
        <w:tc>
          <w:tcPr>
            <w:tcW w:w="126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126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7"/>
              </w:rPr>
              <w:t>470,402</w:t>
            </w:r>
          </w:p>
        </w:tc>
      </w:tr>
      <w:tr>
        <w:trPr>
          <w:trHeight w:val="20"/>
        </w:trPr>
        <w:tc>
          <w:tcPr>
            <w:tcW w:w="12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Fair Value Measurements</w:t>
      </w:r>
    </w:p>
    <w:p>
      <w:pPr>
        <w:spacing w:after="0" w:line="110" w:lineRule="exact"/>
        <w:rPr>
          <w:sz w:val="20"/>
          <w:szCs w:val="20"/>
          <w:color w:val="auto"/>
        </w:rPr>
      </w:pPr>
    </w:p>
    <w:p>
      <w:pPr>
        <w:ind w:left="440" w:right="80" w:firstLine="415"/>
        <w:spacing w:after="0" w:line="261" w:lineRule="auto"/>
        <w:rPr>
          <w:sz w:val="20"/>
          <w:szCs w:val="20"/>
          <w:color w:val="auto"/>
        </w:rPr>
      </w:pPr>
      <w:r>
        <w:rPr>
          <w:rFonts w:ascii="Arial" w:cs="Arial" w:eastAsia="Arial" w:hAnsi="Arial"/>
          <w:sz w:val="17"/>
          <w:szCs w:val="17"/>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76" w:lineRule="exact"/>
        <w:rPr>
          <w:sz w:val="20"/>
          <w:szCs w:val="20"/>
          <w:color w:val="auto"/>
        </w:rPr>
      </w:pPr>
    </w:p>
    <w:p>
      <w:pPr>
        <w:ind w:left="440" w:right="140" w:firstLine="415"/>
        <w:spacing w:after="0" w:line="312" w:lineRule="auto"/>
        <w:rPr>
          <w:sz w:val="20"/>
          <w:szCs w:val="20"/>
          <w:color w:val="auto"/>
        </w:rPr>
      </w:pPr>
      <w:r>
        <w:rPr>
          <w:rFonts w:ascii="Arial" w:cs="Arial" w:eastAsia="Arial" w:hAnsi="Arial"/>
          <w:sz w:val="15"/>
          <w:szCs w:val="15"/>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1" w:lineRule="exact"/>
        <w:rPr>
          <w:sz w:val="20"/>
          <w:szCs w:val="20"/>
          <w:color w:val="auto"/>
        </w:rPr>
      </w:pPr>
    </w:p>
    <w:p>
      <w:pPr>
        <w:ind w:left="440" w:right="40" w:firstLine="415"/>
        <w:spacing w:after="0" w:line="285" w:lineRule="auto"/>
        <w:rPr>
          <w:sz w:val="20"/>
          <w:szCs w:val="20"/>
          <w:color w:val="auto"/>
        </w:rPr>
      </w:pPr>
      <w:r>
        <w:rPr>
          <w:rFonts w:ascii="Arial" w:cs="Arial" w:eastAsia="Arial" w:hAnsi="Arial"/>
          <w:sz w:val="16"/>
          <w:szCs w:val="16"/>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June 30, 2021 and December 31, 20120, based on interest rates currently available to the Company for similar borrowings.</w:t>
      </w:r>
    </w:p>
    <w:p>
      <w:pPr>
        <w:spacing w:after="0" w:line="159" w:lineRule="exact"/>
        <w:rPr>
          <w:sz w:val="20"/>
          <w:szCs w:val="20"/>
          <w:color w:val="auto"/>
        </w:rPr>
      </w:pPr>
    </w:p>
    <w:p>
      <w:pPr>
        <w:ind w:left="440" w:right="160" w:firstLine="415"/>
        <w:spacing w:after="0" w:line="255" w:lineRule="auto"/>
        <w:rPr>
          <w:sz w:val="20"/>
          <w:szCs w:val="20"/>
          <w:color w:val="auto"/>
        </w:rPr>
      </w:pPr>
      <w:r>
        <w:rPr>
          <w:rFonts w:ascii="Arial" w:cs="Arial" w:eastAsia="Arial" w:hAnsi="Arial"/>
          <w:sz w:val="17"/>
          <w:szCs w:val="17"/>
          <w:color w:val="auto"/>
        </w:rPr>
        <w:t>The contingent consideration, which resulted from the earn-outs associated with the Monocl acquisition, is measured at fair value on a recurring basis. The fair value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 achievement would</w:t>
      </w:r>
    </w:p>
    <w:p>
      <w:pPr>
        <w:spacing w:after="0" w:line="11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F-69</w:t>
      </w:r>
    </w:p>
    <w:p>
      <w:pPr>
        <w:sectPr>
          <w:pgSz w:w="11900" w:h="16838" w:orient="portrait"/>
          <w:cols w:equalWidth="0" w:num="1">
            <w:col w:w="10780"/>
          </w:cols>
          <w:pgMar w:left="320" w:top="442" w:right="799" w:bottom="1440" w:gutter="0" w:footer="0" w:header="0"/>
        </w:sectPr>
      </w:pPr>
    </w:p>
    <w:bookmarkStart w:id="296" w:name="page297"/>
    <w:bookmarkEnd w:id="2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spacing w:after="0" w:line="302" w:lineRule="auto"/>
        <w:rPr>
          <w:sz w:val="20"/>
          <w:szCs w:val="20"/>
          <w:color w:val="auto"/>
        </w:rPr>
      </w:pPr>
      <w:r>
        <w:rPr>
          <w:rFonts w:ascii="Arial" w:cs="Arial" w:eastAsia="Arial" w:hAnsi="Arial"/>
          <w:sz w:val="15"/>
          <w:szCs w:val="15"/>
          <w:color w:val="auto"/>
        </w:rPr>
        <w:t>result in a higher fair value measurement. At June 30, 2021 and December 31, 2020, the fair value of the contingent consideration was estimated at $7.1 million and $5.2 million, respectively. The current portion of the earn-out liability ($7.1 million and $1.5 million at June 30, 2021 and December 31, 2020, respectively) is included in accrued expenses and other current liabilities on the consolidated balance sheets, and the non-current portion (nil at June 30, 2021 and $3.7 million at December 31, 2020) in other long-term liabilities. A payment of $1.5 million was made in April 2021.</w:t>
      </w:r>
    </w:p>
    <w:p>
      <w:pPr>
        <w:spacing w:after="0" w:line="149" w:lineRule="exact"/>
        <w:rPr>
          <w:sz w:val="20"/>
          <w:szCs w:val="20"/>
          <w:color w:val="auto"/>
        </w:rPr>
      </w:pPr>
    </w:p>
    <w:p>
      <w:pPr>
        <w:ind w:left="440" w:right="20" w:firstLine="415"/>
        <w:spacing w:after="0" w:line="261" w:lineRule="auto"/>
        <w:rPr>
          <w:sz w:val="20"/>
          <w:szCs w:val="20"/>
          <w:color w:val="auto"/>
        </w:rPr>
      </w:pPr>
      <w:r>
        <w:rPr>
          <w:rFonts w:ascii="Arial" w:cs="Arial" w:eastAsia="Arial" w:hAnsi="Arial"/>
          <w:sz w:val="17"/>
          <w:szCs w:val="17"/>
          <w:color w:val="auto"/>
        </w:rPr>
        <w:t>Earn-out liabilities are classified within Level 3 in the fair value hierarchy because the methodology used to develop the estimated fair value includes significant unobservable inputs reflecting management’s own assumptions. The valuation techniques and significant unobservable inputs used in recurring Level 3 fair value measurements were as follows as of June 30, 2021 and December 31, 2020:</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3560" w:type="dxa"/>
            <w:vAlign w:val="bottom"/>
          </w:tcPr>
          <w:p>
            <w:pPr>
              <w:ind w:left="1220"/>
              <w:spacing w:after="0"/>
              <w:rPr>
                <w:sz w:val="20"/>
                <w:szCs w:val="20"/>
                <w:color w:val="auto"/>
              </w:rPr>
            </w:pPr>
            <w:r>
              <w:rPr>
                <w:rFonts w:ascii="Arial" w:cs="Arial" w:eastAsia="Arial" w:hAnsi="Arial"/>
                <w:sz w:val="14"/>
                <w:szCs w:val="14"/>
                <w:color w:val="auto"/>
              </w:rPr>
              <w:t>Valuation Technique</w:t>
            </w:r>
          </w:p>
        </w:tc>
        <w:tc>
          <w:tcPr>
            <w:tcW w:w="5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w w:val="87"/>
              </w:rPr>
              <w:t>Unobservable Inputs</w:t>
            </w:r>
          </w:p>
        </w:tc>
        <w:tc>
          <w:tcPr>
            <w:tcW w:w="50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Discount Rate</w:t>
            </w:r>
          </w:p>
        </w:tc>
        <w:tc>
          <w:tcPr>
            <w:tcW w:w="0" w:type="dxa"/>
            <w:vAlign w:val="bottom"/>
          </w:tcPr>
          <w:p>
            <w:pPr>
              <w:spacing w:after="0"/>
              <w:rPr>
                <w:sz w:val="1"/>
                <w:szCs w:val="1"/>
                <w:color w:val="auto"/>
              </w:rPr>
            </w:pPr>
          </w:p>
        </w:tc>
      </w:tr>
      <w:tr>
        <w:trPr>
          <w:trHeight w:val="20"/>
        </w:trPr>
        <w:tc>
          <w:tcPr>
            <w:tcW w:w="28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Earn-out liabilities</w:t>
            </w:r>
          </w:p>
        </w:tc>
        <w:tc>
          <w:tcPr>
            <w:tcW w:w="356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vMerge w:val="continue"/>
            <w:shd w:val="clear" w:color="auto" w:fill="CCEEFF"/>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Income Approach (Real Option Method)</w:t>
            </w:r>
          </w:p>
        </w:tc>
        <w:tc>
          <w:tcPr>
            <w:tcW w:w="500" w:type="dxa"/>
            <w:vAlign w:val="bottom"/>
            <w:vMerge w:val="continue"/>
            <w:shd w:val="clear" w:color="auto" w:fill="CCEEFF"/>
          </w:tcPr>
          <w:p>
            <w:pPr>
              <w:spacing w:after="0"/>
              <w:rPr>
                <w:sz w:val="17"/>
                <w:szCs w:val="17"/>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50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The table below presents a reconciliation of earnout liabilities measured at fair value on a recurring basis using significant unobservable inputs (Level 3) (in thousands):</w:t>
      </w:r>
    </w:p>
    <w:p>
      <w:pPr>
        <w:spacing w:after="0" w:line="164"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80" w:type="dxa"/>
            <w:vAlign w:val="bottom"/>
            <w:gridSpan w:val="4"/>
          </w:tcPr>
          <w:p>
            <w:pPr>
              <w:ind w:left="1760"/>
              <w:spacing w:after="0"/>
              <w:rPr>
                <w:sz w:val="20"/>
                <w:szCs w:val="20"/>
                <w:color w:val="auto"/>
              </w:rPr>
            </w:pPr>
            <w:r>
              <w:rPr>
                <w:rFonts w:ascii="Arial" w:cs="Arial" w:eastAsia="Arial" w:hAnsi="Arial"/>
                <w:sz w:val="14"/>
                <w:szCs w:val="14"/>
                <w:color w:val="auto"/>
              </w:rPr>
              <w:t>Six Months Ended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right"/>
              <w:ind w:right="640"/>
              <w:spacing w:after="0" w:line="158" w:lineRule="exact"/>
              <w:rPr>
                <w:sz w:val="20"/>
                <w:szCs w:val="20"/>
                <w:color w:val="auto"/>
              </w:rPr>
            </w:pPr>
            <w:r>
              <w:rPr>
                <w:rFonts w:ascii="Arial" w:cs="Arial" w:eastAsia="Arial" w:hAnsi="Arial"/>
                <w:sz w:val="14"/>
                <w:szCs w:val="14"/>
                <w:color w:val="auto"/>
                <w:w w:val="85"/>
              </w:rPr>
              <w:t>June 30, 2021</w:t>
            </w:r>
          </w:p>
        </w:tc>
        <w:tc>
          <w:tcPr>
            <w:tcW w:w="1580" w:type="dxa"/>
            <w:vAlign w:val="bottom"/>
            <w:gridSpan w:val="4"/>
          </w:tcPr>
          <w:p>
            <w:pPr>
              <w:jc w:val="right"/>
              <w:ind w:right="60"/>
              <w:spacing w:after="0" w:line="158" w:lineRule="exact"/>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beginning of period</w:t>
            </w:r>
          </w:p>
        </w:tc>
        <w:tc>
          <w:tcPr>
            <w:tcW w:w="17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5,236</w:t>
            </w: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tcPr>
          <w:p>
            <w:pPr>
              <w:ind w:left="320"/>
              <w:spacing w:after="0"/>
              <w:rPr>
                <w:sz w:val="20"/>
                <w:szCs w:val="20"/>
                <w:color w:val="auto"/>
              </w:rPr>
            </w:pPr>
            <w:r>
              <w:rPr>
                <w:rFonts w:ascii="Arial" w:cs="Arial" w:eastAsia="Arial" w:hAnsi="Arial"/>
                <w:sz w:val="17"/>
                <w:szCs w:val="17"/>
                <w:color w:val="auto"/>
              </w:rPr>
              <w:t>Additions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2,600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change in fair value</w:t>
            </w: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3,381</w:t>
            </w: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840" w:type="dxa"/>
            <w:vAlign w:val="bottom"/>
          </w:tcPr>
          <w:p>
            <w:pPr>
              <w:ind w:left="320"/>
              <w:spacing w:after="0"/>
              <w:rPr>
                <w:sz w:val="20"/>
                <w:szCs w:val="20"/>
                <w:color w:val="auto"/>
              </w:rPr>
            </w:pPr>
            <w:r>
              <w:rPr>
                <w:rFonts w:ascii="Arial" w:cs="Arial" w:eastAsia="Arial" w:hAnsi="Arial"/>
                <w:sz w:val="17"/>
                <w:szCs w:val="17"/>
                <w:color w:val="auto"/>
              </w:rPr>
              <w:t>Payments</w:t>
            </w: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7"/>
                <w:szCs w:val="17"/>
                <w:color w:val="auto"/>
              </w:rPr>
              <w:t>(1,500)</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Balance at end of period</w:t>
            </w:r>
          </w:p>
        </w:tc>
        <w:tc>
          <w:tcPr>
            <w:tcW w:w="1860" w:type="dxa"/>
            <w:vAlign w:val="bottom"/>
            <w:gridSpan w:val="2"/>
            <w:shd w:val="clear" w:color="auto" w:fill="CCEEFF"/>
          </w:tcPr>
          <w:p>
            <w:pPr>
              <w:ind w:left="1760"/>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7,117</w:t>
            </w:r>
          </w:p>
        </w:tc>
        <w:tc>
          <w:tcPr>
            <w:tcW w:w="5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20" w:firstLine="415"/>
        <w:spacing w:after="0" w:line="255" w:lineRule="auto"/>
        <w:rPr>
          <w:sz w:val="20"/>
          <w:szCs w:val="20"/>
          <w:color w:val="auto"/>
        </w:rPr>
      </w:pPr>
      <w:r>
        <w:rPr>
          <w:rFonts w:ascii="Arial" w:cs="Arial" w:eastAsia="Arial" w:hAnsi="Arial"/>
          <w:sz w:val="17"/>
          <w:szCs w:val="17"/>
          <w:color w:val="auto"/>
        </w:rPr>
        <w:t>There were no Level 3 instruments as of June 30, 2020. Adjustments to the earn-out liabilities in periods subsequent to the completion of acquisitions were made using scenario-based modeling to estimate the probability of achievement and are reflected within transaction expenses in the condensed consolidated statements of operations. As of June 30, 2021, the Company had the potential to make a maximum of $13.5 million and a minimum of $0.0 million (undiscounted) in earn-out payments. Assuming the achievement of the applicable performance criteria, these earn-out payments will be made in April 2022.</w:t>
      </w:r>
    </w:p>
    <w:p>
      <w:pPr>
        <w:spacing w:after="0" w:line="183" w:lineRule="exact"/>
        <w:rPr>
          <w:sz w:val="20"/>
          <w:szCs w:val="20"/>
          <w:color w:val="auto"/>
        </w:rPr>
      </w:pPr>
    </w:p>
    <w:p>
      <w:pPr>
        <w:ind w:left="440" w:firstLine="415"/>
        <w:spacing w:after="0" w:line="254" w:lineRule="auto"/>
        <w:rPr>
          <w:sz w:val="20"/>
          <w:szCs w:val="20"/>
          <w:color w:val="auto"/>
        </w:rPr>
      </w:pPr>
      <w:r>
        <w:rPr>
          <w:rFonts w:ascii="Arial" w:cs="Arial" w:eastAsia="Arial" w:hAnsi="Arial"/>
          <w:sz w:val="17"/>
          <w:szCs w:val="17"/>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For discussion about the impairment testing of assets not measured at fair value on a recurring basis see Note 7.</w:t>
      </w:r>
      <w:r>
        <w:rPr>
          <w:rFonts w:ascii="Arial" w:cs="Arial" w:eastAsia="Arial" w:hAnsi="Arial"/>
          <w:sz w:val="17"/>
          <w:szCs w:val="17"/>
          <w:i w:val="1"/>
          <w:iCs w:val="1"/>
          <w:color w:val="auto"/>
        </w:rPr>
        <w:t xml:space="preserve"> Goodwill and Intangible Assets</w:t>
      </w:r>
      <w:r>
        <w:rPr>
          <w:rFonts w:ascii="Arial" w:cs="Arial" w:eastAsia="Arial" w:hAnsi="Arial"/>
          <w:sz w:val="17"/>
          <w:szCs w:val="17"/>
          <w:color w:val="auto"/>
        </w:rPr>
        <w:t>, net for additional details.</w:t>
      </w:r>
    </w:p>
    <w:p>
      <w:pPr>
        <w:spacing w:after="0" w:line="323" w:lineRule="exact"/>
        <w:rPr>
          <w:sz w:val="20"/>
          <w:szCs w:val="20"/>
          <w:color w:val="auto"/>
        </w:rPr>
      </w:pPr>
    </w:p>
    <w:p>
      <w:pPr>
        <w:ind w:left="840" w:hanging="406"/>
        <w:spacing w:after="0"/>
        <w:tabs>
          <w:tab w:leader="none" w:pos="84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Accrued Expenses and Other Current Liabilities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7"/>
          <w:szCs w:val="17"/>
          <w:color w:val="auto"/>
        </w:rPr>
        <w:t>Accrued expenses and other current liabilities consisted of the following (in thousands):</w:t>
      </w:r>
    </w:p>
    <w:p>
      <w:pPr>
        <w:spacing w:after="0" w:line="20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r>
      <w:tr>
        <w:trPr>
          <w:trHeight w:val="160"/>
        </w:trPr>
        <w:tc>
          <w:tcPr>
            <w:tcW w:w="3440" w:type="dxa"/>
            <w:vAlign w:val="bottom"/>
            <w:tcBorders>
              <w:bottom w:val="single" w:sz="8" w:color="CCEEFF"/>
            </w:tcBorders>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6"/>
              </w:rPr>
              <w:t>2021</w:t>
            </w:r>
          </w:p>
        </w:tc>
        <w:tc>
          <w:tcPr>
            <w:tcW w:w="30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3"/>
                <w:szCs w:val="13"/>
                <w:color w:val="auto"/>
              </w:rPr>
            </w:pPr>
          </w:p>
        </w:tc>
      </w:tr>
      <w:tr>
        <w:trPr>
          <w:trHeight w:val="196"/>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Payroll and payroll-related</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4,864</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7,792</w:t>
            </w:r>
          </w:p>
        </w:tc>
        <w:tc>
          <w:tcPr>
            <w:tcW w:w="40" w:type="dxa"/>
            <w:vAlign w:val="bottom"/>
            <w:shd w:val="clear" w:color="auto" w:fill="CCEEFF"/>
          </w:tcPr>
          <w:p>
            <w:pPr>
              <w:spacing w:after="0"/>
              <w:rPr>
                <w:sz w:val="17"/>
                <w:szCs w:val="17"/>
                <w:color w:val="auto"/>
              </w:rPr>
            </w:pP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Accrued interest</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5,129</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5,365</w:t>
            </w: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Contingent consideration, current</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7,117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1,500</w:t>
            </w: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Sales taxes</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552</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649</w:t>
            </w: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Deferred rent</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132</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583</w:t>
            </w:r>
          </w:p>
        </w:tc>
      </w:tr>
      <w:tr>
        <w:trPr>
          <w:trHeight w:val="204"/>
        </w:trPr>
        <w:tc>
          <w:tcPr>
            <w:tcW w:w="3440" w:type="dxa"/>
            <w:vAlign w:val="bottom"/>
          </w:tcPr>
          <w:p>
            <w:pPr>
              <w:spacing w:after="0"/>
              <w:rPr>
                <w:sz w:val="20"/>
                <w:szCs w:val="20"/>
                <w:color w:val="auto"/>
              </w:rPr>
            </w:pPr>
            <w:r>
              <w:rPr>
                <w:rFonts w:ascii="Arial" w:cs="Arial" w:eastAsia="Arial" w:hAnsi="Arial"/>
                <w:sz w:val="17"/>
                <w:szCs w:val="17"/>
                <w:color w:val="auto"/>
              </w:rPr>
              <w:t>Other</w:t>
            </w:r>
          </w:p>
        </w:tc>
        <w:tc>
          <w:tcPr>
            <w:tcW w:w="2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7"/>
                <w:szCs w:val="17"/>
                <w:color w:val="auto"/>
              </w:rPr>
              <w:t>2,691</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7"/>
                <w:szCs w:val="17"/>
                <w:color w:val="auto"/>
              </w:rPr>
              <w:t>1,432</w:t>
            </w:r>
          </w:p>
        </w:tc>
      </w:tr>
      <w:tr>
        <w:trPr>
          <w:trHeight w:val="25"/>
        </w:trPr>
        <w:tc>
          <w:tcPr>
            <w:tcW w:w="34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w w:val="99"/>
              </w:rPr>
              <w:t>Accrued expenses and other current liabilities</w:t>
            </w:r>
          </w:p>
        </w:tc>
        <w:tc>
          <w:tcPr>
            <w:tcW w:w="24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4"/>
              </w:rPr>
              <w:t>20,485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17,321</w:t>
            </w:r>
          </w:p>
        </w:tc>
      </w:tr>
      <w:tr>
        <w:trPr>
          <w:trHeight w:val="20"/>
        </w:trPr>
        <w:tc>
          <w:tcPr>
            <w:tcW w:w="34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3"/>
        </w:trPr>
        <w:tc>
          <w:tcPr>
            <w:tcW w:w="3440" w:type="dxa"/>
            <w:vAlign w:val="bottom"/>
          </w:tcPr>
          <w:p>
            <w:pPr>
              <w:spacing w:after="0"/>
              <w:rPr>
                <w:sz w:val="24"/>
                <w:szCs w:val="24"/>
                <w:color w:val="auto"/>
              </w:rPr>
            </w:pPr>
          </w:p>
        </w:tc>
        <w:tc>
          <w:tcPr>
            <w:tcW w:w="2560" w:type="dxa"/>
            <w:vAlign w:val="bottom"/>
            <w:gridSpan w:val="2"/>
          </w:tcPr>
          <w:p>
            <w:pPr>
              <w:jc w:val="right"/>
              <w:ind w:right="1828"/>
              <w:spacing w:after="0"/>
              <w:rPr>
                <w:sz w:val="20"/>
                <w:szCs w:val="20"/>
                <w:color w:val="auto"/>
              </w:rPr>
            </w:pPr>
            <w:r>
              <w:rPr>
                <w:rFonts w:ascii="Arial" w:cs="Arial" w:eastAsia="Arial" w:hAnsi="Arial"/>
                <w:sz w:val="17"/>
                <w:szCs w:val="17"/>
                <w:color w:val="auto"/>
              </w:rPr>
              <w:t>F-70</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700"/>
          </w:cols>
          <w:pgMar w:left="320" w:top="442" w:right="879" w:bottom="1440" w:gutter="0" w:footer="0" w:header="0"/>
        </w:sectPr>
      </w:pPr>
    </w:p>
    <w:bookmarkStart w:id="297" w:name="page298"/>
    <w:bookmarkEnd w:id="2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89535</wp:posOffset>
            </wp:positionV>
            <wp:extent cx="7181850" cy="368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21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Commitments and Contingencies</w:t>
      </w:r>
    </w:p>
    <w:p>
      <w:pPr>
        <w:spacing w:after="0" w:line="109" w:lineRule="exact"/>
        <w:rPr>
          <w:rFonts w:ascii="Arial" w:cs="Arial" w:eastAsia="Arial" w:hAnsi="Arial"/>
          <w:sz w:val="17"/>
          <w:szCs w:val="17"/>
          <w:b w:val="1"/>
          <w:bCs w:val="1"/>
          <w:color w:val="auto"/>
        </w:rPr>
      </w:pPr>
    </w:p>
    <w:p>
      <w:pPr>
        <w:ind w:left="840"/>
        <w:spacing w:after="0"/>
        <w:rPr>
          <w:rFonts w:ascii="Arial" w:cs="Arial" w:eastAsia="Arial" w:hAnsi="Arial"/>
          <w:sz w:val="17"/>
          <w:szCs w:val="17"/>
          <w:b w:val="1"/>
          <w:bCs w:val="1"/>
          <w:color w:val="auto"/>
        </w:rPr>
      </w:pPr>
      <w:r>
        <w:rPr>
          <w:rFonts w:ascii="Arial" w:cs="Arial" w:eastAsia="Arial" w:hAnsi="Arial"/>
          <w:sz w:val="15"/>
          <w:szCs w:val="15"/>
          <w:color w:val="auto"/>
        </w:rPr>
        <w:t>The Company leases office facilities in Massachusetts, Vermont and Sweden, the terms of which expire at various times through the year 2030.</w:t>
      </w:r>
    </w:p>
    <w:p>
      <w:pPr>
        <w:spacing w:after="0" w:line="235" w:lineRule="exact"/>
        <w:rPr>
          <w:sz w:val="20"/>
          <w:szCs w:val="20"/>
          <w:color w:val="auto"/>
        </w:rPr>
      </w:pPr>
    </w:p>
    <w:p>
      <w:pPr>
        <w:jc w:val="both"/>
        <w:ind w:left="440" w:firstLine="415"/>
        <w:spacing w:after="0" w:line="285" w:lineRule="auto"/>
        <w:rPr>
          <w:sz w:val="20"/>
          <w:szCs w:val="20"/>
          <w:color w:val="auto"/>
        </w:rPr>
      </w:pPr>
      <w:r>
        <w:rPr>
          <w:rFonts w:ascii="Arial" w:cs="Arial" w:eastAsia="Arial" w:hAnsi="Arial"/>
          <w:sz w:val="16"/>
          <w:szCs w:val="16"/>
          <w:color w:val="auto"/>
        </w:rPr>
        <w:t>Total rent expense was $1.3 million and $0.9 million for the six months ended June 30, 2021 and 2020, respectively, and was classified in selling, general, and administrative expense in the condensed consolidated statements of operations. The Company signed a new office lease agreement in 2019 which commenced in 2020 and will continue through 2027. The table below is inclusive of the new lease.</w:t>
      </w:r>
    </w:p>
    <w:p>
      <w:pPr>
        <w:spacing w:after="0" w:line="159" w:lineRule="exact"/>
        <w:rPr>
          <w:sz w:val="20"/>
          <w:szCs w:val="20"/>
          <w:color w:val="auto"/>
        </w:rPr>
      </w:pPr>
    </w:p>
    <w:tbl>
      <w:tblPr>
        <w:tblLayout w:type="fixed"/>
        <w:tblInd w:w="840" w:type="dxa"/>
        <w:tblCellMar>
          <w:top w:w="0" w:type="dxa"/>
          <w:left w:w="0" w:type="dxa"/>
          <w:bottom w:w="0" w:type="dxa"/>
          <w:right w:w="0" w:type="dxa"/>
        </w:tblCellMar>
      </w:tblPr>
      <w:tr>
        <w:trPr>
          <w:trHeight w:val="215"/>
        </w:trPr>
        <w:tc>
          <w:tcPr>
            <w:tcW w:w="7660" w:type="dxa"/>
            <w:vAlign w:val="bottom"/>
            <w:gridSpan w:val="2"/>
          </w:tcPr>
          <w:p>
            <w:pPr>
              <w:spacing w:after="0"/>
              <w:rPr>
                <w:sz w:val="20"/>
                <w:szCs w:val="20"/>
                <w:color w:val="auto"/>
              </w:rPr>
            </w:pPr>
            <w:r>
              <w:rPr>
                <w:rFonts w:ascii="Arial" w:cs="Arial" w:eastAsia="Arial" w:hAnsi="Arial"/>
                <w:sz w:val="17"/>
                <w:szCs w:val="17"/>
                <w:color w:val="auto"/>
              </w:rPr>
              <w:t>Minimum future rental payments are expected to be as follows at June 30 (in thousands):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26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1,567</w:t>
            </w:r>
          </w:p>
        </w:tc>
      </w:tr>
      <w:tr>
        <w:trPr>
          <w:trHeight w:val="204"/>
        </w:trPr>
        <w:tc>
          <w:tcPr>
            <w:tcW w:w="126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3,174</w:t>
            </w: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1,943</w:t>
            </w:r>
          </w:p>
        </w:tc>
      </w:tr>
      <w:tr>
        <w:trPr>
          <w:trHeight w:val="204"/>
        </w:trPr>
        <w:tc>
          <w:tcPr>
            <w:tcW w:w="126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2,325</w:t>
            </w: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2,190</w:t>
            </w:r>
          </w:p>
        </w:tc>
      </w:tr>
      <w:tr>
        <w:trPr>
          <w:trHeight w:val="204"/>
        </w:trPr>
        <w:tc>
          <w:tcPr>
            <w:tcW w:w="1260" w:type="dxa"/>
            <w:vAlign w:val="bottom"/>
          </w:tcPr>
          <w:p>
            <w:pPr>
              <w:spacing w:after="0"/>
              <w:rPr>
                <w:sz w:val="17"/>
                <w:szCs w:val="17"/>
                <w:color w:val="auto"/>
              </w:rPr>
            </w:pPr>
          </w:p>
        </w:tc>
        <w:tc>
          <w:tcPr>
            <w:tcW w:w="6400" w:type="dxa"/>
            <w:vAlign w:val="bottom"/>
          </w:tcPr>
          <w:p>
            <w:pPr>
              <w:spacing w:after="0"/>
              <w:rPr>
                <w:sz w:val="20"/>
                <w:szCs w:val="20"/>
                <w:color w:val="auto"/>
              </w:rPr>
            </w:pPr>
            <w:r>
              <w:rPr>
                <w:rFonts w:ascii="Arial" w:cs="Arial" w:eastAsia="Arial" w:hAnsi="Arial"/>
                <w:sz w:val="17"/>
                <w:szCs w:val="17"/>
                <w:color w:val="auto"/>
              </w:rPr>
              <w:t>2026 and thereafter</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4,789</w:t>
            </w:r>
          </w:p>
        </w:tc>
      </w:tr>
      <w:tr>
        <w:trPr>
          <w:trHeight w:val="25"/>
        </w:trPr>
        <w:tc>
          <w:tcPr>
            <w:tcW w:w="126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1260" w:type="dxa"/>
            <w:vAlign w:val="bottom"/>
          </w:tcPr>
          <w:p>
            <w:pPr>
              <w:spacing w:after="0"/>
              <w:rPr>
                <w:sz w:val="17"/>
                <w:szCs w:val="17"/>
                <w:color w:val="auto"/>
              </w:rPr>
            </w:pPr>
          </w:p>
        </w:tc>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15,988</w:t>
            </w:r>
          </w:p>
        </w:tc>
      </w:tr>
      <w:tr>
        <w:trPr>
          <w:trHeight w:val="20"/>
        </w:trPr>
        <w:tc>
          <w:tcPr>
            <w:tcW w:w="126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480" w:firstLine="415"/>
        <w:spacing w:after="0" w:line="273" w:lineRule="auto"/>
        <w:rPr>
          <w:sz w:val="20"/>
          <w:szCs w:val="20"/>
          <w:color w:val="auto"/>
        </w:rPr>
      </w:pPr>
      <w:r>
        <w:rPr>
          <w:rFonts w:ascii="Arial" w:cs="Arial" w:eastAsia="Arial" w:hAnsi="Arial"/>
          <w:sz w:val="17"/>
          <w:szCs w:val="17"/>
          <w:color w:val="auto"/>
        </w:rPr>
        <w:t>The Company also enters into other purchase obligations in the normal course of doing business. The estimated annual minimum purchase commitments under those agreements were as follows at June 30 (in thousands):</w:t>
      </w:r>
    </w:p>
    <w:p>
      <w:pPr>
        <w:spacing w:after="0" w:line="204" w:lineRule="exact"/>
        <w:rPr>
          <w:sz w:val="20"/>
          <w:szCs w:val="20"/>
          <w:color w:val="auto"/>
        </w:rPr>
      </w:pPr>
    </w:p>
    <w:tbl>
      <w:tblPr>
        <w:tblLayout w:type="fixed"/>
        <w:tblInd w:w="2100" w:type="dxa"/>
        <w:tblCellMar>
          <w:top w:w="0" w:type="dxa"/>
          <w:left w:w="0" w:type="dxa"/>
          <w:bottom w:w="0" w:type="dxa"/>
          <w:right w:w="0" w:type="dxa"/>
        </w:tblCellMar>
      </w:tblP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2,748</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5,799</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6,422</w:t>
            </w:r>
          </w:p>
        </w:tc>
      </w:tr>
      <w:tr>
        <w:trPr>
          <w:trHeight w:val="204"/>
        </w:trPr>
        <w:tc>
          <w:tcPr>
            <w:tcW w:w="6400" w:type="dxa"/>
            <w:vAlign w:val="bottom"/>
          </w:tcPr>
          <w:p>
            <w:pPr>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5,315</w:t>
            </w:r>
          </w:p>
        </w:tc>
      </w:tr>
      <w:tr>
        <w:trPr>
          <w:trHeight w:val="204"/>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3,452</w:t>
            </w:r>
          </w:p>
        </w:tc>
      </w:tr>
      <w:tr>
        <w:trPr>
          <w:trHeight w:val="209"/>
        </w:trPr>
        <w:tc>
          <w:tcPr>
            <w:tcW w:w="6400" w:type="dxa"/>
            <w:vAlign w:val="bottom"/>
          </w:tcPr>
          <w:p>
            <w:pPr>
              <w:spacing w:after="0"/>
              <w:rPr>
                <w:sz w:val="20"/>
                <w:szCs w:val="20"/>
                <w:color w:val="auto"/>
              </w:rPr>
            </w:pPr>
            <w:r>
              <w:rPr>
                <w:rFonts w:ascii="Arial" w:cs="Arial" w:eastAsia="Arial" w:hAnsi="Arial"/>
                <w:sz w:val="17"/>
                <w:szCs w:val="17"/>
                <w:color w:val="auto"/>
              </w:rPr>
              <w:t>2026 and thereafter</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r>
      <w:tr>
        <w:trPr>
          <w:trHeight w:val="204"/>
        </w:trPr>
        <w:tc>
          <w:tcPr>
            <w:tcW w:w="6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88"/>
              </w:rPr>
              <w:t>23,736</w:t>
            </w:r>
          </w:p>
        </w:tc>
      </w:tr>
      <w:tr>
        <w:trPr>
          <w:trHeight w:val="20"/>
        </w:trPr>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14"/>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Members’ capital</w:t>
      </w:r>
    </w:p>
    <w:p>
      <w:pPr>
        <w:spacing w:after="0" w:line="110" w:lineRule="exact"/>
        <w:rPr>
          <w:sz w:val="20"/>
          <w:szCs w:val="20"/>
          <w:color w:val="auto"/>
        </w:rPr>
      </w:pPr>
    </w:p>
    <w:p>
      <w:pPr>
        <w:ind w:left="440" w:right="60" w:firstLine="415"/>
        <w:spacing w:after="0" w:line="261" w:lineRule="auto"/>
        <w:rPr>
          <w:sz w:val="20"/>
          <w:szCs w:val="20"/>
          <w:color w:val="auto"/>
        </w:rPr>
      </w:pPr>
      <w:r>
        <w:rPr>
          <w:rFonts w:ascii="Arial" w:cs="Arial" w:eastAsia="Arial" w:hAnsi="Arial"/>
          <w:sz w:val="17"/>
          <w:szCs w:val="17"/>
          <w:color w:val="auto"/>
        </w:rPr>
        <w:t xml:space="preserve">As described in Note 1. </w:t>
      </w:r>
      <w:r>
        <w:rPr>
          <w:rFonts w:ascii="Arial" w:cs="Arial" w:eastAsia="Arial" w:hAnsi="Arial"/>
          <w:sz w:val="17"/>
          <w:szCs w:val="17"/>
          <w:i w:val="1"/>
          <w:iCs w:val="1"/>
          <w:color w:val="auto"/>
        </w:rPr>
        <w:t>Description of Business</w:t>
      </w:r>
      <w:r>
        <w:rPr>
          <w:rFonts w:ascii="Arial" w:cs="Arial" w:eastAsia="Arial" w:hAnsi="Arial"/>
          <w:sz w:val="17"/>
          <w:szCs w:val="17"/>
          <w:color w:val="auto"/>
        </w:rPr>
        <w:t xml:space="preserve"> the Company was formed by Advent for the purpose of acquiring Definitive Holdco. Upon formation of the Company, two classes of units were established: Class A Units (“Class A Units”) and Class B Units (“Class B Units”), collectively the Units.</w:t>
      </w:r>
    </w:p>
    <w:p>
      <w:pPr>
        <w:spacing w:after="0" w:line="176" w:lineRule="exact"/>
        <w:rPr>
          <w:sz w:val="20"/>
          <w:szCs w:val="20"/>
          <w:color w:val="auto"/>
        </w:rPr>
      </w:pPr>
    </w:p>
    <w:p>
      <w:pPr>
        <w:ind w:left="440" w:right="380" w:firstLine="415"/>
        <w:spacing w:after="0" w:line="273" w:lineRule="auto"/>
        <w:rPr>
          <w:sz w:val="20"/>
          <w:szCs w:val="20"/>
          <w:color w:val="auto"/>
        </w:rPr>
      </w:pPr>
      <w:r>
        <w:rPr>
          <w:rFonts w:ascii="Arial" w:cs="Arial" w:eastAsia="Arial" w:hAnsi="Arial"/>
          <w:sz w:val="17"/>
          <w:szCs w:val="17"/>
          <w:color w:val="auto"/>
        </w:rPr>
        <w:t>The table below provides a summary of the number of Class A and Class B units authorized, issued and outstanding as of June 30, 2021 and December 31, 2020, respectively.</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2021</w:t>
            </w:r>
          </w:p>
        </w:tc>
        <w:tc>
          <w:tcPr>
            <w:tcW w:w="1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December 31, 2020</w:t>
            </w:r>
          </w:p>
        </w:tc>
      </w:tr>
      <w:tr>
        <w:trPr>
          <w:trHeight w:val="184"/>
        </w:trPr>
        <w:tc>
          <w:tcPr>
            <w:tcW w:w="3720" w:type="dxa"/>
            <w:vAlign w:val="bottom"/>
            <w:tcBorders>
              <w:top w:val="single" w:sz="8" w:color="CCEEFF"/>
            </w:tcBorders>
            <w:shd w:val="clear" w:color="auto" w:fill="CCEEFF"/>
          </w:tcPr>
          <w:p>
            <w:pPr>
              <w:spacing w:after="0" w:line="184" w:lineRule="exact"/>
              <w:rPr>
                <w:sz w:val="20"/>
                <w:szCs w:val="20"/>
                <w:color w:val="auto"/>
              </w:rPr>
            </w:pPr>
            <w:r>
              <w:rPr>
                <w:rFonts w:ascii="Arial" w:cs="Arial" w:eastAsia="Arial" w:hAnsi="Arial"/>
                <w:sz w:val="17"/>
                <w:szCs w:val="17"/>
                <w:color w:val="auto"/>
              </w:rPr>
              <w:t>Class A units:</w:t>
            </w:r>
          </w:p>
        </w:tc>
        <w:tc>
          <w:tcPr>
            <w:tcW w:w="14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4"/>
        </w:trPr>
        <w:tc>
          <w:tcPr>
            <w:tcW w:w="3720" w:type="dxa"/>
            <w:vAlign w:val="bottom"/>
          </w:tcPr>
          <w:p>
            <w:pPr>
              <w:ind w:left="340"/>
              <w:spacing w:after="0"/>
              <w:rPr>
                <w:sz w:val="20"/>
                <w:szCs w:val="20"/>
                <w:color w:val="auto"/>
              </w:rPr>
            </w:pPr>
            <w:r>
              <w:rPr>
                <w:rFonts w:ascii="Arial" w:cs="Arial" w:eastAsia="Arial" w:hAnsi="Arial"/>
                <w:sz w:val="17"/>
                <w:szCs w:val="17"/>
                <w:color w:val="auto"/>
                <w:w w:val="90"/>
              </w:rPr>
              <w:t>Authorized, issued and outstanding Class A units</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130,609,506</w:t>
            </w:r>
          </w:p>
        </w:tc>
        <w:tc>
          <w:tcPr>
            <w:tcW w:w="4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130,245,990</w:t>
            </w:r>
          </w:p>
        </w:tc>
      </w:tr>
      <w:tr>
        <w:trPr>
          <w:trHeight w:val="204"/>
        </w:trPr>
        <w:tc>
          <w:tcPr>
            <w:tcW w:w="3720" w:type="dxa"/>
            <w:vAlign w:val="bottom"/>
            <w:shd w:val="clear" w:color="auto" w:fill="CCEEFF"/>
          </w:tcPr>
          <w:p>
            <w:pPr>
              <w:spacing w:after="0"/>
              <w:rPr>
                <w:sz w:val="20"/>
                <w:szCs w:val="20"/>
                <w:color w:val="auto"/>
              </w:rPr>
            </w:pPr>
            <w:r>
              <w:rPr>
                <w:rFonts w:ascii="Arial" w:cs="Arial" w:eastAsia="Arial" w:hAnsi="Arial"/>
                <w:sz w:val="17"/>
                <w:szCs w:val="17"/>
                <w:color w:val="auto"/>
              </w:rPr>
              <w:t>Class B units:</w:t>
            </w:r>
          </w:p>
        </w:tc>
        <w:tc>
          <w:tcPr>
            <w:tcW w:w="1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4"/>
        </w:trPr>
        <w:tc>
          <w:tcPr>
            <w:tcW w:w="3720" w:type="dxa"/>
            <w:vAlign w:val="bottom"/>
          </w:tcPr>
          <w:p>
            <w:pPr>
              <w:ind w:left="340"/>
              <w:spacing w:after="0"/>
              <w:rPr>
                <w:sz w:val="20"/>
                <w:szCs w:val="20"/>
                <w:color w:val="auto"/>
              </w:rPr>
            </w:pPr>
            <w:r>
              <w:rPr>
                <w:rFonts w:ascii="Arial" w:cs="Arial" w:eastAsia="Arial" w:hAnsi="Arial"/>
                <w:sz w:val="17"/>
                <w:szCs w:val="17"/>
                <w:color w:val="auto"/>
              </w:rPr>
              <w:t>Authorized Class B units</w:t>
            </w:r>
          </w:p>
        </w:tc>
        <w:tc>
          <w:tcPr>
            <w:tcW w:w="2420" w:type="dxa"/>
            <w:vAlign w:val="bottom"/>
            <w:gridSpan w:val="2"/>
          </w:tcPr>
          <w:p>
            <w:pPr>
              <w:jc w:val="right"/>
              <w:spacing w:after="0"/>
              <w:rPr>
                <w:sz w:val="20"/>
                <w:szCs w:val="20"/>
                <w:color w:val="auto"/>
              </w:rPr>
            </w:pPr>
            <w:r>
              <w:rPr>
                <w:rFonts w:ascii="Arial" w:cs="Arial" w:eastAsia="Arial" w:hAnsi="Arial"/>
                <w:sz w:val="17"/>
                <w:szCs w:val="17"/>
                <w:color w:val="auto"/>
              </w:rPr>
              <w:t>8,088,877</w:t>
            </w:r>
          </w:p>
        </w:tc>
        <w:tc>
          <w:tcPr>
            <w:tcW w:w="4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8,088,877</w:t>
            </w:r>
          </w:p>
        </w:tc>
      </w:tr>
      <w:tr>
        <w:trPr>
          <w:trHeight w:val="204"/>
        </w:trPr>
        <w:tc>
          <w:tcPr>
            <w:tcW w:w="3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Issued Class B units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6,349,125</w:t>
            </w:r>
          </w:p>
        </w:tc>
        <w:tc>
          <w:tcPr>
            <w:tcW w:w="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3,720,063</w:t>
            </w:r>
          </w:p>
        </w:tc>
      </w:tr>
      <w:tr>
        <w:trPr>
          <w:trHeight w:val="215"/>
        </w:trPr>
        <w:tc>
          <w:tcPr>
            <w:tcW w:w="3720" w:type="dxa"/>
            <w:vAlign w:val="bottom"/>
          </w:tcPr>
          <w:p>
            <w:pPr>
              <w:ind w:left="340"/>
              <w:spacing w:after="0"/>
              <w:rPr>
                <w:sz w:val="20"/>
                <w:szCs w:val="20"/>
                <w:color w:val="auto"/>
              </w:rPr>
            </w:pPr>
            <w:r>
              <w:rPr>
                <w:rFonts w:ascii="Arial" w:cs="Arial" w:eastAsia="Arial" w:hAnsi="Arial"/>
                <w:sz w:val="17"/>
                <w:szCs w:val="17"/>
                <w:color w:val="auto"/>
                <w:w w:val="91"/>
              </w:rPr>
              <w:t>Outstanding Class B units (Vested Class B units)</w:t>
            </w:r>
          </w:p>
        </w:tc>
        <w:tc>
          <w:tcPr>
            <w:tcW w:w="2860" w:type="dxa"/>
            <w:vAlign w:val="bottom"/>
            <w:gridSpan w:val="3"/>
          </w:tcPr>
          <w:p>
            <w:pPr>
              <w:jc w:val="right"/>
              <w:ind w:right="440"/>
              <w:spacing w:after="0"/>
              <w:rPr>
                <w:sz w:val="20"/>
                <w:szCs w:val="20"/>
                <w:color w:val="auto"/>
              </w:rPr>
            </w:pPr>
            <w:r>
              <w:rPr>
                <w:rFonts w:ascii="Arial" w:cs="Arial" w:eastAsia="Arial" w:hAnsi="Arial"/>
                <w:sz w:val="17"/>
                <w:szCs w:val="17"/>
                <w:color w:val="auto"/>
              </w:rPr>
              <w:t>493,073</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color w:val="auto"/>
              </w:rPr>
              <w:t>474,920</w:t>
            </w:r>
          </w:p>
        </w:tc>
      </w:tr>
      <w:tr>
        <w:trPr>
          <w:trHeight w:val="331"/>
        </w:trPr>
        <w:tc>
          <w:tcPr>
            <w:tcW w:w="3720" w:type="dxa"/>
            <w:vAlign w:val="bottom"/>
          </w:tcPr>
          <w:p>
            <w:pPr>
              <w:spacing w:after="0"/>
              <w:rPr>
                <w:sz w:val="24"/>
                <w:szCs w:val="24"/>
                <w:color w:val="auto"/>
              </w:rPr>
            </w:pPr>
          </w:p>
        </w:tc>
        <w:tc>
          <w:tcPr>
            <w:tcW w:w="2860" w:type="dxa"/>
            <w:vAlign w:val="bottom"/>
            <w:gridSpan w:val="3"/>
          </w:tcPr>
          <w:p>
            <w:pPr>
              <w:ind w:left="60"/>
              <w:spacing w:after="0"/>
              <w:rPr>
                <w:sz w:val="20"/>
                <w:szCs w:val="20"/>
                <w:color w:val="auto"/>
              </w:rPr>
            </w:pPr>
            <w:r>
              <w:rPr>
                <w:rFonts w:ascii="Arial" w:cs="Arial" w:eastAsia="Arial" w:hAnsi="Arial"/>
                <w:sz w:val="17"/>
                <w:szCs w:val="17"/>
                <w:color w:val="auto"/>
              </w:rPr>
              <w:t>F-71</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40"/>
          </w:cols>
          <w:pgMar w:left="320" w:top="442" w:right="839" w:bottom="1440" w:gutter="0" w:footer="0" w:header="0"/>
        </w:sectPr>
      </w:pPr>
    </w:p>
    <w:bookmarkStart w:id="298" w:name="page299"/>
    <w:bookmarkEnd w:id="2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89535</wp:posOffset>
            </wp:positionV>
            <wp:extent cx="7181850"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60" w:firstLine="415"/>
        <w:spacing w:after="0" w:line="306" w:lineRule="auto"/>
        <w:rPr>
          <w:sz w:val="20"/>
          <w:szCs w:val="20"/>
          <w:color w:val="auto"/>
        </w:rPr>
      </w:pPr>
      <w:r>
        <w:rPr>
          <w:rFonts w:ascii="Arial" w:cs="Arial" w:eastAsia="Arial" w:hAnsi="Arial"/>
          <w:sz w:val="16"/>
          <w:szCs w:val="16"/>
          <w:color w:val="auto"/>
        </w:rPr>
        <w:t>During the second quarter of 2021, the Company issued 363,516 new Class A units worth $6.6 million, recorded as a capital contribution of $5.5 million and an equity-based compensation expense of $1.1 million. Refer to Note 13 for more detail on Class B units.</w:t>
      </w:r>
    </w:p>
    <w:p>
      <w:pPr>
        <w:spacing w:after="0" w:line="281" w:lineRule="exact"/>
        <w:rPr>
          <w:sz w:val="20"/>
          <w:szCs w:val="20"/>
          <w:color w:val="auto"/>
        </w:rPr>
      </w:pPr>
    </w:p>
    <w:p>
      <w:pPr>
        <w:ind w:left="840" w:hanging="406"/>
        <w:spacing w:after="0"/>
        <w:tabs>
          <w:tab w:leader="none" w:pos="840" w:val="left"/>
        </w:tabs>
        <w:numPr>
          <w:ilvl w:val="0"/>
          <w:numId w:val="21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Equity-Based Compensation</w:t>
      </w:r>
    </w:p>
    <w:p>
      <w:pPr>
        <w:spacing w:after="0" w:line="11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6"/>
          <w:szCs w:val="16"/>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others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69" w:lineRule="exact"/>
        <w:rPr>
          <w:sz w:val="20"/>
          <w:szCs w:val="20"/>
          <w:color w:val="auto"/>
        </w:rPr>
      </w:pPr>
    </w:p>
    <w:p>
      <w:pPr>
        <w:ind w:left="440" w:right="100" w:firstLine="415"/>
        <w:spacing w:after="0" w:line="257" w:lineRule="auto"/>
        <w:rPr>
          <w:sz w:val="20"/>
          <w:szCs w:val="20"/>
          <w:color w:val="auto"/>
        </w:rPr>
      </w:pPr>
      <w:r>
        <w:rPr>
          <w:rFonts w:ascii="Arial" w:cs="Arial" w:eastAsia="Arial" w:hAnsi="Arial"/>
          <w:sz w:val="17"/>
          <w:szCs w:val="17"/>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80" w:lineRule="exact"/>
        <w:rPr>
          <w:sz w:val="20"/>
          <w:szCs w:val="20"/>
          <w:color w:val="auto"/>
        </w:rPr>
      </w:pPr>
    </w:p>
    <w:p>
      <w:pPr>
        <w:ind w:left="440" w:firstLine="415"/>
        <w:spacing w:after="0" w:line="271" w:lineRule="auto"/>
        <w:rPr>
          <w:sz w:val="20"/>
          <w:szCs w:val="20"/>
          <w:color w:val="auto"/>
        </w:rPr>
      </w:pPr>
      <w:r>
        <w:rPr>
          <w:rFonts w:ascii="Arial" w:cs="Arial" w:eastAsia="Arial" w:hAnsi="Arial"/>
          <w:sz w:val="16"/>
          <w:szCs w:val="16"/>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86"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100" w:type="dxa"/>
            <w:vAlign w:val="bottom"/>
            <w:gridSpan w:val="2"/>
          </w:tcPr>
          <w:p>
            <w:pPr>
              <w:jc w:val="center"/>
              <w:ind w:right="800"/>
              <w:spacing w:after="0"/>
              <w:rPr>
                <w:sz w:val="20"/>
                <w:szCs w:val="20"/>
                <w:color w:val="auto"/>
              </w:rPr>
            </w:pPr>
            <w:r>
              <w:rPr>
                <w:rFonts w:ascii="Arial" w:cs="Arial" w:eastAsia="Arial" w:hAnsi="Arial"/>
                <w:sz w:val="14"/>
                <w:szCs w:val="14"/>
                <w:color w:val="auto"/>
                <w:w w:val="83"/>
              </w:rPr>
              <w:t>June 30, 2021</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w w:val="84"/>
              </w:rPr>
              <w:t>December 31, 2020</w:t>
            </w: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Expected option term</w:t>
            </w:r>
          </w:p>
        </w:tc>
        <w:tc>
          <w:tcPr>
            <w:tcW w:w="1300" w:type="dxa"/>
            <w:vAlign w:val="bottom"/>
            <w:tcBorders>
              <w:top w:val="single" w:sz="8" w:color="auto"/>
            </w:tcBorders>
            <w:shd w:val="clear" w:color="auto" w:fill="CCEEFF"/>
          </w:tcPr>
          <w:p>
            <w:pPr>
              <w:jc w:val="center"/>
              <w:spacing w:after="0" w:line="209" w:lineRule="exact"/>
              <w:rPr>
                <w:sz w:val="20"/>
                <w:szCs w:val="20"/>
                <w:color w:val="auto"/>
              </w:rPr>
            </w:pPr>
            <w:r>
              <w:rPr>
                <w:rFonts w:ascii="Arial" w:cs="Arial" w:eastAsia="Arial" w:hAnsi="Arial"/>
                <w:sz w:val="19"/>
                <w:szCs w:val="19"/>
                <w:color w:val="auto"/>
                <w:w w:val="86"/>
              </w:rPr>
              <w:t>0.21-0.375 years</w:t>
            </w:r>
          </w:p>
        </w:tc>
        <w:tc>
          <w:tcPr>
            <w:tcW w:w="8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line="209" w:lineRule="exact"/>
              <w:rPr>
                <w:sz w:val="20"/>
                <w:szCs w:val="20"/>
                <w:color w:val="auto"/>
              </w:rPr>
            </w:pPr>
            <w:r>
              <w:rPr>
                <w:rFonts w:ascii="Arial" w:cs="Arial" w:eastAsia="Arial" w:hAnsi="Arial"/>
                <w:sz w:val="19"/>
                <w:szCs w:val="19"/>
                <w:color w:val="auto"/>
              </w:rPr>
              <w:t>5.5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7"/>
                <w:szCs w:val="17"/>
                <w:color w:val="auto"/>
              </w:rPr>
              <w:t>Risk-free rate of return</w:t>
            </w:r>
          </w:p>
        </w:tc>
        <w:tc>
          <w:tcPr>
            <w:tcW w:w="2100" w:type="dxa"/>
            <w:vAlign w:val="bottom"/>
            <w:gridSpan w:val="2"/>
          </w:tcPr>
          <w:p>
            <w:pPr>
              <w:jc w:val="right"/>
              <w:ind w:right="640"/>
              <w:spacing w:after="0" w:line="216" w:lineRule="exact"/>
              <w:rPr>
                <w:sz w:val="20"/>
                <w:szCs w:val="20"/>
                <w:color w:val="auto"/>
              </w:rPr>
            </w:pPr>
            <w:r>
              <w:rPr>
                <w:rFonts w:ascii="Arial" w:cs="Arial" w:eastAsia="Arial" w:hAnsi="Arial"/>
                <w:sz w:val="19"/>
                <w:szCs w:val="19"/>
                <w:color w:val="auto"/>
              </w:rPr>
              <w:t>0.04%-0.06%</w:t>
            </w:r>
          </w:p>
        </w:tc>
        <w:tc>
          <w:tcPr>
            <w:tcW w:w="1260" w:type="dxa"/>
            <w:vAlign w:val="bottom"/>
            <w:gridSpan w:val="2"/>
          </w:tcPr>
          <w:p>
            <w:pPr>
              <w:jc w:val="right"/>
              <w:ind w:right="40"/>
              <w:spacing w:after="0" w:line="216" w:lineRule="exact"/>
              <w:rPr>
                <w:sz w:val="20"/>
                <w:szCs w:val="20"/>
                <w:color w:val="auto"/>
              </w:rPr>
            </w:pPr>
            <w:r>
              <w:rPr>
                <w:rFonts w:ascii="Arial" w:cs="Arial" w:eastAsia="Arial" w:hAnsi="Arial"/>
                <w:sz w:val="19"/>
                <w:szCs w:val="19"/>
                <w:color w:val="auto"/>
              </w:rPr>
              <w:t>1.73%</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7"/>
                <w:szCs w:val="17"/>
                <w:color w:val="auto"/>
              </w:rPr>
              <w:t>Applied volatility</w:t>
            </w:r>
          </w:p>
        </w:tc>
        <w:tc>
          <w:tcPr>
            <w:tcW w:w="2100" w:type="dxa"/>
            <w:vAlign w:val="bottom"/>
            <w:gridSpan w:val="2"/>
            <w:shd w:val="clear" w:color="auto" w:fill="CCEEFF"/>
          </w:tcPr>
          <w:p>
            <w:pPr>
              <w:jc w:val="right"/>
              <w:ind w:right="640"/>
              <w:spacing w:after="0" w:line="216" w:lineRule="exact"/>
              <w:rPr>
                <w:sz w:val="20"/>
                <w:szCs w:val="20"/>
                <w:color w:val="auto"/>
              </w:rPr>
            </w:pPr>
            <w:r>
              <w:rPr>
                <w:rFonts w:ascii="Arial" w:cs="Arial" w:eastAsia="Arial" w:hAnsi="Arial"/>
                <w:sz w:val="19"/>
                <w:szCs w:val="19"/>
                <w:color w:val="auto"/>
              </w:rPr>
              <w:t>31%-33%</w:t>
            </w:r>
          </w:p>
        </w:tc>
        <w:tc>
          <w:tcPr>
            <w:tcW w:w="1260" w:type="dxa"/>
            <w:vAlign w:val="bottom"/>
            <w:gridSpan w:val="2"/>
            <w:shd w:val="clear" w:color="auto" w:fill="CCEEFF"/>
          </w:tcPr>
          <w:p>
            <w:pPr>
              <w:jc w:val="right"/>
              <w:ind w:right="40"/>
              <w:spacing w:after="0" w:line="216" w:lineRule="exact"/>
              <w:rPr>
                <w:sz w:val="20"/>
                <w:szCs w:val="20"/>
                <w:color w:val="auto"/>
              </w:rPr>
            </w:pPr>
            <w:r>
              <w:rPr>
                <w:rFonts w:ascii="Arial" w:cs="Arial" w:eastAsia="Arial" w:hAnsi="Arial"/>
                <w:sz w:val="19"/>
                <w:szCs w:val="19"/>
                <w:color w:val="auto"/>
              </w:rPr>
              <w:t>35%</w:t>
            </w:r>
          </w:p>
        </w:tc>
      </w:tr>
    </w:tbl>
    <w:p>
      <w:pPr>
        <w:spacing w:after="0" w:line="191" w:lineRule="exact"/>
        <w:rPr>
          <w:sz w:val="20"/>
          <w:szCs w:val="20"/>
          <w:color w:val="auto"/>
        </w:rPr>
      </w:pPr>
    </w:p>
    <w:p>
      <w:pPr>
        <w:jc w:val="both"/>
        <w:ind w:left="440" w:right="540" w:firstLine="415"/>
        <w:spacing w:after="0" w:line="342" w:lineRule="auto"/>
        <w:rPr>
          <w:sz w:val="20"/>
          <w:szCs w:val="20"/>
          <w:color w:val="auto"/>
        </w:rPr>
      </w:pPr>
      <w:r>
        <w:rPr>
          <w:rFonts w:ascii="Arial" w:cs="Arial" w:eastAsia="Arial" w:hAnsi="Arial"/>
          <w:sz w:val="15"/>
          <w:szCs w:val="15"/>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5"/>
          <w:szCs w:val="15"/>
          <w:color w:val="auto"/>
        </w:rPr>
        <w:t>The following table summarizes the Company’s unvested time-based and performance-based unit activity for the six months ended June 30, 2021:</w:t>
      </w:r>
    </w:p>
    <w:p>
      <w:pPr>
        <w:spacing w:after="0" w:line="25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w w:val="84"/>
              </w:rPr>
              <w:t>Time-Based</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4"/>
                <w:szCs w:val="14"/>
                <w:color w:val="auto"/>
              </w:rPr>
              <w:t>Performance-Based</w:t>
            </w:r>
          </w:p>
        </w:tc>
      </w:tr>
      <w:tr>
        <w:trPr>
          <w:trHeight w:val="114"/>
        </w:trPr>
        <w:tc>
          <w:tcPr>
            <w:tcW w:w="3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22"/>
              <w:spacing w:after="0" w:line="114" w:lineRule="exact"/>
              <w:rPr>
                <w:sz w:val="20"/>
                <w:szCs w:val="20"/>
                <w:color w:val="auto"/>
              </w:rPr>
            </w:pPr>
            <w:r>
              <w:rPr>
                <w:rFonts w:ascii="Arial" w:cs="Arial" w:eastAsia="Arial" w:hAnsi="Arial"/>
                <w:sz w:val="12"/>
                <w:szCs w:val="12"/>
                <w:color w:val="auto"/>
              </w:rPr>
              <w:t>Weighted</w:t>
            </w:r>
          </w:p>
        </w:tc>
        <w:tc>
          <w:tcPr>
            <w:tcW w:w="56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ind w:right="42"/>
              <w:spacing w:after="0" w:line="114" w:lineRule="exact"/>
              <w:rPr>
                <w:sz w:val="20"/>
                <w:szCs w:val="20"/>
                <w:color w:val="auto"/>
              </w:rPr>
            </w:pPr>
            <w:r>
              <w:rPr>
                <w:rFonts w:ascii="Arial" w:cs="Arial" w:eastAsia="Arial" w:hAnsi="Arial"/>
                <w:sz w:val="12"/>
                <w:szCs w:val="12"/>
                <w:color w:val="auto"/>
              </w:rPr>
              <w:t>Weighted</w:t>
            </w:r>
          </w:p>
        </w:tc>
        <w:tc>
          <w:tcPr>
            <w:tcW w:w="60" w:type="dxa"/>
            <w:vAlign w:val="bottom"/>
          </w:tcPr>
          <w:p>
            <w:pPr>
              <w:spacing w:after="0"/>
              <w:rPr>
                <w:sz w:val="9"/>
                <w:szCs w:val="9"/>
                <w:color w:val="auto"/>
              </w:rPr>
            </w:pPr>
          </w:p>
        </w:tc>
      </w:tr>
      <w:tr>
        <w:trPr>
          <w:trHeight w:val="140"/>
        </w:trPr>
        <w:tc>
          <w:tcPr>
            <w:tcW w:w="3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60" w:type="dxa"/>
            <w:vAlign w:val="bottom"/>
            <w:gridSpan w:val="3"/>
          </w:tcPr>
          <w:p>
            <w:pPr>
              <w:jc w:val="right"/>
              <w:ind w:right="580"/>
              <w:spacing w:after="0" w:line="140" w:lineRule="exact"/>
              <w:rPr>
                <w:sz w:val="20"/>
                <w:szCs w:val="20"/>
                <w:color w:val="auto"/>
              </w:rPr>
            </w:pPr>
            <w:r>
              <w:rPr>
                <w:rFonts w:ascii="Arial" w:cs="Arial" w:eastAsia="Arial" w:hAnsi="Arial"/>
                <w:sz w:val="14"/>
                <w:szCs w:val="14"/>
                <w:color w:val="auto"/>
                <w:w w:val="83"/>
              </w:rPr>
              <w:t>Average Grant</w:t>
            </w: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gridSpan w:val="3"/>
          </w:tcPr>
          <w:p>
            <w:pPr>
              <w:jc w:val="right"/>
              <w:ind w:right="60"/>
              <w:spacing w:after="0" w:line="140" w:lineRule="exact"/>
              <w:rPr>
                <w:sz w:val="20"/>
                <w:szCs w:val="20"/>
                <w:color w:val="auto"/>
              </w:rPr>
            </w:pPr>
            <w:r>
              <w:rPr>
                <w:rFonts w:ascii="Arial" w:cs="Arial" w:eastAsia="Arial" w:hAnsi="Arial"/>
                <w:sz w:val="14"/>
                <w:szCs w:val="14"/>
                <w:color w:val="auto"/>
                <w:w w:val="85"/>
              </w:rPr>
              <w:t>Average Grant</w:t>
            </w:r>
          </w:p>
        </w:tc>
      </w:tr>
      <w:tr>
        <w:trPr>
          <w:trHeight w:val="140"/>
        </w:trPr>
        <w:tc>
          <w:tcPr>
            <w:tcW w:w="3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gridSpan w:val="2"/>
          </w:tcPr>
          <w:p>
            <w:pPr>
              <w:jc w:val="right"/>
              <w:ind w:right="592"/>
              <w:spacing w:after="0" w:line="140" w:lineRule="exact"/>
              <w:rPr>
                <w:sz w:val="20"/>
                <w:szCs w:val="20"/>
                <w:color w:val="auto"/>
              </w:rPr>
            </w:pPr>
            <w:r>
              <w:rPr>
                <w:rFonts w:ascii="Arial" w:cs="Arial" w:eastAsia="Arial" w:hAnsi="Arial"/>
                <w:sz w:val="14"/>
                <w:szCs w:val="14"/>
                <w:color w:val="auto"/>
                <w:w w:val="91"/>
              </w:rPr>
              <w:t>Non-Vested</w:t>
            </w:r>
          </w:p>
        </w:tc>
        <w:tc>
          <w:tcPr>
            <w:tcW w:w="100" w:type="dxa"/>
            <w:vAlign w:val="bottom"/>
          </w:tcPr>
          <w:p>
            <w:pPr>
              <w:spacing w:after="0"/>
              <w:rPr>
                <w:sz w:val="12"/>
                <w:szCs w:val="12"/>
                <w:color w:val="auto"/>
              </w:rPr>
            </w:pPr>
          </w:p>
        </w:tc>
        <w:tc>
          <w:tcPr>
            <w:tcW w:w="1260" w:type="dxa"/>
            <w:vAlign w:val="bottom"/>
            <w:gridSpan w:val="2"/>
          </w:tcPr>
          <w:p>
            <w:pPr>
              <w:jc w:val="center"/>
              <w:ind w:right="680"/>
              <w:spacing w:after="0" w:line="140" w:lineRule="exact"/>
              <w:rPr>
                <w:sz w:val="20"/>
                <w:szCs w:val="20"/>
                <w:color w:val="auto"/>
              </w:rPr>
            </w:pPr>
            <w:r>
              <w:rPr>
                <w:rFonts w:ascii="Arial" w:cs="Arial" w:eastAsia="Arial" w:hAnsi="Arial"/>
                <w:sz w:val="14"/>
                <w:szCs w:val="14"/>
                <w:color w:val="auto"/>
                <w:w w:val="86"/>
              </w:rPr>
              <w:t>Date Fair</w:t>
            </w:r>
          </w:p>
        </w:tc>
        <w:tc>
          <w:tcPr>
            <w:tcW w:w="1340" w:type="dxa"/>
            <w:vAlign w:val="bottom"/>
            <w:gridSpan w:val="2"/>
          </w:tcPr>
          <w:p>
            <w:pPr>
              <w:jc w:val="right"/>
              <w:ind w:right="660"/>
              <w:spacing w:after="0" w:line="140" w:lineRule="exact"/>
              <w:rPr>
                <w:sz w:val="20"/>
                <w:szCs w:val="20"/>
                <w:color w:val="auto"/>
              </w:rPr>
            </w:pPr>
            <w:r>
              <w:rPr>
                <w:rFonts w:ascii="Arial" w:cs="Arial" w:eastAsia="Arial" w:hAnsi="Arial"/>
                <w:sz w:val="14"/>
                <w:szCs w:val="14"/>
                <w:color w:val="auto"/>
                <w:w w:val="89"/>
              </w:rPr>
              <w:t>Non-Vested</w:t>
            </w:r>
          </w:p>
        </w:tc>
        <w:tc>
          <w:tcPr>
            <w:tcW w:w="120" w:type="dxa"/>
            <w:vAlign w:val="bottom"/>
          </w:tcPr>
          <w:p>
            <w:pPr>
              <w:spacing w:after="0"/>
              <w:rPr>
                <w:sz w:val="12"/>
                <w:szCs w:val="12"/>
                <w:color w:val="auto"/>
              </w:rPr>
            </w:pPr>
          </w:p>
        </w:tc>
        <w:tc>
          <w:tcPr>
            <w:tcW w:w="740" w:type="dxa"/>
            <w:vAlign w:val="bottom"/>
            <w:gridSpan w:val="2"/>
          </w:tcPr>
          <w:p>
            <w:pPr>
              <w:jc w:val="center"/>
              <w:ind w:right="180"/>
              <w:spacing w:after="0" w:line="140" w:lineRule="exact"/>
              <w:rPr>
                <w:sz w:val="20"/>
                <w:szCs w:val="20"/>
                <w:color w:val="auto"/>
              </w:rPr>
            </w:pPr>
            <w:r>
              <w:rPr>
                <w:rFonts w:ascii="Arial" w:cs="Arial" w:eastAsia="Arial" w:hAnsi="Arial"/>
                <w:sz w:val="14"/>
                <w:szCs w:val="14"/>
                <w:color w:val="auto"/>
                <w:w w:val="90"/>
              </w:rPr>
              <w:t>Date Fair</w:t>
            </w:r>
          </w:p>
        </w:tc>
      </w:tr>
      <w:tr>
        <w:trPr>
          <w:trHeight w:val="158"/>
        </w:trPr>
        <w:tc>
          <w:tcPr>
            <w:tcW w:w="3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gridSpan w:val="2"/>
          </w:tcPr>
          <w:p>
            <w:pPr>
              <w:jc w:val="right"/>
              <w:ind w:right="772"/>
              <w:spacing w:after="0" w:line="158" w:lineRule="exact"/>
              <w:rPr>
                <w:sz w:val="20"/>
                <w:szCs w:val="20"/>
                <w:color w:val="auto"/>
              </w:rPr>
            </w:pPr>
            <w:r>
              <w:rPr>
                <w:rFonts w:ascii="Arial" w:cs="Arial" w:eastAsia="Arial" w:hAnsi="Arial"/>
                <w:sz w:val="14"/>
                <w:szCs w:val="14"/>
                <w:color w:val="auto"/>
              </w:rPr>
              <w:t>Units</w:t>
            </w:r>
          </w:p>
        </w:tc>
        <w:tc>
          <w:tcPr>
            <w:tcW w:w="100" w:type="dxa"/>
            <w:vAlign w:val="bottom"/>
          </w:tcPr>
          <w:p>
            <w:pPr>
              <w:spacing w:after="0"/>
              <w:rPr>
                <w:sz w:val="13"/>
                <w:szCs w:val="13"/>
                <w:color w:val="auto"/>
              </w:rPr>
            </w:pPr>
          </w:p>
        </w:tc>
        <w:tc>
          <w:tcPr>
            <w:tcW w:w="1260" w:type="dxa"/>
            <w:vAlign w:val="bottom"/>
            <w:gridSpan w:val="2"/>
          </w:tcPr>
          <w:p>
            <w:pPr>
              <w:jc w:val="center"/>
              <w:ind w:right="680"/>
              <w:spacing w:after="0" w:line="158" w:lineRule="exact"/>
              <w:rPr>
                <w:sz w:val="20"/>
                <w:szCs w:val="20"/>
                <w:color w:val="auto"/>
              </w:rPr>
            </w:pPr>
            <w:r>
              <w:rPr>
                <w:rFonts w:ascii="Arial" w:cs="Arial" w:eastAsia="Arial" w:hAnsi="Arial"/>
                <w:sz w:val="14"/>
                <w:szCs w:val="14"/>
                <w:color w:val="auto"/>
                <w:w w:val="83"/>
              </w:rPr>
              <w:t>Value</w:t>
            </w:r>
          </w:p>
        </w:tc>
        <w:tc>
          <w:tcPr>
            <w:tcW w:w="1340" w:type="dxa"/>
            <w:vAlign w:val="bottom"/>
            <w:gridSpan w:val="2"/>
          </w:tcPr>
          <w:p>
            <w:pPr>
              <w:jc w:val="right"/>
              <w:ind w:right="840"/>
              <w:spacing w:after="0" w:line="158" w:lineRule="exact"/>
              <w:rPr>
                <w:sz w:val="20"/>
                <w:szCs w:val="20"/>
                <w:color w:val="auto"/>
              </w:rPr>
            </w:pPr>
            <w:r>
              <w:rPr>
                <w:rFonts w:ascii="Arial" w:cs="Arial" w:eastAsia="Arial" w:hAnsi="Arial"/>
                <w:sz w:val="14"/>
                <w:szCs w:val="14"/>
                <w:color w:val="auto"/>
              </w:rPr>
              <w:t>Units</w:t>
            </w:r>
          </w:p>
        </w:tc>
        <w:tc>
          <w:tcPr>
            <w:tcW w:w="120" w:type="dxa"/>
            <w:vAlign w:val="bottom"/>
          </w:tcPr>
          <w:p>
            <w:pPr>
              <w:spacing w:after="0"/>
              <w:rPr>
                <w:sz w:val="13"/>
                <w:szCs w:val="13"/>
                <w:color w:val="auto"/>
              </w:rPr>
            </w:pPr>
          </w:p>
        </w:tc>
        <w:tc>
          <w:tcPr>
            <w:tcW w:w="740" w:type="dxa"/>
            <w:vAlign w:val="bottom"/>
            <w:gridSpan w:val="2"/>
          </w:tcPr>
          <w:p>
            <w:pPr>
              <w:jc w:val="center"/>
              <w:ind w:right="180"/>
              <w:spacing w:after="0" w:line="158" w:lineRule="exact"/>
              <w:rPr>
                <w:sz w:val="20"/>
                <w:szCs w:val="20"/>
                <w:color w:val="auto"/>
              </w:rPr>
            </w:pPr>
            <w:r>
              <w:rPr>
                <w:rFonts w:ascii="Arial" w:cs="Arial" w:eastAsia="Arial" w:hAnsi="Arial"/>
                <w:sz w:val="14"/>
                <w:szCs w:val="14"/>
                <w:color w:val="auto"/>
                <w:w w:val="89"/>
              </w:rPr>
              <w:t>Value</w:t>
            </w:r>
          </w:p>
        </w:tc>
      </w:tr>
      <w:tr>
        <w:trPr>
          <w:trHeight w:val="196"/>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Non-vested at December 31, 2020</w:t>
            </w:r>
          </w:p>
        </w:tc>
        <w:tc>
          <w:tcPr>
            <w:tcW w:w="1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1,404,720</w:t>
            </w: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1,840,423</w:t>
            </w:r>
          </w:p>
        </w:tc>
        <w:tc>
          <w:tcPr>
            <w:tcW w:w="6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60" w:type="dxa"/>
            <w:vAlign w:val="bottom"/>
            <w:tcBorders>
              <w:top w:val="single" w:sz="8" w:color="CCEEFF"/>
            </w:tcBorders>
            <w:shd w:val="clear" w:color="auto" w:fill="CCEEFF"/>
          </w:tcPr>
          <w:p>
            <w:pPr>
              <w:spacing w:after="0"/>
              <w:rPr>
                <w:sz w:val="17"/>
                <w:szCs w:val="17"/>
                <w:color w:val="auto"/>
              </w:rPr>
            </w:pPr>
          </w:p>
        </w:tc>
      </w:tr>
      <w:tr>
        <w:trPr>
          <w:trHeight w:val="204"/>
        </w:trPr>
        <w:tc>
          <w:tcPr>
            <w:tcW w:w="3460" w:type="dxa"/>
            <w:vAlign w:val="bottom"/>
          </w:tcPr>
          <w:p>
            <w:pPr>
              <w:spacing w:after="0"/>
              <w:rPr>
                <w:sz w:val="20"/>
                <w:szCs w:val="20"/>
                <w:color w:val="auto"/>
              </w:rPr>
            </w:pPr>
            <w:r>
              <w:rPr>
                <w:rFonts w:ascii="Arial" w:cs="Arial" w:eastAsia="Arial" w:hAnsi="Arial"/>
                <w:sz w:val="17"/>
                <w:szCs w:val="17"/>
                <w:color w:val="auto"/>
              </w:rPr>
              <w:t>Granted</w:t>
            </w:r>
          </w:p>
        </w:tc>
        <w:tc>
          <w:tcPr>
            <w:tcW w:w="1900" w:type="dxa"/>
            <w:vAlign w:val="bottom"/>
            <w:gridSpan w:val="2"/>
          </w:tcPr>
          <w:p>
            <w:pPr>
              <w:jc w:val="right"/>
              <w:spacing w:after="0"/>
              <w:rPr>
                <w:sz w:val="20"/>
                <w:szCs w:val="20"/>
                <w:color w:val="auto"/>
              </w:rPr>
            </w:pPr>
            <w:r>
              <w:rPr>
                <w:rFonts w:ascii="Arial" w:cs="Arial" w:eastAsia="Arial" w:hAnsi="Arial"/>
                <w:sz w:val="17"/>
                <w:szCs w:val="17"/>
                <w:color w:val="auto"/>
              </w:rPr>
              <w:t>1,477,323</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7"/>
                <w:szCs w:val="17"/>
                <w:color w:val="auto"/>
              </w:rPr>
              <w:t>2.23</w:t>
            </w: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w w:val="95"/>
              </w:rPr>
              <w:t>1,177,308</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0.49</w:t>
            </w:r>
          </w:p>
        </w:tc>
      </w:tr>
      <w:tr>
        <w:trPr>
          <w:trHeight w:val="204"/>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2520" w:type="dxa"/>
            <w:vAlign w:val="bottom"/>
            <w:gridSpan w:val="3"/>
            <w:shd w:val="clear" w:color="auto" w:fill="CCEEFF"/>
          </w:tcPr>
          <w:p>
            <w:pPr>
              <w:jc w:val="right"/>
              <w:ind w:right="492"/>
              <w:spacing w:after="0"/>
              <w:rPr>
                <w:sz w:val="20"/>
                <w:szCs w:val="20"/>
                <w:color w:val="auto"/>
              </w:rPr>
            </w:pPr>
            <w:r>
              <w:rPr>
                <w:rFonts w:ascii="Arial" w:cs="Arial" w:eastAsia="Arial" w:hAnsi="Arial"/>
                <w:sz w:val="17"/>
                <w:szCs w:val="17"/>
                <w:color w:val="auto"/>
              </w:rPr>
              <w:t>(18,153)</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7"/>
                <w:szCs w:val="17"/>
                <w:color w:val="auto"/>
              </w:rPr>
              <w:t>3.65</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4"/>
        </w:trPr>
        <w:tc>
          <w:tcPr>
            <w:tcW w:w="3460" w:type="dxa"/>
            <w:vAlign w:val="bottom"/>
          </w:tcPr>
          <w:p>
            <w:pPr>
              <w:spacing w:after="0"/>
              <w:rPr>
                <w:sz w:val="20"/>
                <w:szCs w:val="20"/>
                <w:color w:val="auto"/>
              </w:rPr>
            </w:pPr>
            <w:r>
              <w:rPr>
                <w:rFonts w:ascii="Arial" w:cs="Arial" w:eastAsia="Arial" w:hAnsi="Arial"/>
                <w:sz w:val="17"/>
                <w:szCs w:val="17"/>
                <w:color w:val="auto"/>
              </w:rPr>
              <w:t>Forfeited</w:t>
            </w:r>
          </w:p>
        </w:tc>
        <w:tc>
          <w:tcPr>
            <w:tcW w:w="1160" w:type="dxa"/>
            <w:vAlign w:val="bottom"/>
          </w:tcPr>
          <w:p>
            <w:pPr>
              <w:spacing w:after="0"/>
              <w:rPr>
                <w:sz w:val="17"/>
                <w:szCs w:val="17"/>
                <w:color w:val="auto"/>
              </w:rPr>
            </w:pPr>
          </w:p>
        </w:tc>
        <w:tc>
          <w:tcPr>
            <w:tcW w:w="1360" w:type="dxa"/>
            <w:vAlign w:val="bottom"/>
            <w:gridSpan w:val="2"/>
          </w:tcPr>
          <w:p>
            <w:pPr>
              <w:jc w:val="right"/>
              <w:ind w:right="492"/>
              <w:spacing w:after="0"/>
              <w:rPr>
                <w:sz w:val="20"/>
                <w:szCs w:val="20"/>
                <w:color w:val="auto"/>
              </w:rPr>
            </w:pPr>
            <w:r>
              <w:rPr>
                <w:rFonts w:ascii="Arial" w:cs="Arial" w:eastAsia="Arial" w:hAnsi="Arial"/>
                <w:sz w:val="17"/>
                <w:szCs w:val="17"/>
                <w:color w:val="auto"/>
              </w:rPr>
              <w:t>(10,958)</w:t>
            </w:r>
          </w:p>
        </w:tc>
        <w:tc>
          <w:tcPr>
            <w:tcW w:w="100" w:type="dxa"/>
            <w:vAlign w:val="bottom"/>
          </w:tcPr>
          <w:p>
            <w:pPr>
              <w:spacing w:after="0"/>
              <w:rPr>
                <w:sz w:val="17"/>
                <w:szCs w:val="17"/>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7"/>
                <w:szCs w:val="17"/>
                <w:color w:val="auto"/>
              </w:rPr>
              <w:t>3.65</w:t>
            </w: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(14,611)</w:t>
            </w: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2.35</w:t>
            </w:r>
          </w:p>
        </w:tc>
      </w:tr>
      <w:tr>
        <w:trPr>
          <w:trHeight w:val="25"/>
        </w:trPr>
        <w:tc>
          <w:tcPr>
            <w:tcW w:w="3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4"/>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Non-vested at June 30, 2021</w:t>
            </w:r>
          </w:p>
        </w:tc>
        <w:tc>
          <w:tcPr>
            <w:tcW w:w="1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2,852,932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5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3,003,120</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1.59</w:t>
            </w:r>
          </w:p>
        </w:tc>
      </w:tr>
      <w:tr>
        <w:trPr>
          <w:trHeight w:val="20"/>
        </w:trPr>
        <w:tc>
          <w:tcPr>
            <w:tcW w:w="3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3"/>
        </w:trPr>
        <w:tc>
          <w:tcPr>
            <w:tcW w:w="3460" w:type="dxa"/>
            <w:vAlign w:val="bottom"/>
          </w:tcPr>
          <w:p>
            <w:pPr>
              <w:spacing w:after="0"/>
              <w:rPr>
                <w:sz w:val="24"/>
                <w:szCs w:val="24"/>
                <w:color w:val="auto"/>
              </w:rPr>
            </w:pPr>
          </w:p>
        </w:tc>
        <w:tc>
          <w:tcPr>
            <w:tcW w:w="2520" w:type="dxa"/>
            <w:vAlign w:val="bottom"/>
            <w:gridSpan w:val="3"/>
          </w:tcPr>
          <w:p>
            <w:pPr>
              <w:jc w:val="right"/>
              <w:ind w:right="992"/>
              <w:spacing w:after="0"/>
              <w:rPr>
                <w:sz w:val="20"/>
                <w:szCs w:val="20"/>
                <w:color w:val="auto"/>
              </w:rPr>
            </w:pPr>
            <w:r>
              <w:rPr>
                <w:rFonts w:ascii="Arial" w:cs="Arial" w:eastAsia="Arial" w:hAnsi="Arial"/>
                <w:sz w:val="17"/>
                <w:szCs w:val="17"/>
                <w:color w:val="auto"/>
              </w:rPr>
              <w:t>F-72</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00"/>
          </w:cols>
          <w:pgMar w:left="320" w:top="442" w:right="779" w:bottom="1440" w:gutter="0" w:footer="0" w:header="0"/>
        </w:sectPr>
      </w:pPr>
    </w:p>
    <w:bookmarkStart w:id="299" w:name="page300"/>
    <w:bookmarkEnd w:id="2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Equity-based compensation expense is allocated to all departments in the accompanying condensed consolidated statements of operations based on the recipients of the compensation. A summary of the expense by line item in the condensed consolidated statements of operations for the six months ended June 30, 2021 and 2020, respectively, is provided in the following table (in thousands).</w:t>
      </w:r>
    </w:p>
    <w:p>
      <w:pPr>
        <w:spacing w:after="0" w:line="79"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56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40"/>
              <w:spacing w:after="0" w:line="133" w:lineRule="exact"/>
              <w:rPr>
                <w:sz w:val="20"/>
                <w:szCs w:val="20"/>
                <w:color w:val="auto"/>
              </w:rPr>
            </w:pPr>
            <w:r>
              <w:rPr>
                <w:rFonts w:ascii="Arial" w:cs="Arial" w:eastAsia="Arial" w:hAnsi="Arial"/>
                <w:sz w:val="14"/>
                <w:szCs w:val="14"/>
                <w:b w:val="1"/>
                <w:bCs w:val="1"/>
                <w:color w:val="auto"/>
              </w:rPr>
              <w:t>2021</w:t>
            </w:r>
          </w:p>
        </w:tc>
        <w:tc>
          <w:tcPr>
            <w:tcW w:w="7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33"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1"/>
                <w:szCs w:val="11"/>
                <w:color w:val="auto"/>
              </w:rPr>
            </w:pPr>
          </w:p>
        </w:tc>
      </w:tr>
      <w:tr>
        <w:trPr>
          <w:trHeight w:val="196"/>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40" w:type="dxa"/>
            <w:vAlign w:val="bottom"/>
            <w:shd w:val="clear" w:color="auto" w:fill="CCEEFF"/>
          </w:tcPr>
          <w:p>
            <w:pPr>
              <w:spacing w:after="0"/>
              <w:rPr>
                <w:sz w:val="17"/>
                <w:szCs w:val="17"/>
                <w:color w:val="auto"/>
              </w:rPr>
            </w:pPr>
          </w:p>
        </w:tc>
      </w:tr>
      <w:tr>
        <w:trPr>
          <w:trHeight w:val="204"/>
        </w:trPr>
        <w:tc>
          <w:tcPr>
            <w:tcW w:w="5640" w:type="dxa"/>
            <w:vAlign w:val="bottom"/>
          </w:tcPr>
          <w:p>
            <w:pPr>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spacing w:after="0"/>
              <w:rPr>
                <w:sz w:val="17"/>
                <w:szCs w:val="17"/>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7"/>
                <w:szCs w:val="17"/>
                <w:color w:val="auto"/>
              </w:rPr>
              <w:t>241</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248</w:t>
            </w:r>
          </w:p>
        </w:tc>
      </w:tr>
      <w:tr>
        <w:trPr>
          <w:trHeight w:val="204"/>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Product development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154</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174</w:t>
            </w:r>
          </w:p>
        </w:tc>
      </w:tr>
      <w:tr>
        <w:trPr>
          <w:trHeight w:val="204"/>
        </w:trPr>
        <w:tc>
          <w:tcPr>
            <w:tcW w:w="56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40" w:type="dxa"/>
            <w:vAlign w:val="bottom"/>
          </w:tcPr>
          <w:p>
            <w:pPr>
              <w:spacing w:after="0"/>
              <w:rPr>
                <w:sz w:val="17"/>
                <w:szCs w:val="17"/>
                <w:color w:val="auto"/>
              </w:rPr>
            </w:pPr>
          </w:p>
        </w:tc>
        <w:tc>
          <w:tcPr>
            <w:tcW w:w="1320" w:type="dxa"/>
            <w:vAlign w:val="bottom"/>
            <w:gridSpan w:val="2"/>
          </w:tcPr>
          <w:p>
            <w:pPr>
              <w:jc w:val="right"/>
              <w:ind w:right="760"/>
              <w:spacing w:after="0"/>
              <w:rPr>
                <w:sz w:val="20"/>
                <w:szCs w:val="20"/>
                <w:color w:val="auto"/>
              </w:rPr>
            </w:pPr>
            <w:r>
              <w:rPr>
                <w:rFonts w:ascii="Arial" w:cs="Arial" w:eastAsia="Arial" w:hAnsi="Arial"/>
                <w:sz w:val="17"/>
                <w:szCs w:val="17"/>
                <w:color w:val="auto"/>
              </w:rPr>
              <w:t>1,595</w:t>
            </w: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7"/>
                <w:szCs w:val="17"/>
                <w:color w:val="auto"/>
              </w:rPr>
              <w:t>420</w:t>
            </w:r>
          </w:p>
        </w:tc>
      </w:tr>
      <w:tr>
        <w:trPr>
          <w:trHeight w:val="25"/>
        </w:trPr>
        <w:tc>
          <w:tcPr>
            <w:tcW w:w="5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compensation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2,021</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872</w:t>
            </w:r>
          </w:p>
        </w:tc>
      </w:tr>
      <w:tr>
        <w:trPr>
          <w:trHeight w:val="20"/>
        </w:trPr>
        <w:tc>
          <w:tcPr>
            <w:tcW w:w="5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460" w:firstLine="415"/>
        <w:spacing w:after="0" w:line="273" w:lineRule="auto"/>
        <w:rPr>
          <w:sz w:val="20"/>
          <w:szCs w:val="20"/>
          <w:color w:val="auto"/>
        </w:rPr>
      </w:pPr>
      <w:r>
        <w:rPr>
          <w:rFonts w:ascii="Arial" w:cs="Arial" w:eastAsia="Arial" w:hAnsi="Arial"/>
          <w:sz w:val="17"/>
          <w:szCs w:val="17"/>
          <w:color w:val="auto"/>
        </w:rPr>
        <w:t>During the second quarter of 2021, the Company issued 363,516 new Class A units worth $6.6 million, recorded as a capital contribution of $5.5 million and an equity-based compensation expense of $1.1 million.</w:t>
      </w:r>
    </w:p>
    <w:p>
      <w:pPr>
        <w:spacing w:after="0" w:line="166" w:lineRule="exact"/>
        <w:rPr>
          <w:sz w:val="20"/>
          <w:szCs w:val="20"/>
          <w:color w:val="auto"/>
        </w:rPr>
      </w:pPr>
    </w:p>
    <w:p>
      <w:pPr>
        <w:ind w:left="440" w:right="100" w:firstLine="415"/>
        <w:spacing w:after="0" w:line="261" w:lineRule="auto"/>
        <w:rPr>
          <w:sz w:val="20"/>
          <w:szCs w:val="20"/>
          <w:color w:val="auto"/>
        </w:rPr>
      </w:pPr>
      <w:r>
        <w:rPr>
          <w:rFonts w:ascii="Arial" w:cs="Arial" w:eastAsia="Arial" w:hAnsi="Arial"/>
          <w:sz w:val="17"/>
          <w:szCs w:val="17"/>
          <w:color w:val="auto"/>
        </w:rPr>
        <w:t>The Company does not consider the vesting of the performance-based units to be probable and has not recorded any associated compensation expense. Accordingly, the Company had $4.8 million of unrecognized unit-based compensation expense for the performance-based units as of June 30, 2021.</w:t>
      </w:r>
    </w:p>
    <w:p>
      <w:pPr>
        <w:spacing w:after="0" w:line="176" w:lineRule="exact"/>
        <w:rPr>
          <w:sz w:val="20"/>
          <w:szCs w:val="20"/>
          <w:color w:val="auto"/>
        </w:rPr>
      </w:pPr>
    </w:p>
    <w:p>
      <w:pPr>
        <w:ind w:left="440" w:right="40" w:firstLine="415"/>
        <w:spacing w:after="0" w:line="273" w:lineRule="auto"/>
        <w:rPr>
          <w:sz w:val="20"/>
          <w:szCs w:val="20"/>
          <w:color w:val="auto"/>
        </w:rPr>
      </w:pPr>
      <w:r>
        <w:rPr>
          <w:rFonts w:ascii="Arial" w:cs="Arial" w:eastAsia="Arial" w:hAnsi="Arial"/>
          <w:sz w:val="17"/>
          <w:szCs w:val="17"/>
          <w:color w:val="auto"/>
        </w:rPr>
        <w:t>As June 30, 2021, the Company had $5.7 million of unrecognized unit-based compensation for time-based units, expected to be recognized over a weighted average remaining requisite period of 2.8 years.</w:t>
      </w:r>
    </w:p>
    <w:p>
      <w:pPr>
        <w:spacing w:after="0" w:line="306" w:lineRule="exact"/>
        <w:rPr>
          <w:sz w:val="20"/>
          <w:szCs w:val="20"/>
          <w:color w:val="auto"/>
        </w:rPr>
      </w:pPr>
    </w:p>
    <w:p>
      <w:pPr>
        <w:ind w:left="840" w:hanging="406"/>
        <w:spacing w:after="0"/>
        <w:tabs>
          <w:tab w:leader="none" w:pos="840" w:val="left"/>
        </w:tabs>
        <w:numPr>
          <w:ilvl w:val="0"/>
          <w:numId w:val="21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Retirement Plan</w:t>
      </w:r>
    </w:p>
    <w:p>
      <w:pPr>
        <w:spacing w:after="0" w:line="110" w:lineRule="exact"/>
        <w:rPr>
          <w:sz w:val="20"/>
          <w:szCs w:val="20"/>
          <w:color w:val="auto"/>
        </w:rPr>
      </w:pPr>
    </w:p>
    <w:p>
      <w:pPr>
        <w:ind w:left="440" w:right="140" w:firstLine="415"/>
        <w:spacing w:after="0" w:line="261" w:lineRule="auto"/>
        <w:rPr>
          <w:sz w:val="20"/>
          <w:szCs w:val="20"/>
          <w:color w:val="auto"/>
        </w:rPr>
      </w:pPr>
      <w:r>
        <w:rPr>
          <w:rFonts w:ascii="Arial" w:cs="Arial" w:eastAsia="Arial" w:hAnsi="Arial"/>
          <w:sz w:val="17"/>
          <w:szCs w:val="17"/>
          <w:color w:val="auto"/>
        </w:rPr>
        <w:t>The Company has a 401(k) plan covering all employees who have met certain eligibility requirements. The Company made matching contributions in accordance with the plan documents. The Company incurred $1.2 million and $0.8 million in employer matching contributions during the six months ended June 30, 2021 and 2020, respectively.</w:t>
      </w:r>
    </w:p>
    <w:p>
      <w:pPr>
        <w:spacing w:after="0" w:line="316" w:lineRule="exact"/>
        <w:rPr>
          <w:sz w:val="20"/>
          <w:szCs w:val="20"/>
          <w:color w:val="auto"/>
        </w:rPr>
      </w:pPr>
    </w:p>
    <w:p>
      <w:pPr>
        <w:ind w:left="840" w:hanging="406"/>
        <w:spacing w:after="0"/>
        <w:tabs>
          <w:tab w:leader="none" w:pos="840" w:val="left"/>
        </w:tabs>
        <w:numPr>
          <w:ilvl w:val="0"/>
          <w:numId w:val="21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Income Taxes</w:t>
      </w:r>
    </w:p>
    <w:p>
      <w:pPr>
        <w:spacing w:after="0" w:line="110" w:lineRule="exact"/>
        <w:rPr>
          <w:sz w:val="20"/>
          <w:szCs w:val="20"/>
          <w:color w:val="auto"/>
        </w:rPr>
      </w:pPr>
    </w:p>
    <w:p>
      <w:pPr>
        <w:ind w:left="440" w:firstLine="415"/>
        <w:spacing w:after="0" w:line="273" w:lineRule="auto"/>
        <w:rPr>
          <w:sz w:val="20"/>
          <w:szCs w:val="20"/>
          <w:color w:val="auto"/>
        </w:rPr>
      </w:pPr>
      <w:r>
        <w:rPr>
          <w:rFonts w:ascii="Arial" w:cs="Arial" w:eastAsia="Arial" w:hAnsi="Arial"/>
          <w:sz w:val="17"/>
          <w:szCs w:val="17"/>
          <w:color w:val="auto"/>
        </w:rPr>
        <w:t>Definitive Healthcare Holdings was not subject to any federal income taxes for the six months ended June 30, 2021 and 2020, nor was it subject to state income taxes for the six months ended June 30, 2021 and 2020.</w:t>
      </w:r>
    </w:p>
    <w:p>
      <w:pPr>
        <w:spacing w:after="0" w:line="268"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Company did not have any uncertain positions as of June 30, 2021 or December 31, 2020.</w:t>
      </w:r>
    </w:p>
    <w:p>
      <w:pPr>
        <w:spacing w:after="0" w:line="351" w:lineRule="exact"/>
        <w:rPr>
          <w:sz w:val="20"/>
          <w:szCs w:val="20"/>
          <w:color w:val="auto"/>
        </w:rPr>
      </w:pPr>
    </w:p>
    <w:p>
      <w:pPr>
        <w:ind w:left="840" w:hanging="406"/>
        <w:spacing w:after="0"/>
        <w:tabs>
          <w:tab w:leader="none" w:pos="840" w:val="left"/>
        </w:tabs>
        <w:numPr>
          <w:ilvl w:val="0"/>
          <w:numId w:val="21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Net Loss per Unit</w:t>
      </w:r>
    </w:p>
    <w:p>
      <w:pPr>
        <w:spacing w:after="0" w:line="110" w:lineRule="exact"/>
        <w:rPr>
          <w:sz w:val="20"/>
          <w:szCs w:val="20"/>
          <w:color w:val="auto"/>
        </w:rPr>
      </w:pPr>
    </w:p>
    <w:p>
      <w:pPr>
        <w:ind w:left="440" w:right="660" w:firstLine="415"/>
        <w:spacing w:after="0" w:line="273" w:lineRule="auto"/>
        <w:rPr>
          <w:sz w:val="20"/>
          <w:szCs w:val="20"/>
          <w:color w:val="auto"/>
        </w:rPr>
      </w:pPr>
      <w:r>
        <w:rPr>
          <w:rFonts w:ascii="Arial" w:cs="Arial" w:eastAsia="Arial" w:hAnsi="Arial"/>
          <w:sz w:val="17"/>
          <w:szCs w:val="17"/>
          <w:color w:val="auto"/>
        </w:rPr>
        <w:t>The following table presents the calculation of basic and diluted net income/(loss) per unit (“EPU”) for the Company’s common units (in thousands, except of number of units and per unit data):</w:t>
      </w:r>
    </w:p>
    <w:p>
      <w:pPr>
        <w:spacing w:after="0" w:line="6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50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42"/>
              <w:spacing w:after="0" w:line="133" w:lineRule="exact"/>
              <w:rPr>
                <w:sz w:val="20"/>
                <w:szCs w:val="20"/>
                <w:color w:val="auto"/>
              </w:rPr>
            </w:pPr>
            <w:r>
              <w:rPr>
                <w:rFonts w:ascii="Arial" w:cs="Arial" w:eastAsia="Arial" w:hAnsi="Arial"/>
                <w:sz w:val="14"/>
                <w:szCs w:val="14"/>
                <w:b w:val="1"/>
                <w:bCs w:val="1"/>
                <w:color w:val="auto"/>
              </w:rPr>
              <w:t>2021</w:t>
            </w:r>
          </w:p>
        </w:tc>
        <w:tc>
          <w:tcPr>
            <w:tcW w:w="8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39"/>
              <w:spacing w:after="0" w:line="13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1"/>
                <w:szCs w:val="11"/>
                <w:color w:val="auto"/>
              </w:rPr>
            </w:pPr>
          </w:p>
        </w:tc>
      </w:tr>
      <w:tr>
        <w:trPr>
          <w:trHeight w:val="196"/>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(25,527)</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(25,333)</w:t>
            </w:r>
          </w:p>
        </w:tc>
        <w:tc>
          <w:tcPr>
            <w:tcW w:w="100" w:type="dxa"/>
            <w:vAlign w:val="bottom"/>
            <w:shd w:val="clear" w:color="auto" w:fill="CCEEFF"/>
          </w:tcPr>
          <w:p>
            <w:pPr>
              <w:spacing w:after="0"/>
              <w:rPr>
                <w:sz w:val="17"/>
                <w:szCs w:val="17"/>
                <w:color w:val="auto"/>
              </w:rPr>
            </w:pPr>
          </w:p>
        </w:tc>
      </w:tr>
      <w:tr>
        <w:trPr>
          <w:trHeight w:val="191"/>
        </w:trPr>
        <w:tc>
          <w:tcPr>
            <w:tcW w:w="5020" w:type="dxa"/>
            <w:vAlign w:val="bottom"/>
          </w:tcPr>
          <w:p>
            <w:pPr>
              <w:spacing w:after="0" w:line="191" w:lineRule="exact"/>
              <w:rPr>
                <w:sz w:val="20"/>
                <w:szCs w:val="20"/>
                <w:color w:val="auto"/>
              </w:rPr>
            </w:pPr>
            <w:r>
              <w:rPr>
                <w:rFonts w:ascii="Arial" w:cs="Arial" w:eastAsia="Arial" w:hAnsi="Arial"/>
                <w:sz w:val="17"/>
                <w:szCs w:val="17"/>
                <w:color w:val="auto"/>
              </w:rPr>
              <w:t>Weighted-average units used to compute basic and diluted net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5020" w:type="dxa"/>
            <w:vAlign w:val="bottom"/>
          </w:tcPr>
          <w:p>
            <w:pPr>
              <w:ind w:left="180"/>
              <w:spacing w:after="0"/>
              <w:rPr>
                <w:sz w:val="20"/>
                <w:szCs w:val="20"/>
                <w:color w:val="auto"/>
              </w:rPr>
            </w:pPr>
            <w:r>
              <w:rPr>
                <w:rFonts w:ascii="Arial" w:cs="Arial" w:eastAsia="Arial" w:hAnsi="Arial"/>
                <w:sz w:val="17"/>
                <w:szCs w:val="17"/>
                <w:color w:val="auto"/>
              </w:rPr>
              <w:t>loss per unit</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130,268,082</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6"/>
              </w:rPr>
              <w:t>127,125,435</w:t>
            </w:r>
          </w:p>
        </w:tc>
        <w:tc>
          <w:tcPr>
            <w:tcW w:w="100" w:type="dxa"/>
            <w:vAlign w:val="bottom"/>
          </w:tcPr>
          <w:p>
            <w:pPr>
              <w:spacing w:after="0"/>
              <w:rPr>
                <w:sz w:val="19"/>
                <w:szCs w:val="19"/>
                <w:color w:val="auto"/>
              </w:rPr>
            </w:pPr>
          </w:p>
        </w:tc>
      </w:tr>
      <w:tr>
        <w:trPr>
          <w:trHeight w:val="204"/>
        </w:trPr>
        <w:tc>
          <w:tcPr>
            <w:tcW w:w="5020" w:type="dxa"/>
            <w:vAlign w:val="bottom"/>
            <w:shd w:val="clear" w:color="auto" w:fill="CCEEFF"/>
          </w:tcPr>
          <w:p>
            <w:pPr>
              <w:spacing w:after="0"/>
              <w:rPr>
                <w:sz w:val="20"/>
                <w:szCs w:val="20"/>
                <w:color w:val="auto"/>
              </w:rPr>
            </w:pPr>
            <w:r>
              <w:rPr>
                <w:rFonts w:ascii="Arial" w:cs="Arial" w:eastAsia="Arial" w:hAnsi="Arial"/>
                <w:sz w:val="17"/>
                <w:szCs w:val="17"/>
                <w:color w:val="auto"/>
              </w:rPr>
              <w:t>Net loss per unit,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(0.20)</w:t>
            </w:r>
          </w:p>
        </w:tc>
      </w:tr>
      <w:tr>
        <w:trPr>
          <w:trHeight w:val="20"/>
        </w:trPr>
        <w:tc>
          <w:tcPr>
            <w:tcW w:w="5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4" w:lineRule="exact"/>
        <w:rPr>
          <w:sz w:val="20"/>
          <w:szCs w:val="20"/>
          <w:color w:val="auto"/>
        </w:rPr>
      </w:pPr>
    </w:p>
    <w:p>
      <w:pPr>
        <w:ind w:left="440" w:right="120" w:firstLine="415"/>
        <w:spacing w:after="0" w:line="275" w:lineRule="auto"/>
        <w:rPr>
          <w:sz w:val="20"/>
          <w:szCs w:val="20"/>
          <w:color w:val="auto"/>
        </w:rPr>
      </w:pPr>
      <w:r>
        <w:rPr>
          <w:rFonts w:ascii="Arial" w:cs="Arial" w:eastAsia="Arial" w:hAnsi="Arial"/>
          <w:sz w:val="16"/>
          <w:szCs w:val="16"/>
          <w:color w:val="auto"/>
        </w:rPr>
        <w:t>The Company has issued potentially dilutive instruments in the form of Class B Profit Interest Units granted to the Company’s employees. As of June 30, 2021, there were 493,073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six months ended June 30, 2021 or 2020, because to include them would be anti-dilutive due to the Company’s net loss during the period.</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F-73</w:t>
      </w:r>
    </w:p>
    <w:p>
      <w:pPr>
        <w:sectPr>
          <w:pgSz w:w="11900" w:h="16838" w:orient="portrait"/>
          <w:cols w:equalWidth="0" w:num="1">
            <w:col w:w="10800"/>
          </w:cols>
          <w:pgMar w:left="320" w:top="442" w:right="779" w:bottom="1440" w:gutter="0" w:footer="0" w:header="0"/>
        </w:sectPr>
      </w:pPr>
    </w:p>
    <w:bookmarkStart w:id="300" w:name="page301"/>
    <w:bookmarkEnd w:id="3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hanging="406"/>
        <w:spacing w:after="0"/>
        <w:tabs>
          <w:tab w:leader="none" w:pos="840" w:val="left"/>
        </w:tabs>
        <w:numPr>
          <w:ilvl w:val="0"/>
          <w:numId w:val="219"/>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Segment and Geographic Data</w:t>
      </w:r>
    </w:p>
    <w:p>
      <w:pPr>
        <w:spacing w:after="0" w:line="110" w:lineRule="exact"/>
        <w:rPr>
          <w:sz w:val="20"/>
          <w:szCs w:val="20"/>
          <w:color w:val="auto"/>
        </w:rPr>
      </w:pPr>
    </w:p>
    <w:p>
      <w:pPr>
        <w:ind w:left="440" w:firstLine="415"/>
        <w:spacing w:after="0" w:line="255" w:lineRule="auto"/>
        <w:rPr>
          <w:sz w:val="20"/>
          <w:szCs w:val="20"/>
          <w:color w:val="auto"/>
        </w:rPr>
      </w:pPr>
      <w:r>
        <w:rPr>
          <w:rFonts w:ascii="Arial" w:cs="Arial" w:eastAsia="Arial" w:hAnsi="Arial"/>
          <w:sz w:val="17"/>
          <w:szCs w:val="17"/>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Revenue by geographic area presented based upon the location of the customer are as follows (in thousands):</w:t>
      </w:r>
    </w:p>
    <w:p>
      <w:pPr>
        <w:spacing w:after="0" w:line="228"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33"/>
        </w:trPr>
        <w:tc>
          <w:tcPr>
            <w:tcW w:w="58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ind w:left="60"/>
              <w:spacing w:after="0" w:line="133" w:lineRule="exact"/>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9"/>
              <w:spacing w:after="0" w:line="133"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1"/>
                <w:szCs w:val="11"/>
                <w:color w:val="auto"/>
              </w:rPr>
            </w:pPr>
          </w:p>
        </w:tc>
      </w:tr>
      <w:tr>
        <w:trPr>
          <w:trHeight w:val="196"/>
        </w:trPr>
        <w:tc>
          <w:tcPr>
            <w:tcW w:w="580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74,186</w:t>
            </w: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54,586</w:t>
            </w:r>
          </w:p>
        </w:tc>
        <w:tc>
          <w:tcPr>
            <w:tcW w:w="40" w:type="dxa"/>
            <w:vAlign w:val="bottom"/>
            <w:shd w:val="clear" w:color="auto" w:fill="CCEEFF"/>
          </w:tcPr>
          <w:p>
            <w:pPr>
              <w:spacing w:after="0"/>
              <w:rPr>
                <w:sz w:val="17"/>
                <w:szCs w:val="17"/>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7"/>
                <w:szCs w:val="17"/>
                <w:color w:val="auto"/>
              </w:rPr>
              <w:t>Rest of world</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2,571</w:t>
            </w:r>
          </w:p>
        </w:tc>
        <w:tc>
          <w:tcPr>
            <w:tcW w:w="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r>
      <w:tr>
        <w:trPr>
          <w:trHeight w:val="204"/>
        </w:trPr>
        <w:tc>
          <w:tcPr>
            <w:tcW w:w="5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76,757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54,586</w:t>
            </w:r>
          </w:p>
        </w:tc>
      </w:tr>
      <w:tr>
        <w:trPr>
          <w:trHeight w:val="20"/>
        </w:trPr>
        <w:tc>
          <w:tcPr>
            <w:tcW w:w="5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4" w:lineRule="exact"/>
        <w:rPr>
          <w:sz w:val="20"/>
          <w:szCs w:val="20"/>
          <w:color w:val="auto"/>
        </w:rPr>
      </w:pPr>
    </w:p>
    <w:p>
      <w:pPr>
        <w:ind w:left="840"/>
        <w:spacing w:after="0"/>
        <w:rPr>
          <w:sz w:val="20"/>
          <w:szCs w:val="20"/>
          <w:color w:val="auto"/>
        </w:rPr>
      </w:pPr>
      <w:r>
        <w:rPr>
          <w:rFonts w:ascii="Arial" w:cs="Arial" w:eastAsia="Arial" w:hAnsi="Arial"/>
          <w:sz w:val="17"/>
          <w:szCs w:val="17"/>
          <w:color w:val="auto"/>
        </w:rPr>
        <w:t xml:space="preserve">For a summary of our revenue disaggregated by service, refer to Note 4. </w:t>
      </w:r>
      <w:r>
        <w:rPr>
          <w:rFonts w:ascii="Arial" w:cs="Arial" w:eastAsia="Arial" w:hAnsi="Arial"/>
          <w:sz w:val="17"/>
          <w:szCs w:val="17"/>
          <w:i w:val="1"/>
          <w:iCs w:val="1"/>
          <w:color w:val="auto"/>
        </w:rPr>
        <w:t>Revenue</w:t>
      </w:r>
      <w:r>
        <w:rPr>
          <w:rFonts w:ascii="Arial" w:cs="Arial" w:eastAsia="Arial" w:hAnsi="Arial"/>
          <w:sz w:val="17"/>
          <w:szCs w:val="17"/>
          <w:color w:val="auto"/>
        </w:rPr>
        <w:t>.</w:t>
      </w:r>
    </w:p>
    <w:p>
      <w:pPr>
        <w:spacing w:after="0" w:line="212" w:lineRule="exact"/>
        <w:rPr>
          <w:sz w:val="20"/>
          <w:szCs w:val="20"/>
          <w:color w:val="auto"/>
        </w:rPr>
      </w:pPr>
    </w:p>
    <w:p>
      <w:pPr>
        <w:ind w:left="440" w:right="180" w:firstLine="415"/>
        <w:spacing w:after="0" w:line="273" w:lineRule="auto"/>
        <w:rPr>
          <w:sz w:val="20"/>
          <w:szCs w:val="20"/>
          <w:color w:val="auto"/>
        </w:rPr>
      </w:pPr>
      <w:r>
        <w:rPr>
          <w:rFonts w:ascii="Arial" w:cs="Arial" w:eastAsia="Arial" w:hAnsi="Arial"/>
          <w:sz w:val="17"/>
          <w:szCs w:val="17"/>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88"/>
              </w:rPr>
              <w:t>December 31, 2020</w:t>
            </w:r>
          </w:p>
        </w:tc>
      </w:tr>
      <w:tr>
        <w:trPr>
          <w:trHeight w:val="196"/>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3,814</w:t>
            </w:r>
          </w:p>
        </w:tc>
        <w:tc>
          <w:tcPr>
            <w:tcW w:w="9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3,120</w:t>
            </w:r>
          </w:p>
        </w:tc>
        <w:tc>
          <w:tcPr>
            <w:tcW w:w="40" w:type="dxa"/>
            <w:vAlign w:val="bottom"/>
            <w:tcBorders>
              <w:top w:val="single" w:sz="8" w:color="CCEEFF"/>
            </w:tcBorders>
            <w:shd w:val="clear" w:color="auto" w:fill="CCEEFF"/>
          </w:tcPr>
          <w:p>
            <w:pPr>
              <w:spacing w:after="0"/>
              <w:rPr>
                <w:sz w:val="17"/>
                <w:szCs w:val="17"/>
                <w:color w:val="auto"/>
              </w:rPr>
            </w:pPr>
          </w:p>
        </w:tc>
      </w:tr>
      <w:tr>
        <w:trPr>
          <w:trHeight w:val="204"/>
        </w:trPr>
        <w:tc>
          <w:tcPr>
            <w:tcW w:w="4980" w:type="dxa"/>
            <w:vAlign w:val="bottom"/>
          </w:tcPr>
          <w:p>
            <w:pPr>
              <w:spacing w:after="0"/>
              <w:rPr>
                <w:sz w:val="20"/>
                <w:szCs w:val="20"/>
                <w:color w:val="auto"/>
              </w:rPr>
            </w:pPr>
            <w:r>
              <w:rPr>
                <w:rFonts w:ascii="Arial" w:cs="Arial" w:eastAsia="Arial" w:hAnsi="Arial"/>
                <w:sz w:val="17"/>
                <w:szCs w:val="17"/>
                <w:color w:val="auto"/>
              </w:rPr>
              <w:t>Rest of world</w:t>
            </w:r>
          </w:p>
        </w:tc>
        <w:tc>
          <w:tcPr>
            <w:tcW w:w="240" w:type="dxa"/>
            <w:vAlign w:val="bottom"/>
          </w:tcPr>
          <w:p>
            <w:pPr>
              <w:spacing w:after="0"/>
              <w:rPr>
                <w:sz w:val="17"/>
                <w:szCs w:val="17"/>
                <w:color w:val="auto"/>
              </w:rPr>
            </w:pPr>
          </w:p>
        </w:tc>
        <w:tc>
          <w:tcPr>
            <w:tcW w:w="1520" w:type="dxa"/>
            <w:vAlign w:val="bottom"/>
            <w:gridSpan w:val="2"/>
          </w:tcPr>
          <w:p>
            <w:pPr>
              <w:jc w:val="right"/>
              <w:ind w:right="980"/>
              <w:spacing w:after="0"/>
              <w:rPr>
                <w:sz w:val="20"/>
                <w:szCs w:val="20"/>
                <w:color w:val="auto"/>
              </w:rPr>
            </w:pPr>
            <w:r>
              <w:rPr>
                <w:rFonts w:ascii="Arial" w:cs="Arial" w:eastAsia="Arial" w:hAnsi="Arial"/>
                <w:sz w:val="17"/>
                <w:szCs w:val="17"/>
                <w:color w:val="auto"/>
              </w:rPr>
              <w:t>526</w:t>
            </w:r>
          </w:p>
        </w:tc>
        <w:tc>
          <w:tcPr>
            <w:tcW w:w="4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128</w:t>
            </w:r>
          </w:p>
        </w:tc>
      </w:tr>
      <w:tr>
        <w:trPr>
          <w:trHeight w:val="25"/>
        </w:trPr>
        <w:tc>
          <w:tcPr>
            <w:tcW w:w="4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long-lived assets</w:t>
            </w:r>
          </w:p>
        </w:tc>
        <w:tc>
          <w:tcPr>
            <w:tcW w:w="2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980"/>
              <w:spacing w:after="0"/>
              <w:rPr>
                <w:sz w:val="20"/>
                <w:szCs w:val="20"/>
                <w:color w:val="auto"/>
              </w:rPr>
            </w:pPr>
            <w:r>
              <w:rPr>
                <w:rFonts w:ascii="Arial" w:cs="Arial" w:eastAsia="Arial" w:hAnsi="Arial"/>
                <w:sz w:val="17"/>
                <w:szCs w:val="17"/>
                <w:color w:val="auto"/>
              </w:rPr>
              <w:t>4,340</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3,248</w:t>
            </w:r>
          </w:p>
        </w:tc>
      </w:tr>
      <w:tr>
        <w:trPr>
          <w:trHeight w:val="20"/>
        </w:trPr>
        <w:tc>
          <w:tcPr>
            <w:tcW w:w="4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44" w:lineRule="exact"/>
        <w:rPr>
          <w:sz w:val="20"/>
          <w:szCs w:val="20"/>
          <w:color w:val="auto"/>
        </w:rPr>
      </w:pPr>
    </w:p>
    <w:p>
      <w:pPr>
        <w:ind w:left="840" w:hanging="406"/>
        <w:spacing w:after="0"/>
        <w:tabs>
          <w:tab w:leader="none" w:pos="840" w:val="left"/>
        </w:tabs>
        <w:numPr>
          <w:ilvl w:val="0"/>
          <w:numId w:val="2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Related Parties</w:t>
      </w:r>
    </w:p>
    <w:p>
      <w:pPr>
        <w:spacing w:after="0" w:line="110" w:lineRule="exact"/>
        <w:rPr>
          <w:sz w:val="20"/>
          <w:szCs w:val="20"/>
          <w:color w:val="auto"/>
        </w:rPr>
      </w:pPr>
    </w:p>
    <w:p>
      <w:pPr>
        <w:jc w:val="both"/>
        <w:ind w:left="440" w:right="80" w:firstLine="415"/>
        <w:spacing w:after="0" w:line="257" w:lineRule="auto"/>
        <w:rPr>
          <w:sz w:val="20"/>
          <w:szCs w:val="20"/>
          <w:color w:val="auto"/>
        </w:rPr>
      </w:pPr>
      <w:r>
        <w:rPr>
          <w:rFonts w:ascii="Arial" w:cs="Arial" w:eastAsia="Arial" w:hAnsi="Arial"/>
          <w:sz w:val="17"/>
          <w:szCs w:val="17"/>
          <w:color w:val="auto"/>
        </w:rPr>
        <w:t>The Company has engaged in revenue transactions within the ordinary course of business with entities affiliated with its private equity sponsors and with members of the Company’s board of directors. During each of the six months ended June 30, 2021, and 2020 the Company generated revenue of $0.4 million and $0.4 million, respectively. The associated receivable for the revenue transactions was de minimis at June 30, 2021 and amounted to $0.1 million at December 31, 2020.</w:t>
      </w:r>
    </w:p>
    <w:p>
      <w:pPr>
        <w:spacing w:after="0" w:line="180" w:lineRule="exact"/>
        <w:rPr>
          <w:sz w:val="20"/>
          <w:szCs w:val="20"/>
          <w:color w:val="auto"/>
        </w:rPr>
      </w:pPr>
    </w:p>
    <w:p>
      <w:pPr>
        <w:ind w:left="440" w:right="20" w:firstLine="415"/>
        <w:spacing w:after="0" w:line="257" w:lineRule="auto"/>
        <w:rPr>
          <w:sz w:val="20"/>
          <w:szCs w:val="20"/>
          <w:color w:val="auto"/>
        </w:rPr>
      </w:pPr>
      <w:r>
        <w:rPr>
          <w:rFonts w:ascii="Arial" w:cs="Arial" w:eastAsia="Arial" w:hAnsi="Arial"/>
          <w:sz w:val="17"/>
          <w:szCs w:val="17"/>
          <w:color w:val="auto"/>
        </w:rPr>
        <w:t>The Company reimburses its private equity sponsors for services and any related travel and out-of-pocket expenses. During the six months ended June 30, 2021, the Company had expenses for services, travel and out-of-pocket expenses to its private equity sponsors of $0.2 million and was de minimis for the six months ended June 30, 2020. The associated payable for the service transactions was de minimis at June 30, 2021 and December 31, 2020.</w:t>
      </w:r>
    </w:p>
    <w:p>
      <w:pPr>
        <w:spacing w:after="0" w:line="180" w:lineRule="exact"/>
        <w:rPr>
          <w:sz w:val="20"/>
          <w:szCs w:val="20"/>
          <w:color w:val="auto"/>
        </w:rPr>
      </w:pPr>
    </w:p>
    <w:p>
      <w:pPr>
        <w:ind w:left="440" w:right="100" w:firstLine="415"/>
        <w:spacing w:after="0" w:line="273" w:lineRule="auto"/>
        <w:rPr>
          <w:sz w:val="20"/>
          <w:szCs w:val="20"/>
          <w:color w:val="auto"/>
        </w:rPr>
      </w:pPr>
      <w:r>
        <w:rPr>
          <w:rFonts w:ascii="Arial" w:cs="Arial" w:eastAsia="Arial" w:hAnsi="Arial"/>
          <w:sz w:val="17"/>
          <w:szCs w:val="17"/>
          <w:color w:val="auto"/>
        </w:rPr>
        <w:t>In addition, during the second quarter of 2021, the Company issued 363,516 new Class A units worth $6.6 million to members of the Company’s board of directors.</w:t>
      </w:r>
    </w:p>
    <w:p>
      <w:pPr>
        <w:spacing w:after="0" w:line="306" w:lineRule="exact"/>
        <w:rPr>
          <w:sz w:val="20"/>
          <w:szCs w:val="20"/>
          <w:color w:val="auto"/>
        </w:rPr>
      </w:pPr>
    </w:p>
    <w:p>
      <w:pPr>
        <w:ind w:left="840" w:hanging="406"/>
        <w:spacing w:after="0"/>
        <w:tabs>
          <w:tab w:leader="none" w:pos="840" w:val="left"/>
        </w:tabs>
        <w:numPr>
          <w:ilvl w:val="0"/>
          <w:numId w:val="22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Subsequent Events</w:t>
      </w:r>
    </w:p>
    <w:p>
      <w:pPr>
        <w:spacing w:after="0" w:line="110" w:lineRule="exact"/>
        <w:rPr>
          <w:sz w:val="20"/>
          <w:szCs w:val="20"/>
          <w:color w:val="auto"/>
        </w:rPr>
      </w:pPr>
    </w:p>
    <w:p>
      <w:pPr>
        <w:ind w:left="440" w:right="340" w:firstLine="415"/>
        <w:spacing w:after="0" w:line="273" w:lineRule="auto"/>
        <w:rPr>
          <w:sz w:val="20"/>
          <w:szCs w:val="20"/>
          <w:color w:val="auto"/>
        </w:rPr>
      </w:pPr>
      <w:r>
        <w:rPr>
          <w:rFonts w:ascii="Arial" w:cs="Arial" w:eastAsia="Arial" w:hAnsi="Arial"/>
          <w:sz w:val="17"/>
          <w:szCs w:val="17"/>
          <w:color w:val="auto"/>
        </w:rPr>
        <w:t>The Company has evaluated subsequent events through August 5, 2021, the date which the condensed consolidated financial statements were issued and did not identify any additional matters that require disclosure.</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F-74</w:t>
      </w:r>
    </w:p>
    <w:p>
      <w:pPr>
        <w:sectPr>
          <w:pgSz w:w="11900" w:h="16838" w:orient="portrait"/>
          <w:cols w:equalWidth="0" w:num="1">
            <w:col w:w="10780"/>
          </w:cols>
          <w:pgMar w:left="320" w:top="442" w:right="799" w:bottom="1440" w:gutter="0" w:footer="0" w:header="0"/>
        </w:sectPr>
      </w:pPr>
    </w:p>
    <w:bookmarkStart w:id="301" w:name="page302"/>
    <w:bookmarkEnd w:id="3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208915</wp:posOffset>
            </wp:positionV>
            <wp:extent cx="6591300" cy="241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591300" cy="24130"/>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265430</wp:posOffset>
            </wp:positionV>
            <wp:extent cx="659130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591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600"/>
        <w:spacing w:after="0"/>
        <w:rPr>
          <w:sz w:val="20"/>
          <w:szCs w:val="20"/>
          <w:color w:val="auto"/>
        </w:rPr>
      </w:pPr>
      <w:r>
        <w:rPr>
          <w:rFonts w:ascii="Arial" w:cs="Arial" w:eastAsia="Arial" w:hAnsi="Arial"/>
          <w:sz w:val="27"/>
          <w:szCs w:val="27"/>
          <w:b w:val="1"/>
          <w:bCs w:val="1"/>
          <w:color w:val="auto"/>
        </w:rPr>
        <w:t>15,555,555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322580</wp:posOffset>
            </wp:positionV>
            <wp:extent cx="2019300" cy="4121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019300" cy="41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40"/>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379730</wp:posOffset>
            </wp:positionV>
            <wp:extent cx="13893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233680</wp:posOffset>
            </wp:positionV>
            <wp:extent cx="13893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79"/>
        <w:spacing w:after="0"/>
        <w:rPr>
          <w:sz w:val="20"/>
          <w:szCs w:val="20"/>
          <w:color w:val="auto"/>
        </w:rPr>
      </w:pPr>
      <w:r>
        <w:rPr>
          <w:rFonts w:ascii="Arial" w:cs="Arial" w:eastAsia="Arial" w:hAnsi="Arial"/>
          <w:sz w:val="27"/>
          <w:szCs w:val="27"/>
          <w:b w:val="1"/>
          <w:bCs w:val="1"/>
          <w:color w:val="auto"/>
        </w:rPr>
        <w:t>Goldman Sachs &amp; Co. LLC</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27"/>
          <w:szCs w:val="27"/>
          <w:b w:val="1"/>
          <w:bCs w:val="1"/>
          <w:color w:val="auto"/>
        </w:rPr>
        <w:t>J.P. Morgan</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27"/>
          <w:szCs w:val="27"/>
          <w:b w:val="1"/>
          <w:bCs w:val="1"/>
          <w:color w:val="auto"/>
        </w:rPr>
        <w:t>Morgan Stanley</w:t>
      </w:r>
    </w:p>
    <w:p>
      <w:pPr>
        <w:spacing w:after="0" w:line="109" w:lineRule="exact"/>
        <w:rPr>
          <w:sz w:val="20"/>
          <w:szCs w:val="20"/>
          <w:color w:val="auto"/>
        </w:rPr>
      </w:pPr>
    </w:p>
    <w:p>
      <w:pPr>
        <w:jc w:val="center"/>
        <w:ind w:right="-479"/>
        <w:spacing w:after="0"/>
        <w:rPr>
          <w:sz w:val="20"/>
          <w:szCs w:val="20"/>
          <w:color w:val="auto"/>
        </w:rPr>
      </w:pPr>
      <w:r>
        <w:rPr>
          <w:rFonts w:ascii="Arial" w:cs="Arial" w:eastAsia="Arial" w:hAnsi="Arial"/>
          <w:sz w:val="27"/>
          <w:szCs w:val="27"/>
          <w:b w:val="1"/>
          <w:bCs w:val="1"/>
          <w:color w:val="auto"/>
        </w:rPr>
        <w:t>Barclays</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Credit Suisse</w:t>
      </w:r>
    </w:p>
    <w:p>
      <w:pPr>
        <w:spacing w:after="0" w:line="106" w:lineRule="exact"/>
        <w:rPr>
          <w:sz w:val="20"/>
          <w:szCs w:val="20"/>
          <w:color w:val="auto"/>
        </w:rPr>
      </w:pPr>
    </w:p>
    <w:p>
      <w:pPr>
        <w:jc w:val="center"/>
        <w:ind w:right="-479"/>
        <w:spacing w:after="0"/>
        <w:rPr>
          <w:sz w:val="20"/>
          <w:szCs w:val="20"/>
          <w:color w:val="auto"/>
        </w:rPr>
      </w:pPr>
      <w:r>
        <w:rPr>
          <w:rFonts w:ascii="Arial" w:cs="Arial" w:eastAsia="Arial" w:hAnsi="Arial"/>
          <w:sz w:val="24"/>
          <w:szCs w:val="24"/>
          <w:b w:val="1"/>
          <w:bCs w:val="1"/>
          <w:color w:val="auto"/>
        </w:rPr>
        <w:t>Deutsche Bank Securities</w:t>
      </w:r>
    </w:p>
    <w:p>
      <w:pPr>
        <w:spacing w:after="0" w:line="102"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Canaccord Genuity</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Raymond James</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Stifel</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Drexel Hamilton</w:t>
      </w:r>
    </w:p>
    <w:p>
      <w:pPr>
        <w:spacing w:after="0" w:line="101" w:lineRule="exact"/>
        <w:rPr>
          <w:sz w:val="20"/>
          <w:szCs w:val="20"/>
          <w:color w:val="auto"/>
        </w:rPr>
      </w:pPr>
    </w:p>
    <w:p>
      <w:pPr>
        <w:jc w:val="center"/>
        <w:ind w:right="-479"/>
        <w:spacing w:after="0"/>
        <w:rPr>
          <w:sz w:val="20"/>
          <w:szCs w:val="20"/>
          <w:color w:val="auto"/>
        </w:rPr>
      </w:pPr>
      <w:r>
        <w:rPr>
          <w:rFonts w:ascii="Arial" w:cs="Arial" w:eastAsia="Arial" w:hAnsi="Arial"/>
          <w:sz w:val="20"/>
          <w:szCs w:val="20"/>
          <w:b w:val="1"/>
          <w:bCs w:val="1"/>
          <w:color w:val="auto"/>
        </w:rPr>
        <w:t>Loop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379095</wp:posOffset>
            </wp:positionV>
            <wp:extent cx="13893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389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840"/>
        <w:spacing w:after="0"/>
        <w:rPr>
          <w:sz w:val="20"/>
          <w:szCs w:val="20"/>
          <w:color w:val="auto"/>
        </w:rPr>
      </w:pPr>
      <w:r>
        <w:rPr>
          <w:rFonts w:ascii="Arial" w:cs="Arial" w:eastAsia="Arial" w:hAnsi="Arial"/>
          <w:sz w:val="17"/>
          <w:szCs w:val="17"/>
          <w:b w:val="1"/>
          <w:bCs w:val="1"/>
          <w:color w:val="auto"/>
        </w:rPr>
        <w:t>, 2021</w:t>
      </w:r>
    </w:p>
    <w:p>
      <w:pPr>
        <w:spacing w:after="0" w:line="212"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5"/>
          <w:szCs w:val="15"/>
          <w:b w:val="1"/>
          <w:bCs w:val="1"/>
          <w:color w:val="auto"/>
        </w:rPr>
        <w:t>Until</w:t>
      </w:r>
      <w:r>
        <w:rPr>
          <w:sz w:val="20"/>
          <w:szCs w:val="20"/>
          <w:color w:val="auto"/>
        </w:rPr>
        <w:tab/>
      </w:r>
      <w:r>
        <w:rPr>
          <w:rFonts w:ascii="Arial" w:cs="Arial" w:eastAsia="Arial" w:hAnsi="Arial"/>
          <w:sz w:val="15"/>
          <w:szCs w:val="15"/>
          <w:b w:val="1"/>
          <w:bCs w:val="1"/>
          <w:color w:val="auto"/>
        </w:rPr>
        <w:t>, 2021 (25 days after the date of this prospectus), all dealers that buy, sell or trade in shares of these securities, whether or not</w:t>
      </w:r>
    </w:p>
    <w:p>
      <w:pPr>
        <w:spacing w:after="0" w:line="47" w:lineRule="exact"/>
        <w:rPr>
          <w:sz w:val="20"/>
          <w:szCs w:val="20"/>
          <w:color w:val="auto"/>
        </w:rPr>
      </w:pPr>
    </w:p>
    <w:p>
      <w:pPr>
        <w:ind w:left="440"/>
        <w:spacing w:after="0" w:line="259" w:lineRule="auto"/>
        <w:rPr>
          <w:sz w:val="20"/>
          <w:szCs w:val="20"/>
          <w:color w:val="auto"/>
        </w:rPr>
      </w:pPr>
      <w:r>
        <w:rPr>
          <w:rFonts w:ascii="Arial" w:cs="Arial" w:eastAsia="Arial" w:hAnsi="Arial"/>
          <w:sz w:val="17"/>
          <w:szCs w:val="17"/>
          <w:b w:val="1"/>
          <w:bCs w:val="1"/>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379095</wp:posOffset>
            </wp:positionV>
            <wp:extent cx="65913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591300" cy="8255"/>
                    </a:xfrm>
                    <a:prstGeom prst="rect">
                      <a:avLst/>
                    </a:prstGeom>
                    <a:noFill/>
                  </pic:spPr>
                </pic:pic>
              </a:graphicData>
            </a:graphic>
          </wp:anchor>
        </w:drawing>
        <w:drawing>
          <wp:anchor simplePos="0" relativeHeight="251657728" behindDoc="1" locked="0" layoutInCell="0" allowOverlap="1">
            <wp:simplePos x="0" y="0"/>
            <wp:positionH relativeFrom="column">
              <wp:posOffset>275590</wp:posOffset>
            </wp:positionH>
            <wp:positionV relativeFrom="paragraph">
              <wp:posOffset>435610</wp:posOffset>
            </wp:positionV>
            <wp:extent cx="6591300" cy="241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591300" cy="24130"/>
                    </a:xfrm>
                    <a:prstGeom prst="rect">
                      <a:avLst/>
                    </a:prstGeom>
                    <a:noFill/>
                  </pic:spPr>
                </pic:pic>
              </a:graphicData>
            </a:graphic>
          </wp:anchor>
        </w:drawing>
      </w:r>
    </w:p>
    <w:p>
      <w:pPr>
        <w:sectPr>
          <w:pgSz w:w="11900" w:h="16838" w:orient="portrait"/>
          <w:cols w:equalWidth="0" w:num="1">
            <w:col w:w="10760"/>
          </w:cols>
          <w:pgMar w:left="320" w:top="442" w:right="819" w:bottom="1440" w:gutter="0" w:footer="0" w:header="0"/>
        </w:sectPr>
      </w:pPr>
    </w:p>
    <w:bookmarkStart w:id="302" w:name="page303"/>
    <w:bookmarkEnd w:id="3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3220"/>
        <w:spacing w:after="0"/>
        <w:rPr>
          <w:sz w:val="20"/>
          <w:szCs w:val="20"/>
          <w:color w:val="auto"/>
        </w:rPr>
      </w:pPr>
      <w:r>
        <w:rPr>
          <w:rFonts w:ascii="Arial" w:cs="Arial" w:eastAsia="Arial" w:hAnsi="Arial"/>
          <w:sz w:val="17"/>
          <w:szCs w:val="17"/>
          <w:b w:val="1"/>
          <w:bCs w:val="1"/>
          <w:color w:val="auto"/>
        </w:rPr>
        <w:t>PART II—INFORMATION NOT REQUIRED IN PROSPECTUS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14" w:lineRule="exact"/>
        <w:rPr>
          <w:sz w:val="20"/>
          <w:szCs w:val="20"/>
          <w:color w:val="auto"/>
        </w:rPr>
      </w:pPr>
    </w:p>
    <w:p>
      <w:pPr>
        <w:ind w:left="440" w:right="40" w:firstLine="415"/>
        <w:spacing w:after="0" w:line="261" w:lineRule="auto"/>
        <w:rPr>
          <w:sz w:val="20"/>
          <w:szCs w:val="20"/>
          <w:color w:val="auto"/>
        </w:rPr>
      </w:pPr>
      <w:r>
        <w:rPr>
          <w:rFonts w:ascii="Arial" w:cs="Arial" w:eastAsia="Arial" w:hAnsi="Arial"/>
          <w:sz w:val="17"/>
          <w:szCs w:val="17"/>
          <w:color w:val="auto"/>
        </w:rPr>
        <w:t>The following table sets forth all costs and expenses, other than the underwriting discount, paid or payable by us in connection with the sale of the Class A common stock being registered. All amounts shown are estimates except for the SEC registration fee, the Financial Industry Regulatory Authority (“FINRA”) filing fee and the listing fee for Nasdaq.</w:t>
      </w:r>
    </w:p>
    <w:p>
      <w:pPr>
        <w:spacing w:after="0" w:line="173"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4"/>
          </w:tcPr>
          <w:p>
            <w:pPr>
              <w:spacing w:after="0"/>
              <w:rPr>
                <w:sz w:val="20"/>
                <w:szCs w:val="20"/>
                <w:color w:val="auto"/>
              </w:rPr>
            </w:pPr>
            <w:r>
              <w:rPr>
                <w:rFonts w:ascii="Arial" w:cs="Arial" w:eastAsia="Arial" w:hAnsi="Arial"/>
                <w:sz w:val="14"/>
                <w:szCs w:val="14"/>
                <w:b w:val="1"/>
                <w:bCs w:val="1"/>
                <w:color w:val="auto"/>
                <w:w w:val="88"/>
              </w:rPr>
              <w:t>Amount Paid or to be</w:t>
            </w:r>
          </w:p>
        </w:tc>
      </w:tr>
      <w:tr>
        <w:trPr>
          <w:trHeight w:val="160"/>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tcPr>
          <w:p>
            <w:pPr>
              <w:ind w:left="220"/>
              <w:spacing w:after="0"/>
              <w:rPr>
                <w:sz w:val="20"/>
                <w:szCs w:val="20"/>
                <w:color w:val="auto"/>
              </w:rPr>
            </w:pPr>
            <w:r>
              <w:rPr>
                <w:rFonts w:ascii="Arial" w:cs="Arial" w:eastAsia="Arial" w:hAnsi="Arial"/>
                <w:sz w:val="14"/>
                <w:szCs w:val="14"/>
                <w:b w:val="1"/>
                <w:bCs w:val="1"/>
                <w:color w:val="auto"/>
              </w:rPr>
              <w:t>Paid</w:t>
            </w:r>
          </w:p>
        </w:tc>
      </w:tr>
      <w:tr>
        <w:trPr>
          <w:trHeight w:val="196"/>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50,744</w:t>
            </w:r>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204"/>
        </w:trPr>
        <w:tc>
          <w:tcPr>
            <w:tcW w:w="5740" w:type="dxa"/>
            <w:vAlign w:val="bottom"/>
          </w:tcPr>
          <w:p>
            <w:pPr>
              <w:spacing w:after="0"/>
              <w:rPr>
                <w:sz w:val="20"/>
                <w:szCs w:val="20"/>
                <w:color w:val="auto"/>
              </w:rPr>
            </w:pPr>
            <w:r>
              <w:rPr>
                <w:rFonts w:ascii="Arial" w:cs="Arial" w:eastAsia="Arial" w:hAnsi="Arial"/>
                <w:sz w:val="17"/>
                <w:szCs w:val="17"/>
                <w:color w:val="auto"/>
              </w:rPr>
              <w:t>FINRA filing fee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7"/>
                <w:szCs w:val="17"/>
                <w:color w:val="auto"/>
              </w:rPr>
              <w:t>70,267</w:t>
            </w:r>
          </w:p>
        </w:tc>
      </w:tr>
      <w:tr>
        <w:trPr>
          <w:trHeight w:val="204"/>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Nasdaq listing fee</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150,000</w:t>
            </w:r>
          </w:p>
        </w:tc>
        <w:tc>
          <w:tcPr>
            <w:tcW w:w="20" w:type="dxa"/>
            <w:vAlign w:val="bottom"/>
            <w:shd w:val="clear" w:color="auto" w:fill="CCEEFF"/>
          </w:tcPr>
          <w:p>
            <w:pPr>
              <w:spacing w:after="0"/>
              <w:rPr>
                <w:sz w:val="17"/>
                <w:szCs w:val="17"/>
                <w:color w:val="auto"/>
              </w:rPr>
            </w:pPr>
          </w:p>
        </w:tc>
      </w:tr>
      <w:tr>
        <w:trPr>
          <w:trHeight w:val="204"/>
        </w:trPr>
        <w:tc>
          <w:tcPr>
            <w:tcW w:w="5740" w:type="dxa"/>
            <w:vAlign w:val="bottom"/>
          </w:tcPr>
          <w:p>
            <w:pPr>
              <w:spacing w:after="0"/>
              <w:rPr>
                <w:sz w:val="20"/>
                <w:szCs w:val="20"/>
                <w:color w:val="auto"/>
              </w:rPr>
            </w:pPr>
            <w:r>
              <w:rPr>
                <w:rFonts w:ascii="Arial" w:cs="Arial" w:eastAsia="Arial" w:hAnsi="Arial"/>
                <w:sz w:val="17"/>
                <w:szCs w:val="17"/>
                <w:color w:val="auto"/>
              </w:rPr>
              <w:t>Blue sky qualification fees and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5,000</w:t>
            </w:r>
          </w:p>
        </w:tc>
        <w:tc>
          <w:tcPr>
            <w:tcW w:w="20" w:type="dxa"/>
            <w:vAlign w:val="bottom"/>
          </w:tcPr>
          <w:p>
            <w:pPr>
              <w:spacing w:after="0"/>
              <w:rPr>
                <w:sz w:val="17"/>
                <w:szCs w:val="17"/>
                <w:color w:val="auto"/>
              </w:rPr>
            </w:pPr>
          </w:p>
        </w:tc>
      </w:tr>
      <w:tr>
        <w:trPr>
          <w:trHeight w:val="204"/>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Printing and engraving expenses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400,000</w:t>
            </w:r>
          </w:p>
        </w:tc>
        <w:tc>
          <w:tcPr>
            <w:tcW w:w="20" w:type="dxa"/>
            <w:vAlign w:val="bottom"/>
            <w:shd w:val="clear" w:color="auto" w:fill="CCEEFF"/>
          </w:tcPr>
          <w:p>
            <w:pPr>
              <w:spacing w:after="0"/>
              <w:rPr>
                <w:sz w:val="17"/>
                <w:szCs w:val="17"/>
                <w:color w:val="auto"/>
              </w:rPr>
            </w:pPr>
          </w:p>
        </w:tc>
      </w:tr>
      <w:tr>
        <w:trPr>
          <w:trHeight w:val="204"/>
        </w:trPr>
        <w:tc>
          <w:tcPr>
            <w:tcW w:w="5740" w:type="dxa"/>
            <w:vAlign w:val="bottom"/>
          </w:tcPr>
          <w:p>
            <w:pPr>
              <w:spacing w:after="0"/>
              <w:rPr>
                <w:sz w:val="20"/>
                <w:szCs w:val="20"/>
                <w:color w:val="auto"/>
              </w:rPr>
            </w:pPr>
            <w:r>
              <w:rPr>
                <w:rFonts w:ascii="Arial" w:cs="Arial" w:eastAsia="Arial" w:hAnsi="Arial"/>
                <w:sz w:val="17"/>
                <w:szCs w:val="17"/>
                <w:color w:val="auto"/>
              </w:rPr>
              <w:t>Legal fees and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6,000,000</w:t>
            </w:r>
          </w:p>
        </w:tc>
        <w:tc>
          <w:tcPr>
            <w:tcW w:w="20" w:type="dxa"/>
            <w:vAlign w:val="bottom"/>
          </w:tcPr>
          <w:p>
            <w:pPr>
              <w:spacing w:after="0"/>
              <w:rPr>
                <w:sz w:val="17"/>
                <w:szCs w:val="17"/>
                <w:color w:val="auto"/>
              </w:rPr>
            </w:pPr>
          </w:p>
        </w:tc>
      </w:tr>
      <w:tr>
        <w:trPr>
          <w:trHeight w:val="204"/>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Accounting fees and expenses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1,400,000</w:t>
            </w:r>
          </w:p>
        </w:tc>
        <w:tc>
          <w:tcPr>
            <w:tcW w:w="20" w:type="dxa"/>
            <w:vAlign w:val="bottom"/>
            <w:shd w:val="clear" w:color="auto" w:fill="CCEEFF"/>
          </w:tcPr>
          <w:p>
            <w:pPr>
              <w:spacing w:after="0"/>
              <w:rPr>
                <w:sz w:val="17"/>
                <w:szCs w:val="17"/>
                <w:color w:val="auto"/>
              </w:rPr>
            </w:pPr>
          </w:p>
        </w:tc>
      </w:tr>
      <w:tr>
        <w:trPr>
          <w:trHeight w:val="204"/>
        </w:trPr>
        <w:tc>
          <w:tcPr>
            <w:tcW w:w="5740" w:type="dxa"/>
            <w:vAlign w:val="bottom"/>
          </w:tcPr>
          <w:p>
            <w:pPr>
              <w:spacing w:after="0"/>
              <w:rPr>
                <w:sz w:val="20"/>
                <w:szCs w:val="20"/>
                <w:color w:val="auto"/>
              </w:rPr>
            </w:pPr>
            <w:r>
              <w:rPr>
                <w:rFonts w:ascii="Arial" w:cs="Arial" w:eastAsia="Arial" w:hAnsi="Arial"/>
                <w:sz w:val="17"/>
                <w:szCs w:val="17"/>
                <w:color w:val="auto"/>
              </w:rPr>
              <w:t>Transfer agent and registrar fees and expenses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7"/>
                <w:szCs w:val="17"/>
                <w:color w:val="auto"/>
              </w:rPr>
              <w:t>4,000</w:t>
            </w:r>
          </w:p>
        </w:tc>
        <w:tc>
          <w:tcPr>
            <w:tcW w:w="20" w:type="dxa"/>
            <w:vAlign w:val="bottom"/>
          </w:tcPr>
          <w:p>
            <w:pPr>
              <w:spacing w:after="0"/>
              <w:rPr>
                <w:sz w:val="17"/>
                <w:szCs w:val="17"/>
                <w:color w:val="auto"/>
              </w:rPr>
            </w:pPr>
          </w:p>
        </w:tc>
      </w:tr>
      <w:tr>
        <w:trPr>
          <w:trHeight w:val="204"/>
        </w:trPr>
        <w:tc>
          <w:tcPr>
            <w:tcW w:w="5740" w:type="dxa"/>
            <w:vAlign w:val="bottom"/>
            <w:shd w:val="clear" w:color="auto" w:fill="CCEEFF"/>
          </w:tcPr>
          <w:p>
            <w:pPr>
              <w:spacing w:after="0"/>
              <w:rPr>
                <w:sz w:val="20"/>
                <w:szCs w:val="20"/>
                <w:color w:val="auto"/>
              </w:rPr>
            </w:pPr>
            <w:r>
              <w:rPr>
                <w:rFonts w:ascii="Arial" w:cs="Arial" w:eastAsia="Arial" w:hAnsi="Arial"/>
                <w:sz w:val="17"/>
                <w:szCs w:val="17"/>
                <w:color w:val="auto"/>
              </w:rPr>
              <w:t>Miscellaneous expenses</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2,019,989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9"/>
        </w:trPr>
        <w:tc>
          <w:tcPr>
            <w:tcW w:w="5740" w:type="dxa"/>
            <w:vAlign w:val="bottom"/>
          </w:tcPr>
          <w:p>
            <w:pPr>
              <w:ind w:left="340"/>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10,100,000</w:t>
            </w:r>
          </w:p>
        </w:tc>
        <w:tc>
          <w:tcPr>
            <w:tcW w:w="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Item 14. Indemnification of Officers and Directors.</w:t>
      </w:r>
    </w:p>
    <w:p>
      <w:pPr>
        <w:spacing w:after="0" w:line="114" w:lineRule="exact"/>
        <w:rPr>
          <w:sz w:val="20"/>
          <w:szCs w:val="20"/>
          <w:color w:val="auto"/>
        </w:rPr>
      </w:pPr>
    </w:p>
    <w:p>
      <w:pPr>
        <w:ind w:left="440" w:firstLine="415"/>
        <w:spacing w:after="0" w:line="287" w:lineRule="auto"/>
        <w:rPr>
          <w:sz w:val="20"/>
          <w:szCs w:val="20"/>
          <w:color w:val="auto"/>
        </w:rPr>
      </w:pPr>
      <w:r>
        <w:rPr>
          <w:rFonts w:ascii="Arial" w:cs="Arial" w:eastAsia="Arial" w:hAnsi="Arial"/>
          <w:sz w:val="15"/>
          <w:szCs w:val="15"/>
          <w:color w:val="auto"/>
        </w:rPr>
        <w:t>The Registrant is governed by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65" w:lineRule="exact"/>
        <w:rPr>
          <w:sz w:val="20"/>
          <w:szCs w:val="20"/>
          <w:color w:val="auto"/>
        </w:rPr>
      </w:pPr>
    </w:p>
    <w:p>
      <w:pPr>
        <w:ind w:left="440" w:right="20" w:firstLine="415"/>
        <w:spacing w:after="0" w:line="254" w:lineRule="auto"/>
        <w:rPr>
          <w:sz w:val="20"/>
          <w:szCs w:val="20"/>
          <w:color w:val="auto"/>
        </w:rPr>
      </w:pPr>
      <w:r>
        <w:rPr>
          <w:rFonts w:ascii="Arial" w:cs="Arial" w:eastAsia="Arial" w:hAnsi="Arial"/>
          <w:sz w:val="17"/>
          <w:szCs w:val="17"/>
          <w:color w:val="auto"/>
        </w:rPr>
        <w:t>The Registrant’s amended and restated bylaws will authorize the indemnification of its officers and directors, consistent with Section 145 of the DGCL, as amended. The Registrant intends to enter into indemnification agreements with each of its executive officers and directors. These agreements, among other things, will require the Registrant to indemnify each executive officer and director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120"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0800"/>
          </w:cols>
          <w:pgMar w:left="320" w:top="442" w:right="779" w:bottom="1440" w:gutter="0" w:footer="0" w:header="0"/>
        </w:sectPr>
      </w:pPr>
    </w:p>
    <w:bookmarkStart w:id="303" w:name="page304"/>
    <w:bookmarkEnd w:id="3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440" w:firstLine="415"/>
        <w:spacing w:after="0" w:line="298" w:lineRule="auto"/>
        <w:rPr>
          <w:sz w:val="20"/>
          <w:szCs w:val="20"/>
          <w:color w:val="auto"/>
        </w:rPr>
      </w:pPr>
      <w:r>
        <w:rPr>
          <w:rFonts w:ascii="Arial" w:cs="Arial" w:eastAsia="Arial" w:hAnsi="Arial"/>
          <w:sz w:val="15"/>
          <w:szCs w:val="15"/>
          <w:color w:val="auto"/>
        </w:rPr>
        <w:t>Reference is made to Section 102(b)(7) of the DGCL, which enables a corporation in its original amended and restated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50" w:lineRule="exact"/>
        <w:rPr>
          <w:sz w:val="20"/>
          <w:szCs w:val="20"/>
          <w:color w:val="auto"/>
        </w:rPr>
      </w:pPr>
    </w:p>
    <w:p>
      <w:pPr>
        <w:ind w:left="440" w:right="220" w:firstLine="415"/>
        <w:spacing w:after="0" w:line="261" w:lineRule="auto"/>
        <w:rPr>
          <w:sz w:val="20"/>
          <w:szCs w:val="20"/>
          <w:color w:val="auto"/>
        </w:rPr>
      </w:pPr>
      <w:r>
        <w:rPr>
          <w:rFonts w:ascii="Arial" w:cs="Arial" w:eastAsia="Arial" w:hAnsi="Arial"/>
          <w:sz w:val="17"/>
          <w:szCs w:val="17"/>
          <w:color w:val="auto"/>
        </w:rPr>
        <w:t>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176" w:lineRule="exact"/>
        <w:rPr>
          <w:sz w:val="20"/>
          <w:szCs w:val="20"/>
          <w:color w:val="auto"/>
        </w:rPr>
      </w:pPr>
    </w:p>
    <w:p>
      <w:pPr>
        <w:ind w:left="440" w:right="520" w:firstLine="415"/>
        <w:spacing w:after="0" w:line="273" w:lineRule="auto"/>
        <w:rPr>
          <w:sz w:val="20"/>
          <w:szCs w:val="20"/>
          <w:color w:val="auto"/>
        </w:rPr>
      </w:pPr>
      <w:r>
        <w:rPr>
          <w:rFonts w:ascii="Arial" w:cs="Arial" w:eastAsia="Arial" w:hAnsi="Arial"/>
          <w:sz w:val="17"/>
          <w:szCs w:val="17"/>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264"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14" w:lineRule="exact"/>
        <w:rPr>
          <w:sz w:val="20"/>
          <w:szCs w:val="20"/>
          <w:color w:val="auto"/>
        </w:rPr>
      </w:pPr>
    </w:p>
    <w:p>
      <w:pPr>
        <w:ind w:left="440" w:right="600" w:firstLine="415"/>
        <w:spacing w:after="0" w:line="273" w:lineRule="auto"/>
        <w:rPr>
          <w:sz w:val="20"/>
          <w:szCs w:val="20"/>
          <w:color w:val="auto"/>
        </w:rPr>
      </w:pPr>
      <w:r>
        <w:rPr>
          <w:rFonts w:ascii="Arial" w:cs="Arial" w:eastAsia="Arial" w:hAnsi="Arial"/>
          <w:sz w:val="17"/>
          <w:szCs w:val="17"/>
          <w:color w:val="auto"/>
        </w:rPr>
        <w:t>The following sets forth information regarding all unregistered securities sold by the Registrant in transactions that were exempt from the requirements of the Securities Act in the last three years</w:t>
      </w:r>
      <w:r>
        <w:rPr>
          <w:rFonts w:ascii="Arial" w:cs="Arial" w:eastAsia="Arial" w:hAnsi="Arial"/>
          <w:sz w:val="17"/>
          <w:szCs w:val="17"/>
          <w:b w:val="1"/>
          <w:bCs w:val="1"/>
          <w:color w:val="auto"/>
        </w:rPr>
        <w:t>:</w:t>
      </w:r>
    </w:p>
    <w:p>
      <w:pPr>
        <w:spacing w:after="0" w:line="77" w:lineRule="exact"/>
        <w:rPr>
          <w:sz w:val="20"/>
          <w:szCs w:val="20"/>
          <w:color w:val="auto"/>
        </w:rPr>
      </w:pPr>
    </w:p>
    <w:p>
      <w:pPr>
        <w:ind w:left="840" w:right="160" w:hanging="304"/>
        <w:spacing w:after="0" w:line="261" w:lineRule="auto"/>
        <w:tabs>
          <w:tab w:leader="none" w:pos="8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On July 19, 2019, in connection with the acquisition of the Registrant by funds managed by Advent International Corporation, the Registrant issued 126,725,743 Class A Units to its stockholders, comprising AIDH Holdings, Inc., funds affiliated with Spectrum Equity, Jason Krantz and AIDH Management Holdings, LLC, for $10.00 per unit for total consideration of $1,267,257,433.</w:t>
      </w:r>
    </w:p>
    <w:p>
      <w:pPr>
        <w:spacing w:after="0" w:line="87" w:lineRule="exact"/>
        <w:rPr>
          <w:rFonts w:ascii="Arial" w:cs="Arial" w:eastAsia="Arial" w:hAnsi="Arial"/>
          <w:sz w:val="17"/>
          <w:szCs w:val="17"/>
          <w:color w:val="auto"/>
        </w:rPr>
      </w:pPr>
    </w:p>
    <w:p>
      <w:pPr>
        <w:ind w:left="840" w:right="480" w:hanging="304"/>
        <w:spacing w:after="0" w:line="273" w:lineRule="auto"/>
        <w:tabs>
          <w:tab w:leader="none" w:pos="8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On September 13, 2019, the Registrant issued 1,348,146 Class B Units to Jason Krantz and 2,138,495 Class B Units to AIDH Management Holdings, LLC in connection with the adoption of and pursuant to the 2019 Plan.</w:t>
      </w:r>
    </w:p>
    <w:p>
      <w:pPr>
        <w:spacing w:after="0" w:line="76" w:lineRule="exact"/>
        <w:rPr>
          <w:rFonts w:ascii="Arial" w:cs="Arial" w:eastAsia="Arial" w:hAnsi="Arial"/>
          <w:sz w:val="17"/>
          <w:szCs w:val="17"/>
          <w:color w:val="auto"/>
        </w:rPr>
      </w:pPr>
    </w:p>
    <w:p>
      <w:pPr>
        <w:ind w:left="840" w:hanging="304"/>
        <w:spacing w:after="0" w:line="273" w:lineRule="auto"/>
        <w:tabs>
          <w:tab w:leader="none" w:pos="8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On December 2, 2019, in connection with the HSE acquisition, the Registrant issued 399,692 Class A Units to AIDH Management Holdings, LLC as indirect consideration for certain equity interests of Healthcare Sales Enablement, Inc.</w:t>
      </w:r>
    </w:p>
    <w:p>
      <w:pPr>
        <w:spacing w:after="0" w:line="76" w:lineRule="exact"/>
        <w:rPr>
          <w:rFonts w:ascii="Arial" w:cs="Arial" w:eastAsia="Arial" w:hAnsi="Arial"/>
          <w:sz w:val="17"/>
          <w:szCs w:val="17"/>
          <w:color w:val="auto"/>
        </w:rPr>
      </w:pPr>
    </w:p>
    <w:p>
      <w:pPr>
        <w:ind w:left="840" w:right="120" w:hanging="304"/>
        <w:spacing w:after="0" w:line="342" w:lineRule="auto"/>
        <w:tabs>
          <w:tab w:leader="none" w:pos="840" w:val="left"/>
        </w:tabs>
        <w:numPr>
          <w:ilvl w:val="0"/>
          <w:numId w:val="222"/>
        </w:numPr>
        <w:rPr>
          <w:rFonts w:ascii="Arial" w:cs="Arial" w:eastAsia="Arial" w:hAnsi="Arial"/>
          <w:sz w:val="15"/>
          <w:szCs w:val="15"/>
          <w:color w:val="auto"/>
        </w:rPr>
      </w:pPr>
      <w:r>
        <w:rPr>
          <w:rFonts w:ascii="Arial" w:cs="Arial" w:eastAsia="Arial" w:hAnsi="Arial"/>
          <w:sz w:val="15"/>
          <w:szCs w:val="15"/>
          <w:color w:val="auto"/>
        </w:rPr>
        <w:t>On October 12, 2020, Samuel Allen Hamood Trust U/A 8/27/2010 purchased 294,118 Class A Common Units of OpCo through his subscription for and purchase of 294,118 Class A Common Units of AIDH Management Holdings, LLC for an aggregate purchase price of $3,000,000.</w:t>
      </w:r>
    </w:p>
    <w:p>
      <w:pPr>
        <w:spacing w:after="0" w:line="29" w:lineRule="exact"/>
        <w:rPr>
          <w:rFonts w:ascii="Arial" w:cs="Arial" w:eastAsia="Arial" w:hAnsi="Arial"/>
          <w:sz w:val="15"/>
          <w:szCs w:val="15"/>
          <w:color w:val="auto"/>
        </w:rPr>
      </w:pPr>
    </w:p>
    <w:p>
      <w:pPr>
        <w:ind w:left="840" w:right="920" w:hanging="304"/>
        <w:spacing w:after="0" w:line="273" w:lineRule="auto"/>
        <w:tabs>
          <w:tab w:leader="none" w:pos="8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On October 26, 2020, the Registrant issued 624,118 Class A Units to AIDH Management Holdings, LLC for $10.19 per unit for total consideration of $6,366,000.00.</w:t>
      </w:r>
    </w:p>
    <w:p>
      <w:pPr>
        <w:spacing w:after="0" w:line="76" w:lineRule="exact"/>
        <w:rPr>
          <w:rFonts w:ascii="Arial" w:cs="Arial" w:eastAsia="Arial" w:hAnsi="Arial"/>
          <w:sz w:val="17"/>
          <w:szCs w:val="17"/>
          <w:color w:val="auto"/>
        </w:rPr>
      </w:pPr>
    </w:p>
    <w:p>
      <w:pPr>
        <w:ind w:left="840" w:right="100" w:hanging="304"/>
        <w:spacing w:after="0" w:line="273" w:lineRule="auto"/>
        <w:tabs>
          <w:tab w:leader="none" w:pos="8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On October 27, 2020, in connection with the Monocl acquisition, the Registrant issued 2,367,950 Class A Units to AIDH Management Holdings, LLC for $10.19 per unit for total consideration of $24,129,414.54.</w:t>
      </w:r>
    </w:p>
    <w:p>
      <w:pPr>
        <w:spacing w:after="0" w:line="76" w:lineRule="exact"/>
        <w:rPr>
          <w:rFonts w:ascii="Arial" w:cs="Arial" w:eastAsia="Arial" w:hAnsi="Arial"/>
          <w:sz w:val="17"/>
          <w:szCs w:val="17"/>
          <w:color w:val="auto"/>
        </w:rPr>
      </w:pPr>
    </w:p>
    <w:p>
      <w:pPr>
        <w:ind w:left="840" w:right="220" w:hanging="304"/>
        <w:spacing w:after="0" w:line="273" w:lineRule="auto"/>
        <w:tabs>
          <w:tab w:leader="none" w:pos="8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On October 27, 2020, in connection with the Monocl acquisition, the Registrant issued 128,487 Class A Units to AIDH Management Holdings, LLC as indirect consideration for certain equity interests of Monocl Holding Company.</w:t>
      </w:r>
    </w:p>
    <w:p>
      <w:pPr>
        <w:spacing w:after="0" w:line="76" w:lineRule="exact"/>
        <w:rPr>
          <w:rFonts w:ascii="Arial" w:cs="Arial" w:eastAsia="Arial" w:hAnsi="Arial"/>
          <w:sz w:val="17"/>
          <w:szCs w:val="17"/>
          <w:color w:val="auto"/>
        </w:rPr>
      </w:pPr>
    </w:p>
    <w:p>
      <w:pPr>
        <w:ind w:left="840" w:hanging="304"/>
        <w:spacing w:after="0"/>
        <w:tabs>
          <w:tab w:leader="none" w:pos="84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On November 2, 2020, Michael Liu purchased 330,000 Class A Common Units of OpCo for an aggregate purchase price of $3,366,000.</w:t>
      </w:r>
    </w:p>
    <w:p>
      <w:pPr>
        <w:spacing w:after="0" w:line="134" w:lineRule="exact"/>
        <w:rPr>
          <w:rFonts w:ascii="Arial" w:cs="Arial" w:eastAsia="Arial" w:hAnsi="Arial"/>
          <w:sz w:val="16"/>
          <w:szCs w:val="16"/>
          <w:color w:val="auto"/>
        </w:rPr>
      </w:pPr>
    </w:p>
    <w:p>
      <w:pPr>
        <w:ind w:left="840" w:right="120" w:hanging="304"/>
        <w:spacing w:after="0" w:line="273" w:lineRule="auto"/>
        <w:tabs>
          <w:tab w:leader="none" w:pos="8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On May 20, 2021, the Registrant issued 33,047 Class A units to AIDH Management Holdings, LLC for $15.13 per unit for total consideration of $500,000.</w:t>
      </w:r>
    </w:p>
    <w:p>
      <w:pPr>
        <w:spacing w:after="0" w:line="76" w:lineRule="exact"/>
        <w:rPr>
          <w:rFonts w:ascii="Arial" w:cs="Arial" w:eastAsia="Arial" w:hAnsi="Arial"/>
          <w:sz w:val="17"/>
          <w:szCs w:val="17"/>
          <w:color w:val="auto"/>
        </w:rPr>
      </w:pPr>
    </w:p>
    <w:p>
      <w:pPr>
        <w:ind w:left="840" w:right="280" w:hanging="304"/>
        <w:spacing w:after="0" w:line="273" w:lineRule="auto"/>
        <w:tabs>
          <w:tab w:leader="none" w:pos="84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On May 20, 2021 Ms. Larsen purchased 33,047 Class A Common Units of OpCo through her subscription for and purchase of 33,047 Class A Common Units of AIDH Management Holdings, LLC for an aggregate purchase price of $500,000.</w:t>
      </w:r>
    </w:p>
    <w:p>
      <w:pPr>
        <w:spacing w:after="0" w:line="102"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0780"/>
          </w:cols>
          <w:pgMar w:left="320" w:top="442" w:right="799" w:bottom="1440" w:gutter="0" w:footer="0" w:header="0"/>
        </w:sectPr>
      </w:pPr>
    </w:p>
    <w:bookmarkStart w:id="304" w:name="page305"/>
    <w:bookmarkEnd w:id="3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91" w:lineRule="exact"/>
        <w:rPr>
          <w:sz w:val="20"/>
          <w:szCs w:val="20"/>
          <w:color w:val="auto"/>
        </w:rPr>
      </w:pPr>
    </w:p>
    <w:p>
      <w:pPr>
        <w:ind w:left="840" w:right="140" w:hanging="304"/>
        <w:spacing w:after="0" w:line="342" w:lineRule="auto"/>
        <w:tabs>
          <w:tab w:leader="none" w:pos="840" w:val="left"/>
        </w:tabs>
        <w:numPr>
          <w:ilvl w:val="0"/>
          <w:numId w:val="223"/>
        </w:numPr>
        <w:rPr>
          <w:rFonts w:ascii="Arial" w:cs="Arial" w:eastAsia="Arial" w:hAnsi="Arial"/>
          <w:sz w:val="15"/>
          <w:szCs w:val="15"/>
          <w:color w:val="auto"/>
        </w:rPr>
      </w:pPr>
      <w:r>
        <w:rPr>
          <w:rFonts w:ascii="Arial" w:cs="Arial" w:eastAsia="Arial" w:hAnsi="Arial"/>
          <w:sz w:val="15"/>
          <w:szCs w:val="15"/>
          <w:color w:val="auto"/>
        </w:rPr>
        <w:t>In June 2021, the Robert Musslewhite 2014 Family Trust purchased 330,469 Class A Common Units of OpCo through the subscription for and purchase of 330,469 Class A Common Units of AIDH Management Holdings, LLC, for an aggregate purchase price of $5,000,000.</w:t>
      </w:r>
    </w:p>
    <w:p>
      <w:pPr>
        <w:spacing w:after="0" w:line="119" w:lineRule="exact"/>
        <w:rPr>
          <w:sz w:val="20"/>
          <w:szCs w:val="20"/>
          <w:color w:val="auto"/>
        </w:rPr>
      </w:pPr>
    </w:p>
    <w:p>
      <w:pPr>
        <w:ind w:left="440" w:right="140" w:firstLine="415"/>
        <w:spacing w:after="0" w:line="298" w:lineRule="auto"/>
        <w:rPr>
          <w:sz w:val="20"/>
          <w:szCs w:val="20"/>
          <w:color w:val="auto"/>
        </w:rPr>
      </w:pPr>
      <w:r>
        <w:rPr>
          <w:rFonts w:ascii="Arial" w:cs="Arial" w:eastAsia="Arial" w:hAnsi="Arial"/>
          <w:sz w:val="15"/>
          <w:szCs w:val="15"/>
          <w:color w:val="auto"/>
        </w:rPr>
        <w:t>The shares of Class A common stock in all of the transactions listed above were issued or will be issued in reliance upon Section 4(2) of the Securities Act or Rule 701 promulgated under Section 3(b) of the Securities Act as the sale of such securities did not or will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10"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(a) Exhibits:</w:t>
      </w: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60" w:type="dxa"/>
            <w:vAlign w:val="bottom"/>
            <w:gridSpan w:val="14"/>
          </w:tcPr>
          <w:p>
            <w:pPr>
              <w:ind w:left="900"/>
              <w:spacing w:after="0"/>
              <w:rPr>
                <w:sz w:val="20"/>
                <w:szCs w:val="20"/>
                <w:color w:val="auto"/>
              </w:rPr>
            </w:pPr>
            <w:r>
              <w:rPr>
                <w:rFonts w:ascii="Arial" w:cs="Arial" w:eastAsia="Arial" w:hAnsi="Arial"/>
                <w:sz w:val="14"/>
                <w:szCs w:val="14"/>
                <w:b w:val="1"/>
                <w:bCs w:val="1"/>
                <w:color w:val="auto"/>
              </w:rPr>
              <w:t>Description</w:t>
            </w:r>
          </w:p>
        </w:tc>
      </w:tr>
      <w:tr>
        <w:trPr>
          <w:trHeight w:val="260"/>
        </w:trPr>
        <w:tc>
          <w:tcPr>
            <w:tcW w:w="660" w:type="dxa"/>
            <w:vAlign w:val="bottom"/>
            <w:tcBorders>
              <w:top w:val="single" w:sz="8" w:color="auto"/>
            </w:tcBorders>
          </w:tcPr>
          <w:p>
            <w:pPr>
              <w:jc w:val="right"/>
              <w:ind w:right="116"/>
              <w:spacing w:after="0"/>
              <w:rPr>
                <w:sz w:val="20"/>
                <w:szCs w:val="20"/>
                <w:color w:val="auto"/>
              </w:rPr>
            </w:pPr>
            <w:r>
              <w:rPr>
                <w:rFonts w:ascii="Arial" w:cs="Arial" w:eastAsia="Arial" w:hAnsi="Arial"/>
                <w:sz w:val="17"/>
                <w:szCs w:val="17"/>
                <w:color w:val="auto"/>
              </w:rPr>
              <w:t>1.1**</w:t>
            </w:r>
          </w:p>
        </w:tc>
        <w:tc>
          <w:tcPr>
            <w:tcW w:w="800" w:type="dxa"/>
            <w:vAlign w:val="bottom"/>
          </w:tcPr>
          <w:p>
            <w:pPr>
              <w:spacing w:after="0"/>
              <w:rPr>
                <w:sz w:val="22"/>
                <w:szCs w:val="22"/>
                <w:color w:val="auto"/>
              </w:rPr>
            </w:pPr>
          </w:p>
        </w:tc>
        <w:tc>
          <w:tcPr>
            <w:tcW w:w="2360" w:type="dxa"/>
            <w:vAlign w:val="bottom"/>
            <w:tcBorders>
              <w:bottom w:val="single" w:sz="8" w:color="0000EE"/>
            </w:tcBorders>
            <w:gridSpan w:val="2"/>
          </w:tcPr>
          <w:p>
            <w:pPr>
              <w:spacing w:after="0"/>
              <w:rPr>
                <w:rFonts w:ascii="Arial" w:cs="Arial" w:eastAsia="Arial" w:hAnsi="Arial"/>
                <w:sz w:val="17"/>
                <w:szCs w:val="17"/>
                <w:color w:val="0000EE"/>
                <w:w w:val="93"/>
              </w:rPr>
            </w:pPr>
            <w:hyperlink r:id="rId405">
              <w:r>
                <w:rPr>
                  <w:rFonts w:ascii="Arial" w:cs="Arial" w:eastAsia="Arial" w:hAnsi="Arial"/>
                  <w:sz w:val="17"/>
                  <w:szCs w:val="17"/>
                  <w:color w:val="0000EE"/>
                  <w:w w:val="93"/>
                </w:rPr>
                <w:t>Form of Underwriting Agreement.</w:t>
              </w:r>
            </w:hyperlink>
          </w:p>
        </w:tc>
        <w:tc>
          <w:tcPr>
            <w:tcW w:w="1780" w:type="dxa"/>
            <w:vAlign w:val="bottom"/>
            <w:gridSpan w:val="5"/>
          </w:tcPr>
          <w:p>
            <w:pPr>
              <w:spacing w:after="0"/>
              <w:rPr>
                <w:sz w:val="22"/>
                <w:szCs w:val="22"/>
                <w:color w:val="auto"/>
              </w:rPr>
            </w:pPr>
          </w:p>
        </w:tc>
        <w:tc>
          <w:tcPr>
            <w:tcW w:w="660" w:type="dxa"/>
            <w:vAlign w:val="bottom"/>
            <w:tcBorders>
              <w:top w:val="single" w:sz="8" w:color="auto"/>
            </w:tcBorders>
            <w:gridSpan w:val="4"/>
          </w:tcPr>
          <w:p>
            <w:pPr>
              <w:spacing w:after="0"/>
              <w:rPr>
                <w:sz w:val="22"/>
                <w:szCs w:val="22"/>
                <w:color w:val="auto"/>
              </w:rPr>
            </w:pPr>
          </w:p>
        </w:tc>
        <w:tc>
          <w:tcPr>
            <w:tcW w:w="3980" w:type="dxa"/>
            <w:vAlign w:val="bottom"/>
            <w:gridSpan w:val="9"/>
          </w:tcPr>
          <w:p>
            <w:pPr>
              <w:spacing w:after="0"/>
              <w:rPr>
                <w:sz w:val="22"/>
                <w:szCs w:val="22"/>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3.1**</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06">
              <w:r>
                <w:rPr>
                  <w:rFonts w:ascii="Arial" w:cs="Arial" w:eastAsia="Arial" w:hAnsi="Arial"/>
                  <w:sz w:val="17"/>
                  <w:szCs w:val="17"/>
                  <w:color w:val="0000EE"/>
                </w:rPr>
                <w:t>Form of Amended and Restated Certificate of Incorporation of Definitive Healthcare Corp. to be in effect prior to the</w:t>
              </w:r>
            </w:hyperlink>
          </w:p>
        </w:tc>
      </w:tr>
      <w:tr>
        <w:trPr>
          <w:trHeight w:val="184"/>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960" w:type="dxa"/>
            <w:vAlign w:val="bottom"/>
            <w:tcBorders>
              <w:top w:val="single" w:sz="8" w:color="0000EE"/>
            </w:tcBorders>
            <w:gridSpan w:val="18"/>
          </w:tcPr>
          <w:p>
            <w:pPr>
              <w:spacing w:after="0" w:line="184" w:lineRule="exact"/>
              <w:rPr>
                <w:rFonts w:ascii="Arial" w:cs="Arial" w:eastAsia="Arial" w:hAnsi="Arial"/>
                <w:sz w:val="17"/>
                <w:szCs w:val="17"/>
                <w:color w:val="0000EE"/>
              </w:rPr>
            </w:pPr>
            <w:hyperlink r:id="rId406">
              <w:r>
                <w:rPr>
                  <w:rFonts w:ascii="Arial" w:cs="Arial" w:eastAsia="Arial" w:hAnsi="Arial"/>
                  <w:sz w:val="17"/>
                  <w:szCs w:val="17"/>
                  <w:color w:val="0000EE"/>
                </w:rPr>
                <w:t>consummation of the offering made under this Registration Statement.</w:t>
              </w:r>
            </w:hyperlink>
          </w:p>
        </w:tc>
        <w:tc>
          <w:tcPr>
            <w:tcW w:w="820" w:type="dxa"/>
            <w:vAlign w:val="bottom"/>
            <w:gridSpan w:val="2"/>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3.2**</w:t>
            </w:r>
          </w:p>
        </w:tc>
        <w:tc>
          <w:tcPr>
            <w:tcW w:w="800" w:type="dxa"/>
            <w:vAlign w:val="bottom"/>
          </w:tcPr>
          <w:p>
            <w:pPr>
              <w:spacing w:after="0"/>
              <w:rPr>
                <w:sz w:val="24"/>
                <w:szCs w:val="24"/>
                <w:color w:val="auto"/>
              </w:rPr>
            </w:pPr>
          </w:p>
        </w:tc>
        <w:tc>
          <w:tcPr>
            <w:tcW w:w="8680" w:type="dxa"/>
            <w:vAlign w:val="bottom"/>
            <w:tcBorders>
              <w:bottom w:val="single" w:sz="8" w:color="0000EE"/>
            </w:tcBorders>
            <w:gridSpan w:val="19"/>
          </w:tcPr>
          <w:p>
            <w:pPr>
              <w:spacing w:after="0"/>
              <w:rPr>
                <w:rFonts w:ascii="Arial" w:cs="Arial" w:eastAsia="Arial" w:hAnsi="Arial"/>
                <w:sz w:val="17"/>
                <w:szCs w:val="17"/>
                <w:color w:val="0000EE"/>
                <w:w w:val="91"/>
              </w:rPr>
            </w:pPr>
            <w:hyperlink r:id="rId407">
              <w:r>
                <w:rPr>
                  <w:rFonts w:ascii="Arial" w:cs="Arial" w:eastAsia="Arial" w:hAnsi="Arial"/>
                  <w:sz w:val="17"/>
                  <w:szCs w:val="17"/>
                  <w:color w:val="0000EE"/>
                  <w:w w:val="91"/>
                </w:rPr>
                <w:t>Form of Amended and Restated Bylaws of Definitive Healthcare Corp. to be in effect prior to the consummation of the offering</w:t>
              </w:r>
            </w:hyperlink>
          </w:p>
        </w:tc>
        <w:tc>
          <w:tcPr>
            <w:tcW w:w="100" w:type="dxa"/>
            <w:vAlign w:val="bottom"/>
          </w:tcPr>
          <w:p>
            <w:pPr>
              <w:spacing w:after="0"/>
              <w:rPr>
                <w:sz w:val="24"/>
                <w:szCs w:val="24"/>
                <w:color w:val="auto"/>
              </w:rPr>
            </w:pPr>
          </w:p>
        </w:tc>
      </w:tr>
      <w:tr>
        <w:trPr>
          <w:trHeight w:val="184"/>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780" w:type="dxa"/>
            <w:vAlign w:val="bottom"/>
            <w:gridSpan w:val="20"/>
          </w:tcPr>
          <w:p>
            <w:pPr>
              <w:spacing w:after="0" w:line="184" w:lineRule="exact"/>
              <w:rPr>
                <w:rFonts w:ascii="Arial" w:cs="Arial" w:eastAsia="Arial" w:hAnsi="Arial"/>
                <w:sz w:val="17"/>
                <w:szCs w:val="17"/>
                <w:color w:val="0000EE"/>
              </w:rPr>
            </w:pPr>
            <w:hyperlink r:id="rId407">
              <w:r>
                <w:rPr>
                  <w:rFonts w:ascii="Arial" w:cs="Arial" w:eastAsia="Arial" w:hAnsi="Arial"/>
                  <w:sz w:val="17"/>
                  <w:szCs w:val="17"/>
                  <w:color w:val="0000EE"/>
                </w:rPr>
                <w:t>made under this Registration Statement.</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3.3**</w:t>
            </w:r>
          </w:p>
        </w:tc>
        <w:tc>
          <w:tcPr>
            <w:tcW w:w="800" w:type="dxa"/>
            <w:vAlign w:val="bottom"/>
          </w:tcPr>
          <w:p>
            <w:pPr>
              <w:spacing w:after="0"/>
              <w:rPr>
                <w:sz w:val="24"/>
                <w:szCs w:val="24"/>
                <w:color w:val="auto"/>
              </w:rPr>
            </w:pPr>
          </w:p>
        </w:tc>
        <w:tc>
          <w:tcPr>
            <w:tcW w:w="8780" w:type="dxa"/>
            <w:vAlign w:val="bottom"/>
            <w:tcBorders>
              <w:bottom w:val="single" w:sz="8" w:color="0000EE"/>
            </w:tcBorders>
            <w:gridSpan w:val="20"/>
          </w:tcPr>
          <w:p>
            <w:pPr>
              <w:spacing w:after="0"/>
              <w:rPr>
                <w:rFonts w:ascii="Arial" w:cs="Arial" w:eastAsia="Arial" w:hAnsi="Arial"/>
                <w:sz w:val="17"/>
                <w:szCs w:val="17"/>
                <w:color w:val="0000EE"/>
                <w:w w:val="92"/>
              </w:rPr>
            </w:pPr>
            <w:hyperlink r:id="rId408">
              <w:r>
                <w:rPr>
                  <w:rFonts w:ascii="Arial" w:cs="Arial" w:eastAsia="Arial" w:hAnsi="Arial"/>
                  <w:sz w:val="17"/>
                  <w:szCs w:val="17"/>
                  <w:color w:val="0000EE"/>
                  <w:w w:val="92"/>
                </w:rPr>
                <w:t>Form of Second Amended and Restated Limited Liability Company Agreement of AIDH TopCo, LLC, to be in effect prior to the</w:t>
              </w:r>
            </w:hyperlink>
          </w:p>
        </w:tc>
      </w:tr>
      <w:tr>
        <w:trPr>
          <w:trHeight w:val="184"/>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780" w:type="dxa"/>
            <w:vAlign w:val="bottom"/>
            <w:gridSpan w:val="20"/>
          </w:tcPr>
          <w:p>
            <w:pPr>
              <w:spacing w:after="0" w:line="184" w:lineRule="exact"/>
              <w:rPr>
                <w:rFonts w:ascii="Arial" w:cs="Arial" w:eastAsia="Arial" w:hAnsi="Arial"/>
                <w:sz w:val="17"/>
                <w:szCs w:val="17"/>
                <w:color w:val="0000EE"/>
              </w:rPr>
            </w:pPr>
            <w:hyperlink r:id="rId408">
              <w:r>
                <w:rPr>
                  <w:rFonts w:ascii="Arial" w:cs="Arial" w:eastAsia="Arial" w:hAnsi="Arial"/>
                  <w:sz w:val="17"/>
                  <w:szCs w:val="17"/>
                  <w:color w:val="0000EE"/>
                </w:rPr>
                <w:t>consummation of the offering made under this Registration Statement.</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3.4**</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09">
              <w:r>
                <w:rPr>
                  <w:rFonts w:ascii="Arial" w:cs="Arial" w:eastAsia="Arial" w:hAnsi="Arial"/>
                  <w:sz w:val="17"/>
                  <w:szCs w:val="17"/>
                  <w:color w:val="0000EE"/>
                </w:rPr>
                <w:t>Certificate of Incorporation of Definitive Healthcare Corp., as currently in effect.</w:t>
              </w:r>
            </w:hyperlink>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3.5**</w:t>
            </w:r>
          </w:p>
        </w:tc>
        <w:tc>
          <w:tcPr>
            <w:tcW w:w="800" w:type="dxa"/>
            <w:vAlign w:val="bottom"/>
          </w:tcPr>
          <w:p>
            <w:pPr>
              <w:spacing w:after="0"/>
              <w:rPr>
                <w:sz w:val="24"/>
                <w:szCs w:val="24"/>
                <w:color w:val="auto"/>
              </w:rPr>
            </w:pPr>
          </w:p>
        </w:tc>
        <w:tc>
          <w:tcPr>
            <w:tcW w:w="41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2"/>
              </w:rPr>
            </w:pPr>
            <w:hyperlink r:id="rId410">
              <w:r>
                <w:rPr>
                  <w:rFonts w:ascii="Arial" w:cs="Arial" w:eastAsia="Arial" w:hAnsi="Arial"/>
                  <w:sz w:val="17"/>
                  <w:szCs w:val="17"/>
                  <w:color w:val="0000EE"/>
                  <w:w w:val="92"/>
                </w:rPr>
                <w:t>Bylaws of Definitive Healthcare Corp., as currently in effect.</w:t>
              </w:r>
            </w:hyperlink>
          </w:p>
        </w:tc>
        <w:tc>
          <w:tcPr>
            <w:tcW w:w="1340" w:type="dxa"/>
            <w:vAlign w:val="bottom"/>
            <w:tcBorders>
              <w:top w:val="single" w:sz="8" w:color="0000EE"/>
            </w:tcBorders>
            <w:gridSpan w:val="5"/>
          </w:tcPr>
          <w:p>
            <w:pPr>
              <w:spacing w:after="0"/>
              <w:rPr>
                <w:sz w:val="24"/>
                <w:szCs w:val="24"/>
                <w:color w:val="auto"/>
              </w:rPr>
            </w:pPr>
          </w:p>
        </w:tc>
        <w:tc>
          <w:tcPr>
            <w:tcW w:w="3280" w:type="dxa"/>
            <w:vAlign w:val="bottom"/>
            <w:gridSpan w:val="7"/>
          </w:tcPr>
          <w:p>
            <w:pPr>
              <w:spacing w:after="0"/>
              <w:rPr>
                <w:sz w:val="24"/>
                <w:szCs w:val="24"/>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4.1**</w:t>
            </w:r>
          </w:p>
        </w:tc>
        <w:tc>
          <w:tcPr>
            <w:tcW w:w="800" w:type="dxa"/>
            <w:vAlign w:val="bottom"/>
          </w:tcPr>
          <w:p>
            <w:pPr>
              <w:spacing w:after="0"/>
              <w:rPr>
                <w:sz w:val="24"/>
                <w:szCs w:val="24"/>
                <w:color w:val="auto"/>
              </w:rPr>
            </w:pPr>
          </w:p>
        </w:tc>
        <w:tc>
          <w:tcPr>
            <w:tcW w:w="3220" w:type="dxa"/>
            <w:vAlign w:val="bottom"/>
            <w:tcBorders>
              <w:bottom w:val="single" w:sz="8" w:color="0000EE"/>
            </w:tcBorders>
            <w:gridSpan w:val="6"/>
          </w:tcPr>
          <w:p>
            <w:pPr>
              <w:spacing w:after="0"/>
              <w:rPr>
                <w:rFonts w:ascii="Arial" w:cs="Arial" w:eastAsia="Arial" w:hAnsi="Arial"/>
                <w:sz w:val="17"/>
                <w:szCs w:val="17"/>
                <w:color w:val="0000EE"/>
                <w:w w:val="92"/>
              </w:rPr>
            </w:pPr>
            <w:hyperlink r:id="rId411">
              <w:r>
                <w:rPr>
                  <w:rFonts w:ascii="Arial" w:cs="Arial" w:eastAsia="Arial" w:hAnsi="Arial"/>
                  <w:sz w:val="17"/>
                  <w:szCs w:val="17"/>
                  <w:color w:val="0000EE"/>
                  <w:w w:val="92"/>
                </w:rPr>
                <w:t>Form of Certificate of Class A Common Stock.</w:t>
              </w:r>
            </w:hyperlink>
          </w:p>
        </w:tc>
        <w:tc>
          <w:tcPr>
            <w:tcW w:w="5560" w:type="dxa"/>
            <w:vAlign w:val="bottom"/>
            <w:gridSpan w:val="14"/>
          </w:tcPr>
          <w:p>
            <w:pPr>
              <w:spacing w:after="0"/>
              <w:rPr>
                <w:sz w:val="24"/>
                <w:szCs w:val="24"/>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rPr>
              <w:t>5.1**</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12">
              <w:r>
                <w:rPr>
                  <w:rFonts w:ascii="Arial" w:cs="Arial" w:eastAsia="Arial" w:hAnsi="Arial"/>
                  <w:sz w:val="17"/>
                  <w:szCs w:val="17"/>
                  <w:color w:val="0000EE"/>
                </w:rPr>
                <w:t>Opinion of Weil, Gotshal &amp; Manges LLP.</w:t>
              </w:r>
            </w:hyperlink>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10.1**</w:t>
            </w:r>
          </w:p>
        </w:tc>
        <w:tc>
          <w:tcPr>
            <w:tcW w:w="800" w:type="dxa"/>
            <w:vAlign w:val="bottom"/>
          </w:tcPr>
          <w:p>
            <w:pPr>
              <w:spacing w:after="0"/>
              <w:rPr>
                <w:sz w:val="24"/>
                <w:szCs w:val="24"/>
                <w:color w:val="auto"/>
              </w:rPr>
            </w:pPr>
          </w:p>
        </w:tc>
        <w:tc>
          <w:tcPr>
            <w:tcW w:w="2840" w:type="dxa"/>
            <w:vAlign w:val="bottom"/>
            <w:tcBorders>
              <w:top w:val="single" w:sz="8" w:color="0000EE"/>
            </w:tcBorders>
            <w:gridSpan w:val="5"/>
          </w:tcPr>
          <w:p>
            <w:pPr>
              <w:spacing w:after="0"/>
              <w:rPr>
                <w:rFonts w:ascii="Arial" w:cs="Arial" w:eastAsia="Arial" w:hAnsi="Arial"/>
                <w:sz w:val="17"/>
                <w:szCs w:val="17"/>
                <w:color w:val="0000EE"/>
              </w:rPr>
            </w:pPr>
            <w:hyperlink r:id="rId413">
              <w:r>
                <w:rPr>
                  <w:rFonts w:ascii="Arial" w:cs="Arial" w:eastAsia="Arial" w:hAnsi="Arial"/>
                  <w:sz w:val="17"/>
                  <w:szCs w:val="17"/>
                  <w:color w:val="0000EE"/>
                </w:rPr>
                <w:t>2019 Equity Incentive Plan.</w:t>
              </w:r>
            </w:hyperlink>
          </w:p>
        </w:tc>
        <w:tc>
          <w:tcPr>
            <w:tcW w:w="5940" w:type="dxa"/>
            <w:vAlign w:val="bottom"/>
            <w:gridSpan w:val="15"/>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10.2**</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14">
              <w:r>
                <w:rPr>
                  <w:rFonts w:ascii="Arial" w:cs="Arial" w:eastAsia="Arial" w:hAnsi="Arial"/>
                  <w:sz w:val="17"/>
                  <w:szCs w:val="17"/>
                  <w:color w:val="0000EE"/>
                </w:rPr>
                <w:t>2021 Equity Incentive Plan.</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10.3**</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15">
              <w:r>
                <w:rPr>
                  <w:rFonts w:ascii="Arial" w:cs="Arial" w:eastAsia="Arial" w:hAnsi="Arial"/>
                  <w:sz w:val="17"/>
                  <w:szCs w:val="17"/>
                  <w:color w:val="0000EE"/>
                </w:rPr>
                <w:t>Form of equity award agreements under 2019 Equity Incentive Plan.</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10.4**</w:t>
            </w:r>
          </w:p>
        </w:tc>
        <w:tc>
          <w:tcPr>
            <w:tcW w:w="800" w:type="dxa"/>
            <w:vAlign w:val="bottom"/>
          </w:tcPr>
          <w:p>
            <w:pPr>
              <w:spacing w:after="0"/>
              <w:rPr>
                <w:sz w:val="24"/>
                <w:szCs w:val="24"/>
                <w:color w:val="auto"/>
              </w:rPr>
            </w:pPr>
          </w:p>
        </w:tc>
        <w:tc>
          <w:tcPr>
            <w:tcW w:w="5360" w:type="dxa"/>
            <w:vAlign w:val="bottom"/>
            <w:tcBorders>
              <w:bottom w:val="single" w:sz="8" w:color="0000EE"/>
            </w:tcBorders>
            <w:gridSpan w:val="12"/>
          </w:tcPr>
          <w:p>
            <w:pPr>
              <w:spacing w:after="0"/>
              <w:rPr>
                <w:rFonts w:ascii="Arial" w:cs="Arial" w:eastAsia="Arial" w:hAnsi="Arial"/>
                <w:sz w:val="17"/>
                <w:szCs w:val="17"/>
                <w:color w:val="0000EE"/>
                <w:w w:val="90"/>
              </w:rPr>
            </w:pPr>
            <w:hyperlink r:id="rId416">
              <w:r>
                <w:rPr>
                  <w:rFonts w:ascii="Arial" w:cs="Arial" w:eastAsia="Arial" w:hAnsi="Arial"/>
                  <w:sz w:val="17"/>
                  <w:szCs w:val="17"/>
                  <w:color w:val="0000EE"/>
                  <w:w w:val="90"/>
                </w:rPr>
                <w:t>Form of executive equity award agreements under 2021 Equity Incentive Plan.</w:t>
              </w:r>
            </w:hyperlink>
          </w:p>
        </w:tc>
        <w:tc>
          <w:tcPr>
            <w:tcW w:w="3420" w:type="dxa"/>
            <w:vAlign w:val="bottom"/>
            <w:gridSpan w:val="8"/>
          </w:tcPr>
          <w:p>
            <w:pPr>
              <w:spacing w:after="0"/>
              <w:rPr>
                <w:sz w:val="24"/>
                <w:szCs w:val="24"/>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10.5**</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17">
              <w:r>
                <w:rPr>
                  <w:rFonts w:ascii="Arial" w:cs="Arial" w:eastAsia="Arial" w:hAnsi="Arial"/>
                  <w:sz w:val="17"/>
                  <w:szCs w:val="17"/>
                  <w:color w:val="0000EE"/>
                </w:rPr>
                <w:t>Form of employee equity award agreements under 2021 Equity Incentive Plan.</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10.6**</w:t>
            </w:r>
          </w:p>
        </w:tc>
        <w:tc>
          <w:tcPr>
            <w:tcW w:w="800" w:type="dxa"/>
            <w:vAlign w:val="bottom"/>
          </w:tcPr>
          <w:p>
            <w:pPr>
              <w:spacing w:after="0"/>
              <w:rPr>
                <w:sz w:val="24"/>
                <w:szCs w:val="24"/>
                <w:color w:val="auto"/>
              </w:rPr>
            </w:pPr>
          </w:p>
        </w:tc>
        <w:tc>
          <w:tcPr>
            <w:tcW w:w="7180" w:type="dxa"/>
            <w:vAlign w:val="bottom"/>
            <w:tcBorders>
              <w:bottom w:val="single" w:sz="8" w:color="0000EE"/>
            </w:tcBorders>
            <w:gridSpan w:val="14"/>
          </w:tcPr>
          <w:p>
            <w:pPr>
              <w:spacing w:after="0"/>
              <w:rPr>
                <w:rFonts w:ascii="Arial" w:cs="Arial" w:eastAsia="Arial" w:hAnsi="Arial"/>
                <w:sz w:val="17"/>
                <w:szCs w:val="17"/>
                <w:color w:val="0000EE"/>
                <w:w w:val="92"/>
              </w:rPr>
            </w:pPr>
            <w:hyperlink r:id="rId418">
              <w:r>
                <w:rPr>
                  <w:rFonts w:ascii="Arial" w:cs="Arial" w:eastAsia="Arial" w:hAnsi="Arial"/>
                  <w:sz w:val="17"/>
                  <w:szCs w:val="17"/>
                  <w:color w:val="0000EE"/>
                  <w:w w:val="92"/>
                </w:rPr>
                <w:t>Form of 2021 Executive Officer and Director Indemnification Agreement for Definitive Healthcare Corp.</w:t>
              </w:r>
            </w:hyperlink>
          </w:p>
        </w:tc>
        <w:tc>
          <w:tcPr>
            <w:tcW w:w="1600" w:type="dxa"/>
            <w:vAlign w:val="bottom"/>
            <w:gridSpan w:val="6"/>
          </w:tcPr>
          <w:p>
            <w:pPr>
              <w:spacing w:after="0"/>
              <w:rPr>
                <w:sz w:val="24"/>
                <w:szCs w:val="24"/>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10.7**</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19">
              <w:r>
                <w:rPr>
                  <w:rFonts w:ascii="Arial" w:cs="Arial" w:eastAsia="Arial" w:hAnsi="Arial"/>
                  <w:sz w:val="17"/>
                  <w:szCs w:val="17"/>
                  <w:color w:val="0000EE"/>
                </w:rPr>
                <w:t>2021 Employee Stock Purchase Plan.</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35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10.8**</w:t>
            </w:r>
          </w:p>
        </w:tc>
        <w:tc>
          <w:tcPr>
            <w:tcW w:w="800" w:type="dxa"/>
            <w:vAlign w:val="bottom"/>
          </w:tcPr>
          <w:p>
            <w:pPr>
              <w:spacing w:after="0"/>
              <w:rPr>
                <w:sz w:val="24"/>
                <w:szCs w:val="24"/>
                <w:color w:val="auto"/>
              </w:rPr>
            </w:pPr>
          </w:p>
        </w:tc>
        <w:tc>
          <w:tcPr>
            <w:tcW w:w="7740" w:type="dxa"/>
            <w:vAlign w:val="bottom"/>
            <w:tcBorders>
              <w:bottom w:val="single" w:sz="8" w:color="0000EE"/>
            </w:tcBorders>
            <w:gridSpan w:val="15"/>
          </w:tcPr>
          <w:p>
            <w:pPr>
              <w:spacing w:after="0"/>
              <w:rPr>
                <w:rFonts w:ascii="Arial" w:cs="Arial" w:eastAsia="Arial" w:hAnsi="Arial"/>
                <w:sz w:val="17"/>
                <w:szCs w:val="17"/>
                <w:color w:val="0000EE"/>
                <w:w w:val="90"/>
              </w:rPr>
            </w:pPr>
            <w:hyperlink r:id="rId420">
              <w:r>
                <w:rPr>
                  <w:rFonts w:ascii="Arial" w:cs="Arial" w:eastAsia="Arial" w:hAnsi="Arial"/>
                  <w:sz w:val="17"/>
                  <w:szCs w:val="17"/>
                  <w:color w:val="0000EE"/>
                  <w:w w:val="90"/>
                </w:rPr>
                <w:t>Employment Agreement, dated February 18, 2015, by and between Definitive Healthcare, LLC and Jason Krantz.</w:t>
              </w:r>
            </w:hyperlink>
          </w:p>
        </w:tc>
        <w:tc>
          <w:tcPr>
            <w:tcW w:w="1040" w:type="dxa"/>
            <w:vAlign w:val="bottom"/>
            <w:gridSpan w:val="5"/>
          </w:tcPr>
          <w:p>
            <w:pPr>
              <w:spacing w:after="0"/>
              <w:rPr>
                <w:sz w:val="24"/>
                <w:szCs w:val="24"/>
                <w:color w:val="auto"/>
              </w:rPr>
            </w:pPr>
          </w:p>
        </w:tc>
      </w:tr>
      <w:tr>
        <w:trPr>
          <w:trHeight w:val="285"/>
        </w:trPr>
        <w:tc>
          <w:tcPr>
            <w:tcW w:w="660" w:type="dxa"/>
            <w:vAlign w:val="bottom"/>
          </w:tcPr>
          <w:p>
            <w:pPr>
              <w:jc w:val="right"/>
              <w:ind w:right="116"/>
              <w:spacing w:after="0"/>
              <w:rPr>
                <w:sz w:val="20"/>
                <w:szCs w:val="20"/>
                <w:color w:val="auto"/>
              </w:rPr>
            </w:pPr>
            <w:r>
              <w:rPr>
                <w:rFonts w:ascii="Arial" w:cs="Arial" w:eastAsia="Arial" w:hAnsi="Arial"/>
                <w:sz w:val="17"/>
                <w:szCs w:val="17"/>
                <w:color w:val="auto"/>
                <w:w w:val="94"/>
              </w:rPr>
              <w:t>10.9**</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21">
              <w:r>
                <w:rPr>
                  <w:rFonts w:ascii="Arial" w:cs="Arial" w:eastAsia="Arial" w:hAnsi="Arial"/>
                  <w:sz w:val="17"/>
                  <w:szCs w:val="17"/>
                  <w:color w:val="0000EE"/>
                </w:rPr>
                <w:t>Employment Agreement, dated January 29, 2021, by and between Definitive Healthcare, LLC and Richard Booth.</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60" w:type="dxa"/>
            <w:vAlign w:val="bottom"/>
            <w:gridSpan w:val="8"/>
            <w:shd w:val="clear" w:color="auto" w:fill="0000EE"/>
          </w:tcPr>
          <w:p>
            <w:pPr>
              <w:spacing w:after="0" w:line="20" w:lineRule="exact"/>
              <w:rPr>
                <w:sz w:val="1"/>
                <w:szCs w:val="1"/>
                <w:color w:val="auto"/>
              </w:rPr>
            </w:pPr>
          </w:p>
        </w:tc>
        <w:tc>
          <w:tcPr>
            <w:tcW w:w="360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10.10**</w:t>
            </w:r>
          </w:p>
        </w:tc>
        <w:tc>
          <w:tcPr>
            <w:tcW w:w="800" w:type="dxa"/>
            <w:vAlign w:val="bottom"/>
          </w:tcPr>
          <w:p>
            <w:pPr>
              <w:spacing w:after="0"/>
              <w:rPr>
                <w:sz w:val="24"/>
                <w:szCs w:val="24"/>
                <w:color w:val="auto"/>
              </w:rPr>
            </w:pPr>
          </w:p>
        </w:tc>
        <w:tc>
          <w:tcPr>
            <w:tcW w:w="8780" w:type="dxa"/>
            <w:vAlign w:val="bottom"/>
            <w:gridSpan w:val="20"/>
          </w:tcPr>
          <w:p>
            <w:pPr>
              <w:spacing w:after="0"/>
              <w:rPr>
                <w:rFonts w:ascii="Arial" w:cs="Arial" w:eastAsia="Arial" w:hAnsi="Arial"/>
                <w:sz w:val="17"/>
                <w:szCs w:val="17"/>
                <w:color w:val="0000EE"/>
              </w:rPr>
            </w:pPr>
            <w:hyperlink r:id="rId422">
              <w:r>
                <w:rPr>
                  <w:rFonts w:ascii="Arial" w:cs="Arial" w:eastAsia="Arial" w:hAnsi="Arial"/>
                  <w:sz w:val="17"/>
                  <w:szCs w:val="17"/>
                  <w:color w:val="0000EE"/>
                </w:rPr>
                <w:t>Employment Agreement, dated February 1, 2021, by and between Definitive Healthcare, LLC and David Samuels.</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60" w:type="dxa"/>
            <w:vAlign w:val="bottom"/>
            <w:gridSpan w:val="8"/>
            <w:shd w:val="clear" w:color="auto" w:fill="0000EE"/>
          </w:tcPr>
          <w:p>
            <w:pPr>
              <w:spacing w:after="0" w:line="20" w:lineRule="exact"/>
              <w:rPr>
                <w:sz w:val="1"/>
                <w:szCs w:val="1"/>
                <w:color w:val="auto"/>
              </w:rPr>
            </w:pPr>
          </w:p>
        </w:tc>
        <w:tc>
          <w:tcPr>
            <w:tcW w:w="3640" w:type="dxa"/>
            <w:vAlign w:val="bottom"/>
            <w:gridSpan w:val="9"/>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10.11**</w:t>
            </w:r>
          </w:p>
        </w:tc>
        <w:tc>
          <w:tcPr>
            <w:tcW w:w="800" w:type="dxa"/>
            <w:vAlign w:val="bottom"/>
          </w:tcPr>
          <w:p>
            <w:pPr>
              <w:spacing w:after="0"/>
              <w:rPr>
                <w:sz w:val="24"/>
                <w:szCs w:val="24"/>
                <w:color w:val="auto"/>
              </w:rPr>
            </w:pPr>
          </w:p>
        </w:tc>
        <w:tc>
          <w:tcPr>
            <w:tcW w:w="8780" w:type="dxa"/>
            <w:vAlign w:val="bottom"/>
            <w:tcBorders>
              <w:bottom w:val="single" w:sz="8" w:color="0000EE"/>
            </w:tcBorders>
            <w:gridSpan w:val="20"/>
          </w:tcPr>
          <w:p>
            <w:pPr>
              <w:spacing w:after="0"/>
              <w:rPr>
                <w:rFonts w:ascii="Arial" w:cs="Arial" w:eastAsia="Arial" w:hAnsi="Arial"/>
                <w:sz w:val="17"/>
                <w:szCs w:val="17"/>
                <w:color w:val="0000EE"/>
                <w:w w:val="92"/>
              </w:rPr>
            </w:pPr>
            <w:hyperlink r:id="rId423">
              <w:r>
                <w:rPr>
                  <w:rFonts w:ascii="Arial" w:cs="Arial" w:eastAsia="Arial" w:hAnsi="Arial"/>
                  <w:sz w:val="17"/>
                  <w:szCs w:val="17"/>
                  <w:color w:val="0000EE"/>
                  <w:w w:val="92"/>
                </w:rPr>
                <w:t>Credit Agreement, dated July 16, 2019, by and among DH Holdings, AIDH Buyer, LLC, Administrative Agent, the lenders party</w:t>
              </w:r>
            </w:hyperlink>
          </w:p>
        </w:tc>
      </w:tr>
      <w:tr>
        <w:trPr>
          <w:trHeight w:val="184"/>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160" w:type="dxa"/>
            <w:vAlign w:val="bottom"/>
            <w:tcBorders>
              <w:bottom w:val="single" w:sz="8" w:color="0000EE"/>
            </w:tcBorders>
            <w:gridSpan w:val="8"/>
          </w:tcPr>
          <w:p>
            <w:pPr>
              <w:spacing w:after="0" w:line="184" w:lineRule="exact"/>
              <w:rPr>
                <w:rFonts w:ascii="Arial" w:cs="Arial" w:eastAsia="Arial" w:hAnsi="Arial"/>
                <w:sz w:val="17"/>
                <w:szCs w:val="17"/>
                <w:color w:val="0000EE"/>
                <w:w w:val="90"/>
              </w:rPr>
            </w:pPr>
            <w:hyperlink r:id="rId423">
              <w:r>
                <w:rPr>
                  <w:rFonts w:ascii="Arial" w:cs="Arial" w:eastAsia="Arial" w:hAnsi="Arial"/>
                  <w:sz w:val="17"/>
                  <w:szCs w:val="17"/>
                  <w:color w:val="0000EE"/>
                  <w:w w:val="90"/>
                </w:rPr>
                <w:t>thereto and the issuing banks from time to time party thereto.</w:t>
              </w:r>
            </w:hyperlink>
          </w:p>
        </w:tc>
        <w:tc>
          <w:tcPr>
            <w:tcW w:w="4620" w:type="dxa"/>
            <w:vAlign w:val="bottom"/>
            <w:gridSpan w:val="12"/>
          </w:tcPr>
          <w:p>
            <w:pPr>
              <w:spacing w:after="0"/>
              <w:rPr>
                <w:sz w:val="15"/>
                <w:szCs w:val="15"/>
                <w:color w:val="auto"/>
              </w:rPr>
            </w:pPr>
          </w:p>
        </w:tc>
      </w:tr>
    </w:tbl>
    <w:p>
      <w:pPr>
        <w:spacing w:after="0" w:line="15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0680"/>
          </w:cols>
          <w:pgMar w:left="320" w:top="442" w:right="899" w:bottom="1440" w:gutter="0" w:footer="0" w:header="0"/>
        </w:sectPr>
      </w:pPr>
    </w:p>
    <w:bookmarkStart w:id="305" w:name="page306"/>
    <w:bookmarkEnd w:id="3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380" w:type="dxa"/>
            <w:vAlign w:val="bottom"/>
            <w:gridSpan w:val="13"/>
          </w:tcPr>
          <w:p>
            <w:pPr>
              <w:ind w:left="8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6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60"/>
        </w:trPr>
        <w:tc>
          <w:tcPr>
            <w:tcW w:w="660" w:type="dxa"/>
            <w:vAlign w:val="bottom"/>
          </w:tcPr>
          <w:p>
            <w:pPr>
              <w:spacing w:after="0"/>
              <w:rPr>
                <w:sz w:val="20"/>
                <w:szCs w:val="20"/>
                <w:color w:val="auto"/>
              </w:rPr>
            </w:pPr>
            <w:r>
              <w:rPr>
                <w:rFonts w:ascii="Arial" w:cs="Arial" w:eastAsia="Arial" w:hAnsi="Arial"/>
                <w:sz w:val="17"/>
                <w:szCs w:val="17"/>
                <w:color w:val="auto"/>
              </w:rPr>
              <w:t>10.12**</w:t>
            </w:r>
          </w:p>
        </w:tc>
        <w:tc>
          <w:tcPr>
            <w:tcW w:w="800" w:type="dxa"/>
            <w:vAlign w:val="bottom"/>
          </w:tcPr>
          <w:p>
            <w:pPr>
              <w:spacing w:after="0"/>
              <w:rPr>
                <w:sz w:val="22"/>
                <w:szCs w:val="22"/>
                <w:color w:val="auto"/>
              </w:rPr>
            </w:pPr>
          </w:p>
        </w:tc>
        <w:tc>
          <w:tcPr>
            <w:tcW w:w="8680" w:type="dxa"/>
            <w:vAlign w:val="bottom"/>
            <w:gridSpan w:val="15"/>
          </w:tcPr>
          <w:p>
            <w:pPr>
              <w:spacing w:after="0"/>
              <w:rPr>
                <w:rFonts w:ascii="Arial" w:cs="Arial" w:eastAsia="Arial" w:hAnsi="Arial"/>
                <w:sz w:val="17"/>
                <w:szCs w:val="17"/>
                <w:color w:val="0000EE"/>
                <w:w w:val="93"/>
              </w:rPr>
            </w:pPr>
            <w:hyperlink r:id="rId425">
              <w:r>
                <w:rPr>
                  <w:rFonts w:ascii="Arial" w:cs="Arial" w:eastAsia="Arial" w:hAnsi="Arial"/>
                  <w:sz w:val="17"/>
                  <w:szCs w:val="17"/>
                  <w:color w:val="0000EE"/>
                  <w:w w:val="93"/>
                </w:rPr>
                <w:t>Form of Reorganization Agreement between Definitive Healthcare Corp., AIDH TopCo, LLC and the parties named therein</w:t>
              </w:r>
            </w:hyperlink>
            <w:r>
              <w:rPr>
                <w:rFonts w:ascii="Arial" w:cs="Arial" w:eastAsia="Arial" w:hAnsi="Arial"/>
                <w:sz w:val="17"/>
                <w:szCs w:val="17"/>
                <w:color w:val="000000"/>
                <w:w w:val="93"/>
              </w:rPr>
              <w:t>.</w:t>
            </w: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10.13**</w:t>
            </w:r>
          </w:p>
        </w:tc>
        <w:tc>
          <w:tcPr>
            <w:tcW w:w="800" w:type="dxa"/>
            <w:vAlign w:val="bottom"/>
          </w:tcPr>
          <w:p>
            <w:pPr>
              <w:spacing w:after="0"/>
              <w:rPr>
                <w:sz w:val="24"/>
                <w:szCs w:val="24"/>
                <w:color w:val="auto"/>
              </w:rPr>
            </w:pPr>
          </w:p>
        </w:tc>
        <w:tc>
          <w:tcPr>
            <w:tcW w:w="8680" w:type="dxa"/>
            <w:vAlign w:val="bottom"/>
            <w:tcBorders>
              <w:bottom w:val="single" w:sz="8" w:color="0000EE"/>
            </w:tcBorders>
            <w:gridSpan w:val="15"/>
          </w:tcPr>
          <w:p>
            <w:pPr>
              <w:spacing w:after="0"/>
              <w:rPr>
                <w:rFonts w:ascii="Arial" w:cs="Arial" w:eastAsia="Arial" w:hAnsi="Arial"/>
                <w:sz w:val="17"/>
                <w:szCs w:val="17"/>
                <w:color w:val="0000EE"/>
                <w:w w:val="91"/>
              </w:rPr>
            </w:pPr>
            <w:hyperlink r:id="rId426">
              <w:r>
                <w:rPr>
                  <w:rFonts w:ascii="Arial" w:cs="Arial" w:eastAsia="Arial" w:hAnsi="Arial"/>
                  <w:sz w:val="17"/>
                  <w:szCs w:val="17"/>
                  <w:color w:val="0000EE"/>
                  <w:w w:val="91"/>
                </w:rPr>
                <w:t>Form of Registration Rights Agreement by and among Definitive Healthcare Corp. and the Continuing Pre-IPO LLC Members.</w:t>
              </w:r>
            </w:hyperlink>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10.14**</w:t>
            </w:r>
          </w:p>
        </w:tc>
        <w:tc>
          <w:tcPr>
            <w:tcW w:w="800" w:type="dxa"/>
            <w:vAlign w:val="bottom"/>
          </w:tcPr>
          <w:p>
            <w:pPr>
              <w:spacing w:after="0"/>
              <w:rPr>
                <w:sz w:val="24"/>
                <w:szCs w:val="24"/>
                <w:color w:val="auto"/>
              </w:rPr>
            </w:pPr>
          </w:p>
        </w:tc>
        <w:tc>
          <w:tcPr>
            <w:tcW w:w="8680" w:type="dxa"/>
            <w:vAlign w:val="bottom"/>
            <w:gridSpan w:val="15"/>
          </w:tcPr>
          <w:p>
            <w:pPr>
              <w:spacing w:after="0"/>
              <w:rPr>
                <w:rFonts w:ascii="Arial" w:cs="Arial" w:eastAsia="Arial" w:hAnsi="Arial"/>
                <w:sz w:val="17"/>
                <w:szCs w:val="17"/>
                <w:color w:val="0000EE"/>
              </w:rPr>
            </w:pPr>
            <w:hyperlink r:id="rId427">
              <w:r>
                <w:rPr>
                  <w:rFonts w:ascii="Arial" w:cs="Arial" w:eastAsia="Arial" w:hAnsi="Arial"/>
                  <w:sz w:val="17"/>
                  <w:szCs w:val="17"/>
                  <w:color w:val="0000EE"/>
                </w:rPr>
                <w:t>Form of Tax Receivable Agreement between Definitive Healthcare Corp. and the TRA Parties.</w:t>
              </w:r>
            </w:hyperlink>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10.15**</w:t>
            </w:r>
          </w:p>
        </w:tc>
        <w:tc>
          <w:tcPr>
            <w:tcW w:w="800" w:type="dxa"/>
            <w:vAlign w:val="bottom"/>
          </w:tcPr>
          <w:p>
            <w:pPr>
              <w:spacing w:after="0"/>
              <w:rPr>
                <w:sz w:val="24"/>
                <w:szCs w:val="24"/>
                <w:color w:val="auto"/>
              </w:rPr>
            </w:pPr>
          </w:p>
        </w:tc>
        <w:tc>
          <w:tcPr>
            <w:tcW w:w="464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1"/>
              </w:rPr>
            </w:pPr>
            <w:hyperlink r:id="rId428">
              <w:r>
                <w:rPr>
                  <w:rFonts w:ascii="Arial" w:cs="Arial" w:eastAsia="Arial" w:hAnsi="Arial"/>
                  <w:sz w:val="17"/>
                  <w:szCs w:val="17"/>
                  <w:color w:val="0000EE"/>
                  <w:w w:val="91"/>
                </w:rPr>
                <w:t>Form of Nominating Agreement between the Company and Advent.</w:t>
              </w:r>
            </w:hyperlink>
          </w:p>
        </w:tc>
        <w:tc>
          <w:tcPr>
            <w:tcW w:w="1800" w:type="dxa"/>
            <w:vAlign w:val="bottom"/>
            <w:tcBorders>
              <w:top w:val="single" w:sz="8" w:color="0000EE"/>
            </w:tcBorders>
            <w:gridSpan w:val="4"/>
          </w:tcPr>
          <w:p>
            <w:pPr>
              <w:spacing w:after="0"/>
              <w:rPr>
                <w:sz w:val="24"/>
                <w:szCs w:val="24"/>
                <w:color w:val="auto"/>
              </w:rPr>
            </w:pPr>
          </w:p>
        </w:tc>
        <w:tc>
          <w:tcPr>
            <w:tcW w:w="2240" w:type="dxa"/>
            <w:vAlign w:val="bottom"/>
            <w:gridSpan w:val="6"/>
          </w:tcPr>
          <w:p>
            <w:pPr>
              <w:spacing w:after="0"/>
              <w:rPr>
                <w:sz w:val="24"/>
                <w:szCs w:val="24"/>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10.16**</w:t>
            </w:r>
          </w:p>
        </w:tc>
        <w:tc>
          <w:tcPr>
            <w:tcW w:w="800" w:type="dxa"/>
            <w:vAlign w:val="bottom"/>
          </w:tcPr>
          <w:p>
            <w:pPr>
              <w:spacing w:after="0"/>
              <w:rPr>
                <w:sz w:val="24"/>
                <w:szCs w:val="24"/>
                <w:color w:val="auto"/>
              </w:rPr>
            </w:pPr>
          </w:p>
        </w:tc>
        <w:tc>
          <w:tcPr>
            <w:tcW w:w="8680" w:type="dxa"/>
            <w:vAlign w:val="bottom"/>
            <w:gridSpan w:val="15"/>
          </w:tcPr>
          <w:p>
            <w:pPr>
              <w:spacing w:after="0"/>
              <w:rPr>
                <w:rFonts w:ascii="Arial" w:cs="Arial" w:eastAsia="Arial" w:hAnsi="Arial"/>
                <w:sz w:val="17"/>
                <w:szCs w:val="17"/>
                <w:color w:val="0000EE"/>
              </w:rPr>
            </w:pPr>
            <w:hyperlink r:id="rId429">
              <w:r>
                <w:rPr>
                  <w:rFonts w:ascii="Arial" w:cs="Arial" w:eastAsia="Arial" w:hAnsi="Arial"/>
                  <w:sz w:val="17"/>
                  <w:szCs w:val="17"/>
                  <w:color w:val="0000EE"/>
                </w:rPr>
                <w:t>Form of Nominating Agreement between the Company and SE VII DHC AIV, L.P.</w:t>
              </w:r>
            </w:hyperlink>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10.17**</w:t>
            </w:r>
          </w:p>
        </w:tc>
        <w:tc>
          <w:tcPr>
            <w:tcW w:w="800" w:type="dxa"/>
            <w:vAlign w:val="bottom"/>
          </w:tcPr>
          <w:p>
            <w:pPr>
              <w:spacing w:after="0"/>
              <w:rPr>
                <w:sz w:val="24"/>
                <w:szCs w:val="24"/>
                <w:color w:val="auto"/>
              </w:rPr>
            </w:pPr>
          </w:p>
        </w:tc>
        <w:tc>
          <w:tcPr>
            <w:tcW w:w="5640" w:type="dxa"/>
            <w:vAlign w:val="bottom"/>
            <w:tcBorders>
              <w:top w:val="single" w:sz="8" w:color="0000EE"/>
            </w:tcBorders>
            <w:gridSpan w:val="8"/>
          </w:tcPr>
          <w:p>
            <w:pPr>
              <w:spacing w:after="0"/>
              <w:rPr>
                <w:rFonts w:ascii="Arial" w:cs="Arial" w:eastAsia="Arial" w:hAnsi="Arial"/>
                <w:sz w:val="17"/>
                <w:szCs w:val="17"/>
                <w:color w:val="0000EE"/>
              </w:rPr>
            </w:pPr>
            <w:hyperlink r:id="rId430">
              <w:r>
                <w:rPr>
                  <w:rFonts w:ascii="Arial" w:cs="Arial" w:eastAsia="Arial" w:hAnsi="Arial"/>
                  <w:sz w:val="17"/>
                  <w:szCs w:val="17"/>
                  <w:color w:val="0000EE"/>
                </w:rPr>
                <w:t>Form of Nominating Agreement between the Company and Jason Krantz</w:t>
              </w:r>
            </w:hyperlink>
            <w:r>
              <w:rPr>
                <w:rFonts w:ascii="Arial" w:cs="Arial" w:eastAsia="Arial" w:hAnsi="Arial"/>
                <w:sz w:val="17"/>
                <w:szCs w:val="17"/>
                <w:color w:val="000000"/>
              </w:rPr>
              <w:t>.</w:t>
            </w:r>
          </w:p>
        </w:tc>
        <w:tc>
          <w:tcPr>
            <w:tcW w:w="3040" w:type="dxa"/>
            <w:vAlign w:val="bottom"/>
            <w:gridSpan w:val="7"/>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10.18**</w:t>
            </w:r>
          </w:p>
        </w:tc>
        <w:tc>
          <w:tcPr>
            <w:tcW w:w="800" w:type="dxa"/>
            <w:vAlign w:val="bottom"/>
          </w:tcPr>
          <w:p>
            <w:pPr>
              <w:spacing w:after="0"/>
              <w:rPr>
                <w:sz w:val="24"/>
                <w:szCs w:val="24"/>
                <w:color w:val="auto"/>
              </w:rPr>
            </w:pPr>
          </w:p>
        </w:tc>
        <w:tc>
          <w:tcPr>
            <w:tcW w:w="8680" w:type="dxa"/>
            <w:vAlign w:val="bottom"/>
            <w:gridSpan w:val="15"/>
          </w:tcPr>
          <w:p>
            <w:pPr>
              <w:spacing w:after="0"/>
              <w:rPr>
                <w:rFonts w:ascii="Arial" w:cs="Arial" w:eastAsia="Arial" w:hAnsi="Arial"/>
                <w:sz w:val="17"/>
                <w:szCs w:val="17"/>
                <w:color w:val="0000EE"/>
                <w:w w:val="93"/>
              </w:rPr>
            </w:pPr>
            <w:hyperlink r:id="rId431">
              <w:r>
                <w:rPr>
                  <w:rFonts w:ascii="Arial" w:cs="Arial" w:eastAsia="Arial" w:hAnsi="Arial"/>
                  <w:sz w:val="17"/>
                  <w:szCs w:val="17"/>
                  <w:color w:val="0000EE"/>
                  <w:w w:val="93"/>
                </w:rPr>
                <w:t>Form of Reimbursement Agreement between Definitive Healthcare Corp. and Jason Krantz and certain other stockholders.</w:t>
              </w:r>
            </w:hyperlink>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10.19**</w:t>
            </w:r>
          </w:p>
        </w:tc>
        <w:tc>
          <w:tcPr>
            <w:tcW w:w="800" w:type="dxa"/>
            <w:vAlign w:val="bottom"/>
          </w:tcPr>
          <w:p>
            <w:pPr>
              <w:spacing w:after="0"/>
              <w:rPr>
                <w:sz w:val="24"/>
                <w:szCs w:val="24"/>
                <w:color w:val="auto"/>
              </w:rPr>
            </w:pPr>
          </w:p>
        </w:tc>
        <w:tc>
          <w:tcPr>
            <w:tcW w:w="7580" w:type="dxa"/>
            <w:vAlign w:val="bottom"/>
            <w:tcBorders>
              <w:top w:val="single" w:sz="8" w:color="0000EE"/>
              <w:bottom w:val="single" w:sz="8" w:color="0000EE"/>
            </w:tcBorders>
            <w:gridSpan w:val="11"/>
          </w:tcPr>
          <w:p>
            <w:pPr>
              <w:spacing w:after="0"/>
              <w:rPr>
                <w:rFonts w:ascii="Arial" w:cs="Arial" w:eastAsia="Arial" w:hAnsi="Arial"/>
                <w:sz w:val="17"/>
                <w:szCs w:val="17"/>
                <w:color w:val="0000EE"/>
                <w:w w:val="90"/>
              </w:rPr>
            </w:pPr>
            <w:hyperlink r:id="rId432">
              <w:r>
                <w:rPr>
                  <w:rFonts w:ascii="Arial" w:cs="Arial" w:eastAsia="Arial" w:hAnsi="Arial"/>
                  <w:sz w:val="17"/>
                  <w:szCs w:val="17"/>
                  <w:color w:val="0000EE"/>
                  <w:w w:val="90"/>
                </w:rPr>
                <w:t>Stock and Unit Purchase Agreement by and among Definitive Health Care Corp. and the parties named therein.</w:t>
              </w:r>
            </w:hyperlink>
          </w:p>
        </w:tc>
        <w:tc>
          <w:tcPr>
            <w:tcW w:w="760" w:type="dxa"/>
            <w:vAlign w:val="bottom"/>
            <w:tcBorders>
              <w:top w:val="single" w:sz="8" w:color="0000EE"/>
            </w:tcBorders>
            <w:gridSpan w:val="2"/>
          </w:tcPr>
          <w:p>
            <w:pPr>
              <w:spacing w:after="0"/>
              <w:rPr>
                <w:sz w:val="24"/>
                <w:szCs w:val="24"/>
                <w:color w:val="auto"/>
              </w:rPr>
            </w:pPr>
          </w:p>
        </w:tc>
        <w:tc>
          <w:tcPr>
            <w:tcW w:w="340" w:type="dxa"/>
            <w:vAlign w:val="bottom"/>
            <w:gridSpan w:val="2"/>
          </w:tcPr>
          <w:p>
            <w:pPr>
              <w:spacing w:after="0"/>
              <w:rPr>
                <w:sz w:val="24"/>
                <w:szCs w:val="24"/>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21.1**</w:t>
            </w:r>
          </w:p>
        </w:tc>
        <w:tc>
          <w:tcPr>
            <w:tcW w:w="800" w:type="dxa"/>
            <w:vAlign w:val="bottom"/>
          </w:tcPr>
          <w:p>
            <w:pPr>
              <w:spacing w:after="0"/>
              <w:rPr>
                <w:sz w:val="24"/>
                <w:szCs w:val="24"/>
                <w:color w:val="auto"/>
              </w:rPr>
            </w:pPr>
          </w:p>
        </w:tc>
        <w:tc>
          <w:tcPr>
            <w:tcW w:w="8680" w:type="dxa"/>
            <w:vAlign w:val="bottom"/>
            <w:gridSpan w:val="15"/>
          </w:tcPr>
          <w:p>
            <w:pPr>
              <w:spacing w:after="0"/>
              <w:rPr>
                <w:rFonts w:ascii="Arial" w:cs="Arial" w:eastAsia="Arial" w:hAnsi="Arial"/>
                <w:sz w:val="17"/>
                <w:szCs w:val="17"/>
                <w:color w:val="0000EE"/>
              </w:rPr>
            </w:pPr>
            <w:hyperlink r:id="rId433">
              <w:r>
                <w:rPr>
                  <w:rFonts w:ascii="Arial" w:cs="Arial" w:eastAsia="Arial" w:hAnsi="Arial"/>
                  <w:sz w:val="17"/>
                  <w:szCs w:val="17"/>
                  <w:color w:val="0000EE"/>
                </w:rPr>
                <w:t>List of subsidiaries.</w:t>
              </w:r>
            </w:hyperlink>
          </w:p>
        </w:tc>
      </w:tr>
      <w:tr>
        <w:trPr>
          <w:trHeight w:val="20"/>
        </w:trPr>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23.1</w:t>
            </w:r>
          </w:p>
        </w:tc>
        <w:tc>
          <w:tcPr>
            <w:tcW w:w="800" w:type="dxa"/>
            <w:vAlign w:val="bottom"/>
          </w:tcPr>
          <w:p>
            <w:pPr>
              <w:spacing w:after="0"/>
              <w:rPr>
                <w:sz w:val="24"/>
                <w:szCs w:val="24"/>
                <w:color w:val="auto"/>
              </w:rPr>
            </w:pPr>
          </w:p>
        </w:tc>
        <w:tc>
          <w:tcPr>
            <w:tcW w:w="8080" w:type="dxa"/>
            <w:vAlign w:val="bottom"/>
            <w:tcBorders>
              <w:bottom w:val="single" w:sz="8" w:color="0000EE"/>
            </w:tcBorders>
            <w:gridSpan w:val="12"/>
          </w:tcPr>
          <w:p>
            <w:pPr>
              <w:spacing w:after="0"/>
              <w:rPr>
                <w:rFonts w:ascii="Arial" w:cs="Arial" w:eastAsia="Arial" w:hAnsi="Arial"/>
                <w:sz w:val="17"/>
                <w:szCs w:val="17"/>
                <w:color w:val="0000EE"/>
                <w:w w:val="91"/>
              </w:rPr>
            </w:pPr>
            <w:hyperlink w:anchor="page309">
              <w:r>
                <w:rPr>
                  <w:rFonts w:ascii="Arial" w:cs="Arial" w:eastAsia="Arial" w:hAnsi="Arial"/>
                  <w:sz w:val="17"/>
                  <w:szCs w:val="17"/>
                  <w:color w:val="0000EE"/>
                  <w:w w:val="91"/>
                </w:rPr>
                <w:t>Consent of Deloitte &amp; Touche LLP, Independent Registered Public Accounting Firm, as to Definitive Healthcare Corp.</w:t>
              </w:r>
            </w:hyperlink>
          </w:p>
        </w:tc>
        <w:tc>
          <w:tcPr>
            <w:tcW w:w="600" w:type="dxa"/>
            <w:vAlign w:val="bottom"/>
            <w:gridSpan w:val="3"/>
          </w:tcPr>
          <w:p>
            <w:pPr>
              <w:spacing w:after="0"/>
              <w:rPr>
                <w:sz w:val="24"/>
                <w:szCs w:val="24"/>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23.2</w:t>
            </w:r>
          </w:p>
        </w:tc>
        <w:tc>
          <w:tcPr>
            <w:tcW w:w="800" w:type="dxa"/>
            <w:vAlign w:val="bottom"/>
          </w:tcPr>
          <w:p>
            <w:pPr>
              <w:spacing w:after="0"/>
              <w:rPr>
                <w:sz w:val="24"/>
                <w:szCs w:val="24"/>
                <w:color w:val="auto"/>
              </w:rPr>
            </w:pPr>
          </w:p>
        </w:tc>
        <w:tc>
          <w:tcPr>
            <w:tcW w:w="8680" w:type="dxa"/>
            <w:vAlign w:val="bottom"/>
            <w:gridSpan w:val="15"/>
          </w:tcPr>
          <w:p>
            <w:pPr>
              <w:spacing w:after="0"/>
              <w:rPr>
                <w:rFonts w:ascii="Arial" w:cs="Arial" w:eastAsia="Arial" w:hAnsi="Arial"/>
                <w:sz w:val="17"/>
                <w:szCs w:val="17"/>
                <w:color w:val="0000EE"/>
              </w:rPr>
            </w:pPr>
            <w:hyperlink w:anchor="page310">
              <w:r>
                <w:rPr>
                  <w:rFonts w:ascii="Arial" w:cs="Arial" w:eastAsia="Arial" w:hAnsi="Arial"/>
                  <w:sz w:val="17"/>
                  <w:szCs w:val="17"/>
                  <w:color w:val="0000EE"/>
                </w:rPr>
                <w:t>Consent of Deloitte &amp; Touche LLP, Independent Registered Public Accounting Firm, as to AIDH TopCo, LLC.</w:t>
              </w:r>
            </w:hyperlink>
          </w:p>
        </w:tc>
      </w:tr>
      <w:tr>
        <w:trPr>
          <w:trHeight w:val="298"/>
        </w:trPr>
        <w:tc>
          <w:tcPr>
            <w:tcW w:w="660" w:type="dxa"/>
            <w:vAlign w:val="bottom"/>
          </w:tcPr>
          <w:p>
            <w:pPr>
              <w:spacing w:after="0"/>
              <w:rPr>
                <w:sz w:val="20"/>
                <w:szCs w:val="20"/>
                <w:color w:val="auto"/>
              </w:rPr>
            </w:pPr>
            <w:r>
              <w:rPr>
                <w:rFonts w:ascii="Arial" w:cs="Arial" w:eastAsia="Arial" w:hAnsi="Arial"/>
                <w:sz w:val="17"/>
                <w:szCs w:val="17"/>
                <w:color w:val="auto"/>
              </w:rPr>
              <w:t>23.3**</w:t>
            </w:r>
          </w:p>
        </w:tc>
        <w:tc>
          <w:tcPr>
            <w:tcW w:w="800" w:type="dxa"/>
            <w:vAlign w:val="bottom"/>
          </w:tcPr>
          <w:p>
            <w:pPr>
              <w:spacing w:after="0"/>
              <w:rPr>
                <w:sz w:val="24"/>
                <w:szCs w:val="24"/>
                <w:color w:val="auto"/>
              </w:rPr>
            </w:pPr>
          </w:p>
        </w:tc>
        <w:tc>
          <w:tcPr>
            <w:tcW w:w="7560" w:type="dxa"/>
            <w:vAlign w:val="bottom"/>
            <w:tcBorders>
              <w:top w:val="single" w:sz="8" w:color="0000EE"/>
            </w:tcBorders>
            <w:gridSpan w:val="10"/>
          </w:tcPr>
          <w:p>
            <w:pPr>
              <w:spacing w:after="0"/>
              <w:rPr>
                <w:rFonts w:ascii="Arial" w:cs="Arial" w:eastAsia="Arial" w:hAnsi="Arial"/>
                <w:sz w:val="17"/>
                <w:szCs w:val="17"/>
                <w:color w:val="0000EE"/>
              </w:rPr>
            </w:pPr>
            <w:hyperlink r:id="rId412">
              <w:r>
                <w:rPr>
                  <w:rFonts w:ascii="Arial" w:cs="Arial" w:eastAsia="Arial" w:hAnsi="Arial"/>
                  <w:sz w:val="17"/>
                  <w:szCs w:val="17"/>
                  <w:color w:val="0000EE"/>
                </w:rPr>
                <w:t>Consent of Weil, Gotshal &amp; Manges LLP (included in Exhibit 5.1).</w:t>
              </w:r>
            </w:hyperlink>
          </w:p>
        </w:tc>
        <w:tc>
          <w:tcPr>
            <w:tcW w:w="1120" w:type="dxa"/>
            <w:vAlign w:val="bottom"/>
            <w:gridSpan w:val="5"/>
          </w:tcPr>
          <w:p>
            <w:pPr>
              <w:spacing w:after="0"/>
              <w:rPr>
                <w:sz w:val="24"/>
                <w:szCs w:val="24"/>
                <w:color w:val="auto"/>
              </w:rPr>
            </w:pPr>
          </w:p>
        </w:tc>
      </w:tr>
      <w:tr>
        <w:trPr>
          <w:trHeight w:val="285"/>
        </w:trPr>
        <w:tc>
          <w:tcPr>
            <w:tcW w:w="660" w:type="dxa"/>
            <w:vAlign w:val="bottom"/>
          </w:tcPr>
          <w:p>
            <w:pPr>
              <w:spacing w:after="0"/>
              <w:rPr>
                <w:sz w:val="20"/>
                <w:szCs w:val="20"/>
                <w:color w:val="auto"/>
              </w:rPr>
            </w:pPr>
            <w:r>
              <w:rPr>
                <w:rFonts w:ascii="Arial" w:cs="Arial" w:eastAsia="Arial" w:hAnsi="Arial"/>
                <w:sz w:val="17"/>
                <w:szCs w:val="17"/>
                <w:color w:val="auto"/>
              </w:rPr>
              <w:t>24.1**</w:t>
            </w:r>
          </w:p>
        </w:tc>
        <w:tc>
          <w:tcPr>
            <w:tcW w:w="800" w:type="dxa"/>
            <w:vAlign w:val="bottom"/>
          </w:tcPr>
          <w:p>
            <w:pPr>
              <w:spacing w:after="0"/>
              <w:rPr>
                <w:sz w:val="24"/>
                <w:szCs w:val="24"/>
                <w:color w:val="auto"/>
              </w:rPr>
            </w:pPr>
          </w:p>
        </w:tc>
        <w:tc>
          <w:tcPr>
            <w:tcW w:w="330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1"/>
              </w:rPr>
            </w:pPr>
            <w:hyperlink r:id="rId434">
              <w:r>
                <w:rPr>
                  <w:rFonts w:ascii="Arial" w:cs="Arial" w:eastAsia="Arial" w:hAnsi="Arial"/>
                  <w:sz w:val="17"/>
                  <w:szCs w:val="17"/>
                  <w:color w:val="0000EE"/>
                  <w:w w:val="91"/>
                </w:rPr>
                <w:t>Power of Attorney (included on signature page).</w:t>
              </w:r>
            </w:hyperlink>
          </w:p>
        </w:tc>
        <w:tc>
          <w:tcPr>
            <w:tcW w:w="1260" w:type="dxa"/>
            <w:vAlign w:val="bottom"/>
            <w:tcBorders>
              <w:top w:val="single" w:sz="8" w:color="0000EE"/>
            </w:tcBorders>
            <w:gridSpan w:val="2"/>
          </w:tcPr>
          <w:p>
            <w:pPr>
              <w:spacing w:after="0"/>
              <w:rPr>
                <w:sz w:val="24"/>
                <w:szCs w:val="24"/>
                <w:color w:val="auto"/>
              </w:rPr>
            </w:pPr>
          </w:p>
        </w:tc>
        <w:tc>
          <w:tcPr>
            <w:tcW w:w="4120" w:type="dxa"/>
            <w:vAlign w:val="bottom"/>
            <w:gridSpan w:val="11"/>
          </w:tcPr>
          <w:p>
            <w:pPr>
              <w:spacing w:after="0"/>
              <w:rPr>
                <w:sz w:val="24"/>
                <w:szCs w:val="24"/>
                <w:color w:val="auto"/>
              </w:rPr>
            </w:pPr>
          </w:p>
        </w:tc>
      </w:tr>
    </w:tbl>
    <w:p>
      <w:pPr>
        <w:spacing w:after="0" w:line="242" w:lineRule="exact"/>
        <w:rPr>
          <w:sz w:val="20"/>
          <w:szCs w:val="20"/>
          <w:color w:val="auto"/>
        </w:rPr>
      </w:pPr>
    </w:p>
    <w:p>
      <w:pPr>
        <w:ind w:left="840" w:hanging="406"/>
        <w:spacing w:after="0"/>
        <w:tabs>
          <w:tab w:leader="none" w:pos="84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309" w:lineRule="exact"/>
        <w:rPr>
          <w:sz w:val="20"/>
          <w:szCs w:val="20"/>
          <w:color w:val="auto"/>
        </w:rPr>
      </w:pPr>
    </w:p>
    <w:p>
      <w:pPr>
        <w:ind w:left="840" w:right="7820" w:hanging="406"/>
        <w:spacing w:after="0" w:line="403" w:lineRule="auto"/>
        <w:tabs>
          <w:tab w:leader="none" w:pos="675"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 Schedules: </w:t>
      </w:r>
      <w:r>
        <w:rPr>
          <w:rFonts w:ascii="Arial" w:cs="Arial" w:eastAsia="Arial" w:hAnsi="Arial"/>
          <w:sz w:val="17"/>
          <w:szCs w:val="17"/>
          <w:color w:val="auto"/>
        </w:rPr>
        <w:t>None.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Item 17. Undertakings</w:t>
      </w:r>
    </w:p>
    <w:p>
      <w:pPr>
        <w:spacing w:after="0" w:line="114" w:lineRule="exact"/>
        <w:rPr>
          <w:sz w:val="20"/>
          <w:szCs w:val="20"/>
          <w:color w:val="auto"/>
        </w:rPr>
      </w:pPr>
    </w:p>
    <w:p>
      <w:pPr>
        <w:ind w:left="440" w:right="20" w:firstLine="415"/>
        <w:spacing w:after="0" w:line="306"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1" w:lineRule="exact"/>
        <w:rPr>
          <w:sz w:val="20"/>
          <w:szCs w:val="20"/>
          <w:color w:val="auto"/>
        </w:rPr>
      </w:pPr>
    </w:p>
    <w:p>
      <w:pPr>
        <w:ind w:left="440" w:right="200" w:firstLine="415"/>
        <w:spacing w:after="0" w:line="27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7"/>
          <w:szCs w:val="17"/>
          <w:color w:val="auto"/>
        </w:rPr>
        <w:t>The undersigned registrant hereby undertakes that:</w:t>
      </w:r>
    </w:p>
    <w:p>
      <w:pPr>
        <w:spacing w:after="0" w:line="123" w:lineRule="exact"/>
        <w:rPr>
          <w:sz w:val="20"/>
          <w:szCs w:val="20"/>
          <w:color w:val="auto"/>
        </w:rPr>
      </w:pPr>
    </w:p>
    <w:p>
      <w:pPr>
        <w:ind w:left="840" w:hanging="406"/>
        <w:spacing w:after="0" w:line="285" w:lineRule="auto"/>
        <w:tabs>
          <w:tab w:leader="none" w:pos="84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9" w:lineRule="exact"/>
        <w:rPr>
          <w:rFonts w:ascii="Arial" w:cs="Arial" w:eastAsia="Arial" w:hAnsi="Arial"/>
          <w:sz w:val="16"/>
          <w:szCs w:val="16"/>
          <w:color w:val="auto"/>
        </w:rPr>
      </w:pPr>
    </w:p>
    <w:p>
      <w:pPr>
        <w:ind w:left="840" w:right="60" w:hanging="406"/>
        <w:spacing w:after="0" w:line="261" w:lineRule="auto"/>
        <w:tabs>
          <w:tab w:leader="none" w:pos="84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3"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0780"/>
          </w:cols>
          <w:pgMar w:left="320" w:top="441" w:right="799" w:bottom="1440" w:gutter="0" w:footer="0" w:header="0"/>
        </w:sectPr>
      </w:pPr>
    </w:p>
    <w:bookmarkStart w:id="306" w:name="page307"/>
    <w:bookmarkEnd w:id="3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center"/>
        <w:ind w:right="-61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ind w:left="440" w:firstLine="415"/>
        <w:spacing w:after="0" w:line="306"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 the undersigned, thereunto duly authorized in the City of Framingham, State of Massachusetts, on September 13, 2021.</w:t>
      </w:r>
    </w:p>
    <w:p>
      <w:pPr>
        <w:spacing w:after="0" w:line="167"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Definitive Healthcare Corp.</w:t>
      </w:r>
    </w:p>
    <w:p>
      <w:pPr>
        <w:spacing w:after="0" w:line="212" w:lineRule="exact"/>
        <w:rPr>
          <w:sz w:val="20"/>
          <w:szCs w:val="20"/>
          <w:color w:val="auto"/>
        </w:rPr>
      </w:pPr>
    </w:p>
    <w:p>
      <w:pPr>
        <w:ind w:left="6660"/>
        <w:spacing w:after="0"/>
        <w:rPr>
          <w:sz w:val="20"/>
          <w:szCs w:val="20"/>
          <w:color w:val="auto"/>
        </w:rPr>
      </w:pPr>
      <w:r>
        <w:rPr>
          <w:rFonts w:ascii="Arial" w:cs="Arial" w:eastAsia="Arial" w:hAnsi="Arial"/>
          <w:sz w:val="17"/>
          <w:szCs w:val="17"/>
          <w:color w:val="auto"/>
        </w:rPr>
        <w:t>By: /s/ RICHARD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4443730</wp:posOffset>
            </wp:positionH>
            <wp:positionV relativeFrom="paragraph">
              <wp:posOffset>12700</wp:posOffset>
            </wp:positionV>
            <wp:extent cx="2423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6">
                      <a:extLst>
                        <a:ext uri="{28A0092B-C50C-407E-A947-70E740481C1C}"/>
                      </a:extLst>
                    </a:blip>
                    <a:srcRect/>
                    <a:stretch>
                      <a:fillRect/>
                    </a:stretch>
                  </pic:blipFill>
                  <pic:spPr bwMode="auto">
                    <a:xfrm>
                      <a:off x="0" y="0"/>
                      <a:ext cx="2423160" cy="8255"/>
                    </a:xfrm>
                    <a:prstGeom prst="rect">
                      <a:avLst/>
                    </a:prstGeom>
                    <a:noFill/>
                  </pic:spPr>
                </pic:pic>
              </a:graphicData>
            </a:graphic>
          </wp:anchor>
        </w:drawing>
      </w:r>
    </w:p>
    <w:p>
      <w:pPr>
        <w:spacing w:after="0" w:line="13" w:lineRule="exact"/>
        <w:rPr>
          <w:sz w:val="20"/>
          <w:szCs w:val="20"/>
          <w:color w:val="auto"/>
        </w:rPr>
      </w:pPr>
    </w:p>
    <w:p>
      <w:pPr>
        <w:ind w:left="7000"/>
        <w:spacing w:after="0"/>
        <w:tabs>
          <w:tab w:leader="none" w:pos="7560" w:val="left"/>
        </w:tabs>
        <w:rPr>
          <w:sz w:val="20"/>
          <w:szCs w:val="20"/>
          <w:color w:val="auto"/>
        </w:rPr>
      </w:pPr>
      <w:r>
        <w:rPr>
          <w:rFonts w:ascii="Arial" w:cs="Arial" w:eastAsia="Arial" w:hAnsi="Arial"/>
          <w:sz w:val="17"/>
          <w:szCs w:val="17"/>
          <w:color w:val="auto"/>
        </w:rPr>
        <w:t>Name</w:t>
        <w:tab/>
        <w:t>Richard Booth</w:t>
      </w:r>
    </w:p>
    <w:p>
      <w:pPr>
        <w:spacing w:after="0" w:line="21" w:lineRule="exact"/>
        <w:rPr>
          <w:sz w:val="20"/>
          <w:szCs w:val="20"/>
          <w:color w:val="auto"/>
        </w:rPr>
      </w:pPr>
    </w:p>
    <w:p>
      <w:pPr>
        <w:ind w:left="7000"/>
        <w:spacing w:after="0"/>
        <w:tabs>
          <w:tab w:leader="none" w:pos="7560" w:val="left"/>
        </w:tabs>
        <w:rPr>
          <w:sz w:val="20"/>
          <w:szCs w:val="20"/>
          <w:color w:val="auto"/>
        </w:rPr>
      </w:pPr>
      <w:r>
        <w:rPr>
          <w:rFonts w:ascii="Arial" w:cs="Arial" w:eastAsia="Arial" w:hAnsi="Arial"/>
          <w:sz w:val="17"/>
          <w:szCs w:val="17"/>
          <w:color w:val="auto"/>
        </w:rPr>
        <w:t>Title:</w:t>
        <w:tab/>
        <w:t>Chief Financial Officer</w:t>
      </w:r>
    </w:p>
    <w:p>
      <w:pPr>
        <w:spacing w:after="0" w:line="200" w:lineRule="exact"/>
        <w:rPr>
          <w:sz w:val="20"/>
          <w:szCs w:val="20"/>
          <w:color w:val="auto"/>
        </w:rPr>
      </w:pPr>
    </w:p>
    <w:p>
      <w:pPr>
        <w:spacing w:after="0" w:line="215" w:lineRule="exact"/>
        <w:rPr>
          <w:sz w:val="20"/>
          <w:szCs w:val="20"/>
          <w:color w:val="auto"/>
        </w:rPr>
      </w:pPr>
    </w:p>
    <w:p>
      <w:pPr>
        <w:ind w:left="440" w:right="20" w:firstLine="415"/>
        <w:spacing w:after="0" w:line="273"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indicated on September 13, 2021.</w:t>
      </w:r>
    </w:p>
    <w:p>
      <w:pPr>
        <w:spacing w:after="0" w:line="18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64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86"/>
              </w:rPr>
              <w:t>Signature</w:t>
            </w:r>
          </w:p>
        </w:tc>
        <w:tc>
          <w:tcPr>
            <w:tcW w:w="3080" w:type="dxa"/>
            <w:vAlign w:val="bottom"/>
          </w:tcPr>
          <w:p>
            <w:pPr>
              <w:spacing w:after="0"/>
              <w:rPr>
                <w:sz w:val="14"/>
                <w:szCs w:val="14"/>
                <w:color w:val="auto"/>
              </w:rPr>
            </w:pPr>
          </w:p>
        </w:tc>
        <w:tc>
          <w:tcPr>
            <w:tcW w:w="174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90"/>
              </w:rPr>
              <w:t>Title</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1"/>
              </w:rPr>
              <w:t>President, Chief Executive Officer and Director</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3640" w:type="dxa"/>
            <w:vAlign w:val="bottom"/>
            <w:gridSpan w:val="4"/>
          </w:tcPr>
          <w:p>
            <w:pPr>
              <w:jc w:val="center"/>
              <w:ind w:right="520"/>
              <w:spacing w:after="0"/>
              <w:rPr>
                <w:sz w:val="20"/>
                <w:szCs w:val="20"/>
                <w:color w:val="auto"/>
              </w:rPr>
            </w:pPr>
            <w:r>
              <w:rPr>
                <w:rFonts w:ascii="Arial" w:cs="Arial" w:eastAsia="Arial" w:hAnsi="Arial"/>
                <w:sz w:val="17"/>
                <w:szCs w:val="17"/>
                <w:color w:val="auto"/>
                <w:w w:val="88"/>
              </w:rPr>
              <w:t>Jason Krantz</w:t>
            </w: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4"/>
              </w:rPr>
              <w:t>(Principal Executive Officer)</w:t>
            </w:r>
          </w:p>
        </w:tc>
        <w:tc>
          <w:tcPr>
            <w:tcW w:w="0" w:type="dxa"/>
            <w:vAlign w:val="bottom"/>
          </w:tcPr>
          <w:p>
            <w:pPr>
              <w:spacing w:after="0"/>
              <w:rPr>
                <w:sz w:val="1"/>
                <w:szCs w:val="1"/>
                <w:color w:val="auto"/>
              </w:rPr>
            </w:pPr>
          </w:p>
        </w:tc>
      </w:tr>
      <w:tr>
        <w:trPr>
          <w:trHeight w:val="395"/>
        </w:trPr>
        <w:tc>
          <w:tcPr>
            <w:tcW w:w="520" w:type="dxa"/>
            <w:vAlign w:val="bottom"/>
          </w:tcPr>
          <w:p>
            <w:pPr>
              <w:spacing w:after="0"/>
              <w:rPr>
                <w:sz w:val="24"/>
                <w:szCs w:val="24"/>
                <w:color w:val="auto"/>
              </w:rPr>
            </w:pPr>
          </w:p>
        </w:tc>
        <w:tc>
          <w:tcPr>
            <w:tcW w:w="3640" w:type="dxa"/>
            <w:vAlign w:val="bottom"/>
            <w:gridSpan w:val="4"/>
            <w:vMerge w:val="restart"/>
          </w:tcPr>
          <w:p>
            <w:pPr>
              <w:jc w:val="center"/>
              <w:ind w:right="520"/>
              <w:spacing w:after="0"/>
              <w:rPr>
                <w:sz w:val="20"/>
                <w:szCs w:val="20"/>
                <w:color w:val="auto"/>
              </w:rPr>
            </w:pPr>
            <w:r>
              <w:rPr>
                <w:rFonts w:ascii="Arial" w:cs="Arial" w:eastAsia="Arial" w:hAnsi="Arial"/>
                <w:sz w:val="17"/>
                <w:szCs w:val="17"/>
                <w:color w:val="auto"/>
                <w:w w:val="96"/>
              </w:rPr>
              <w:t>/s/ RICHARD BOOTH</w:t>
            </w: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4"/>
              </w:rPr>
              <w:t>Chief Financial Officer</w:t>
            </w:r>
          </w:p>
        </w:tc>
        <w:tc>
          <w:tcPr>
            <w:tcW w:w="0" w:type="dxa"/>
            <w:vAlign w:val="bottom"/>
          </w:tcPr>
          <w:p>
            <w:pPr>
              <w:spacing w:after="0"/>
              <w:rPr>
                <w:sz w:val="1"/>
                <w:szCs w:val="1"/>
                <w:color w:val="auto"/>
              </w:rPr>
            </w:pPr>
          </w:p>
        </w:tc>
      </w:tr>
      <w:tr>
        <w:trPr>
          <w:trHeight w:val="101"/>
        </w:trPr>
        <w:tc>
          <w:tcPr>
            <w:tcW w:w="520" w:type="dxa"/>
            <w:vAlign w:val="bottom"/>
            <w:tcBorders>
              <w:bottom w:val="single" w:sz="8" w:color="auto"/>
            </w:tcBorders>
          </w:tcPr>
          <w:p>
            <w:pPr>
              <w:spacing w:after="0"/>
              <w:rPr>
                <w:sz w:val="8"/>
                <w:szCs w:val="8"/>
                <w:color w:val="auto"/>
              </w:rPr>
            </w:pPr>
          </w:p>
        </w:tc>
        <w:tc>
          <w:tcPr>
            <w:tcW w:w="3640" w:type="dxa"/>
            <w:vAlign w:val="bottom"/>
            <w:tcBorders>
              <w:bottom w:val="single" w:sz="8" w:color="auto"/>
            </w:tcBorders>
            <w:gridSpan w:val="4"/>
            <w:vMerge w:val="continue"/>
          </w:tcPr>
          <w:p>
            <w:pPr>
              <w:spacing w:after="0"/>
              <w:rPr>
                <w:sz w:val="8"/>
                <w:szCs w:val="8"/>
                <w:color w:val="auto"/>
              </w:rPr>
            </w:pPr>
          </w:p>
        </w:tc>
        <w:tc>
          <w:tcPr>
            <w:tcW w:w="4820" w:type="dxa"/>
            <w:vAlign w:val="bottom"/>
            <w:gridSpan w:val="3"/>
            <w:vMerge w:val="restart"/>
          </w:tcPr>
          <w:p>
            <w:pPr>
              <w:jc w:val="center"/>
              <w:ind w:left="1515"/>
              <w:spacing w:after="0"/>
              <w:rPr>
                <w:sz w:val="20"/>
                <w:szCs w:val="20"/>
                <w:color w:val="auto"/>
              </w:rPr>
            </w:pPr>
            <w:r>
              <w:rPr>
                <w:rFonts w:ascii="Arial" w:cs="Arial" w:eastAsia="Arial" w:hAnsi="Arial"/>
                <w:sz w:val="17"/>
                <w:szCs w:val="17"/>
                <w:color w:val="auto"/>
                <w:w w:val="93"/>
              </w:rPr>
              <w:t>(Principal Financial Officer and Principal</w:t>
            </w:r>
          </w:p>
        </w:tc>
        <w:tc>
          <w:tcPr>
            <w:tcW w:w="0" w:type="dxa"/>
            <w:vAlign w:val="bottom"/>
          </w:tcPr>
          <w:p>
            <w:pPr>
              <w:spacing w:after="0"/>
              <w:rPr>
                <w:sz w:val="1"/>
                <w:szCs w:val="1"/>
                <w:color w:val="auto"/>
              </w:rPr>
            </w:pPr>
          </w:p>
        </w:tc>
      </w:tr>
      <w:tr>
        <w:trPr>
          <w:trHeight w:val="82"/>
        </w:trPr>
        <w:tc>
          <w:tcPr>
            <w:tcW w:w="520" w:type="dxa"/>
            <w:vAlign w:val="bottom"/>
          </w:tcPr>
          <w:p>
            <w:pPr>
              <w:spacing w:after="0"/>
              <w:rPr>
                <w:sz w:val="7"/>
                <w:szCs w:val="7"/>
                <w:color w:val="auto"/>
              </w:rPr>
            </w:pPr>
          </w:p>
        </w:tc>
        <w:tc>
          <w:tcPr>
            <w:tcW w:w="3640" w:type="dxa"/>
            <w:vAlign w:val="bottom"/>
            <w:gridSpan w:val="4"/>
            <w:vMerge w:val="restart"/>
          </w:tcPr>
          <w:p>
            <w:pPr>
              <w:jc w:val="center"/>
              <w:ind w:right="520"/>
              <w:spacing w:after="0"/>
              <w:rPr>
                <w:sz w:val="20"/>
                <w:szCs w:val="20"/>
                <w:color w:val="auto"/>
              </w:rPr>
            </w:pPr>
            <w:r>
              <w:rPr>
                <w:rFonts w:ascii="Arial" w:cs="Arial" w:eastAsia="Arial" w:hAnsi="Arial"/>
                <w:sz w:val="17"/>
                <w:szCs w:val="17"/>
                <w:color w:val="auto"/>
                <w:w w:val="92"/>
              </w:rPr>
              <w:t>Richard Booth</w:t>
            </w:r>
          </w:p>
        </w:tc>
        <w:tc>
          <w:tcPr>
            <w:tcW w:w="4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52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4820" w:type="dxa"/>
            <w:vAlign w:val="bottom"/>
            <w:gridSpan w:val="3"/>
            <w:vMerge w:val="restart"/>
          </w:tcPr>
          <w:p>
            <w:pPr>
              <w:jc w:val="center"/>
              <w:ind w:left="1515"/>
              <w:spacing w:after="0"/>
              <w:rPr>
                <w:sz w:val="20"/>
                <w:szCs w:val="20"/>
                <w:color w:val="auto"/>
              </w:rPr>
            </w:pPr>
            <w:r>
              <w:rPr>
                <w:rFonts w:ascii="Arial" w:cs="Arial" w:eastAsia="Arial" w:hAnsi="Arial"/>
                <w:sz w:val="17"/>
                <w:szCs w:val="17"/>
                <w:color w:val="auto"/>
                <w:w w:val="95"/>
              </w:rPr>
              <w:t>Accounting Officer)</w:t>
            </w:r>
          </w:p>
        </w:tc>
        <w:tc>
          <w:tcPr>
            <w:tcW w:w="0" w:type="dxa"/>
            <w:vAlign w:val="bottom"/>
          </w:tcPr>
          <w:p>
            <w:pPr>
              <w:spacing w:after="0"/>
              <w:rPr>
                <w:sz w:val="1"/>
                <w:szCs w:val="1"/>
                <w:color w:val="auto"/>
              </w:rPr>
            </w:pPr>
          </w:p>
        </w:tc>
      </w:tr>
      <w:tr>
        <w:trPr>
          <w:trHeight w:val="89"/>
        </w:trPr>
        <w:tc>
          <w:tcPr>
            <w:tcW w:w="5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0"/>
        </w:trPr>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left="1176"/>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3640" w:type="dxa"/>
            <w:vAlign w:val="bottom"/>
            <w:gridSpan w:val="4"/>
          </w:tcPr>
          <w:p>
            <w:pPr>
              <w:jc w:val="center"/>
              <w:ind w:right="520"/>
              <w:spacing w:after="0"/>
              <w:rPr>
                <w:sz w:val="20"/>
                <w:szCs w:val="20"/>
                <w:color w:val="auto"/>
              </w:rPr>
            </w:pPr>
            <w:r>
              <w:rPr>
                <w:rFonts w:ascii="Arial" w:cs="Arial" w:eastAsia="Arial" w:hAnsi="Arial"/>
                <w:sz w:val="17"/>
                <w:szCs w:val="17"/>
                <w:color w:val="auto"/>
                <w:w w:val="94"/>
              </w:rPr>
              <w:t>Jill Larsen</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left="1176"/>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3640" w:type="dxa"/>
            <w:vAlign w:val="bottom"/>
            <w:gridSpan w:val="4"/>
          </w:tcPr>
          <w:p>
            <w:pPr>
              <w:jc w:val="center"/>
              <w:ind w:right="520"/>
              <w:spacing w:after="0"/>
              <w:rPr>
                <w:sz w:val="20"/>
                <w:szCs w:val="20"/>
                <w:color w:val="auto"/>
              </w:rPr>
            </w:pPr>
            <w:r>
              <w:rPr>
                <w:rFonts w:ascii="Arial" w:cs="Arial" w:eastAsia="Arial" w:hAnsi="Arial"/>
                <w:sz w:val="17"/>
                <w:szCs w:val="17"/>
                <w:color w:val="auto"/>
                <w:w w:val="97"/>
              </w:rPr>
              <w:t>Chris Mitchell</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left="1176"/>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3640" w:type="dxa"/>
            <w:vAlign w:val="bottom"/>
            <w:gridSpan w:val="4"/>
          </w:tcPr>
          <w:p>
            <w:pPr>
              <w:jc w:val="center"/>
              <w:ind w:right="520"/>
              <w:spacing w:after="0"/>
              <w:rPr>
                <w:sz w:val="20"/>
                <w:szCs w:val="20"/>
                <w:color w:val="auto"/>
              </w:rPr>
            </w:pPr>
            <w:r>
              <w:rPr>
                <w:rFonts w:ascii="Arial" w:cs="Arial" w:eastAsia="Arial" w:hAnsi="Arial"/>
                <w:sz w:val="17"/>
                <w:szCs w:val="17"/>
                <w:color w:val="auto"/>
                <w:w w:val="93"/>
              </w:rPr>
              <w:t>Jeff Haywood</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left="1176"/>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3640" w:type="dxa"/>
            <w:vAlign w:val="bottom"/>
            <w:gridSpan w:val="4"/>
          </w:tcPr>
          <w:p>
            <w:pPr>
              <w:jc w:val="center"/>
              <w:ind w:right="520"/>
              <w:spacing w:after="0"/>
              <w:rPr>
                <w:sz w:val="20"/>
                <w:szCs w:val="20"/>
                <w:color w:val="auto"/>
              </w:rPr>
            </w:pPr>
            <w:r>
              <w:rPr>
                <w:rFonts w:ascii="Arial" w:cs="Arial" w:eastAsia="Arial" w:hAnsi="Arial"/>
                <w:sz w:val="17"/>
                <w:szCs w:val="17"/>
                <w:color w:val="auto"/>
                <w:w w:val="89"/>
              </w:rPr>
              <w:t>Lauren Young</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left="1176"/>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3640" w:type="dxa"/>
            <w:vAlign w:val="bottom"/>
            <w:gridSpan w:val="4"/>
          </w:tcPr>
          <w:p>
            <w:pPr>
              <w:jc w:val="center"/>
              <w:ind w:right="520"/>
              <w:spacing w:after="0"/>
              <w:rPr>
                <w:sz w:val="20"/>
                <w:szCs w:val="20"/>
                <w:color w:val="auto"/>
              </w:rPr>
            </w:pPr>
            <w:r>
              <w:rPr>
                <w:rFonts w:ascii="Arial" w:cs="Arial" w:eastAsia="Arial" w:hAnsi="Arial"/>
                <w:sz w:val="17"/>
                <w:szCs w:val="17"/>
                <w:color w:val="auto"/>
                <w:w w:val="90"/>
              </w:rPr>
              <w:t>Chris Egan</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left="1176"/>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3640" w:type="dxa"/>
            <w:vAlign w:val="bottom"/>
            <w:gridSpan w:val="4"/>
          </w:tcPr>
          <w:p>
            <w:pPr>
              <w:jc w:val="center"/>
              <w:ind w:right="520"/>
              <w:spacing w:after="0"/>
              <w:rPr>
                <w:sz w:val="20"/>
                <w:szCs w:val="20"/>
                <w:color w:val="auto"/>
              </w:rPr>
            </w:pPr>
            <w:r>
              <w:rPr>
                <w:rFonts w:ascii="Arial" w:cs="Arial" w:eastAsia="Arial" w:hAnsi="Arial"/>
                <w:sz w:val="17"/>
                <w:szCs w:val="17"/>
                <w:color w:val="auto"/>
                <w:w w:val="94"/>
              </w:rPr>
              <w:t>D. Randall Winn</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left="1176"/>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20" w:type="dxa"/>
            <w:vAlign w:val="bottom"/>
            <w:gridSpan w:val="3"/>
          </w:tcPr>
          <w:p>
            <w:pPr>
              <w:jc w:val="center"/>
              <w:ind w:left="1515"/>
              <w:spacing w:after="0"/>
              <w:rPr>
                <w:sz w:val="20"/>
                <w:szCs w:val="20"/>
                <w:color w:val="auto"/>
              </w:rPr>
            </w:pPr>
            <w:r>
              <w:rPr>
                <w:rFonts w:ascii="Arial" w:cs="Arial" w:eastAsia="Arial" w:hAnsi="Arial"/>
                <w:sz w:val="17"/>
                <w:szCs w:val="17"/>
                <w:color w:val="auto"/>
                <w:w w:val="97"/>
              </w:rPr>
              <w:t>Director</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3640" w:type="dxa"/>
            <w:vAlign w:val="bottom"/>
            <w:gridSpan w:val="4"/>
          </w:tcPr>
          <w:p>
            <w:pPr>
              <w:jc w:val="center"/>
              <w:ind w:right="520"/>
              <w:spacing w:after="0"/>
              <w:rPr>
                <w:sz w:val="20"/>
                <w:szCs w:val="20"/>
                <w:color w:val="auto"/>
              </w:rPr>
            </w:pPr>
            <w:r>
              <w:rPr>
                <w:rFonts w:ascii="Arial" w:cs="Arial" w:eastAsia="Arial" w:hAnsi="Arial"/>
                <w:sz w:val="17"/>
                <w:szCs w:val="17"/>
                <w:color w:val="auto"/>
                <w:w w:val="92"/>
              </w:rPr>
              <w:t>Samuel Allen Hamood</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7"/>
                <w:szCs w:val="17"/>
                <w:color w:val="auto"/>
              </w:rPr>
              <w:t>*By:</w:t>
            </w:r>
          </w:p>
        </w:tc>
        <w:tc>
          <w:tcPr>
            <w:tcW w:w="3640" w:type="dxa"/>
            <w:vAlign w:val="bottom"/>
            <w:gridSpan w:val="4"/>
          </w:tcPr>
          <w:p>
            <w:pPr>
              <w:ind w:left="60"/>
              <w:spacing w:after="0"/>
              <w:rPr>
                <w:sz w:val="20"/>
                <w:szCs w:val="20"/>
                <w:color w:val="auto"/>
              </w:rPr>
            </w:pPr>
            <w:r>
              <w:rPr>
                <w:rFonts w:ascii="Arial" w:cs="Arial" w:eastAsia="Arial" w:hAnsi="Arial"/>
                <w:sz w:val="17"/>
                <w:szCs w:val="17"/>
                <w:color w:val="auto"/>
              </w:rPr>
              <w:t>/s/ RICHARD BOOTH</w:t>
            </w:r>
          </w:p>
        </w:tc>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20" w:type="dxa"/>
            <w:vAlign w:val="bottom"/>
          </w:tcPr>
          <w:p>
            <w:pPr>
              <w:spacing w:after="0" w:line="185" w:lineRule="exact"/>
              <w:rPr>
                <w:sz w:val="20"/>
                <w:szCs w:val="20"/>
                <w:color w:val="auto"/>
              </w:rPr>
            </w:pPr>
            <w:r>
              <w:rPr>
                <w:rFonts w:ascii="Arial" w:cs="Arial" w:eastAsia="Arial" w:hAnsi="Arial"/>
                <w:sz w:val="17"/>
                <w:szCs w:val="17"/>
                <w:color w:val="auto"/>
                <w:w w:val="99"/>
              </w:rPr>
              <w:t>Name:</w:t>
            </w:r>
          </w:p>
        </w:tc>
        <w:tc>
          <w:tcPr>
            <w:tcW w:w="3620" w:type="dxa"/>
            <w:vAlign w:val="bottom"/>
            <w:tcBorders>
              <w:top w:val="single" w:sz="8" w:color="auto"/>
            </w:tcBorders>
            <w:gridSpan w:val="3"/>
          </w:tcPr>
          <w:p>
            <w:pPr>
              <w:ind w:left="60"/>
              <w:spacing w:after="0" w:line="185" w:lineRule="exact"/>
              <w:rPr>
                <w:sz w:val="20"/>
                <w:szCs w:val="20"/>
                <w:color w:val="auto"/>
              </w:rPr>
            </w:pPr>
            <w:r>
              <w:rPr>
                <w:rFonts w:ascii="Arial" w:cs="Arial" w:eastAsia="Arial" w:hAnsi="Arial"/>
                <w:sz w:val="17"/>
                <w:szCs w:val="17"/>
                <w:color w:val="auto"/>
              </w:rPr>
              <w:t>Richard Booth</w:t>
            </w:r>
          </w:p>
        </w:tc>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20" w:type="dxa"/>
            <w:vAlign w:val="bottom"/>
          </w:tcPr>
          <w:p>
            <w:pPr>
              <w:spacing w:after="0"/>
              <w:rPr>
                <w:sz w:val="20"/>
                <w:szCs w:val="20"/>
                <w:color w:val="auto"/>
              </w:rPr>
            </w:pPr>
            <w:r>
              <w:rPr>
                <w:rFonts w:ascii="Arial" w:cs="Arial" w:eastAsia="Arial" w:hAnsi="Arial"/>
                <w:sz w:val="17"/>
                <w:szCs w:val="17"/>
                <w:color w:val="auto"/>
              </w:rPr>
              <w:t>Title:</w:t>
            </w:r>
          </w:p>
        </w:tc>
        <w:tc>
          <w:tcPr>
            <w:tcW w:w="3640" w:type="dxa"/>
            <w:vAlign w:val="bottom"/>
            <w:gridSpan w:val="4"/>
          </w:tcPr>
          <w:p>
            <w:pPr>
              <w:ind w:left="60"/>
              <w:spacing w:after="0"/>
              <w:rPr>
                <w:sz w:val="20"/>
                <w:szCs w:val="20"/>
                <w:color w:val="auto"/>
              </w:rPr>
            </w:pPr>
            <w:r>
              <w:rPr>
                <w:rFonts w:ascii="Arial" w:cs="Arial" w:eastAsia="Arial" w:hAnsi="Arial"/>
                <w:sz w:val="17"/>
                <w:szCs w:val="17"/>
                <w:color w:val="auto"/>
              </w:rPr>
              <w:t>Attorney-in-fact</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20" w:type="dxa"/>
            <w:vAlign w:val="bottom"/>
            <w:gridSpan w:val="3"/>
          </w:tcPr>
          <w:p>
            <w:pPr>
              <w:ind w:left="900"/>
              <w:spacing w:after="0"/>
              <w:rPr>
                <w:sz w:val="20"/>
                <w:szCs w:val="20"/>
                <w:color w:val="auto"/>
              </w:rPr>
            </w:pPr>
            <w:r>
              <w:rPr>
                <w:rFonts w:ascii="Arial" w:cs="Arial" w:eastAsia="Arial" w:hAnsi="Arial"/>
                <w:sz w:val="17"/>
                <w:szCs w:val="17"/>
                <w:color w:val="auto"/>
              </w:rPr>
              <w:t>II-5</w:t>
            </w:r>
          </w:p>
        </w:tc>
        <w:tc>
          <w:tcPr>
            <w:tcW w:w="0" w:type="dxa"/>
            <w:vAlign w:val="bottom"/>
          </w:tcPr>
          <w:p>
            <w:pPr>
              <w:spacing w:after="0"/>
              <w:rPr>
                <w:sz w:val="1"/>
                <w:szCs w:val="1"/>
                <w:color w:val="auto"/>
              </w:rPr>
            </w:pPr>
          </w:p>
        </w:tc>
      </w:tr>
    </w:tbl>
    <w:p>
      <w:pPr>
        <w:sectPr>
          <w:pgSz w:w="11900" w:h="16838" w:orient="portrait"/>
          <w:cols w:equalWidth="0" w:num="1">
            <w:col w:w="10620"/>
          </w:cols>
          <w:pgMar w:left="320" w:top="442" w:right="959" w:bottom="1440" w:gutter="0" w:footer="0" w:header="0"/>
        </w:sectPr>
      </w:pPr>
    </w:p>
    <w:bookmarkStart w:id="307" w:name="page308"/>
    <w:bookmarkEnd w:id="3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hyperlink w:anchor="page6">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1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3080" w:type="dxa"/>
            <w:vAlign w:val="bottom"/>
          </w:tcPr>
          <w:p>
            <w:pPr>
              <w:spacing w:after="0"/>
              <w:rPr>
                <w:sz w:val="14"/>
                <w:szCs w:val="14"/>
                <w:color w:val="auto"/>
              </w:rPr>
            </w:pPr>
          </w:p>
        </w:tc>
        <w:tc>
          <w:tcPr>
            <w:tcW w:w="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Title</w:t>
            </w:r>
          </w:p>
        </w:tc>
      </w:tr>
      <w:tr>
        <w:trPr>
          <w:trHeight w:val="20"/>
        </w:trPr>
        <w:tc>
          <w:tcPr>
            <w:tcW w:w="1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99"/>
        </w:trPr>
        <w:tc>
          <w:tcPr>
            <w:tcW w:w="1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00" w:type="dxa"/>
            <w:vAlign w:val="bottom"/>
            <w:gridSpan w:val="3"/>
          </w:tcPr>
          <w:p>
            <w:pPr>
              <w:jc w:val="center"/>
              <w:ind w:left="2835"/>
              <w:spacing w:after="0"/>
              <w:rPr>
                <w:sz w:val="20"/>
                <w:szCs w:val="20"/>
                <w:color w:val="auto"/>
              </w:rPr>
            </w:pPr>
            <w:r>
              <w:rPr>
                <w:rFonts w:ascii="Arial" w:cs="Arial" w:eastAsia="Arial" w:hAnsi="Arial"/>
                <w:sz w:val="17"/>
                <w:szCs w:val="17"/>
                <w:color w:val="auto"/>
                <w:w w:val="97"/>
              </w:rPr>
              <w:t>Director</w:t>
            </w:r>
          </w:p>
        </w:tc>
      </w:tr>
      <w:tr>
        <w:trPr>
          <w:trHeight w:val="209"/>
        </w:trPr>
        <w:tc>
          <w:tcPr>
            <w:tcW w:w="4160" w:type="dxa"/>
            <w:vAlign w:val="bottom"/>
            <w:gridSpan w:val="4"/>
          </w:tcPr>
          <w:p>
            <w:pPr>
              <w:jc w:val="center"/>
              <w:spacing w:after="0"/>
              <w:rPr>
                <w:sz w:val="20"/>
                <w:szCs w:val="20"/>
                <w:color w:val="auto"/>
              </w:rPr>
            </w:pPr>
            <w:r>
              <w:rPr>
                <w:rFonts w:ascii="Arial" w:cs="Arial" w:eastAsia="Arial" w:hAnsi="Arial"/>
                <w:sz w:val="17"/>
                <w:szCs w:val="17"/>
                <w:color w:val="auto"/>
                <w:w w:val="91"/>
              </w:rPr>
              <w:t>Robert Musslewhite</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*By: /s/ Richard Booth</w:t>
            </w:r>
          </w:p>
        </w:tc>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7"/>
        </w:trPr>
        <w:tc>
          <w:tcPr>
            <w:tcW w:w="4160" w:type="dxa"/>
            <w:vAlign w:val="bottom"/>
            <w:gridSpan w:val="4"/>
          </w:tcPr>
          <w:p>
            <w:pPr>
              <w:spacing w:after="0"/>
              <w:rPr>
                <w:sz w:val="20"/>
                <w:szCs w:val="20"/>
                <w:color w:val="auto"/>
              </w:rPr>
            </w:pPr>
            <w:r>
              <w:rPr>
                <w:rFonts w:ascii="Arial" w:cs="Arial" w:eastAsia="Arial" w:hAnsi="Arial"/>
                <w:sz w:val="17"/>
                <w:szCs w:val="17"/>
                <w:color w:val="auto"/>
              </w:rPr>
              <w:t>Name:  Richard Booth</w:t>
            </w:r>
          </w:p>
        </w:tc>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5"/>
        </w:trPr>
        <w:tc>
          <w:tcPr>
            <w:tcW w:w="4160" w:type="dxa"/>
            <w:vAlign w:val="bottom"/>
            <w:gridSpan w:val="4"/>
          </w:tcPr>
          <w:p>
            <w:pPr>
              <w:spacing w:after="0"/>
              <w:rPr>
                <w:sz w:val="20"/>
                <w:szCs w:val="20"/>
                <w:color w:val="auto"/>
              </w:rPr>
            </w:pPr>
            <w:r>
              <w:rPr>
                <w:rFonts w:ascii="Arial" w:cs="Arial" w:eastAsia="Arial" w:hAnsi="Arial"/>
                <w:sz w:val="17"/>
                <w:szCs w:val="17"/>
                <w:color w:val="auto"/>
              </w:rPr>
              <w:t>Title:   Attorney-in-fact</w:t>
            </w:r>
          </w:p>
        </w:tc>
        <w:tc>
          <w:tcPr>
            <w:tcW w:w="3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43"/>
        </w:trPr>
        <w:tc>
          <w:tcPr>
            <w:tcW w:w="1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00" w:type="dxa"/>
            <w:vAlign w:val="bottom"/>
            <w:gridSpan w:val="3"/>
          </w:tcPr>
          <w:p>
            <w:pPr>
              <w:ind w:left="900"/>
              <w:spacing w:after="0"/>
              <w:rPr>
                <w:sz w:val="20"/>
                <w:szCs w:val="20"/>
                <w:color w:val="auto"/>
              </w:rPr>
            </w:pPr>
            <w:r>
              <w:rPr>
                <w:rFonts w:ascii="Arial" w:cs="Arial" w:eastAsia="Arial" w:hAnsi="Arial"/>
                <w:sz w:val="17"/>
                <w:szCs w:val="17"/>
                <w:color w:val="auto"/>
              </w:rPr>
              <w:t>II-6</w:t>
            </w:r>
          </w:p>
        </w:tc>
      </w:tr>
    </w:tbl>
    <w:p>
      <w:pPr>
        <w:sectPr>
          <w:pgSz w:w="11900" w:h="16838" w:orient="portrait"/>
          <w:cols w:equalWidth="0" w:num="1">
            <w:col w:w="10139"/>
          </w:cols>
          <w:pgMar w:left="320" w:top="442" w:right="1440" w:bottom="1440" w:gutter="0" w:footer="0" w:header="0"/>
        </w:sectPr>
      </w:pPr>
    </w:p>
    <w:bookmarkStart w:id="308" w:name="page309"/>
    <w:bookmarkEnd w:id="308"/>
    <w:p>
      <w:pPr>
        <w:jc w:val="right"/>
        <w:spacing w:after="0"/>
        <w:rPr>
          <w:sz w:val="20"/>
          <w:szCs w:val="20"/>
          <w:color w:val="auto"/>
        </w:rPr>
      </w:pPr>
      <w:r>
        <w:rPr>
          <w:rFonts w:ascii="Arial" w:cs="Arial" w:eastAsia="Arial" w:hAnsi="Arial"/>
          <w:sz w:val="17"/>
          <w:szCs w:val="17"/>
          <w:b w:val="1"/>
          <w:bCs w:val="1"/>
          <w:color w:val="auto"/>
        </w:rPr>
        <w:t>Exhibit 23.1</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1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consent to the use in this Registration Statement No. 333-258990 on Form S-1 of our report dated May 28, 2021, relating to the financial statement of Definitive Healthcare Corp. We also consent to the reference to us under the heading “Experts” in such Registration Statement.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 </w:t>
      </w:r>
      <w:r>
        <w:rPr>
          <w:rFonts w:ascii="Arial" w:cs="Arial" w:eastAsia="Arial" w:hAnsi="Arial"/>
          <w:sz w:val="17"/>
          <w:szCs w:val="17"/>
          <w:color w:val="auto"/>
        </w:rPr>
        <w:t>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September 13, 2021</w:t>
      </w:r>
    </w:p>
    <w:p>
      <w:pPr>
        <w:sectPr>
          <w:pgSz w:w="11900" w:h="16838" w:orient="portrait"/>
          <w:cols w:equalWidth="0" w:num="1">
            <w:col w:w="10380"/>
          </w:cols>
          <w:pgMar w:left="760" w:top="123" w:right="759" w:bottom="1440" w:gutter="0" w:footer="0" w:header="0"/>
        </w:sectPr>
      </w:pPr>
    </w:p>
    <w:bookmarkStart w:id="309" w:name="page310"/>
    <w:bookmarkEnd w:id="309"/>
    <w:p>
      <w:pPr>
        <w:jc w:val="right"/>
        <w:spacing w:after="0"/>
        <w:rPr>
          <w:sz w:val="20"/>
          <w:szCs w:val="20"/>
          <w:color w:val="auto"/>
        </w:rPr>
      </w:pPr>
      <w:r>
        <w:rPr>
          <w:rFonts w:ascii="Arial" w:cs="Arial" w:eastAsia="Arial" w:hAnsi="Arial"/>
          <w:sz w:val="17"/>
          <w:szCs w:val="17"/>
          <w:b w:val="1"/>
          <w:bCs w:val="1"/>
          <w:color w:val="auto"/>
        </w:rPr>
        <w:t>Exhibit 23.2</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CONSENT OF INDEPENDENT REGISTERED PUBLIC ACCOUNTING FIRM</w:t>
      </w:r>
    </w:p>
    <w:p>
      <w:pPr>
        <w:spacing w:after="0" w:line="212" w:lineRule="exact"/>
        <w:rPr>
          <w:sz w:val="20"/>
          <w:szCs w:val="20"/>
          <w:color w:val="auto"/>
        </w:rPr>
      </w:pPr>
    </w:p>
    <w:p>
      <w:pPr>
        <w:ind w:right="580"/>
        <w:spacing w:after="0" w:line="342" w:lineRule="auto"/>
        <w:rPr>
          <w:sz w:val="20"/>
          <w:szCs w:val="20"/>
          <w:color w:val="auto"/>
        </w:rPr>
      </w:pPr>
      <w:r>
        <w:rPr>
          <w:rFonts w:ascii="Arial" w:cs="Arial" w:eastAsia="Arial" w:hAnsi="Arial"/>
          <w:sz w:val="15"/>
          <w:szCs w:val="15"/>
          <w:color w:val="auto"/>
        </w:rPr>
        <w:t>We consent to the use in this Registration Statement No. 333-258990 on Form S-1 of our report dated May 28, 2021, relating to the consolidated financial statements of AIDH Topco, LLC. We also consent to the reference to us under the heading “Experts” in such Registration Statement.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 </w:t>
      </w:r>
      <w:r>
        <w:rPr>
          <w:rFonts w:ascii="Arial" w:cs="Arial" w:eastAsia="Arial" w:hAnsi="Arial"/>
          <w:sz w:val="17"/>
          <w:szCs w:val="17"/>
          <w:color w:val="auto"/>
        </w:rPr>
        <w:t>Deloitte &amp; Touche, LLP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September 13, 2021</w:t>
      </w:r>
    </w:p>
    <w:sectPr>
      <w:pgSz w:w="11900" w:h="16838" w:orient="portrait"/>
      <w:cols w:equalWidth="0" w:num="1">
        <w:col w:w="10380"/>
      </w:cols>
      <w:pgMar w:left="760" w:top="12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10FE21"/>
    <w:multiLevelType w:val="hybridMultilevel"/>
    <w:lvl w:ilvl="0">
      <w:lvlJc w:val="left"/>
      <w:lvlText w:val="(%1)"/>
      <w:numFmt w:val="decimal"/>
      <w:start w:val="1"/>
    </w:lvl>
  </w:abstractNum>
  <w:abstractNum w:abstractNumId="1">
    <w:nsid w:val="E7FFA2B"/>
    <w:multiLevelType w:val="hybridMultilevel"/>
    <w:lvl w:ilvl="0">
      <w:lvlJc w:val="left"/>
      <w:lvlText w:val="(%1)"/>
      <w:numFmt w:val="lowerRoman"/>
      <w:start w:val="1"/>
    </w:lvl>
  </w:abstractNum>
  <w:abstractNum w:abstractNumId="2">
    <w:nsid w:val="3C5991AA"/>
    <w:multiLevelType w:val="hybridMultilevel"/>
    <w:lvl w:ilvl="0">
      <w:lvlJc w:val="left"/>
      <w:lvlText w:val="(%1)"/>
      <w:numFmt w:val="decimal"/>
      <w:start w:val="1"/>
    </w:lvl>
  </w:abstractNum>
  <w:abstractNum w:abstractNumId="3">
    <w:nsid w:val="4BD8591A"/>
    <w:multiLevelType w:val="hybridMultilevel"/>
    <w:lvl w:ilvl="0">
      <w:lvlJc w:val="left"/>
      <w:lvlText w:val="•"/>
      <w:numFmt w:val="bullet"/>
      <w:start w:val="1"/>
    </w:lvl>
  </w:abstractNum>
  <w:abstractNum w:abstractNumId="4">
    <w:nsid w:val="78DF6A55"/>
    <w:multiLevelType w:val="hybridMultilevel"/>
    <w:lvl w:ilvl="0">
      <w:lvlJc w:val="left"/>
      <w:lvlText w:val="•"/>
      <w:numFmt w:val="bullet"/>
      <w:start w:val="1"/>
    </w:lvl>
  </w:abstractNum>
  <w:abstractNum w:abstractNumId="5">
    <w:nsid w:val="39B7AAA2"/>
    <w:multiLevelType w:val="hybridMultilevel"/>
    <w:lvl w:ilvl="0">
      <w:lvlJc w:val="left"/>
      <w:lvlText w:val="•"/>
      <w:numFmt w:val="bullet"/>
      <w:start w:val="1"/>
    </w:lvl>
  </w:abstractNum>
  <w:abstractNum w:abstractNumId="6">
    <w:nsid w:val="2B0D8DBE"/>
    <w:multiLevelType w:val="hybridMultilevel"/>
    <w:lvl w:ilvl="0">
      <w:lvlJc w:val="left"/>
      <w:lvlText w:val="•"/>
      <w:numFmt w:val="bullet"/>
      <w:start w:val="1"/>
    </w:lvl>
  </w:abstractNum>
  <w:abstractNum w:abstractNumId="7">
    <w:nsid w:val="6C80EC70"/>
    <w:multiLevelType w:val="hybridMultilevel"/>
    <w:lvl w:ilvl="0">
      <w:lvlJc w:val="left"/>
      <w:lvlText w:val="•"/>
      <w:numFmt w:val="bullet"/>
      <w:start w:val="1"/>
    </w:lvl>
  </w:abstractNum>
  <w:abstractNum w:abstractNumId="8">
    <w:nsid w:val="379E21B5"/>
    <w:multiLevelType w:val="hybridMultilevel"/>
    <w:lvl w:ilvl="0">
      <w:lvlJc w:val="left"/>
      <w:lvlText w:val="•"/>
      <w:numFmt w:val="bullet"/>
      <w:start w:val="1"/>
    </w:lvl>
  </w:abstractNum>
  <w:abstractNum w:abstractNumId="9">
    <w:nsid w:val="69E373"/>
    <w:multiLevelType w:val="hybridMultilevel"/>
    <w:lvl w:ilvl="0">
      <w:lvlJc w:val="left"/>
      <w:lvlText w:val="•"/>
      <w:numFmt w:val="bullet"/>
      <w:start w:val="1"/>
    </w:lvl>
  </w:abstractNum>
  <w:abstractNum w:abstractNumId="10">
    <w:nsid w:val="2C27173B"/>
    <w:multiLevelType w:val="hybridMultilevel"/>
    <w:lvl w:ilvl="0">
      <w:lvlJc w:val="left"/>
      <w:lvlText w:val="•"/>
      <w:numFmt w:val="bullet"/>
      <w:start w:val="1"/>
    </w:lvl>
  </w:abstractNum>
  <w:abstractNum w:abstractNumId="11">
    <w:nsid w:val="4C9B0904"/>
    <w:multiLevelType w:val="hybridMultilevel"/>
    <w:lvl w:ilvl="0">
      <w:lvlJc w:val="left"/>
      <w:lvlText w:val="•"/>
      <w:numFmt w:val="bullet"/>
      <w:start w:val="1"/>
    </w:lvl>
  </w:abstractNum>
  <w:abstractNum w:abstractNumId="12">
    <w:nsid w:val="6AA7B75C"/>
    <w:multiLevelType w:val="hybridMultilevel"/>
    <w:lvl w:ilvl="0">
      <w:lvlJc w:val="left"/>
      <w:lvlText w:val="•"/>
      <w:numFmt w:val="bullet"/>
      <w:start w:val="1"/>
    </w:lvl>
  </w:abstractNum>
  <w:abstractNum w:abstractNumId="13">
    <w:nsid w:val="1DF029D3"/>
    <w:multiLevelType w:val="hybridMultilevel"/>
    <w:lvl w:ilvl="0">
      <w:lvlJc w:val="left"/>
      <w:lvlText w:val="•"/>
      <w:numFmt w:val="bullet"/>
      <w:start w:val="1"/>
    </w:lvl>
  </w:abstractNum>
  <w:abstractNum w:abstractNumId="14">
    <w:nsid w:val="5675FF36"/>
    <w:multiLevelType w:val="hybridMultilevel"/>
    <w:lvl w:ilvl="0">
      <w:lvlJc w:val="left"/>
      <w:lvlText w:val="•"/>
      <w:numFmt w:val="bullet"/>
      <w:start w:val="1"/>
    </w:lvl>
  </w:abstractNum>
  <w:abstractNum w:abstractNumId="15">
    <w:nsid w:val="3DD15094"/>
    <w:multiLevelType w:val="hybridMultilevel"/>
    <w:lvl w:ilvl="0">
      <w:lvlJc w:val="left"/>
      <w:lvlText w:val="•"/>
      <w:numFmt w:val="bullet"/>
      <w:start w:val="1"/>
    </w:lvl>
  </w:abstractNum>
  <w:abstractNum w:abstractNumId="16">
    <w:nsid w:val="3DB012B3"/>
    <w:multiLevelType w:val="hybridMultilevel"/>
    <w:lvl w:ilvl="0">
      <w:lvlJc w:val="left"/>
      <w:lvlText w:val="•"/>
      <w:numFmt w:val="bullet"/>
      <w:start w:val="1"/>
    </w:lvl>
  </w:abstractNum>
  <w:abstractNum w:abstractNumId="17">
    <w:nsid w:val="2708C9AF"/>
    <w:multiLevelType w:val="hybridMultilevel"/>
    <w:lvl w:ilvl="0">
      <w:lvlJc w:val="left"/>
      <w:lvlText w:val="•"/>
      <w:numFmt w:val="bullet"/>
      <w:start w:val="1"/>
    </w:lvl>
  </w:abstractNum>
  <w:abstractNum w:abstractNumId="18">
    <w:nsid w:val="5B25ACE2"/>
    <w:multiLevelType w:val="hybridMultilevel"/>
    <w:lvl w:ilvl="0">
      <w:lvlJc w:val="left"/>
      <w:lvlText w:val="•"/>
      <w:numFmt w:val="bullet"/>
      <w:start w:val="1"/>
    </w:lvl>
  </w:abstractNum>
  <w:abstractNum w:abstractNumId="19">
    <w:nsid w:val="175DFCF0"/>
    <w:multiLevelType w:val="hybridMultilevel"/>
    <w:lvl w:ilvl="0">
      <w:lvlJc w:val="left"/>
      <w:lvlText w:val="•"/>
      <w:numFmt w:val="bullet"/>
      <w:start w:val="1"/>
    </w:lvl>
  </w:abstractNum>
  <w:abstractNum w:abstractNumId="20">
    <w:nsid w:val="4F97E3E4"/>
    <w:multiLevelType w:val="hybridMultilevel"/>
    <w:lvl w:ilvl="0">
      <w:lvlJc w:val="left"/>
      <w:lvlText w:val="•"/>
      <w:numFmt w:val="bullet"/>
      <w:start w:val="1"/>
    </w:lvl>
  </w:abstractNum>
  <w:abstractNum w:abstractNumId="21">
    <w:nsid w:val="53B0A9E"/>
    <w:multiLevelType w:val="hybridMultilevel"/>
    <w:lvl w:ilvl="0">
      <w:lvlJc w:val="left"/>
      <w:lvlText w:val="•"/>
      <w:numFmt w:val="bullet"/>
      <w:start w:val="1"/>
    </w:lvl>
  </w:abstractNum>
  <w:abstractNum w:abstractNumId="22">
    <w:nsid w:val="34FD6B4F"/>
    <w:multiLevelType w:val="hybridMultilevel"/>
    <w:lvl w:ilvl="0">
      <w:lvlJc w:val="left"/>
      <w:lvlText w:val="•"/>
      <w:numFmt w:val="bullet"/>
      <w:start w:val="1"/>
    </w:lvl>
  </w:abstractNum>
  <w:abstractNum w:abstractNumId="23">
    <w:nsid w:val="5915FF32"/>
    <w:multiLevelType w:val="hybridMultilevel"/>
    <w:lvl w:ilvl="0">
      <w:lvlJc w:val="left"/>
      <w:lvlText w:val="•"/>
      <w:numFmt w:val="bullet"/>
      <w:start w:val="1"/>
    </w:lvl>
  </w:abstractNum>
  <w:abstractNum w:abstractNumId="24">
    <w:nsid w:val="56438D15"/>
    <w:multiLevelType w:val="hybridMultilevel"/>
    <w:lvl w:ilvl="0">
      <w:lvlJc w:val="left"/>
      <w:lvlText w:val="•"/>
      <w:numFmt w:val="bullet"/>
      <w:start w:val="1"/>
    </w:lvl>
  </w:abstractNum>
  <w:abstractNum w:abstractNumId="25">
    <w:nsid w:val="519E3149"/>
    <w:multiLevelType w:val="hybridMultilevel"/>
    <w:lvl w:ilvl="0">
      <w:lvlJc w:val="left"/>
      <w:lvlText w:val="•"/>
      <w:numFmt w:val="bullet"/>
      <w:start w:val="1"/>
    </w:lvl>
  </w:abstractNum>
  <w:abstractNum w:abstractNumId="26">
    <w:nsid w:val="2C6E4AFD"/>
    <w:multiLevelType w:val="hybridMultilevel"/>
    <w:lvl w:ilvl="0">
      <w:lvlJc w:val="left"/>
      <w:lvlText w:val="•"/>
      <w:numFmt w:val="bullet"/>
      <w:start w:val="1"/>
    </w:lvl>
  </w:abstractNum>
  <w:abstractNum w:abstractNumId="27">
    <w:nsid w:val="17A1B582"/>
    <w:multiLevelType w:val="hybridMultilevel"/>
    <w:lvl w:ilvl="0">
      <w:lvlJc w:val="left"/>
      <w:lvlText w:val="•"/>
      <w:numFmt w:val="bullet"/>
      <w:start w:val="1"/>
    </w:lvl>
  </w:abstractNum>
  <w:abstractNum w:abstractNumId="28">
    <w:nsid w:val="4DF72E4E"/>
    <w:multiLevelType w:val="hybridMultilevel"/>
    <w:lvl w:ilvl="0">
      <w:lvlJc w:val="left"/>
      <w:lvlText w:val="(%1)"/>
      <w:numFmt w:val="decimal"/>
      <w:start w:val="1"/>
    </w:lvl>
  </w:abstractNum>
  <w:abstractNum w:abstractNumId="29">
    <w:nsid w:val="5046B5A9"/>
    <w:multiLevelType w:val="hybridMultilevel"/>
    <w:lvl w:ilvl="0">
      <w:lvlJc w:val="left"/>
      <w:lvlText w:val="•"/>
      <w:numFmt w:val="bullet"/>
      <w:start w:val="1"/>
    </w:lvl>
  </w:abstractNum>
  <w:abstractNum w:abstractNumId="30">
    <w:nsid w:val="5D888A08"/>
    <w:multiLevelType w:val="hybridMultilevel"/>
    <w:lvl w:ilvl="0">
      <w:lvlJc w:val="left"/>
      <w:lvlText w:val="(%1)"/>
      <w:numFmt w:val="decimal"/>
      <w:start w:val="1"/>
    </w:lvl>
  </w:abstractNum>
  <w:abstractNum w:abstractNumId="31">
    <w:nsid w:val="2A082C70"/>
    <w:multiLevelType w:val="hybridMultilevel"/>
    <w:lvl w:ilvl="0">
      <w:lvlJc w:val="left"/>
      <w:lvlText w:val="•"/>
      <w:numFmt w:val="bullet"/>
      <w:start w:val="1"/>
    </w:lvl>
  </w:abstractNum>
  <w:abstractNum w:abstractNumId="32">
    <w:nsid w:val="5EC6AFD4"/>
    <w:multiLevelType w:val="hybridMultilevel"/>
    <w:lvl w:ilvl="0">
      <w:lvlJc w:val="left"/>
      <w:lvlText w:val="•"/>
      <w:numFmt w:val="bullet"/>
      <w:start w:val="1"/>
    </w:lvl>
  </w:abstractNum>
  <w:abstractNum w:abstractNumId="33">
    <w:nsid w:val="19E21BB2"/>
    <w:multiLevelType w:val="hybridMultilevel"/>
    <w:lvl w:ilvl="0">
      <w:lvlJc w:val="left"/>
      <w:lvlText w:val="•"/>
      <w:numFmt w:val="bullet"/>
      <w:start w:val="1"/>
    </w:lvl>
  </w:abstractNum>
  <w:abstractNum w:abstractNumId="34">
    <w:nsid w:val="75E0858A"/>
    <w:multiLevelType w:val="hybridMultilevel"/>
    <w:lvl w:ilvl="0">
      <w:lvlJc w:val="left"/>
      <w:lvlText w:val="•"/>
      <w:numFmt w:val="bullet"/>
      <w:start w:val="1"/>
    </w:lvl>
  </w:abstractNum>
  <w:abstractNum w:abstractNumId="35">
    <w:nsid w:val="57A61A29"/>
    <w:multiLevelType w:val="hybridMultilevel"/>
    <w:lvl w:ilvl="0">
      <w:lvlJc w:val="left"/>
      <w:lvlText w:val="(%1)"/>
      <w:numFmt w:val="decimal"/>
      <w:start w:val="1"/>
    </w:lvl>
  </w:abstractNum>
  <w:abstractNum w:abstractNumId="36">
    <w:nsid w:val="5399C654"/>
    <w:multiLevelType w:val="hybridMultilevel"/>
    <w:lvl w:ilvl="0">
      <w:lvlJc w:val="left"/>
      <w:lvlText w:val="(%1)"/>
      <w:numFmt w:val="decimal"/>
      <w:start w:val="1"/>
    </w:lvl>
  </w:abstractNum>
  <w:abstractNum w:abstractNumId="37">
    <w:nsid w:val="20EE1348"/>
    <w:multiLevelType w:val="hybridMultilevel"/>
    <w:lvl w:ilvl="0">
      <w:lvlJc w:val="left"/>
      <w:lvlText w:val="(%1)"/>
      <w:numFmt w:val="decimal"/>
      <w:start w:val="1"/>
    </w:lvl>
  </w:abstractNum>
  <w:abstractNum w:abstractNumId="38">
    <w:nsid w:val="4427069A"/>
    <w:multiLevelType w:val="hybridMultilevel"/>
    <w:lvl w:ilvl="0">
      <w:lvlJc w:val="left"/>
      <w:lvlText w:val="(%1)"/>
      <w:numFmt w:val="decimal"/>
      <w:start w:val="2"/>
    </w:lvl>
  </w:abstractNum>
  <w:abstractNum w:abstractNumId="39">
    <w:nsid w:val="B37E80A"/>
    <w:multiLevelType w:val="hybridMultilevel"/>
    <w:lvl w:ilvl="0">
      <w:lvlJc w:val="left"/>
      <w:lvlText w:val="(%1)"/>
      <w:numFmt w:val="lowerLetter"/>
      <w:start w:val="1"/>
    </w:lvl>
  </w:abstractNum>
  <w:abstractNum w:abstractNumId="40">
    <w:nsid w:val="2157F6BC"/>
    <w:multiLevelType w:val="hybridMultilevel"/>
    <w:lvl w:ilvl="0">
      <w:lvlJc w:val="left"/>
      <w:lvlText w:val="(%1)"/>
      <w:numFmt w:val="lowerLetter"/>
      <w:start w:val="1"/>
    </w:lvl>
  </w:abstractNum>
  <w:abstractNum w:abstractNumId="41">
    <w:nsid w:val="704E1DD5"/>
    <w:multiLevelType w:val="hybridMultilevel"/>
    <w:lvl w:ilvl="0">
      <w:lvlJc w:val="left"/>
      <w:lvlText w:val="(%1)"/>
      <w:numFmt w:val="lowerLetter"/>
      <w:start w:val="1"/>
    </w:lvl>
  </w:abstractNum>
  <w:abstractNum w:abstractNumId="42">
    <w:nsid w:val="57D2F10E"/>
    <w:multiLevelType w:val="hybridMultilevel"/>
    <w:lvl w:ilvl="0">
      <w:lvlJc w:val="left"/>
      <w:lvlText w:val="(%1)"/>
      <w:numFmt w:val="lowerLetter"/>
      <w:start w:val="1"/>
    </w:lvl>
  </w:abstractNum>
  <w:abstractNum w:abstractNumId="43">
    <w:nsid w:val="BFFAE18"/>
    <w:multiLevelType w:val="hybridMultilevel"/>
    <w:lvl w:ilvl="0">
      <w:lvlJc w:val="left"/>
      <w:lvlText w:val="•"/>
      <w:numFmt w:val="bullet"/>
      <w:start w:val="1"/>
    </w:lvl>
  </w:abstractNum>
  <w:abstractNum w:abstractNumId="44">
    <w:nsid w:val="E3E47A8"/>
    <w:multiLevelType w:val="hybridMultilevel"/>
    <w:lvl w:ilvl="0">
      <w:lvlJc w:val="left"/>
      <w:lvlText w:val="•"/>
      <w:numFmt w:val="bullet"/>
      <w:start w:val="1"/>
    </w:lvl>
  </w:abstractNum>
  <w:abstractNum w:abstractNumId="45">
    <w:nsid w:val="2E48F044"/>
    <w:multiLevelType w:val="hybridMultilevel"/>
    <w:lvl w:ilvl="0">
      <w:lvlJc w:val="left"/>
      <w:lvlText w:val="•"/>
      <w:numFmt w:val="bullet"/>
      <w:start w:val="1"/>
    </w:lvl>
  </w:abstractNum>
  <w:abstractNum w:abstractNumId="46">
    <w:nsid w:val="49D0FEAC"/>
    <w:multiLevelType w:val="hybridMultilevel"/>
    <w:lvl w:ilvl="0">
      <w:lvlJc w:val="left"/>
      <w:lvlText w:val="•"/>
      <w:numFmt w:val="bullet"/>
      <w:start w:val="1"/>
    </w:lvl>
  </w:abstractNum>
  <w:abstractNum w:abstractNumId="47">
    <w:nsid w:val="4BEE5A5B"/>
    <w:multiLevelType w:val="hybridMultilevel"/>
    <w:lvl w:ilvl="0">
      <w:lvlJc w:val="left"/>
      <w:lvlText w:val="•"/>
      <w:numFmt w:val="bullet"/>
      <w:start w:val="1"/>
    </w:lvl>
  </w:abstractNum>
  <w:abstractNum w:abstractNumId="48">
    <w:nsid w:val="5551B9F3"/>
    <w:multiLevelType w:val="hybridMultilevel"/>
    <w:lvl w:ilvl="0">
      <w:lvlJc w:val="left"/>
      <w:lvlText w:val="•"/>
      <w:numFmt w:val="bullet"/>
      <w:start w:val="1"/>
    </w:lvl>
  </w:abstractNum>
  <w:abstractNum w:abstractNumId="49">
    <w:nsid w:val="24F6AB8E"/>
    <w:multiLevelType w:val="hybridMultilevel"/>
    <w:lvl w:ilvl="0">
      <w:lvlJc w:val="left"/>
      <w:lvlText w:val="•"/>
      <w:numFmt w:val="bullet"/>
      <w:start w:val="1"/>
    </w:lvl>
  </w:abstractNum>
  <w:abstractNum w:abstractNumId="50">
    <w:nsid w:val="634C574C"/>
    <w:multiLevelType w:val="hybridMultilevel"/>
    <w:lvl w:ilvl="0">
      <w:lvlJc w:val="left"/>
      <w:lvlText w:val="•"/>
      <w:numFmt w:val="bullet"/>
      <w:start w:val="1"/>
    </w:lvl>
  </w:abstractNum>
  <w:abstractNum w:abstractNumId="51">
    <w:nsid w:val="24E99DD7"/>
    <w:multiLevelType w:val="hybridMultilevel"/>
    <w:lvl w:ilvl="0">
      <w:lvlJc w:val="left"/>
      <w:lvlText w:val="•"/>
      <w:numFmt w:val="bullet"/>
      <w:start w:val="1"/>
    </w:lvl>
  </w:abstractNum>
  <w:abstractNum w:abstractNumId="52">
    <w:nsid w:val="2A31B62D"/>
    <w:multiLevelType w:val="hybridMultilevel"/>
    <w:lvl w:ilvl="0">
      <w:lvlJc w:val="left"/>
      <w:lvlText w:val="•"/>
      <w:numFmt w:val="bullet"/>
      <w:start w:val="1"/>
    </w:lvl>
  </w:abstractNum>
  <w:abstractNum w:abstractNumId="53">
    <w:nsid w:val="1849C29B"/>
    <w:multiLevelType w:val="hybridMultilevel"/>
    <w:lvl w:ilvl="0">
      <w:lvlJc w:val="left"/>
      <w:lvlText w:val="•"/>
      <w:numFmt w:val="bullet"/>
      <w:start w:val="1"/>
    </w:lvl>
  </w:abstractNum>
  <w:abstractNum w:abstractNumId="54">
    <w:nsid w:val="7DFF9D09"/>
    <w:multiLevelType w:val="hybridMultilevel"/>
    <w:lvl w:ilvl="0">
      <w:lvlJc w:val="left"/>
      <w:lvlText w:val="•"/>
      <w:numFmt w:val="bullet"/>
      <w:start w:val="1"/>
    </w:lvl>
  </w:abstractNum>
  <w:abstractNum w:abstractNumId="55">
    <w:nsid w:val="754342"/>
    <w:multiLevelType w:val="hybridMultilevel"/>
    <w:lvl w:ilvl="0">
      <w:lvlJc w:val="left"/>
      <w:lvlText w:val="•"/>
      <w:numFmt w:val="bullet"/>
      <w:start w:val="1"/>
    </w:lvl>
  </w:abstractNum>
  <w:abstractNum w:abstractNumId="56">
    <w:nsid w:val="69E7F3E5"/>
    <w:multiLevelType w:val="hybridMultilevel"/>
    <w:lvl w:ilvl="0">
      <w:lvlJc w:val="left"/>
      <w:lvlText w:val="•"/>
      <w:numFmt w:val="bullet"/>
      <w:start w:val="1"/>
    </w:lvl>
  </w:abstractNum>
  <w:abstractNum w:abstractNumId="57">
    <w:nsid w:val="2A6DE806"/>
    <w:multiLevelType w:val="hybridMultilevel"/>
    <w:lvl w:ilvl="0">
      <w:lvlJc w:val="left"/>
      <w:lvlText w:val="•"/>
      <w:numFmt w:val="bullet"/>
      <w:start w:val="1"/>
    </w:lvl>
  </w:abstractNum>
  <w:abstractNum w:abstractNumId="58">
    <w:nsid w:val="1816F8C4"/>
    <w:multiLevelType w:val="hybridMultilevel"/>
    <w:lvl w:ilvl="0">
      <w:lvlJc w:val="left"/>
      <w:lvlText w:val="•"/>
      <w:numFmt w:val="bullet"/>
      <w:start w:val="1"/>
    </w:lvl>
  </w:abstractNum>
  <w:abstractNum w:abstractNumId="59">
    <w:nsid w:val="37DF2233"/>
    <w:multiLevelType w:val="hybridMultilevel"/>
    <w:lvl w:ilvl="0">
      <w:lvlJc w:val="left"/>
      <w:lvlText w:val="(%1)"/>
      <w:numFmt w:val="decimal"/>
      <w:start w:val="1"/>
    </w:lvl>
  </w:abstractNum>
  <w:abstractNum w:abstractNumId="60">
    <w:nsid w:val="7AB49DAF"/>
    <w:multiLevelType w:val="hybridMultilevel"/>
    <w:lvl w:ilvl="0">
      <w:lvlJc w:val="left"/>
      <w:lvlText w:val="•"/>
      <w:numFmt w:val="bullet"/>
      <w:start w:val="1"/>
    </w:lvl>
  </w:abstractNum>
  <w:abstractNum w:abstractNumId="61">
    <w:nsid w:val="759F82CD"/>
    <w:multiLevelType w:val="hybridMultilevel"/>
    <w:lvl w:ilvl="0">
      <w:lvlJc w:val="left"/>
      <w:lvlText w:val="•"/>
      <w:numFmt w:val="bullet"/>
      <w:start w:val="1"/>
    </w:lvl>
  </w:abstractNum>
  <w:abstractNum w:abstractNumId="62">
    <w:nsid w:val="61E74EA3"/>
    <w:multiLevelType w:val="hybridMultilevel"/>
    <w:lvl w:ilvl="0">
      <w:lvlJc w:val="left"/>
      <w:lvlText w:val="(%1)"/>
      <w:numFmt w:val="decimal"/>
      <w:start w:val="1"/>
    </w:lvl>
  </w:abstractNum>
  <w:abstractNum w:abstractNumId="63">
    <w:nsid w:val="597B4D84"/>
    <w:multiLevelType w:val="hybridMultilevel"/>
    <w:lvl w:ilvl="0">
      <w:lvlJc w:val="left"/>
      <w:lvlText w:val="•"/>
      <w:numFmt w:val="bullet"/>
      <w:start w:val="1"/>
    </w:lvl>
  </w:abstractNum>
  <w:abstractNum w:abstractNumId="64">
    <w:nsid w:val="F819E7F"/>
    <w:multiLevelType w:val="hybridMultilevel"/>
    <w:lvl w:ilvl="0">
      <w:lvlJc w:val="left"/>
      <w:lvlText w:val="(%1)"/>
      <w:numFmt w:val="decimal"/>
      <w:start w:val="1"/>
    </w:lvl>
  </w:abstractNum>
  <w:abstractNum w:abstractNumId="65">
    <w:nsid w:val="57C7D42D"/>
    <w:multiLevelType w:val="hybridMultilevel"/>
    <w:lvl w:ilvl="0">
      <w:lvlJc w:val="left"/>
      <w:lvlText w:val="(%1)"/>
      <w:numFmt w:val="decimal"/>
      <w:start w:val="1"/>
    </w:lvl>
  </w:abstractNum>
  <w:abstractNum w:abstractNumId="66">
    <w:nsid w:val="312167AD"/>
    <w:multiLevelType w:val="hybridMultilevel"/>
    <w:lvl w:ilvl="0">
      <w:lvlJc w:val="left"/>
      <w:lvlText w:val="(%1)"/>
      <w:numFmt w:val="lowerRoman"/>
      <w:start w:val="2"/>
    </w:lvl>
  </w:abstractNum>
  <w:abstractNum w:abstractNumId="67">
    <w:nsid w:val="631B64D4"/>
    <w:multiLevelType w:val="hybridMultilevel"/>
    <w:lvl w:ilvl="0">
      <w:lvlJc w:val="left"/>
      <w:lvlText w:val="•"/>
      <w:numFmt w:val="bullet"/>
      <w:start w:val="1"/>
    </w:lvl>
  </w:abstractNum>
  <w:abstractNum w:abstractNumId="68">
    <w:nsid w:val="78B5E776"/>
    <w:multiLevelType w:val="hybridMultilevel"/>
    <w:lvl w:ilvl="0">
      <w:lvlJc w:val="left"/>
      <w:lvlText w:val="•"/>
      <w:numFmt w:val="bullet"/>
      <w:start w:val="1"/>
    </w:lvl>
  </w:abstractNum>
  <w:abstractNum w:abstractNumId="69">
    <w:nsid w:val="75486E47"/>
    <w:multiLevelType w:val="hybridMultilevel"/>
    <w:lvl w:ilvl="0">
      <w:lvlJc w:val="left"/>
      <w:lvlText w:val="•"/>
      <w:numFmt w:val="bullet"/>
      <w:start w:val="1"/>
    </w:lvl>
  </w:abstractNum>
  <w:abstractNum w:abstractNumId="70">
    <w:nsid w:val="6E534CDE"/>
    <w:multiLevelType w:val="hybridMultilevel"/>
    <w:lvl w:ilvl="0">
      <w:lvlJc w:val="left"/>
      <w:lvlText w:val="(%1)"/>
      <w:numFmt w:val="decimal"/>
      <w:start w:val="1"/>
    </w:lvl>
  </w:abstractNum>
  <w:abstractNum w:abstractNumId="71">
    <w:nsid w:val="1A0DDE32"/>
    <w:multiLevelType w:val="hybridMultilevel"/>
    <w:lvl w:ilvl="0">
      <w:lvlJc w:val="left"/>
      <w:lvlText w:val="(%1)"/>
      <w:numFmt w:val="decimal"/>
      <w:start w:val="2"/>
    </w:lvl>
  </w:abstractNum>
  <w:abstractNum w:abstractNumId="72">
    <w:nsid w:val="65968C1C"/>
    <w:multiLevelType w:val="hybridMultilevel"/>
    <w:lvl w:ilvl="0">
      <w:lvlJc w:val="left"/>
      <w:lvlText w:val="(%1)"/>
      <w:numFmt w:val="decimal"/>
      <w:start w:val="4"/>
    </w:lvl>
  </w:abstractNum>
  <w:abstractNum w:abstractNumId="73">
    <w:nsid w:val="46263DEC"/>
    <w:multiLevelType w:val="hybridMultilevel"/>
    <w:lvl w:ilvl="0">
      <w:lvlJc w:val="left"/>
      <w:lvlText w:val="(%1)"/>
      <w:numFmt w:val="decimal"/>
      <w:start w:val="1"/>
    </w:lvl>
  </w:abstractNum>
  <w:abstractNum w:abstractNumId="74">
    <w:nsid w:val="260D8C4A"/>
    <w:multiLevelType w:val="hybridMultilevel"/>
    <w:lvl w:ilvl="0">
      <w:lvlJc w:val="left"/>
      <w:lvlText w:val="(%1)"/>
      <w:numFmt w:val="decimal"/>
      <w:start w:val="5"/>
    </w:lvl>
  </w:abstractNum>
  <w:abstractNum w:abstractNumId="75">
    <w:nsid w:val="73D4D3C4"/>
    <w:multiLevelType w:val="hybridMultilevel"/>
    <w:lvl w:ilvl="0">
      <w:lvlJc w:val="left"/>
      <w:lvlText w:val="(%1)"/>
      <w:numFmt w:val="decimal"/>
      <w:start w:val="7"/>
    </w:lvl>
  </w:abstractNum>
  <w:abstractNum w:abstractNumId="76">
    <w:nsid w:val="746F2E30"/>
    <w:multiLevelType w:val="hybridMultilevel"/>
    <w:lvl w:ilvl="0">
      <w:lvlJc w:val="left"/>
      <w:lvlText w:val="(%1)"/>
      <w:numFmt w:val="decimal"/>
      <w:start w:val="8"/>
    </w:lvl>
  </w:abstractNum>
  <w:abstractNum w:abstractNumId="77">
    <w:nsid w:val="6FDE8AF6"/>
    <w:multiLevelType w:val="hybridMultilevel"/>
    <w:lvl w:ilvl="0">
      <w:lvlJc w:val="left"/>
      <w:lvlText w:val="•"/>
      <w:numFmt w:val="bullet"/>
      <w:start w:val="1"/>
    </w:lvl>
  </w:abstractNum>
  <w:abstractNum w:abstractNumId="78">
    <w:nsid w:val="3FC32E20"/>
    <w:multiLevelType w:val="hybridMultilevel"/>
    <w:lvl w:ilvl="0">
      <w:lvlJc w:val="left"/>
      <w:lvlText w:val="(%1)"/>
      <w:numFmt w:val="decimal"/>
      <w:start w:val="1"/>
    </w:lvl>
  </w:abstractNum>
  <w:abstractNum w:abstractNumId="79">
    <w:nsid w:val="49C0E823"/>
    <w:multiLevelType w:val="hybridMultilevel"/>
    <w:lvl w:ilvl="0">
      <w:lvlJc w:val="left"/>
      <w:lvlText w:val="(%1)"/>
      <w:numFmt w:val="lowerRoman"/>
      <w:start w:val="4"/>
    </w:lvl>
  </w:abstractNum>
  <w:abstractNum w:abstractNumId="80">
    <w:nsid w:val="14D53685"/>
    <w:multiLevelType w:val="hybridMultilevel"/>
    <w:lvl w:ilvl="0">
      <w:lvlJc w:val="left"/>
      <w:lvlText w:val="(%1)"/>
      <w:numFmt w:val="decimal"/>
      <w:start w:val="1"/>
    </w:lvl>
  </w:abstractNum>
  <w:abstractNum w:abstractNumId="81">
    <w:nsid w:val="230F856C"/>
    <w:multiLevelType w:val="hybridMultilevel"/>
    <w:lvl w:ilvl="0">
      <w:lvlJc w:val="left"/>
      <w:lvlText w:val="•"/>
      <w:numFmt w:val="bullet"/>
      <w:start w:val="1"/>
    </w:lvl>
  </w:abstractNum>
  <w:abstractNum w:abstractNumId="82">
    <w:nsid w:val="6EAA85FB"/>
    <w:multiLevelType w:val="hybridMultilevel"/>
    <w:lvl w:ilvl="0">
      <w:lvlJc w:val="left"/>
      <w:lvlText w:val="•"/>
      <w:numFmt w:val="bullet"/>
      <w:start w:val="1"/>
    </w:lvl>
  </w:abstractNum>
  <w:abstractNum w:abstractNumId="83">
    <w:nsid w:val="3F06ECB2"/>
    <w:multiLevelType w:val="hybridMultilevel"/>
    <w:lvl w:ilvl="0">
      <w:lvlJc w:val="left"/>
      <w:lvlText w:val="•"/>
      <w:numFmt w:val="bullet"/>
      <w:start w:val="1"/>
    </w:lvl>
  </w:abstractNum>
  <w:abstractNum w:abstractNumId="84">
    <w:nsid w:val="3B594807"/>
    <w:multiLevelType w:val="hybridMultilevel"/>
    <w:lvl w:ilvl="0">
      <w:lvlJc w:val="left"/>
      <w:lvlText w:val="•"/>
      <w:numFmt w:val="bullet"/>
      <w:start w:val="1"/>
    </w:lvl>
  </w:abstractNum>
  <w:abstractNum w:abstractNumId="85">
    <w:nsid w:val="6CAA2304"/>
    <w:multiLevelType w:val="hybridMultilevel"/>
    <w:lvl w:ilvl="0">
      <w:lvlJc w:val="left"/>
      <w:lvlText w:val="•"/>
      <w:numFmt w:val="bullet"/>
      <w:start w:val="1"/>
    </w:lvl>
  </w:abstractNum>
  <w:abstractNum w:abstractNumId="86">
    <w:nsid w:val="3F7C2FF4"/>
    <w:multiLevelType w:val="hybridMultilevel"/>
    <w:lvl w:ilvl="0">
      <w:lvlJc w:val="left"/>
      <w:lvlText w:val="•"/>
      <w:numFmt w:val="bullet"/>
      <w:start w:val="1"/>
    </w:lvl>
  </w:abstractNum>
  <w:abstractNum w:abstractNumId="87">
    <w:nsid w:val="25413BEC"/>
    <w:multiLevelType w:val="hybridMultilevel"/>
    <w:lvl w:ilvl="0">
      <w:lvlJc w:val="left"/>
      <w:lvlText w:val="•"/>
      <w:numFmt w:val="bullet"/>
      <w:start w:val="1"/>
    </w:lvl>
  </w:abstractNum>
  <w:abstractNum w:abstractNumId="88">
    <w:nsid w:val="17180B0B"/>
    <w:multiLevelType w:val="hybridMultilevel"/>
    <w:lvl w:ilvl="0">
      <w:lvlJc w:val="left"/>
      <w:lvlText w:val="•"/>
      <w:numFmt w:val="bullet"/>
      <w:start w:val="1"/>
    </w:lvl>
  </w:abstractNum>
  <w:abstractNum w:abstractNumId="89">
    <w:nsid w:val="579328B9"/>
    <w:multiLevelType w:val="hybridMultilevel"/>
    <w:lvl w:ilvl="0">
      <w:lvlJc w:val="left"/>
      <w:lvlText w:val="(%1)"/>
      <w:numFmt w:val="decimal"/>
      <w:start w:val="1"/>
    </w:lvl>
  </w:abstractNum>
  <w:abstractNum w:abstractNumId="90">
    <w:nsid w:val="5D205E20"/>
    <w:multiLevelType w:val="hybridMultilevel"/>
    <w:lvl w:ilvl="0">
      <w:lvlJc w:val="left"/>
      <w:lvlText w:val="(%1)"/>
      <w:numFmt w:val="decimal"/>
      <w:start w:val="1"/>
    </w:lvl>
  </w:abstractNum>
  <w:abstractNum w:abstractNumId="91">
    <w:nsid w:val="11CCA8BA"/>
    <w:multiLevelType w:val="hybridMultilevel"/>
    <w:lvl w:ilvl="0">
      <w:lvlJc w:val="left"/>
      <w:lvlText w:val="(%1)"/>
      <w:numFmt w:val="decimal"/>
      <w:start w:val="1"/>
    </w:lvl>
  </w:abstractNum>
  <w:abstractNum w:abstractNumId="92">
    <w:nsid w:val="4D32AB86"/>
    <w:multiLevelType w:val="hybridMultilevel"/>
    <w:lvl w:ilvl="0">
      <w:lvlJc w:val="left"/>
      <w:lvlText w:val="(%1)"/>
      <w:numFmt w:val="decimal"/>
      <w:start w:val="1"/>
    </w:lvl>
  </w:abstractNum>
  <w:abstractNum w:abstractNumId="93">
    <w:nsid w:val="3F07ACC3"/>
    <w:multiLevelType w:val="hybridMultilevel"/>
    <w:lvl w:ilvl="0">
      <w:lvlJc w:val="left"/>
      <w:lvlText w:val="(%1)"/>
      <w:numFmt w:val="decimal"/>
      <w:start w:val="1"/>
    </w:lvl>
  </w:abstractNum>
  <w:abstractNum w:abstractNumId="94">
    <w:nsid w:val="6B47F63E"/>
    <w:multiLevelType w:val="hybridMultilevel"/>
    <w:lvl w:ilvl="0">
      <w:lvlJc w:val="left"/>
      <w:lvlText w:val="(%1)"/>
      <w:numFmt w:val="decimal"/>
      <w:start w:val="1"/>
    </w:lvl>
  </w:abstractNum>
  <w:abstractNum w:abstractNumId="95">
    <w:nsid w:val="5CB44A05"/>
    <w:multiLevelType w:val="hybridMultilevel"/>
    <w:lvl w:ilvl="0">
      <w:lvlJc w:val="left"/>
      <w:lvlText w:val="(%1)"/>
      <w:numFmt w:val="decimal"/>
      <w:start w:val="1"/>
    </w:lvl>
  </w:abstractNum>
  <w:abstractNum w:abstractNumId="96">
    <w:nsid w:val="16CF80F1"/>
    <w:multiLevelType w:val="hybridMultilevel"/>
    <w:lvl w:ilvl="0">
      <w:lvlJc w:val="left"/>
      <w:lvlText w:val="(%1)"/>
      <w:numFmt w:val="decimal"/>
      <w:start w:val="2"/>
    </w:lvl>
  </w:abstractNum>
  <w:abstractNum w:abstractNumId="97">
    <w:nsid w:val="1C695DEC"/>
    <w:multiLevelType w:val="hybridMultilevel"/>
    <w:lvl w:ilvl="0">
      <w:lvlJc w:val="left"/>
      <w:lvlText w:val="(%1)"/>
      <w:numFmt w:val="decimal"/>
      <w:start w:val="3"/>
    </w:lvl>
  </w:abstractNum>
  <w:abstractNum w:abstractNumId="98">
    <w:nsid w:val="3FCFAED9"/>
    <w:multiLevelType w:val="hybridMultilevel"/>
    <w:lvl w:ilvl="0">
      <w:lvlJc w:val="left"/>
      <w:lvlText w:val="•"/>
      <w:numFmt w:val="bullet"/>
      <w:start w:val="1"/>
    </w:lvl>
  </w:abstractNum>
  <w:abstractNum w:abstractNumId="99">
    <w:nsid w:val="F856867"/>
    <w:multiLevelType w:val="hybridMultilevel"/>
    <w:lvl w:ilvl="0">
      <w:lvlJc w:val="left"/>
      <w:lvlText w:val="(%1)"/>
      <w:numFmt w:val="decimal"/>
      <w:start w:val="1"/>
    </w:lvl>
  </w:abstractNum>
  <w:abstractNum w:abstractNumId="100">
    <w:nsid w:val="11B1CC33"/>
    <w:multiLevelType w:val="hybridMultilevel"/>
    <w:lvl w:ilvl="0">
      <w:lvlJc w:val="left"/>
      <w:lvlText w:val="•"/>
      <w:numFmt w:val="bullet"/>
      <w:start w:val="1"/>
    </w:lvl>
  </w:abstractNum>
  <w:abstractNum w:abstractNumId="101">
    <w:nsid w:val="2E22FBB7"/>
    <w:multiLevelType w:val="hybridMultilevel"/>
    <w:lvl w:ilvl="0">
      <w:lvlJc w:val="left"/>
      <w:lvlText w:val="•"/>
      <w:numFmt w:val="bullet"/>
      <w:start w:val="1"/>
    </w:lvl>
  </w:abstractNum>
  <w:abstractNum w:abstractNumId="102">
    <w:nsid w:val="29934699"/>
    <w:multiLevelType w:val="hybridMultilevel"/>
    <w:lvl w:ilvl="0">
      <w:lvlJc w:val="left"/>
      <w:lvlText w:val="•"/>
      <w:numFmt w:val="bullet"/>
      <w:start w:val="1"/>
    </w:lvl>
  </w:abstractNum>
  <w:abstractNum w:abstractNumId="103">
    <w:nsid w:val="77485850"/>
    <w:multiLevelType w:val="hybridMultilevel"/>
    <w:lvl w:ilvl="0">
      <w:lvlJc w:val="left"/>
      <w:lvlText w:val="•"/>
      <w:numFmt w:val="bullet"/>
      <w:start w:val="1"/>
    </w:lvl>
  </w:abstractNum>
  <w:abstractNum w:abstractNumId="104">
    <w:nsid w:val="744939A3"/>
    <w:multiLevelType w:val="hybridMultilevel"/>
    <w:lvl w:ilvl="0">
      <w:lvlJc w:val="left"/>
      <w:lvlText w:val="•"/>
      <w:numFmt w:val="bullet"/>
      <w:start w:val="1"/>
    </w:lvl>
  </w:abstractNum>
  <w:abstractNum w:abstractNumId="105">
    <w:nsid w:val="4FA0D2E3"/>
    <w:multiLevelType w:val="hybridMultilevel"/>
    <w:lvl w:ilvl="0">
      <w:lvlJc w:val="left"/>
      <w:lvlText w:val="•"/>
      <w:numFmt w:val="bullet"/>
      <w:start w:val="1"/>
    </w:lvl>
  </w:abstractNum>
  <w:abstractNum w:abstractNumId="106">
    <w:nsid w:val="6B1D2C14"/>
    <w:multiLevelType w:val="hybridMultilevel"/>
    <w:lvl w:ilvl="0">
      <w:lvlJc w:val="left"/>
      <w:lvlText w:val="•"/>
      <w:numFmt w:val="bullet"/>
      <w:start w:val="1"/>
    </w:lvl>
  </w:abstractNum>
  <w:abstractNum w:abstractNumId="107">
    <w:nsid w:val="68B867D3"/>
    <w:multiLevelType w:val="hybridMultilevel"/>
    <w:lvl w:ilvl="0">
      <w:lvlJc w:val="left"/>
      <w:lvlText w:val="•"/>
      <w:numFmt w:val="bullet"/>
      <w:start w:val="1"/>
    </w:lvl>
  </w:abstractNum>
  <w:abstractNum w:abstractNumId="108">
    <w:nsid w:val="3F7F5DD9"/>
    <w:multiLevelType w:val="hybridMultilevel"/>
    <w:lvl w:ilvl="0">
      <w:lvlJc w:val="left"/>
      <w:lvlText w:val="•"/>
      <w:numFmt w:val="bullet"/>
      <w:start w:val="1"/>
    </w:lvl>
  </w:abstractNum>
  <w:abstractNum w:abstractNumId="109">
    <w:nsid w:val="2AE05A34"/>
    <w:multiLevelType w:val="hybridMultilevel"/>
    <w:lvl w:ilvl="0">
      <w:lvlJc w:val="left"/>
      <w:lvlText w:val="•"/>
      <w:numFmt w:val="bullet"/>
      <w:start w:val="1"/>
    </w:lvl>
  </w:abstractNum>
  <w:abstractNum w:abstractNumId="110">
    <w:nsid w:val="32794FF7"/>
    <w:multiLevelType w:val="hybridMultilevel"/>
    <w:lvl w:ilvl="0">
      <w:lvlJc w:val="left"/>
      <w:lvlText w:val="•"/>
      <w:numFmt w:val="bullet"/>
      <w:start w:val="1"/>
    </w:lvl>
  </w:abstractNum>
  <w:abstractNum w:abstractNumId="111">
    <w:nsid w:val="5454945E"/>
    <w:multiLevelType w:val="hybridMultilevel"/>
    <w:lvl w:ilvl="0">
      <w:lvlJc w:val="left"/>
      <w:lvlText w:val="•"/>
      <w:numFmt w:val="bullet"/>
      <w:start w:val="1"/>
    </w:lvl>
  </w:abstractNum>
  <w:abstractNum w:abstractNumId="112">
    <w:nsid w:val="4DEFDFA0"/>
    <w:multiLevelType w:val="hybridMultilevel"/>
    <w:lvl w:ilvl="0">
      <w:lvlJc w:val="left"/>
      <w:lvlText w:val="•"/>
      <w:numFmt w:val="bullet"/>
      <w:start w:val="1"/>
    </w:lvl>
  </w:abstractNum>
  <w:abstractNum w:abstractNumId="113">
    <w:nsid w:val="2123D5F2"/>
    <w:multiLevelType w:val="hybridMultilevel"/>
    <w:lvl w:ilvl="0">
      <w:lvlJc w:val="left"/>
      <w:lvlText w:val="•"/>
      <w:numFmt w:val="bullet"/>
      <w:start w:val="1"/>
    </w:lvl>
  </w:abstractNum>
  <w:abstractNum w:abstractNumId="114">
    <w:nsid w:val="135B8110"/>
    <w:multiLevelType w:val="hybridMultilevel"/>
    <w:lvl w:ilvl="0">
      <w:lvlJc w:val="left"/>
      <w:lvlText w:val="•"/>
      <w:numFmt w:val="bullet"/>
      <w:start w:val="1"/>
    </w:lvl>
  </w:abstractNum>
  <w:abstractNum w:abstractNumId="115">
    <w:nsid w:val="94927A8"/>
    <w:multiLevelType w:val="hybridMultilevel"/>
    <w:lvl w:ilvl="0">
      <w:lvlJc w:val="left"/>
      <w:lvlText w:val="•"/>
      <w:numFmt w:val="bullet"/>
      <w:start w:val="1"/>
    </w:lvl>
    <w:lvl w:ilvl="1">
      <w:lvlJc w:val="left"/>
      <w:lvlText w:val="•"/>
      <w:numFmt w:val="bullet"/>
      <w:start w:val="1"/>
    </w:lvl>
  </w:abstractNum>
  <w:abstractNum w:abstractNumId="116">
    <w:nsid w:val="DCDF8F6"/>
    <w:multiLevelType w:val="hybridMultilevel"/>
    <w:lvl w:ilvl="0">
      <w:lvlJc w:val="left"/>
      <w:lvlText w:val="•"/>
      <w:numFmt w:val="bullet"/>
      <w:start w:val="1"/>
    </w:lvl>
  </w:abstractNum>
  <w:abstractNum w:abstractNumId="117">
    <w:nsid w:val="52D7B105"/>
    <w:multiLevelType w:val="hybridMultilevel"/>
    <w:lvl w:ilvl="0">
      <w:lvlJc w:val="left"/>
      <w:lvlText w:val="•"/>
      <w:numFmt w:val="bullet"/>
      <w:start w:val="1"/>
    </w:lvl>
  </w:abstractNum>
  <w:abstractNum w:abstractNumId="118">
    <w:nsid w:val="2E8A6394"/>
    <w:multiLevelType w:val="hybridMultilevel"/>
    <w:lvl w:ilvl="0">
      <w:lvlJc w:val="left"/>
      <w:lvlText w:val="•"/>
      <w:numFmt w:val="bullet"/>
      <w:start w:val="1"/>
    </w:lvl>
    <w:lvl w:ilvl="1">
      <w:lvlJc w:val="left"/>
      <w:lvlText w:val="○"/>
      <w:numFmt w:val="bullet"/>
      <w:start w:val="1"/>
    </w:lvl>
  </w:abstractNum>
  <w:abstractNum w:abstractNumId="119">
    <w:nsid w:val="24E60401"/>
    <w:multiLevelType w:val="hybridMultilevel"/>
    <w:lvl w:ilvl="0">
      <w:lvlJc w:val="left"/>
      <w:lvlText w:val="•"/>
      <w:numFmt w:val="bullet"/>
      <w:start w:val="1"/>
    </w:lvl>
    <w:lvl w:ilvl="1">
      <w:lvlJc w:val="left"/>
      <w:lvlText w:val="○"/>
      <w:numFmt w:val="bullet"/>
      <w:start w:val="1"/>
    </w:lvl>
  </w:abstractNum>
  <w:abstractNum w:abstractNumId="120">
    <w:nsid w:val="2A6AD9BE"/>
    <w:multiLevelType w:val="hybridMultilevel"/>
    <w:lvl w:ilvl="0">
      <w:lvlJc w:val="left"/>
      <w:lvlText w:val="•"/>
      <w:numFmt w:val="bullet"/>
      <w:start w:val="1"/>
    </w:lvl>
    <w:lvl w:ilvl="1">
      <w:lvlJc w:val="left"/>
      <w:lvlText w:val="○"/>
      <w:numFmt w:val="bullet"/>
      <w:start w:val="1"/>
    </w:lvl>
  </w:abstractNum>
  <w:abstractNum w:abstractNumId="121">
    <w:nsid w:val="BAAC1B4"/>
    <w:multiLevelType w:val="hybridMultilevel"/>
    <w:lvl w:ilvl="0">
      <w:lvlJc w:val="left"/>
      <w:lvlText w:val="•"/>
      <w:numFmt w:val="bullet"/>
      <w:start w:val="1"/>
    </w:lvl>
    <w:lvl w:ilvl="1">
      <w:lvlJc w:val="left"/>
      <w:lvlText w:val="○"/>
      <w:numFmt w:val="bullet"/>
      <w:start w:val="1"/>
    </w:lvl>
  </w:abstractNum>
  <w:abstractNum w:abstractNumId="122">
    <w:nsid w:val="36B2ACBC"/>
    <w:multiLevelType w:val="hybridMultilevel"/>
    <w:lvl w:ilvl="0">
      <w:lvlJc w:val="left"/>
      <w:lvlText w:val="•"/>
      <w:numFmt w:val="bullet"/>
      <w:start w:val="1"/>
    </w:lvl>
    <w:lvl w:ilvl="1">
      <w:lvlJc w:val="left"/>
      <w:lvlText w:val="○"/>
      <w:numFmt w:val="bullet"/>
      <w:start w:val="1"/>
    </w:lvl>
  </w:abstractNum>
  <w:abstractNum w:abstractNumId="123">
    <w:nsid w:val="779D8544"/>
    <w:multiLevelType w:val="hybridMultilevel"/>
    <w:lvl w:ilvl="0">
      <w:lvlJc w:val="left"/>
      <w:lvlText w:val="•"/>
      <w:numFmt w:val="bullet"/>
      <w:start w:val="1"/>
    </w:lvl>
    <w:lvl w:ilvl="1">
      <w:lvlJc w:val="left"/>
      <w:lvlText w:val="○"/>
      <w:numFmt w:val="bullet"/>
      <w:start w:val="1"/>
    </w:lvl>
  </w:abstractNum>
  <w:abstractNum w:abstractNumId="124">
    <w:nsid w:val="4AB26E78"/>
    <w:multiLevelType w:val="hybridMultilevel"/>
    <w:lvl w:ilvl="0">
      <w:lvlJc w:val="left"/>
      <w:lvlText w:val="•"/>
      <w:numFmt w:val="bullet"/>
      <w:start w:val="1"/>
    </w:lvl>
  </w:abstractNum>
  <w:abstractNum w:abstractNumId="125">
    <w:nsid w:val="21FAA2FA"/>
    <w:multiLevelType w:val="hybridMultilevel"/>
    <w:lvl w:ilvl="0">
      <w:lvlJc w:val="left"/>
      <w:lvlText w:val="•"/>
      <w:numFmt w:val="bullet"/>
      <w:start w:val="1"/>
    </w:lvl>
  </w:abstractNum>
  <w:abstractNum w:abstractNumId="126">
    <w:nsid w:val="5451CF49"/>
    <w:multiLevelType w:val="hybridMultilevel"/>
    <w:lvl w:ilvl="0">
      <w:lvlJc w:val="left"/>
      <w:lvlText w:val="•"/>
      <w:numFmt w:val="bullet"/>
      <w:start w:val="1"/>
    </w:lvl>
  </w:abstractNum>
  <w:abstractNum w:abstractNumId="127">
    <w:nsid w:val="6181EF69"/>
    <w:multiLevelType w:val="hybridMultilevel"/>
    <w:lvl w:ilvl="0">
      <w:lvlJc w:val="left"/>
      <w:lvlText w:val="•"/>
      <w:numFmt w:val="bullet"/>
      <w:start w:val="1"/>
    </w:lvl>
  </w:abstractNum>
  <w:abstractNum w:abstractNumId="128">
    <w:nsid w:val="3E6400E6"/>
    <w:multiLevelType w:val="hybridMultilevel"/>
    <w:lvl w:ilvl="0">
      <w:lvlJc w:val="left"/>
      <w:lvlText w:val="•"/>
      <w:numFmt w:val="bullet"/>
      <w:start w:val="1"/>
    </w:lvl>
  </w:abstractNum>
  <w:abstractNum w:abstractNumId="129">
    <w:nsid w:val="14217E23"/>
    <w:multiLevelType w:val="hybridMultilevel"/>
    <w:lvl w:ilvl="0">
      <w:lvlJc w:val="left"/>
      <w:lvlText w:val="•"/>
      <w:numFmt w:val="bullet"/>
      <w:start w:val="1"/>
    </w:lvl>
  </w:abstractNum>
  <w:abstractNum w:abstractNumId="130">
    <w:nsid w:val="710757D0"/>
    <w:multiLevelType w:val="hybridMultilevel"/>
    <w:lvl w:ilvl="0">
      <w:lvlJc w:val="left"/>
      <w:lvlText w:val="•"/>
      <w:numFmt w:val="bullet"/>
      <w:start w:val="1"/>
    </w:lvl>
  </w:abstractNum>
  <w:abstractNum w:abstractNumId="131">
    <w:nsid w:val="5015CD1A"/>
    <w:multiLevelType w:val="hybridMultilevel"/>
    <w:lvl w:ilvl="0">
      <w:lvlJc w:val="left"/>
      <w:lvlText w:val="•"/>
      <w:numFmt w:val="bullet"/>
      <w:start w:val="1"/>
    </w:lvl>
  </w:abstractNum>
  <w:abstractNum w:abstractNumId="132">
    <w:nsid w:val="424479DA"/>
    <w:multiLevelType w:val="hybridMultilevel"/>
    <w:lvl w:ilvl="0">
      <w:lvlJc w:val="left"/>
      <w:lvlText w:val="•"/>
      <w:numFmt w:val="bullet"/>
      <w:start w:val="1"/>
    </w:lvl>
  </w:abstractNum>
  <w:abstractNum w:abstractNumId="133">
    <w:nsid w:val="1A9A9E69"/>
    <w:multiLevelType w:val="hybridMultilevel"/>
    <w:lvl w:ilvl="0">
      <w:lvlJc w:val="left"/>
      <w:lvlText w:val="•"/>
      <w:numFmt w:val="bullet"/>
      <w:start w:val="1"/>
    </w:lvl>
  </w:abstractNum>
  <w:abstractNum w:abstractNumId="134">
    <w:nsid w:val="475E256A"/>
    <w:multiLevelType w:val="hybridMultilevel"/>
    <w:lvl w:ilvl="0">
      <w:lvlJc w:val="left"/>
      <w:lvlText w:val="•"/>
      <w:numFmt w:val="bullet"/>
      <w:start w:val="1"/>
    </w:lvl>
  </w:abstractNum>
  <w:abstractNum w:abstractNumId="135">
    <w:nsid w:val="368DB37E"/>
    <w:multiLevelType w:val="hybridMultilevel"/>
    <w:lvl w:ilvl="0">
      <w:lvlJc w:val="left"/>
      <w:lvlText w:val="•"/>
      <w:numFmt w:val="bullet"/>
      <w:start w:val="1"/>
    </w:lvl>
  </w:abstractNum>
  <w:abstractNum w:abstractNumId="136">
    <w:nsid w:val="6A3B714C"/>
    <w:multiLevelType w:val="hybridMultilevel"/>
    <w:lvl w:ilvl="0">
      <w:lvlJc w:val="left"/>
      <w:lvlText w:val="•"/>
      <w:numFmt w:val="bullet"/>
      <w:start w:val="1"/>
    </w:lvl>
  </w:abstractNum>
  <w:abstractNum w:abstractNumId="137">
    <w:nsid w:val="327B517E"/>
    <w:multiLevelType w:val="hybridMultilevel"/>
    <w:lvl w:ilvl="0">
      <w:lvlJc w:val="left"/>
      <w:lvlText w:val="(%1)"/>
      <w:numFmt w:val="decimal"/>
      <w:start w:val="1"/>
    </w:lvl>
  </w:abstractNum>
  <w:abstractNum w:abstractNumId="138">
    <w:nsid w:val="1F461B51"/>
    <w:multiLevelType w:val="hybridMultilevel"/>
    <w:lvl w:ilvl="0">
      <w:lvlJc w:val="left"/>
      <w:lvlText w:val="(%1)"/>
      <w:numFmt w:val="decimal"/>
      <w:start w:val="1"/>
    </w:lvl>
  </w:abstractNum>
  <w:abstractNum w:abstractNumId="139">
    <w:nsid w:val="29BACF25"/>
    <w:multiLevelType w:val="hybridMultilevel"/>
    <w:lvl w:ilvl="0">
      <w:lvlJc w:val="left"/>
      <w:lvlText w:val="(%1)"/>
      <w:numFmt w:val="lowerLetter"/>
      <w:start w:val="1"/>
    </w:lvl>
  </w:abstractNum>
  <w:abstractNum w:abstractNumId="140">
    <w:nsid w:val="5D5BABB3"/>
    <w:multiLevelType w:val="hybridMultilevel"/>
    <w:lvl w:ilvl="0">
      <w:lvlJc w:val="left"/>
      <w:lvlText w:val="(%1)"/>
      <w:numFmt w:val="lowerRoman"/>
      <w:start w:val="3"/>
    </w:lvl>
  </w:abstractNum>
  <w:abstractNum w:abstractNumId="141">
    <w:nsid w:val="51BF6B48"/>
    <w:multiLevelType w:val="hybridMultilevel"/>
    <w:lvl w:ilvl="0">
      <w:lvlJc w:val="left"/>
      <w:lvlText w:val="•"/>
      <w:numFmt w:val="bullet"/>
      <w:start w:val="1"/>
    </w:lvl>
  </w:abstractNum>
  <w:abstractNum w:abstractNumId="142">
    <w:nsid w:val="7E0F6384"/>
    <w:multiLevelType w:val="hybridMultilevel"/>
    <w:lvl w:ilvl="0">
      <w:lvlJc w:val="left"/>
      <w:lvlText w:val="(%1)"/>
      <w:numFmt w:val="lowerRoman"/>
      <w:start w:val="3"/>
    </w:lvl>
  </w:abstractNum>
  <w:abstractNum w:abstractNumId="143">
    <w:nsid w:val="2B4B8B53"/>
    <w:multiLevelType w:val="hybridMultilevel"/>
    <w:lvl w:ilvl="0">
      <w:lvlJc w:val="left"/>
      <w:lvlText w:val="(%1)"/>
      <w:numFmt w:val="decimal"/>
      <w:start w:val="1"/>
    </w:lvl>
  </w:abstractNum>
  <w:abstractNum w:abstractNumId="144">
    <w:nsid w:val="72E3413A"/>
    <w:multiLevelType w:val="hybridMultilevel"/>
    <w:lvl w:ilvl="0">
      <w:lvlJc w:val="left"/>
      <w:lvlText w:val="•"/>
      <w:numFmt w:val="bullet"/>
      <w:start w:val="1"/>
    </w:lvl>
  </w:abstractNum>
  <w:abstractNum w:abstractNumId="145">
    <w:nsid w:val="116AE494"/>
    <w:multiLevelType w:val="hybridMultilevel"/>
    <w:lvl w:ilvl="0">
      <w:lvlJc w:val="left"/>
      <w:lvlText w:val="*"/>
      <w:numFmt w:val="bullet"/>
      <w:start w:val="1"/>
    </w:lvl>
  </w:abstractNum>
  <w:abstractNum w:abstractNumId="146">
    <w:nsid w:val="3494B2FB"/>
    <w:multiLevelType w:val="hybridMultilevel"/>
    <w:lvl w:ilvl="0">
      <w:lvlJc w:val="left"/>
      <w:lvlText w:val="(%1)"/>
      <w:numFmt w:val="decimal"/>
      <w:start w:val="1"/>
    </w:lvl>
  </w:abstractNum>
  <w:abstractNum w:abstractNumId="147">
    <w:nsid w:val="B13A31"/>
    <w:multiLevelType w:val="hybridMultilevel"/>
    <w:lvl w:ilvl="0">
      <w:lvlJc w:val="left"/>
      <w:lvlText w:val="(%1)"/>
      <w:numFmt w:val="lowerRoman"/>
      <w:start w:val="26"/>
    </w:lvl>
  </w:abstractNum>
  <w:abstractNum w:abstractNumId="148">
    <w:nsid w:val="64429599"/>
    <w:multiLevelType w:val="hybridMultilevel"/>
    <w:lvl w:ilvl="0">
      <w:lvlJc w:val="left"/>
      <w:lvlText w:val="(%1)"/>
      <w:numFmt w:val="decimal"/>
      <w:start w:val="2"/>
    </w:lvl>
  </w:abstractNum>
  <w:abstractNum w:abstractNumId="149">
    <w:nsid w:val="631F1690"/>
    <w:multiLevelType w:val="hybridMultilevel"/>
    <w:lvl w:ilvl="0">
      <w:lvlJc w:val="left"/>
      <w:lvlText w:val="(%1)"/>
      <w:numFmt w:val="decimal"/>
      <w:start w:val="4"/>
    </w:lvl>
  </w:abstractNum>
  <w:abstractNum w:abstractNumId="150">
    <w:nsid w:val="25973E32"/>
    <w:multiLevelType w:val="hybridMultilevel"/>
    <w:lvl w:ilvl="0">
      <w:lvlJc w:val="left"/>
      <w:lvlText w:val="•"/>
      <w:numFmt w:val="bullet"/>
      <w:start w:val="1"/>
    </w:lvl>
  </w:abstractNum>
  <w:abstractNum w:abstractNumId="151">
    <w:nsid w:val="EAD6F57"/>
    <w:multiLevelType w:val="hybridMultilevel"/>
    <w:lvl w:ilvl="0">
      <w:lvlJc w:val="left"/>
      <w:lvlText w:val="•"/>
      <w:numFmt w:val="bullet"/>
      <w:start w:val="1"/>
    </w:lvl>
  </w:abstractNum>
  <w:abstractNum w:abstractNumId="152">
    <w:nsid w:val="6EC9D844"/>
    <w:multiLevelType w:val="hybridMultilevel"/>
    <w:lvl w:ilvl="0">
      <w:lvlJc w:val="left"/>
      <w:lvlText w:val="•"/>
      <w:numFmt w:val="bullet"/>
      <w:start w:val="1"/>
    </w:lvl>
  </w:abstractNum>
  <w:abstractNum w:abstractNumId="153">
    <w:nsid w:val="5C49EAEE"/>
    <w:multiLevelType w:val="hybridMultilevel"/>
    <w:lvl w:ilvl="0">
      <w:lvlJc w:val="left"/>
      <w:lvlText w:val="•"/>
      <w:numFmt w:val="bullet"/>
      <w:start w:val="1"/>
    </w:lvl>
  </w:abstractNum>
  <w:abstractNum w:abstractNumId="154">
    <w:nsid w:val="64AF49B"/>
    <w:multiLevelType w:val="hybridMultilevel"/>
    <w:lvl w:ilvl="0">
      <w:lvlJc w:val="left"/>
      <w:lvlText w:val="•"/>
      <w:numFmt w:val="bullet"/>
      <w:start w:val="1"/>
    </w:lvl>
  </w:abstractNum>
  <w:abstractNum w:abstractNumId="155">
    <w:nsid w:val="397C46BC"/>
    <w:multiLevelType w:val="hybridMultilevel"/>
    <w:lvl w:ilvl="0">
      <w:lvlJc w:val="left"/>
      <w:lvlText w:val="•"/>
      <w:numFmt w:val="bullet"/>
      <w:start w:val="1"/>
    </w:lvl>
  </w:abstractNum>
  <w:abstractNum w:abstractNumId="156">
    <w:nsid w:val="7E448DE9"/>
    <w:multiLevelType w:val="hybridMultilevel"/>
    <w:lvl w:ilvl="0">
      <w:lvlJc w:val="left"/>
      <w:lvlText w:val="•"/>
      <w:numFmt w:val="bullet"/>
      <w:start w:val="1"/>
    </w:lvl>
  </w:abstractNum>
  <w:abstractNum w:abstractNumId="157">
    <w:nsid w:val="5A9CC3E5"/>
    <w:multiLevelType w:val="hybridMultilevel"/>
    <w:lvl w:ilvl="0">
      <w:lvlJc w:val="left"/>
      <w:lvlText w:val="(%1)"/>
      <w:numFmt w:val="lowerRoman"/>
      <w:start w:val="1"/>
    </w:lvl>
  </w:abstractNum>
  <w:abstractNum w:abstractNumId="158">
    <w:nsid w:val="1AFE3625"/>
    <w:multiLevelType w:val="hybridMultilevel"/>
    <w:lvl w:ilvl="0">
      <w:lvlJc w:val="left"/>
      <w:lvlText w:val="•"/>
      <w:numFmt w:val="bullet"/>
      <w:start w:val="1"/>
    </w:lvl>
  </w:abstractNum>
  <w:abstractNum w:abstractNumId="159">
    <w:nsid w:val="3CA88ECF"/>
    <w:multiLevelType w:val="hybridMultilevel"/>
    <w:lvl w:ilvl="0">
      <w:lvlJc w:val="left"/>
      <w:lvlText w:val="•"/>
      <w:numFmt w:val="bullet"/>
      <w:start w:val="1"/>
    </w:lvl>
  </w:abstractNum>
  <w:abstractNum w:abstractNumId="160">
    <w:nsid w:val="6EBE4208"/>
    <w:multiLevelType w:val="hybridMultilevel"/>
    <w:lvl w:ilvl="0">
      <w:lvlJc w:val="left"/>
      <w:lvlText w:val="•"/>
      <w:numFmt w:val="bullet"/>
      <w:start w:val="1"/>
    </w:lvl>
  </w:abstractNum>
  <w:abstractNum w:abstractNumId="161">
    <w:nsid w:val="C058DF5"/>
    <w:multiLevelType w:val="hybridMultilevel"/>
    <w:lvl w:ilvl="0">
      <w:lvlJc w:val="left"/>
      <w:lvlText w:val="(%1)"/>
      <w:numFmt w:val="lowerRoman"/>
      <w:start w:val="1"/>
    </w:lvl>
  </w:abstractNum>
  <w:abstractNum w:abstractNumId="162">
    <w:nsid w:val="CBE5BE9"/>
    <w:multiLevelType w:val="hybridMultilevel"/>
    <w:lvl w:ilvl="0">
      <w:lvlJc w:val="left"/>
      <w:lvlText w:val="%1"/>
      <w:numFmt w:val="upperLetter"/>
      <w:start w:val="1"/>
    </w:lvl>
    <w:lvl w:ilvl="1">
      <w:lvlJc w:val="left"/>
      <w:lvlText w:val="(%2)"/>
      <w:numFmt w:val="lowerRoman"/>
      <w:start w:val="4"/>
    </w:lvl>
  </w:abstractNum>
  <w:abstractNum w:abstractNumId="163">
    <w:nsid w:val="3102BBE2"/>
    <w:multiLevelType w:val="hybridMultilevel"/>
    <w:lvl w:ilvl="0">
      <w:lvlJc w:val="left"/>
      <w:lvlText w:val="(%1)"/>
      <w:numFmt w:val="upperLetter"/>
      <w:start w:val="5"/>
    </w:lvl>
    <w:lvl w:ilvl="1">
      <w:lvlJc w:val="left"/>
      <w:lvlText w:val="(%2)"/>
      <w:numFmt w:val="lowerRoman"/>
      <w:start w:val="5"/>
    </w:lvl>
  </w:abstractNum>
  <w:abstractNum w:abstractNumId="164">
    <w:nsid w:val="26A02C5E"/>
    <w:multiLevelType w:val="hybridMultilevel"/>
    <w:lvl w:ilvl="0">
      <w:lvlJc w:val="left"/>
      <w:lvlText w:val="%1)"/>
      <w:numFmt w:val="lowerLetter"/>
      <w:start w:val="1"/>
    </w:lvl>
  </w:abstractNum>
  <w:abstractNum w:abstractNumId="165">
    <w:nsid w:val="541C8153"/>
    <w:multiLevelType w:val="hybridMultilevel"/>
    <w:lvl w:ilvl="0">
      <w:lvlJc w:val="left"/>
      <w:lvlText w:val="%1)"/>
      <w:numFmt w:val="lowerLetter"/>
      <w:start w:val="1"/>
    </w:lvl>
  </w:abstractNum>
  <w:abstractNum w:abstractNumId="166">
    <w:nsid w:val="67906F60"/>
    <w:multiLevelType w:val="hybridMultilevel"/>
    <w:lvl w:ilvl="0">
      <w:lvlJc w:val="left"/>
      <w:lvlText w:val="%1)"/>
      <w:numFmt w:val="lowerLetter"/>
      <w:start w:val="1"/>
    </w:lvl>
  </w:abstractNum>
  <w:abstractNum w:abstractNumId="167">
    <w:nsid w:val="10DB9DAA"/>
    <w:multiLevelType w:val="hybridMultilevel"/>
    <w:lvl w:ilvl="0">
      <w:lvlJc w:val="left"/>
      <w:lvlText w:val="(%1)"/>
      <w:numFmt w:val="lowerRoman"/>
      <w:start w:val="3"/>
    </w:lvl>
  </w:abstractNum>
  <w:abstractNum w:abstractNumId="168">
    <w:nsid w:val="697D2D2"/>
    <w:multiLevelType w:val="hybridMultilevel"/>
    <w:lvl w:ilvl="0">
      <w:lvlJc w:val="left"/>
      <w:lvlText w:val="(%1)"/>
      <w:numFmt w:val="lowerRoman"/>
      <w:start w:val="3"/>
    </w:lvl>
  </w:abstractNum>
  <w:abstractNum w:abstractNumId="169">
    <w:nsid w:val="6D68AB2"/>
    <w:multiLevelType w:val="hybridMultilevel"/>
    <w:lvl w:ilvl="0">
      <w:lvlJc w:val="left"/>
      <w:lvlText w:val="(%1)"/>
      <w:numFmt w:val="lowerRoman"/>
      <w:start w:val="2"/>
    </w:lvl>
  </w:abstractNum>
  <w:abstractNum w:abstractNumId="170">
    <w:nsid w:val="3A966CD0"/>
    <w:multiLevelType w:val="hybridMultilevel"/>
    <w:lvl w:ilvl="0">
      <w:lvlJc w:val="left"/>
      <w:lvlText w:val="%1)"/>
      <w:numFmt w:val="lowerLetter"/>
      <w:start w:val="1"/>
    </w:lvl>
  </w:abstractNum>
  <w:abstractNum w:abstractNumId="171">
    <w:nsid w:val="63F37E85"/>
    <w:multiLevelType w:val="hybridMultilevel"/>
    <w:lvl w:ilvl="0">
      <w:lvlJc w:val="left"/>
      <w:lvlText w:val="%1)"/>
      <w:numFmt w:val="lowerLetter"/>
      <w:start w:val="1"/>
    </w:lvl>
  </w:abstractNum>
  <w:abstractNum w:abstractNumId="172">
    <w:nsid w:val="5895F5FA"/>
    <w:multiLevelType w:val="hybridMultilevel"/>
    <w:lvl w:ilvl="0">
      <w:lvlJc w:val="left"/>
      <w:lvlText w:val="(%1)"/>
      <w:numFmt w:val="lowerRoman"/>
      <w:start w:val="1"/>
    </w:lvl>
  </w:abstractNum>
  <w:abstractNum w:abstractNumId="173">
    <w:nsid w:val="38A5D054"/>
    <w:multiLevelType w:val="hybridMultilevel"/>
    <w:lvl w:ilvl="0">
      <w:lvlJc w:val="left"/>
      <w:lvlText w:val="%1)"/>
      <w:numFmt w:val="lowerLetter"/>
      <w:start w:val="2"/>
    </w:lvl>
    <w:lvl w:ilvl="1">
      <w:lvlJc w:val="left"/>
      <w:lvlText w:val="%2)"/>
      <w:numFmt w:val="lowerRoman"/>
      <w:start w:val="1"/>
    </w:lvl>
  </w:abstractNum>
  <w:abstractNum w:abstractNumId="174">
    <w:nsid w:val="F3F09D8"/>
    <w:multiLevelType w:val="hybridMultilevel"/>
    <w:lvl w:ilvl="0">
      <w:lvlJc w:val="left"/>
      <w:lvlText w:val="%1."/>
      <w:numFmt w:val="decimal"/>
      <w:start w:val="2"/>
    </w:lvl>
  </w:abstractNum>
  <w:abstractNum w:abstractNumId="175">
    <w:nsid w:val="4B793735"/>
    <w:multiLevelType w:val="hybridMultilevel"/>
    <w:lvl w:ilvl="0">
      <w:lvlJc w:val="left"/>
      <w:lvlText w:val="%1."/>
      <w:numFmt w:val="decimal"/>
      <w:start w:val="3"/>
    </w:lvl>
    <w:lvl w:ilvl="1">
      <w:lvlJc w:val="left"/>
      <w:lvlText w:val="%2)"/>
      <w:numFmt w:val="lowerLetter"/>
      <w:start w:val="1"/>
    </w:lvl>
  </w:abstractNum>
  <w:abstractNum w:abstractNumId="176">
    <w:nsid w:val="4A10B4E8"/>
    <w:multiLevelType w:val="hybridMultilevel"/>
    <w:lvl w:ilvl="0">
      <w:lvlJc w:val="left"/>
      <w:lvlText w:val="%1."/>
      <w:numFmt w:val="decimal"/>
      <w:start w:val="1"/>
    </w:lvl>
  </w:abstractNum>
  <w:abstractNum w:abstractNumId="177">
    <w:nsid w:val="43D3BCD4"/>
    <w:multiLevelType w:val="hybridMultilevel"/>
    <w:lvl w:ilvl="0">
      <w:lvlJc w:val="left"/>
      <w:lvlText w:val="%1."/>
      <w:numFmt w:val="decimal"/>
      <w:start w:val="2"/>
    </w:lvl>
  </w:abstractNum>
  <w:abstractNum w:abstractNumId="178">
    <w:nsid w:val="4C2A7166"/>
    <w:multiLevelType w:val="hybridMultilevel"/>
    <w:lvl w:ilvl="0">
      <w:lvlJc w:val="left"/>
      <w:lvlText w:val="%1."/>
      <w:numFmt w:val="decimal"/>
      <w:start w:val="3"/>
    </w:lvl>
  </w:abstractNum>
  <w:abstractNum w:abstractNumId="179">
    <w:nsid w:val="2E534A82"/>
    <w:multiLevelType w:val="hybridMultilevel"/>
    <w:lvl w:ilvl="0">
      <w:lvlJc w:val="left"/>
      <w:lvlText w:val="%1."/>
      <w:numFmt w:val="decimal"/>
      <w:start w:val="4"/>
    </w:lvl>
  </w:abstractNum>
  <w:abstractNum w:abstractNumId="180">
    <w:nsid w:val="26F2D364"/>
    <w:multiLevelType w:val="hybridMultilevel"/>
    <w:lvl w:ilvl="0">
      <w:lvlJc w:val="left"/>
      <w:lvlText w:val="%1."/>
      <w:numFmt w:val="decimal"/>
      <w:start w:val="1"/>
    </w:lvl>
  </w:abstractNum>
  <w:abstractNum w:abstractNumId="181">
    <w:nsid w:val="71C1AF98"/>
    <w:multiLevelType w:val="hybridMultilevel"/>
    <w:lvl w:ilvl="0">
      <w:lvlJc w:val="left"/>
      <w:lvlText w:val="%1."/>
      <w:numFmt w:val="decimal"/>
      <w:start w:val="2"/>
    </w:lvl>
  </w:abstractNum>
  <w:abstractNum w:abstractNumId="182">
    <w:nsid w:val="3D00B9D9"/>
    <w:multiLevelType w:val="hybridMultilevel"/>
    <w:lvl w:ilvl="0">
      <w:lvlJc w:val="left"/>
      <w:lvlText w:val="%1."/>
      <w:numFmt w:val="decimal"/>
      <w:start w:val="3"/>
    </w:lvl>
  </w:abstractNum>
  <w:abstractNum w:abstractNumId="183">
    <w:nsid w:val="15BCABA8"/>
    <w:multiLevelType w:val="hybridMultilevel"/>
    <w:lvl w:ilvl="0">
      <w:lvlJc w:val="left"/>
      <w:lvlText w:val="%1."/>
      <w:numFmt w:val="decimal"/>
      <w:start w:val="1"/>
    </w:lvl>
  </w:abstractNum>
  <w:abstractNum w:abstractNumId="184">
    <w:nsid w:val="4E0B9A87"/>
    <w:multiLevelType w:val="hybridMultilevel"/>
    <w:lvl w:ilvl="0">
      <w:lvlJc w:val="left"/>
      <w:lvlText w:val="%1."/>
      <w:numFmt w:val="decimal"/>
      <w:start w:val="2"/>
    </w:lvl>
  </w:abstractNum>
  <w:abstractNum w:abstractNumId="185">
    <w:nsid w:val="434BAE75"/>
    <w:multiLevelType w:val="hybridMultilevel"/>
    <w:lvl w:ilvl="0">
      <w:lvlJc w:val="left"/>
      <w:lvlText w:val="%1."/>
      <w:numFmt w:val="decimal"/>
      <w:start w:val="4"/>
    </w:lvl>
  </w:abstractNum>
  <w:abstractNum w:abstractNumId="186">
    <w:nsid w:val="4F38F265"/>
    <w:multiLevelType w:val="hybridMultilevel"/>
    <w:lvl w:ilvl="0">
      <w:lvlJc w:val="left"/>
      <w:lvlText w:val="1"/>
      <w:numFmt w:val="bullet"/>
      <w:start w:val="1"/>
    </w:lvl>
  </w:abstractNum>
  <w:abstractNum w:abstractNumId="187">
    <w:nsid w:val="4C502870"/>
    <w:multiLevelType w:val="hybridMultilevel"/>
    <w:lvl w:ilvl="0">
      <w:lvlJc w:val="left"/>
      <w:lvlText w:val="(%1)"/>
      <w:numFmt w:val="decimal"/>
      <w:start w:val="1"/>
    </w:lvl>
  </w:abstractNum>
  <w:abstractNum w:abstractNumId="188">
    <w:nsid w:val="1DE8725A"/>
    <w:multiLevelType w:val="hybridMultilevel"/>
    <w:lvl w:ilvl="0">
      <w:lvlJc w:val="left"/>
      <w:lvlText w:val="%1."/>
      <w:numFmt w:val="decimal"/>
      <w:start w:val="5"/>
    </w:lvl>
  </w:abstractNum>
  <w:abstractNum w:abstractNumId="189">
    <w:nsid w:val="6A37288A"/>
    <w:multiLevelType w:val="hybridMultilevel"/>
    <w:lvl w:ilvl="0">
      <w:lvlJc w:val="left"/>
      <w:lvlText w:val="%1."/>
      <w:numFmt w:val="decimal"/>
      <w:start w:val="6"/>
    </w:lvl>
  </w:abstractNum>
  <w:abstractNum w:abstractNumId="190">
    <w:nsid w:val="8F8B73F"/>
    <w:multiLevelType w:val="hybridMultilevel"/>
    <w:lvl w:ilvl="0">
      <w:lvlJc w:val="left"/>
      <w:lvlText w:val="%1."/>
      <w:numFmt w:val="decimal"/>
      <w:start w:val="7"/>
    </w:lvl>
  </w:abstractNum>
  <w:abstractNum w:abstractNumId="191">
    <w:nsid w:val="CA6B462"/>
    <w:multiLevelType w:val="hybridMultilevel"/>
    <w:lvl w:ilvl="0">
      <w:lvlJc w:val="left"/>
      <w:lvlText w:val="%1."/>
      <w:numFmt w:val="decimal"/>
      <w:start w:val="8"/>
    </w:lvl>
  </w:abstractNum>
  <w:abstractNum w:abstractNumId="192">
    <w:nsid w:val="763CB680"/>
    <w:multiLevelType w:val="hybridMultilevel"/>
    <w:lvl w:ilvl="0">
      <w:lvlJc w:val="left"/>
      <w:lvlText w:val="%1."/>
      <w:numFmt w:val="decimal"/>
      <w:start w:val="9"/>
    </w:lvl>
  </w:abstractNum>
  <w:abstractNum w:abstractNumId="193">
    <w:nsid w:val="15B71329"/>
    <w:multiLevelType w:val="hybridMultilevel"/>
    <w:lvl w:ilvl="0">
      <w:lvlJc w:val="left"/>
      <w:lvlText w:val="%1."/>
      <w:numFmt w:val="decimal"/>
      <w:start w:val="10"/>
    </w:lvl>
  </w:abstractNum>
  <w:abstractNum w:abstractNumId="194">
    <w:nsid w:val="3DA97044"/>
    <w:multiLevelType w:val="hybridMultilevel"/>
    <w:lvl w:ilvl="0">
      <w:lvlJc w:val="left"/>
      <w:lvlText w:val="%1."/>
      <w:numFmt w:val="decimal"/>
      <w:start w:val="11"/>
    </w:lvl>
  </w:abstractNum>
  <w:abstractNum w:abstractNumId="195">
    <w:nsid w:val="1CDCE2DE"/>
    <w:multiLevelType w:val="hybridMultilevel"/>
    <w:lvl w:ilvl="0">
      <w:lvlJc w:val="left"/>
      <w:lvlText w:val="%1."/>
      <w:numFmt w:val="decimal"/>
      <w:start w:val="12"/>
    </w:lvl>
  </w:abstractNum>
  <w:abstractNum w:abstractNumId="196">
    <w:nsid w:val="69D3947C"/>
    <w:multiLevelType w:val="hybridMultilevel"/>
    <w:lvl w:ilvl="0">
      <w:lvlJc w:val="left"/>
      <w:lvlText w:val="%1."/>
      <w:numFmt w:val="decimal"/>
      <w:start w:val="13"/>
    </w:lvl>
  </w:abstractNum>
  <w:abstractNum w:abstractNumId="197">
    <w:nsid w:val="2539DFA5"/>
    <w:multiLevelType w:val="hybridMultilevel"/>
    <w:lvl w:ilvl="0">
      <w:lvlJc w:val="left"/>
      <w:lvlText w:val="%1."/>
      <w:numFmt w:val="decimal"/>
      <w:start w:val="14"/>
    </w:lvl>
  </w:abstractNum>
  <w:abstractNum w:abstractNumId="198">
    <w:nsid w:val="2DB88089"/>
    <w:multiLevelType w:val="hybridMultilevel"/>
    <w:lvl w:ilvl="0">
      <w:lvlJc w:val="left"/>
      <w:lvlText w:val="%1."/>
      <w:numFmt w:val="decimal"/>
      <w:start w:val="15"/>
    </w:lvl>
  </w:abstractNum>
  <w:abstractNum w:abstractNumId="199">
    <w:nsid w:val="706B674E"/>
    <w:multiLevelType w:val="hybridMultilevel"/>
    <w:lvl w:ilvl="0">
      <w:lvlJc w:val="left"/>
      <w:lvlText w:val="%1."/>
      <w:numFmt w:val="decimal"/>
      <w:start w:val="16"/>
    </w:lvl>
  </w:abstractNum>
  <w:abstractNum w:abstractNumId="200">
    <w:nsid w:val="2C106A57"/>
    <w:multiLevelType w:val="hybridMultilevel"/>
    <w:lvl w:ilvl="0">
      <w:lvlJc w:val="left"/>
      <w:lvlText w:val="%1."/>
      <w:numFmt w:val="decimal"/>
      <w:start w:val="17"/>
    </w:lvl>
  </w:abstractNum>
  <w:abstractNum w:abstractNumId="201">
    <w:nsid w:val="684EED59"/>
    <w:multiLevelType w:val="hybridMultilevel"/>
    <w:lvl w:ilvl="0">
      <w:lvlJc w:val="left"/>
      <w:lvlText w:val="%1."/>
      <w:numFmt w:val="decimal"/>
      <w:start w:val="18"/>
    </w:lvl>
  </w:abstractNum>
  <w:abstractNum w:abstractNumId="202">
    <w:nsid w:val="545EE5D3"/>
    <w:multiLevelType w:val="hybridMultilevel"/>
    <w:lvl w:ilvl="0">
      <w:lvlJc w:val="left"/>
      <w:lvlText w:val="%1."/>
      <w:numFmt w:val="decimal"/>
      <w:start w:val="19"/>
    </w:lvl>
  </w:abstractNum>
  <w:abstractNum w:abstractNumId="203">
    <w:nsid w:val="4A66051"/>
    <w:multiLevelType w:val="hybridMultilevel"/>
    <w:lvl w:ilvl="0">
      <w:lvlJc w:val="left"/>
      <w:lvlText w:val="%1."/>
      <w:numFmt w:val="decimal"/>
      <w:start w:val="1"/>
    </w:lvl>
  </w:abstractNum>
  <w:abstractNum w:abstractNumId="204">
    <w:nsid w:val="20F4BDAD"/>
    <w:multiLevelType w:val="hybridMultilevel"/>
    <w:lvl w:ilvl="0">
      <w:lvlJc w:val="left"/>
      <w:lvlText w:val="%1."/>
      <w:numFmt w:val="decimal"/>
      <w:start w:val="2"/>
    </w:lvl>
  </w:abstractNum>
  <w:abstractNum w:abstractNumId="205">
    <w:nsid w:val="639DEFAC"/>
    <w:multiLevelType w:val="hybridMultilevel"/>
    <w:lvl w:ilvl="0">
      <w:lvlJc w:val="left"/>
      <w:lvlText w:val="%1."/>
      <w:numFmt w:val="decimal"/>
      <w:start w:val="3"/>
    </w:lvl>
  </w:abstractNum>
  <w:abstractNum w:abstractNumId="206">
    <w:nsid w:val="501F9786"/>
    <w:multiLevelType w:val="hybridMultilevel"/>
    <w:lvl w:ilvl="0">
      <w:lvlJc w:val="left"/>
      <w:lvlText w:val="%1."/>
      <w:numFmt w:val="decimal"/>
      <w:start w:val="4"/>
    </w:lvl>
  </w:abstractNum>
  <w:abstractNum w:abstractNumId="207">
    <w:nsid w:val="6B057295"/>
    <w:multiLevelType w:val="hybridMultilevel"/>
    <w:lvl w:ilvl="0">
      <w:lvlJc w:val="left"/>
      <w:lvlText w:val="%1."/>
      <w:numFmt w:val="decimal"/>
      <w:start w:val="5"/>
    </w:lvl>
  </w:abstractNum>
  <w:abstractNum w:abstractNumId="208">
    <w:nsid w:val="2771AC80"/>
    <w:multiLevelType w:val="hybridMultilevel"/>
    <w:lvl w:ilvl="0">
      <w:lvlJc w:val="left"/>
      <w:lvlText w:val="%1."/>
      <w:numFmt w:val="decimal"/>
      <w:start w:val="7"/>
    </w:lvl>
  </w:abstractNum>
  <w:abstractNum w:abstractNumId="209">
    <w:nsid w:val="1C4A08EC"/>
    <w:multiLevelType w:val="hybridMultilevel"/>
    <w:lvl w:ilvl="0">
      <w:lvlJc w:val="left"/>
      <w:lvlText w:val="%1."/>
      <w:numFmt w:val="decimal"/>
      <w:start w:val="8"/>
    </w:lvl>
  </w:abstractNum>
  <w:abstractNum w:abstractNumId="210">
    <w:nsid w:val="1958BD17"/>
    <w:multiLevelType w:val="hybridMultilevel"/>
    <w:lvl w:ilvl="0">
      <w:lvlJc w:val="left"/>
      <w:lvlText w:val="%1."/>
      <w:numFmt w:val="decimal"/>
      <w:start w:val="9"/>
    </w:lvl>
  </w:abstractNum>
  <w:abstractNum w:abstractNumId="211">
    <w:nsid w:val="4E647FE4"/>
    <w:multiLevelType w:val="hybridMultilevel"/>
    <w:lvl w:ilvl="0">
      <w:lvlJc w:val="left"/>
      <w:lvlText w:val="%1."/>
      <w:numFmt w:val="decimal"/>
      <w:start w:val="10"/>
    </w:lvl>
  </w:abstractNum>
  <w:abstractNum w:abstractNumId="212">
    <w:nsid w:val="E0BB885"/>
    <w:multiLevelType w:val="hybridMultilevel"/>
    <w:lvl w:ilvl="0">
      <w:lvlJc w:val="left"/>
      <w:lvlText w:val="%1."/>
      <w:numFmt w:val="decimal"/>
      <w:start w:val="11"/>
    </w:lvl>
  </w:abstractNum>
  <w:abstractNum w:abstractNumId="213">
    <w:nsid w:val="565976F1"/>
    <w:multiLevelType w:val="hybridMultilevel"/>
    <w:lvl w:ilvl="0">
      <w:lvlJc w:val="left"/>
      <w:lvlText w:val="%1."/>
      <w:numFmt w:val="decimal"/>
      <w:start w:val="12"/>
    </w:lvl>
  </w:abstractNum>
  <w:abstractNum w:abstractNumId="214">
    <w:nsid w:val="64212B8C"/>
    <w:multiLevelType w:val="hybridMultilevel"/>
    <w:lvl w:ilvl="0">
      <w:lvlJc w:val="left"/>
      <w:lvlText w:val="%1."/>
      <w:numFmt w:val="decimal"/>
      <w:start w:val="13"/>
    </w:lvl>
  </w:abstractNum>
  <w:abstractNum w:abstractNumId="215">
    <w:nsid w:val="5C17530C"/>
    <w:multiLevelType w:val="hybridMultilevel"/>
    <w:lvl w:ilvl="0">
      <w:lvlJc w:val="left"/>
      <w:lvlText w:val="%1."/>
      <w:numFmt w:val="decimal"/>
      <w:start w:val="14"/>
    </w:lvl>
  </w:abstractNum>
  <w:abstractNum w:abstractNumId="216">
    <w:nsid w:val="19A52566"/>
    <w:multiLevelType w:val="hybridMultilevel"/>
    <w:lvl w:ilvl="0">
      <w:lvlJc w:val="left"/>
      <w:lvlText w:val="%1."/>
      <w:numFmt w:val="decimal"/>
      <w:start w:val="15"/>
    </w:lvl>
  </w:abstractNum>
  <w:abstractNum w:abstractNumId="217">
    <w:nsid w:val="335A1DF1"/>
    <w:multiLevelType w:val="hybridMultilevel"/>
    <w:lvl w:ilvl="0">
      <w:lvlJc w:val="left"/>
      <w:lvlText w:val="%1."/>
      <w:numFmt w:val="decimal"/>
      <w:start w:val="16"/>
    </w:lvl>
  </w:abstractNum>
  <w:abstractNum w:abstractNumId="218">
    <w:nsid w:val="28677B7C"/>
    <w:multiLevelType w:val="hybridMultilevel"/>
    <w:lvl w:ilvl="0">
      <w:lvlJc w:val="left"/>
      <w:lvlText w:val="%1."/>
      <w:numFmt w:val="decimal"/>
      <w:start w:val="17"/>
    </w:lvl>
  </w:abstractNum>
  <w:abstractNum w:abstractNumId="219">
    <w:nsid w:val="378D97C0"/>
    <w:multiLevelType w:val="hybridMultilevel"/>
    <w:lvl w:ilvl="0">
      <w:lvlJc w:val="left"/>
      <w:lvlText w:val="%1."/>
      <w:numFmt w:val="decimal"/>
      <w:start w:val="18"/>
    </w:lvl>
  </w:abstractNum>
  <w:abstractNum w:abstractNumId="220">
    <w:nsid w:val="1D91467C"/>
    <w:multiLevelType w:val="hybridMultilevel"/>
    <w:lvl w:ilvl="0">
      <w:lvlJc w:val="left"/>
      <w:lvlText w:val="%1."/>
      <w:numFmt w:val="decimal"/>
      <w:start w:val="19"/>
    </w:lvl>
  </w:abstractNum>
  <w:abstractNum w:abstractNumId="221">
    <w:nsid w:val="316032BB"/>
    <w:multiLevelType w:val="hybridMultilevel"/>
    <w:lvl w:ilvl="0">
      <w:lvlJc w:val="left"/>
      <w:lvlText w:val="•"/>
      <w:numFmt w:val="bullet"/>
      <w:start w:val="1"/>
    </w:lvl>
  </w:abstractNum>
  <w:abstractNum w:abstractNumId="222">
    <w:nsid w:val="44344C22"/>
    <w:multiLevelType w:val="hybridMultilevel"/>
    <w:lvl w:ilvl="0">
      <w:lvlJc w:val="left"/>
      <w:lvlText w:val="•"/>
      <w:numFmt w:val="bullet"/>
      <w:start w:val="1"/>
    </w:lvl>
  </w:abstractNum>
  <w:abstractNum w:abstractNumId="223">
    <w:nsid w:val="13CDFCFC"/>
    <w:multiLevelType w:val="hybridMultilevel"/>
    <w:lvl w:ilvl="0">
      <w:lvlJc w:val="left"/>
      <w:lvlText w:val="**"/>
      <w:numFmt w:val="bullet"/>
      <w:start w:val="1"/>
    </w:lvl>
  </w:abstractNum>
  <w:abstractNum w:abstractNumId="224">
    <w:nsid w:val="471745E4"/>
    <w:multiLevelType w:val="hybridMultilevel"/>
    <w:lvl w:ilvl="0">
      <w:lvlJc w:val="left"/>
      <w:lvlText w:val="(%1)"/>
      <w:numFmt w:val="lowerLetter"/>
      <w:start w:val="2"/>
    </w:lvl>
  </w:abstractNum>
  <w:abstractNum w:abstractNumId="225">
    <w:nsid w:val="1DDBC6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24" Type="http://schemas.openxmlformats.org/officeDocument/2006/relationships/image" Target="media/image398.png"/><Relationship Id="rId435" Type="http://schemas.openxmlformats.org/officeDocument/2006/relationships/image" Target="media/image399.png"/><Relationship Id="rId436" Type="http://schemas.openxmlformats.org/officeDocument/2006/relationships/image" Target="media/image400.png"/><Relationship Id="rId437" Type="http://schemas.openxmlformats.org/officeDocument/2006/relationships/image" Target="media/image401.png"/><Relationship Id="rId405" Type="http://schemas.openxmlformats.org/officeDocument/2006/relationships/hyperlink" Target="http://www.sec.gov/Archives/edgar/data/1861795/000119312521266049/d127783dex11.htm" TargetMode="External"/><Relationship Id="rId406" Type="http://schemas.openxmlformats.org/officeDocument/2006/relationships/hyperlink" Target="http://www.sec.gov/Archives/edgar/data/0001861795/000119312521252899/d127783dex31.htm" TargetMode="External"/><Relationship Id="rId407" Type="http://schemas.openxmlformats.org/officeDocument/2006/relationships/hyperlink" Target="http://www.sec.gov/Archives/edgar/data/0001861795/000119312521252899/d127783dex32.htm" TargetMode="External"/><Relationship Id="rId408" Type="http://schemas.openxmlformats.org/officeDocument/2006/relationships/hyperlink" Target="http://www.sec.gov/Archives/edgar/data/0001861795/000119312521252899/d127783dex33.htm" TargetMode="External"/><Relationship Id="rId409" Type="http://schemas.openxmlformats.org/officeDocument/2006/relationships/hyperlink" Target="http://www.sec.gov/Archives/edgar/data/0001861795/000119312521252899/d127783dex34.htm" TargetMode="External"/><Relationship Id="rId410" Type="http://schemas.openxmlformats.org/officeDocument/2006/relationships/hyperlink" Target="http://www.sec.gov/Archives/edgar/data/0001861795/000119312521252899/d127783dex35.htm" TargetMode="External"/><Relationship Id="rId411" Type="http://schemas.openxmlformats.org/officeDocument/2006/relationships/hyperlink" Target="http://www.sec.gov/Archives/edgar/data/1861795/000119312521259499/d127783dex41.htm" TargetMode="External"/><Relationship Id="rId412" Type="http://schemas.openxmlformats.org/officeDocument/2006/relationships/hyperlink" Target="http://www.sec.gov/Archives/edgar/data/1861795/000119312521259499/d127783dex51.htm" TargetMode="External"/><Relationship Id="rId413" Type="http://schemas.openxmlformats.org/officeDocument/2006/relationships/hyperlink" Target="http://www.sec.gov/Archives/edgar/data/0001861795/000119312521252899/d127783dex101.htm" TargetMode="External"/><Relationship Id="rId414" Type="http://schemas.openxmlformats.org/officeDocument/2006/relationships/hyperlink" Target="http://www.sec.gov/Archives/edgar/data/0001861795/000119312521252899/d127783dex102.htm" TargetMode="External"/><Relationship Id="rId415" Type="http://schemas.openxmlformats.org/officeDocument/2006/relationships/hyperlink" Target="http://www.sec.gov/Archives/edgar/data/0001861795/000119312521252899/d127783dex103.htm" TargetMode="External"/><Relationship Id="rId416" Type="http://schemas.openxmlformats.org/officeDocument/2006/relationships/hyperlink" Target="http://www.sec.gov/Archives/edgar/data/0001861795/000119312521252899/d127783dex104.htm" TargetMode="External"/><Relationship Id="rId417" Type="http://schemas.openxmlformats.org/officeDocument/2006/relationships/hyperlink" Target="http://www.sec.gov/Archives/edgar/data/0001861795/000119312521252899/d127783dex105.htm" TargetMode="External"/><Relationship Id="rId418" Type="http://schemas.openxmlformats.org/officeDocument/2006/relationships/hyperlink" Target="http://www.sec.gov/Archives/edgar/data/0001861795/000119312521252899/d127783dex106.htm" TargetMode="External"/><Relationship Id="rId419" Type="http://schemas.openxmlformats.org/officeDocument/2006/relationships/hyperlink" Target="http://www.sec.gov/Archives/edgar/data/0001861795/000119312521252899/d127783dex107.htm" TargetMode="External"/><Relationship Id="rId420" Type="http://schemas.openxmlformats.org/officeDocument/2006/relationships/hyperlink" Target="http://www.sec.gov/Archives/edgar/data/0001861795/000119312521252899/d127783dex108.htm" TargetMode="External"/><Relationship Id="rId421" Type="http://schemas.openxmlformats.org/officeDocument/2006/relationships/hyperlink" Target="http://www.sec.gov/Archives/edgar/data/0001861795/000119312521252899/d127783dex109.htm" TargetMode="External"/><Relationship Id="rId422" Type="http://schemas.openxmlformats.org/officeDocument/2006/relationships/hyperlink" Target="http://www.sec.gov/Archives/edgar/data/0001861795/000119312521252899/d127783dex1010.htm" TargetMode="External"/><Relationship Id="rId423" Type="http://schemas.openxmlformats.org/officeDocument/2006/relationships/hyperlink" Target="http://www.sec.gov/Archives/edgar/data/0001861795/000119312521252899/d127783dex1011.htm" TargetMode="External"/><Relationship Id="rId425" Type="http://schemas.openxmlformats.org/officeDocument/2006/relationships/hyperlink" Target="http://www.sec.gov/Archives/edgar/data/0001861795/000119312521252899/d127783dex1012.htm" TargetMode="External"/><Relationship Id="rId426" Type="http://schemas.openxmlformats.org/officeDocument/2006/relationships/hyperlink" Target="http://www.sec.gov/Archives/edgar/data/0001861795/000119312521252899/d127783dex1013.htm" TargetMode="External"/><Relationship Id="rId427" Type="http://schemas.openxmlformats.org/officeDocument/2006/relationships/hyperlink" Target="http://www.sec.gov/Archives/edgar/data/0001861795/000119312521252899/d127783dex1014.htm" TargetMode="External"/><Relationship Id="rId428" Type="http://schemas.openxmlformats.org/officeDocument/2006/relationships/hyperlink" Target="http://www.sec.gov/Archives/edgar/data/0001861795/000119312521252899/d127783dex1015.htm" TargetMode="External"/><Relationship Id="rId429" Type="http://schemas.openxmlformats.org/officeDocument/2006/relationships/hyperlink" Target="http://www.sec.gov/Archives/edgar/data/0001861795/000119312521252899/d127783dex1016.htm" TargetMode="External"/><Relationship Id="rId430" Type="http://schemas.openxmlformats.org/officeDocument/2006/relationships/hyperlink" Target="http://www.sec.gov/Archives/edgar/data/0001861795/000119312521252899/d127783dex1017.htm" TargetMode="External"/><Relationship Id="rId431" Type="http://schemas.openxmlformats.org/officeDocument/2006/relationships/hyperlink" Target="http://www.sec.gov/Archives/edgar/data/1861795/000119312521266049/d127783dex1018.htm" TargetMode="External"/><Relationship Id="rId432" Type="http://schemas.openxmlformats.org/officeDocument/2006/relationships/hyperlink" Target="http://www.sec.gov/Archives/edgar/data/1861795/000119312521266049/d127783dex1019.htm" TargetMode="External"/><Relationship Id="rId433" Type="http://schemas.openxmlformats.org/officeDocument/2006/relationships/hyperlink" Target="http://www.sec.gov/Archives/edgar/data/0001861795/000119312521252899/d127783dex211.htm" TargetMode="External"/><Relationship Id="rId434" Type="http://schemas.openxmlformats.org/officeDocument/2006/relationships/hyperlink" Target="http://www.sec.gov/Archives/edgar/data/0001861795/000119312521252899/d127783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2021-09-13T08:38:26Z</dcterms:created>
  <dcterms:modified xsi:type="dcterms:W3CDTF">2021-09-13T08:38:26Z</dcterms:modified>
</cp:coreProperties>
</file>