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6" w:right="479" w:bottom="751"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Shamsuddin Kate Marie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20" w:type="dxa"/>
            <w:vAlign w:val="bottom"/>
            <w:tcBorders>
              <w:top w:val="single" w:sz="8" w:color="0000EE"/>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09/15/2021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Definitive Healthcare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DH</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751"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357"/>
        <w:spacing w:after="0" w:line="269" w:lineRule="auto"/>
        <w:rPr>
          <w:sz w:val="20"/>
          <w:szCs w:val="20"/>
          <w:color w:val="auto"/>
        </w:rPr>
      </w:pPr>
      <w:r>
        <w:rPr>
          <w:rFonts w:ascii="Arial" w:cs="Arial" w:eastAsia="Arial" w:hAnsi="Arial"/>
          <w:sz w:val="20"/>
          <w:szCs w:val="20"/>
          <w:color w:val="0000FF"/>
        </w:rPr>
        <w:t>C/O DEFINITIVE HEALTHCARE CORP.</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550 COCHITUATE RD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2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20" w:type="dxa"/>
            <w:vAlign w:val="bottom"/>
          </w:tcPr>
          <w:p>
            <w:pPr>
              <w:ind w:left="40"/>
              <w:spacing w:after="0"/>
              <w:rPr>
                <w:sz w:val="20"/>
                <w:szCs w:val="20"/>
                <w:color w:val="auto"/>
              </w:rPr>
            </w:pPr>
            <w:r>
              <w:rPr>
                <w:rFonts w:ascii="Arial" w:cs="Arial" w:eastAsia="Arial" w:hAnsi="Arial"/>
                <w:sz w:val="20"/>
                <w:szCs w:val="20"/>
                <w:color w:val="0000FF"/>
              </w:rPr>
              <w:t>FRAMINGHAM MA</w:t>
            </w:r>
          </w:p>
        </w:tc>
        <w:tc>
          <w:tcPr>
            <w:tcW w:w="720" w:type="dxa"/>
            <w:vAlign w:val="bottom"/>
          </w:tcPr>
          <w:p>
            <w:pPr>
              <w:jc w:val="right"/>
              <w:spacing w:after="0"/>
              <w:rPr>
                <w:sz w:val="20"/>
                <w:szCs w:val="20"/>
                <w:color w:val="auto"/>
              </w:rPr>
            </w:pPr>
            <w:r>
              <w:rPr>
                <w:rFonts w:ascii="Arial" w:cs="Arial" w:eastAsia="Arial" w:hAnsi="Arial"/>
                <w:sz w:val="20"/>
                <w:szCs w:val="20"/>
                <w:color w:val="0000FF"/>
              </w:rPr>
              <w:t>01701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703"/>
        <w:spacing w:after="0"/>
        <w:rPr>
          <w:sz w:val="20"/>
          <w:szCs w:val="20"/>
          <w:color w:val="auto"/>
        </w:rPr>
      </w:pPr>
      <w:r>
        <w:rPr>
          <w:rFonts w:ascii="Arial" w:cs="Arial" w:eastAsia="Arial" w:hAnsi="Arial"/>
          <w:sz w:val="20"/>
          <w:szCs w:val="20"/>
          <w:color w:val="0000FF"/>
        </w:rPr>
        <w:t>Chief Product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751"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w w:val="83"/>
              </w:rPr>
              <w:t>56,944</w:t>
            </w:r>
            <w:r>
              <w:rPr>
                <w:rFonts w:ascii="Arial" w:cs="Arial" w:eastAsia="Arial" w:hAnsi="Arial"/>
                <w:sz w:val="25"/>
                <w:szCs w:val="25"/>
                <w:color w:val="008000"/>
                <w:w w:val="83"/>
                <w:vertAlign w:val="superscript"/>
              </w:rPr>
              <w:t>(1)</w:t>
            </w:r>
          </w:p>
        </w:tc>
        <w:tc>
          <w:tcPr>
            <w:tcW w:w="920" w:type="dxa"/>
            <w:vAlign w:val="bottom"/>
            <w:tcBorders>
              <w:bottom w:val="single" w:sz="8" w:color="2C2C2C"/>
            </w:tcBorders>
            <w:gridSpan w:val="2"/>
          </w:tcPr>
          <w:p>
            <w:pPr>
              <w:ind w:left="74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6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6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2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20" w:type="dxa"/>
            <w:vAlign w:val="bottom"/>
            <w:gridSpan w:val="2"/>
          </w:tcPr>
          <w:p>
            <w:pPr>
              <w:ind w:left="16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92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2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w w:val="93"/>
              </w:rPr>
              <w:t>LLC Units of AIDH Management</w:t>
            </w:r>
          </w:p>
        </w:tc>
        <w:tc>
          <w:tcPr>
            <w:tcW w:w="1280" w:type="dxa"/>
            <w:vAlign w:val="bottom"/>
            <w:gridSpan w:val="2"/>
            <w:vMerge w:val="restart"/>
          </w:tcPr>
          <w:p>
            <w:pPr>
              <w:jc w:val="right"/>
              <w:ind w:right="261"/>
              <w:spacing w:after="0"/>
              <w:rPr>
                <w:sz w:val="20"/>
                <w:szCs w:val="20"/>
                <w:color w:val="auto"/>
              </w:rPr>
            </w:pPr>
            <w:r>
              <w:rPr>
                <w:rFonts w:ascii="Arial" w:cs="Arial" w:eastAsia="Arial" w:hAnsi="Arial"/>
                <w:sz w:val="13"/>
                <w:szCs w:val="13"/>
                <w:color w:val="008000"/>
              </w:rPr>
              <w:t>(2)(3)</w:t>
            </w:r>
          </w:p>
        </w:tc>
        <w:tc>
          <w:tcPr>
            <w:tcW w:w="900" w:type="dxa"/>
            <w:vAlign w:val="bottom"/>
            <w:vMerge w:val="restart"/>
          </w:tcPr>
          <w:p>
            <w:pPr>
              <w:jc w:val="right"/>
              <w:ind w:right="229"/>
              <w:spacing w:after="0"/>
              <w:rPr>
                <w:sz w:val="20"/>
                <w:szCs w:val="20"/>
                <w:color w:val="auto"/>
              </w:rPr>
            </w:pPr>
            <w:r>
              <w:rPr>
                <w:rFonts w:ascii="Arial" w:cs="Arial" w:eastAsia="Arial" w:hAnsi="Arial"/>
                <w:sz w:val="13"/>
                <w:szCs w:val="13"/>
                <w:color w:val="008000"/>
              </w:rPr>
              <w:t>(2)(3)</w:t>
            </w:r>
          </w:p>
        </w:tc>
        <w:tc>
          <w:tcPr>
            <w:tcW w:w="1720" w:type="dxa"/>
            <w:vAlign w:val="bottom"/>
          </w:tcPr>
          <w:p>
            <w:pPr>
              <w:jc w:val="center"/>
              <w:spacing w:after="0"/>
              <w:rPr>
                <w:sz w:val="20"/>
                <w:szCs w:val="20"/>
                <w:color w:val="auto"/>
              </w:rPr>
            </w:pPr>
            <w:r>
              <w:rPr>
                <w:rFonts w:ascii="Arial" w:cs="Arial" w:eastAsia="Arial" w:hAnsi="Arial"/>
                <w:sz w:val="20"/>
                <w:szCs w:val="20"/>
                <w:color w:val="0000FF"/>
                <w:w w:val="89"/>
              </w:rPr>
              <w:t>Class A common</w:t>
            </w:r>
          </w:p>
        </w:tc>
        <w:tc>
          <w:tcPr>
            <w:tcW w:w="880" w:type="dxa"/>
            <w:vAlign w:val="bottom"/>
            <w:vMerge w:val="restart"/>
          </w:tcPr>
          <w:p>
            <w:pPr>
              <w:ind w:left="160"/>
              <w:spacing w:after="0"/>
              <w:rPr>
                <w:sz w:val="20"/>
                <w:szCs w:val="20"/>
                <w:color w:val="auto"/>
              </w:rPr>
            </w:pPr>
            <w:r>
              <w:rPr>
                <w:rFonts w:ascii="Arial" w:cs="Arial" w:eastAsia="Arial" w:hAnsi="Arial"/>
                <w:sz w:val="20"/>
                <w:szCs w:val="20"/>
                <w:color w:val="0000FF"/>
                <w:w w:val="96"/>
              </w:rPr>
              <w:t>438,510</w:t>
            </w:r>
          </w:p>
        </w:tc>
        <w:tc>
          <w:tcPr>
            <w:tcW w:w="40" w:type="dxa"/>
            <w:vAlign w:val="bottom"/>
          </w:tcPr>
          <w:p>
            <w:pPr>
              <w:spacing w:after="0"/>
              <w:rPr>
                <w:sz w:val="24"/>
                <w:szCs w:val="24"/>
                <w:color w:val="auto"/>
              </w:rPr>
            </w:pPr>
          </w:p>
        </w:tc>
        <w:tc>
          <w:tcPr>
            <w:tcW w:w="940" w:type="dxa"/>
            <w:vAlign w:val="bottom"/>
            <w:vMerge w:val="restart"/>
          </w:tcPr>
          <w:p>
            <w:pPr>
              <w:ind w:left="320"/>
              <w:spacing w:after="0"/>
              <w:rPr>
                <w:sz w:val="20"/>
                <w:szCs w:val="20"/>
                <w:color w:val="auto"/>
              </w:rPr>
            </w:pPr>
            <w:r>
              <w:rPr>
                <w:rFonts w:ascii="Arial" w:cs="Arial" w:eastAsia="Arial" w:hAnsi="Arial"/>
                <w:sz w:val="13"/>
                <w:szCs w:val="13"/>
                <w:color w:val="008000"/>
              </w:rPr>
              <w:t>(2)(3)</w:t>
            </w:r>
          </w:p>
        </w:tc>
        <w:tc>
          <w:tcPr>
            <w:tcW w:w="94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Holdings, LLC</w:t>
            </w:r>
          </w:p>
        </w:tc>
        <w:tc>
          <w:tcPr>
            <w:tcW w:w="128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Arial" w:cs="Arial" w:eastAsia="Arial" w:hAnsi="Arial"/>
                <w:sz w:val="20"/>
                <w:szCs w:val="20"/>
                <w:color w:val="0000FF"/>
                <w:w w:val="85"/>
              </w:rPr>
              <w:t>stock</w:t>
            </w:r>
          </w:p>
        </w:tc>
        <w:tc>
          <w:tcPr>
            <w:tcW w:w="8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8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restricted stock units subject to time-based vesting, 25% of which vest on the first anniversary of the date of grant, and the remaining 75% of which vest in substantially equal installments at the end of each three-month period measured from the first anniversary of the date of grant for a period of 36 months, subject to the Reporting Person's continued service with the Issuer and the terms of the applicable award agreement.</w:t>
      </w:r>
    </w:p>
    <w:p>
      <w:pPr>
        <w:spacing w:after="0" w:line="35" w:lineRule="exact"/>
        <w:rPr>
          <w:rFonts w:ascii="Arial" w:cs="Arial" w:eastAsia="Arial" w:hAnsi="Arial"/>
          <w:sz w:val="15"/>
          <w:szCs w:val="15"/>
          <w:color w:val="008000"/>
        </w:rPr>
      </w:pPr>
    </w:p>
    <w:p>
      <w:pPr>
        <w:ind w:left="40" w:right="200" w:firstLine="5"/>
        <w:spacing w:after="0" w:line="236"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AIDH Management Holdings, LLC ("Management Holdings") is a special purpose investment vehicle through which interests in AIDH Topco, LLC are indirectly owned. Certain unvested awards vest in equal installments on each of the first, second and third anniversaries of the Issuer's initial public offering, and the remainder of the unvested awards continue to vest pursuant to a four-year annual vesting schedule. Once vested the Reporting Person may exchange LLC Units of Management Holdings for LLC Units of AIDH Topco, LLC on a one-for-one basis, which are exchanged for shares of Class A common stock of the Issuer on a one-for-one basis, subject to certain exceptions, conditions and adjustments. The LLC Units of Management Holdings have no expiration date.</w:t>
      </w:r>
    </w:p>
    <w:p>
      <w:pPr>
        <w:spacing w:after="0" w:line="37" w:lineRule="exact"/>
        <w:rPr>
          <w:rFonts w:ascii="Arial" w:cs="Arial" w:eastAsia="Arial" w:hAnsi="Arial"/>
          <w:sz w:val="15"/>
          <w:szCs w:val="15"/>
          <w:color w:val="008000"/>
        </w:rPr>
      </w:pPr>
    </w:p>
    <w:p>
      <w:pPr>
        <w:ind w:left="40" w:right="160" w:firstLine="5"/>
        <w:spacing w:after="0" w:line="283"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(Continued form Footnote 2) At the time of any such exchange, an equal number of shares of Class B Common Stock of the Issuer held by the Reporting Person, which have no economic value and entitle holders thereof to one vote per share on all matters on which stockholders of the Issuer are entitled to vote generally, are cancelled.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38"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By: /s/ David Samuels, as</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09/15/2021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751"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936"/>
        <w:spacing w:after="0" w:line="271"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Jason Krantz, Richard Booth and David Samuels of Definitive Healthcare Corp. (the "Company") or any of them signing singly, and with full power of substitution, the undersigned's true and lawful attorney-in-fact to:</w:t>
      </w:r>
    </w:p>
    <w:p>
      <w:pPr>
        <w:spacing w:after="0" w:line="205" w:lineRule="exact"/>
        <w:rPr>
          <w:sz w:val="20"/>
          <w:szCs w:val="20"/>
          <w:color w:val="auto"/>
        </w:rPr>
      </w:pPr>
    </w:p>
    <w:p>
      <w:pPr>
        <w:ind w:left="1520" w:right="619" w:hanging="584"/>
        <w:spacing w:after="0" w:line="268" w:lineRule="auto"/>
        <w:tabs>
          <w:tab w:leader="none" w:pos="15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6" w:lineRule="exact"/>
        <w:rPr>
          <w:rFonts w:ascii="Courier New" w:cs="Courier New" w:eastAsia="Courier New" w:hAnsi="Courier New"/>
          <w:sz w:val="18"/>
          <w:szCs w:val="18"/>
          <w:color w:val="auto"/>
        </w:rPr>
      </w:pPr>
    </w:p>
    <w:p>
      <w:pPr>
        <w:ind w:left="1520" w:right="739" w:hanging="584"/>
        <w:spacing w:after="0" w:line="237"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230" w:lineRule="exact"/>
        <w:rPr>
          <w:rFonts w:ascii="Courier New" w:cs="Courier New" w:eastAsia="Courier New" w:hAnsi="Courier New"/>
          <w:sz w:val="20"/>
          <w:szCs w:val="20"/>
          <w:color w:val="auto"/>
        </w:rPr>
      </w:pPr>
    </w:p>
    <w:p>
      <w:pPr>
        <w:ind w:left="1520" w:right="619" w:hanging="584"/>
        <w:spacing w:after="0" w:line="237"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233" w:lineRule="exact"/>
        <w:rPr>
          <w:rFonts w:ascii="Courier New" w:cs="Courier New" w:eastAsia="Courier New" w:hAnsi="Courier New"/>
          <w:sz w:val="20"/>
          <w:szCs w:val="20"/>
          <w:color w:val="auto"/>
        </w:rPr>
      </w:pPr>
    </w:p>
    <w:p>
      <w:pPr>
        <w:ind w:left="1520" w:right="619" w:hanging="584"/>
        <w:spacing w:after="0" w:line="237"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231"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13th day of August, 2021.</w:t>
      </w:r>
    </w:p>
    <w:p>
      <w:pPr>
        <w:spacing w:after="0" w:line="200" w:lineRule="exact"/>
        <w:rPr>
          <w:sz w:val="20"/>
          <w:szCs w:val="20"/>
          <w:color w:val="auto"/>
        </w:rPr>
      </w:pPr>
    </w:p>
    <w:p>
      <w:pPr>
        <w:spacing w:after="0" w:line="249"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By: /s/ Kate Shamsuddin</w:t>
      </w:r>
    </w:p>
    <w:p>
      <w:pPr>
        <w:spacing w:after="0" w:line="5" w:lineRule="exact"/>
        <w:rPr>
          <w:sz w:val="20"/>
          <w:szCs w:val="20"/>
          <w:color w:val="auto"/>
        </w:rPr>
      </w:pPr>
    </w:p>
    <w:p>
      <w:pPr>
        <w:ind w:left="468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Name: Kate Shamsuddin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8756" TargetMode="External"/><Relationship Id="rId11"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2021-09-15T19:21:58Z</dcterms:created>
  <dcterms:modified xsi:type="dcterms:W3CDTF">2021-09-15T19:21:58Z</dcterms:modified>
</cp:coreProperties>
</file>