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1180"/>
        <w:gridCol w:w="439"/>
        <w:gridCol w:w="601"/>
        <w:gridCol w:w="1257"/>
        <w:gridCol w:w="977"/>
        <w:gridCol w:w="91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1,735,437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5,291,989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$0.001, with 25% of the RSUs vesting on March 1, 2027, followed by vesting of 6.25% every three months thereafter over the subsequent three years, subject to the Reporting Person's continued service with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2728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3441</Characters>
  <CharactersWithSpaces>4012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