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dh-20230504.htm"/>
      <w:bookmarkStart w:id="1" w:name="ksdh20230504"/>
      <w:bookmarkEnd w:id="0"/>
      <w:bookmarkEnd w:id="1"/>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spacing w:before="120" w:after="0"/>
        <w:jc w:val="center"/>
        <w:rPr>
          <w:rFonts w:ascii="Times New Roman;serif" w:hAnsi="Times New Roman;serif"/>
          <w:b/>
          <w:sz w:val="34"/>
        </w:rPr>
      </w:pPr>
      <w:r>
        <w:rPr>
          <w:rFonts w:ascii="Times New Roman;serif" w:hAnsi="Times New Roman;serif"/>
          <w:b/>
          <w:sz w:val="34"/>
        </w:rPr>
        <w:t>FORM 8-K</w:t>
      </w:r>
    </w:p>
    <w:p>
      <w:pPr>
        <w:pStyle w:val="TextBody"/>
        <w:pBdr>
          <w:bottom w:val="single" w:sz="6" w:space="1" w:color="000000"/>
        </w:pBdr>
        <w:spacing w:before="0" w:after="0"/>
        <w:jc w:val="center"/>
        <w:rPr/>
      </w:pPr>
      <w:r>
        <w:rPr/>
        <w:t> </w:t>
      </w:r>
    </w:p>
    <w:p>
      <w:pPr>
        <w:pStyle w:val="TextBody"/>
        <w:spacing w:before="120" w:after="0"/>
        <w:jc w:val="center"/>
        <w:rPr>
          <w:rFonts w:ascii="Times New Roman;serif" w:hAnsi="Times New Roman;serif"/>
          <w:b/>
          <w:sz w:val="24"/>
        </w:rPr>
      </w:pPr>
      <w:r>
        <w:rPr>
          <w:rFonts w:ascii="Times New Roman;serif" w:hAnsi="Times New Roman;serif"/>
          <w:b/>
          <w:sz w:val="24"/>
        </w:rPr>
        <w:t>Current Report</w:t>
      </w:r>
    </w:p>
    <w:p>
      <w:pPr>
        <w:pStyle w:val="TextBody"/>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spacing w:before="0" w:after="0"/>
        <w:jc w:val="center"/>
        <w:rPr>
          <w:rFonts w:ascii="Times New Roman;serif" w:hAnsi="Times New Roman;serif"/>
          <w:b/>
          <w:sz w:val="24"/>
        </w:rPr>
      </w:pPr>
      <w:r>
        <w:rPr>
          <w:rFonts w:ascii="Times New Roman;serif" w:hAnsi="Times New Roman;serif"/>
          <w:b/>
          <w:sz w:val="24"/>
        </w:rPr>
        <w:t>of the Securities Exchange Act of 1934</w:t>
      </w:r>
    </w:p>
    <w:p>
      <w:pPr>
        <w:pStyle w:val="TextBody"/>
        <w:spacing w:before="120" w:after="0"/>
        <w:jc w:val="center"/>
        <w:rPr>
          <w:rFonts w:ascii="Times New Roman;serif" w:hAnsi="Times New Roman;serif"/>
          <w:b/>
          <w:sz w:val="24"/>
        </w:rPr>
      </w:pPr>
      <w:r>
        <w:rPr>
          <w:rFonts w:ascii="Times New Roman;serif" w:hAnsi="Times New Roman;serif"/>
          <w:b/>
          <w:sz w:val="24"/>
        </w:rPr>
        <w:t>Date of Report (Date of earliest event reported):</w:t>
      </w:r>
    </w:p>
    <w:p>
      <w:pPr>
        <w:pStyle w:val="TextBody"/>
        <w:spacing w:before="0" w:after="0"/>
        <w:jc w:val="center"/>
        <w:rPr>
          <w:rFonts w:ascii="Times New Roman;serif" w:hAnsi="Times New Roman;serif"/>
          <w:b/>
          <w:sz w:val="24"/>
        </w:rPr>
      </w:pPr>
      <w:r>
        <w:rPr>
          <w:rFonts w:ascii="Times New Roman;serif" w:hAnsi="Times New Roman;serif"/>
          <w:b/>
          <w:sz w:val="24"/>
        </w:rPr>
        <w:t>May 4, 2023</w:t>
      </w:r>
    </w:p>
    <w:p>
      <w:pPr>
        <w:pStyle w:val="TextBody"/>
        <w:pBdr>
          <w:top w:val="single" w:sz="6" w:space="1" w:color="000000"/>
        </w:pBdr>
        <w:spacing w:before="240" w:after="0"/>
        <w:jc w:val="center"/>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Definitive Healthcare Corp.</w:t>
      </w:r>
    </w:p>
    <w:p>
      <w:pPr>
        <w:pStyle w:val="TextBody"/>
        <w:spacing w:before="0" w:after="0"/>
        <w:jc w:val="center"/>
        <w:rPr>
          <w:rFonts w:ascii="Times New Roman;serif" w:hAnsi="Times New Roman;serif"/>
          <w:b/>
          <w:sz w:val="15"/>
        </w:rPr>
      </w:pPr>
      <w:r>
        <w:rPr>
          <w:rFonts w:ascii="Times New Roman;serif" w:hAnsi="Times New Roman;serif"/>
          <w:b/>
          <w:sz w:val="15"/>
        </w:rPr>
        <w:t>(Exact name of Registrant as Specified in Its Charter)</w:t>
      </w:r>
    </w:p>
    <w:tbl>
      <w:tblPr>
        <w:tblW w:w="5703" w:type="dxa"/>
        <w:jc w:val="left"/>
        <w:tblInd w:w="0" w:type="dxa"/>
        <w:tblCellMar>
          <w:top w:w="28" w:type="dxa"/>
          <w:left w:w="28" w:type="dxa"/>
          <w:bottom w:w="28" w:type="dxa"/>
          <w:right w:w="28" w:type="dxa"/>
        </w:tblCellMar>
      </w:tblPr>
      <w:tblGrid>
        <w:gridCol w:w="1231"/>
        <w:gridCol w:w="3136"/>
        <w:gridCol w:w="1336"/>
      </w:tblGrid>
      <w:tr>
        <w:trPr/>
        <w:tc>
          <w:tcPr>
            <w:tcW w:w="1231" w:type="dxa"/>
            <w:tcBorders/>
            <w:shd w:fill="auto" w:val="clear"/>
            <w:vAlign w:val="center"/>
          </w:tcPr>
          <w:p>
            <w:pPr>
              <w:pStyle w:val="TableContents"/>
              <w:spacing w:before="0" w:after="283"/>
              <w:rPr>
                <w:sz w:val="4"/>
                <w:szCs w:val="4"/>
              </w:rPr>
            </w:pPr>
            <w:r>
              <w:rPr>
                <w:sz w:val="4"/>
                <w:szCs w:val="4"/>
              </w:rPr>
            </w:r>
          </w:p>
        </w:tc>
        <w:tc>
          <w:tcPr>
            <w:tcW w:w="3136"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r>
      <w:tr>
        <w:trPr/>
        <w:tc>
          <w:tcPr>
            <w:tcW w:w="5703" w:type="dxa"/>
            <w:gridSpan w:val="3"/>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Commission File Number 1-40815</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31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86-3988281</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(State</w:t>
              <w:br/>
              <w:t>of Incorporation)</w:t>
            </w:r>
          </w:p>
        </w:tc>
        <w:tc>
          <w:tcPr>
            <w:tcW w:w="31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492 Old Connecticut Path, Suite 401</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Framingham, Massachusetts</w:t>
            </w:r>
            <w:r>
              <w:rPr>
                <w:rFonts w:ascii="Times New Roman" w:hAnsi="Times New Roman"/>
                <w:sz w:val="20"/>
              </w:rPr>
              <w:t xml:space="preserve"> </w:t>
            </w:r>
            <w:r>
              <w:rPr>
                <w:rFonts w:ascii="Times New Roman;serif" w:hAnsi="Times New Roman;serif"/>
                <w:b/>
                <w:sz w:val="20"/>
              </w:rPr>
              <w:t>01701</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23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15"/>
              </w:rPr>
              <w:t>(Address of Principal Executive Offices)</w:t>
            </w:r>
            <w:r>
              <w:rPr>
                <w:rFonts w:ascii="Times New Roman" w:hAnsi="Times New Roman"/>
                <w:sz w:val="20"/>
              </w:rPr>
              <w:t xml:space="preserve"> </w:t>
            </w:r>
          </w:p>
        </w:tc>
        <w:tc>
          <w:tcPr>
            <w:tcW w:w="13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bl>
    <w:tbl>
      <w:tblPr>
        <w:tblW w:w="3511" w:type="dxa"/>
        <w:jc w:val="left"/>
        <w:tblInd w:w="0" w:type="dxa"/>
        <w:tblCellMar>
          <w:top w:w="28" w:type="dxa"/>
          <w:left w:w="28" w:type="dxa"/>
          <w:bottom w:w="28" w:type="dxa"/>
          <w:right w:w="28" w:type="dxa"/>
        </w:tblCellMar>
      </w:tblPr>
      <w:tblGrid>
        <w:gridCol w:w="3511"/>
      </w:tblGrid>
      <w:tr>
        <w:trPr/>
        <w:tc>
          <w:tcPr>
            <w:tcW w:w="351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508</w:t>
            </w:r>
            <w:r>
              <w:rPr>
                <w:rFonts w:ascii="Times New Roman" w:hAnsi="Times New Roman"/>
                <w:sz w:val="20"/>
              </w:rPr>
              <w:t xml:space="preserve"> </w:t>
            </w:r>
            <w:r>
              <w:rPr>
                <w:rFonts w:ascii="Times New Roman;serif" w:hAnsi="Times New Roman;serif"/>
                <w:b/>
                <w:sz w:val="20"/>
              </w:rPr>
              <w:t>720-4224</w:t>
            </w:r>
          </w:p>
        </w:tc>
      </w:tr>
      <w:tr>
        <w:trPr/>
        <w:tc>
          <w:tcPr>
            <w:tcW w:w="351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Registrant’s telephone number, including area code</w:t>
            </w:r>
          </w:p>
        </w:tc>
      </w:tr>
    </w:tbl>
    <w:tbl>
      <w:tblPr>
        <w:tblW w:w="1426" w:type="dxa"/>
        <w:jc w:val="left"/>
        <w:tblInd w:w="0" w:type="dxa"/>
        <w:tblCellMar>
          <w:top w:w="28" w:type="dxa"/>
          <w:left w:w="28" w:type="dxa"/>
          <w:bottom w:w="28" w:type="dxa"/>
          <w:right w:w="28" w:type="dxa"/>
        </w:tblCellMar>
      </w:tblPr>
      <w:tblGrid>
        <w:gridCol w:w="1426"/>
      </w:tblGrid>
      <w:tr>
        <w:trPr/>
        <w:tc>
          <w:tcPr>
            <w:tcW w:w="1426"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Not Applicable</w:t>
            </w:r>
          </w:p>
        </w:tc>
      </w:tr>
    </w:tbl>
    <w:p>
      <w:pPr>
        <w:pStyle w:val="TextBody"/>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spacing w:before="200"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spacing w:before="0" w:after="60"/>
        <w:jc w:val="left"/>
        <w:rPr/>
      </w:pPr>
      <w:r>
        <w:rPr/>
        <w:t xml:space="preserve">☐ </w:t>
      </w:r>
      <w:r>
        <w:rPr>
          <w:rFonts w:ascii="Times New Roman;serif" w:hAnsi="Times New Roman;serif"/>
          <w:b w:val="false"/>
          <w:sz w:val="20"/>
        </w:rPr>
        <w:t>Written communications pursuant to Rule 425 under the Securities Act (17 CFR 230.425)</w:t>
      </w:r>
    </w:p>
    <w:p>
      <w:pPr>
        <w:pStyle w:val="TextBody"/>
        <w:spacing w:before="0" w:after="60"/>
        <w:jc w:val="left"/>
        <w:rPr/>
      </w:pPr>
      <w:r>
        <w:rPr/>
        <w:t xml:space="preserve">☐ </w:t>
      </w:r>
      <w:r>
        <w:rPr>
          <w:rFonts w:ascii="Times New Roman;serif" w:hAnsi="Times New Roman;serif"/>
          <w:b w:val="false"/>
          <w:sz w:val="20"/>
        </w:rPr>
        <w:t>Soliciting material pursuant to Rule 14a-12 under the Exchange Act (17 CFR 240.14a-12)</w:t>
      </w:r>
    </w:p>
    <w:p>
      <w:pPr>
        <w:pStyle w:val="TextBody"/>
        <w:spacing w:before="0" w:after="60"/>
        <w:jc w:val="left"/>
        <w:rPr/>
      </w:pPr>
      <w:r>
        <w:rPr/>
        <w:t xml:space="preserve">☐ </w:t>
      </w:r>
      <w:r>
        <w:rPr>
          <w:rFonts w:ascii="Times New Roman;serif" w:hAnsi="Times New Roman;serif"/>
          <w:b w:val="false"/>
          <w:sz w:val="20"/>
        </w:rPr>
        <w:t>Pre-commencement communications pursuant to Rule 14d-2(b) under the Exchange Act (17 CFR 240.14d-2(b))</w:t>
      </w:r>
    </w:p>
    <w:p>
      <w:pPr>
        <w:pStyle w:val="TextBody"/>
        <w:spacing w:before="0" w:after="60"/>
        <w:jc w:val="left"/>
        <w:rPr/>
      </w:pPr>
      <w:r>
        <w:rPr/>
        <w:t xml:space="preserve">☐ </w:t>
      </w:r>
      <w:r>
        <w:rPr>
          <w:rFonts w:ascii="Times New Roman;serif" w:hAnsi="Times New Roman;serif"/>
          <w:b w:val="false"/>
          <w:sz w:val="20"/>
        </w:rPr>
        <w:t>Pre-commencement communications pursuant to Rule 13e-4(c) under the Exchange Act (17 CFR 240.13e-4(c))</w:t>
      </w:r>
    </w:p>
    <w:p>
      <w:pPr>
        <w:pStyle w:val="TextBody"/>
        <w:spacing w:before="160" w:after="16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tbl>
      <w:tblPr>
        <w:tblW w:w="7586" w:type="dxa"/>
        <w:jc w:val="left"/>
        <w:tblInd w:w="0" w:type="dxa"/>
        <w:tblCellMar>
          <w:top w:w="28" w:type="dxa"/>
          <w:left w:w="28" w:type="dxa"/>
          <w:bottom w:w="28" w:type="dxa"/>
          <w:right w:w="28" w:type="dxa"/>
        </w:tblCellMar>
      </w:tblPr>
      <w:tblGrid>
        <w:gridCol w:w="3601"/>
        <w:gridCol w:w="109"/>
        <w:gridCol w:w="646"/>
        <w:gridCol w:w="109"/>
        <w:gridCol w:w="3121"/>
      </w:tblGrid>
      <w:tr>
        <w:trPr/>
        <w:tc>
          <w:tcPr>
            <w:tcW w:w="36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1" w:type="dxa"/>
            <w:tcBorders/>
            <w:shd w:fill="auto" w:val="clear"/>
            <w:vAlign w:val="center"/>
          </w:tcPr>
          <w:p>
            <w:pPr>
              <w:pStyle w:val="TableContents"/>
              <w:spacing w:before="0" w:after="283"/>
              <w:rPr>
                <w:sz w:val="4"/>
                <w:szCs w:val="4"/>
              </w:rPr>
            </w:pPr>
            <w:r>
              <w:rPr>
                <w:sz w:val="4"/>
                <w:szCs w:val="4"/>
              </w:rPr>
            </w:r>
          </w:p>
        </w:tc>
      </w:tr>
      <w:tr>
        <w:trPr/>
        <w:tc>
          <w:tcPr>
            <w:tcW w:w="36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Title of Each Class</w:t>
            </w:r>
          </w:p>
        </w:tc>
        <w:tc>
          <w:tcPr>
            <w:tcW w:w="109"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64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Trading</w:t>
              <w:br/>
              <w:t>Symbol</w:t>
            </w:r>
          </w:p>
        </w:tc>
        <w:tc>
          <w:tcPr>
            <w:tcW w:w="109"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12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5"/>
              </w:rPr>
            </w:pPr>
            <w:r>
              <w:rPr>
                <w:rFonts w:ascii="Times New Roman;serif" w:hAnsi="Times New Roman;serif"/>
                <w:b/>
                <w:sz w:val="15"/>
              </w:rPr>
              <w:t>Name of Each Exchange on Which Registered</w:t>
            </w:r>
          </w:p>
        </w:tc>
      </w:tr>
      <w:tr>
        <w:trPr/>
        <w:tc>
          <w:tcPr>
            <w:tcW w:w="36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A Common Stock, $0.001 par value</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6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DH</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2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tc>
      </w:tr>
    </w:tbl>
    <w:p>
      <w:pPr>
        <w:pStyle w:val="TextBody"/>
        <w:spacing w:before="16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spacing w:before="16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240" w:after="240"/>
        <w:jc w:val="left"/>
        <w:rPr>
          <w:rFonts w:ascii="Times New Roman" w:hAnsi="Times New Roman"/>
          <w:sz w:val="20"/>
        </w:rPr>
      </w:pPr>
      <w:r>
        <w:rPr>
          <w:rFonts w:ascii="Times New Roman;serif" w:hAnsi="Times New Roman;serif"/>
          <w:b w:val="false"/>
          <w:sz w:val="2"/>
        </w:rPr>
        <w:br/>
      </w:r>
      <w:r>
        <w:rPr>
          <w:rFonts w:ascii="Times New Roman" w:hAnsi="Times New Roman"/>
          <w:sz w:val="20"/>
        </w:rPr>
        <w:t> </w:t>
      </w:r>
    </w:p>
    <w:p>
      <w:pPr>
        <w:pStyle w:val="HorizontalLine"/>
        <w:rPr/>
      </w:pPr>
      <w:r>
        <w:rPr/>
      </w:r>
    </w:p>
    <w:p>
      <w:pPr>
        <w:pStyle w:val="TextBody"/>
        <w:spacing w:before="240" w:after="240"/>
        <w:jc w:val="both"/>
        <w:rPr>
          <w:rFonts w:ascii="Times New Roman;serif" w:hAnsi="Times New Roman;serif"/>
          <w:b/>
          <w:sz w:val="20"/>
        </w:rPr>
      </w:pPr>
      <w:r>
        <w:rPr>
          <w:rFonts w:ascii="Times New Roman;serif" w:hAnsi="Times New Roman;serif"/>
          <w:b/>
          <w:sz w:val="20"/>
        </w:rPr>
        <w:t>Item 2.02 Results of Operations and Financial Condition.</w:t>
      </w:r>
    </w:p>
    <w:p>
      <w:pPr>
        <w:pStyle w:val="TextBody"/>
        <w:spacing w:before="0" w:after="240"/>
        <w:jc w:val="both"/>
        <w:rPr>
          <w:rFonts w:ascii="Times New Roman" w:hAnsi="Times New Roman"/>
          <w:sz w:val="20"/>
        </w:rPr>
      </w:pPr>
      <w:r>
        <w:rPr>
          <w:rFonts w:ascii="Times New Roman;serif" w:hAnsi="Times New Roman;serif"/>
          <w:b w:val="false"/>
          <w:sz w:val="20"/>
        </w:rPr>
        <w:t>On May 4, 2023, Definitive Healthcare Corp. (the “Company”) issued a press release announcing its financial results for the first quarter ended March 31, 2023. A copy of the press release is furnished as Exhibit 99.1 to this Current Report on Form 8-K and is incorporated by reference herein.</w:t>
      </w:r>
      <w:r>
        <w:rPr>
          <w:rFonts w:ascii="Times New Roman" w:hAnsi="Times New Roman"/>
          <w:sz w:val="20"/>
        </w:rPr>
        <w:t xml:space="preserve"> </w:t>
      </w:r>
    </w:p>
    <w:p>
      <w:pPr>
        <w:pStyle w:val="TextBody"/>
        <w:spacing w:before="0" w:after="240"/>
        <w:jc w:val="both"/>
        <w:rPr>
          <w:rFonts w:ascii="Times New Roman;serif" w:hAnsi="Times New Roman;serif"/>
          <w:b w:val="false"/>
          <w:sz w:val="20"/>
        </w:rPr>
      </w:pPr>
      <w:r>
        <w:rPr>
          <w:rFonts w:ascii="Times New Roman;serif" w:hAnsi="Times New Roman;serif"/>
          <w:b w:val="false"/>
          <w:sz w:val="20"/>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pStyle w:val="TextBody"/>
        <w:spacing w:before="0" w:after="240"/>
        <w:jc w:val="both"/>
        <w:rPr>
          <w:rFonts w:ascii="Times New Roman;serif" w:hAnsi="Times New Roman;serif"/>
          <w:b/>
          <w:sz w:val="20"/>
        </w:rPr>
      </w:pPr>
      <w:r>
        <w:rPr>
          <w:rFonts w:ascii="Times New Roman;serif" w:hAnsi="Times New Roman;serif"/>
          <w:b/>
          <w:sz w:val="20"/>
        </w:rPr>
        <w:t>Item 9.01 Financial Statements and Exhibits.</w:t>
      </w:r>
    </w:p>
    <w:p>
      <w:pPr>
        <w:pStyle w:val="TextBody"/>
        <w:spacing w:before="240" w:after="240"/>
        <w:jc w:val="both"/>
        <w:rPr>
          <w:rFonts w:ascii="Times New Roman;serif" w:hAnsi="Times New Roman;serif"/>
          <w:b w:val="false"/>
          <w:sz w:val="20"/>
        </w:rPr>
      </w:pPr>
      <w:r>
        <w:rPr>
          <w:rFonts w:ascii="Times New Roman;serif" w:hAnsi="Times New Roman;serif"/>
          <w:b w:val="false"/>
          <w:sz w:val="20"/>
        </w:rPr>
        <w:t>(d) Exhibits.</w:t>
      </w:r>
    </w:p>
    <w:tbl>
      <w:tblPr>
        <w:tblW w:w="7127" w:type="dxa"/>
        <w:jc w:val="left"/>
        <w:tblInd w:w="0" w:type="dxa"/>
        <w:tblCellMar>
          <w:top w:w="28" w:type="dxa"/>
          <w:left w:w="28" w:type="dxa"/>
          <w:bottom w:w="28" w:type="dxa"/>
          <w:right w:w="28" w:type="dxa"/>
        </w:tblCellMar>
      </w:tblPr>
      <w:tblGrid>
        <w:gridCol w:w="481"/>
        <w:gridCol w:w="6646"/>
      </w:tblGrid>
      <w:tr>
        <w:trPr/>
        <w:tc>
          <w:tcPr>
            <w:tcW w:w="481" w:type="dxa"/>
            <w:tcBorders/>
            <w:shd w:fill="auto" w:val="clear"/>
            <w:vAlign w:val="center"/>
          </w:tcPr>
          <w:p>
            <w:pPr>
              <w:pStyle w:val="TableContents"/>
              <w:spacing w:before="0" w:after="283"/>
              <w:rPr>
                <w:sz w:val="4"/>
                <w:szCs w:val="4"/>
              </w:rPr>
            </w:pPr>
            <w:r>
              <w:rPr>
                <w:sz w:val="4"/>
                <w:szCs w:val="4"/>
              </w:rPr>
            </w:r>
          </w:p>
        </w:tc>
        <w:tc>
          <w:tcPr>
            <w:tcW w:w="6646" w:type="dxa"/>
            <w:tcBorders/>
            <w:shd w:fill="auto" w:val="clear"/>
            <w:vAlign w:val="center"/>
          </w:tcPr>
          <w:p>
            <w:pPr>
              <w:pStyle w:val="TableContents"/>
              <w:spacing w:before="0" w:after="283"/>
              <w:rPr>
                <w:sz w:val="4"/>
                <w:szCs w:val="4"/>
              </w:rPr>
            </w:pPr>
            <w:r>
              <w:rPr>
                <w:sz w:val="4"/>
                <w:szCs w:val="4"/>
              </w:rPr>
            </w:r>
          </w:p>
        </w:tc>
      </w:tr>
      <w:tr>
        <w:trPr/>
        <w:tc>
          <w:tcPr>
            <w:tcW w:w="4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66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dh-ex99_1.htm">
              <w:r>
                <w:rPr>
                  <w:rStyle w:val="InternetLink"/>
                  <w:rFonts w:ascii="Times New Roman;serif" w:hAnsi="Times New Roman;serif"/>
                  <w:b w:val="false"/>
                  <w:sz w:val="20"/>
                  <w:u w:val="single"/>
                </w:rPr>
                <w:t>Press Release Dated May 4, 2023 (furnished herewith pursuant to Item 2.02)</w:t>
              </w:r>
            </w:hyperlink>
          </w:p>
        </w:tc>
      </w:tr>
      <w:tr>
        <w:trPr/>
        <w:tc>
          <w:tcPr>
            <w:tcW w:w="4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66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SIGNATURES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3150" w:type="dxa"/>
        <w:jc w:val="left"/>
        <w:tblInd w:w="0" w:type="dxa"/>
        <w:tblCellMar>
          <w:top w:w="28" w:type="dxa"/>
          <w:left w:w="28" w:type="dxa"/>
          <w:bottom w:w="28" w:type="dxa"/>
          <w:right w:w="28" w:type="dxa"/>
        </w:tblCellMar>
      </w:tblPr>
      <w:tblGrid>
        <w:gridCol w:w="726"/>
        <w:gridCol w:w="2210"/>
        <w:gridCol w:w="214"/>
      </w:tblGrid>
      <w:tr>
        <w:trPr/>
        <w:tc>
          <w:tcPr>
            <w:tcW w:w="726"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HEALTHCARE CORP.</w:t>
            </w:r>
          </w:p>
        </w:tc>
      </w:tr>
      <w:tr>
        <w:trPr/>
        <w:tc>
          <w:tcPr>
            <w:tcW w:w="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1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Richard Booth</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221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221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7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1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 w:name="dh-ex99_1.htm"/>
      <w:bookmarkStart w:id="3" w:name="ksdhex99_1"/>
      <w:bookmarkEnd w:id="2"/>
      <w:bookmarkEnd w:id="3"/>
      <w:r>
        <w:rPr/>
        <w:t> </w:t>
      </w:r>
    </w:p>
    <w:p>
      <w:pPr>
        <w:pStyle w:val="TextBody"/>
        <w:spacing w:before="0" w:after="0"/>
        <w:jc w:val="right"/>
        <w:rPr>
          <w:rFonts w:ascii="Arial;sans-serif" w:hAnsi="Arial;sans-serif"/>
          <w:b/>
          <w:sz w:val="22"/>
        </w:rPr>
      </w:pPr>
      <w:r>
        <w:rPr>
          <w:rFonts w:ascii="Arial;sans-serif" w:hAnsi="Arial;sans-serif"/>
          <w:b/>
          <w:sz w:val="22"/>
        </w:rPr>
        <w:t>Exhibit 99.1</w:t>
      </w:r>
    </w:p>
    <w:p>
      <w:pPr>
        <w:pStyle w:val="TextBody"/>
        <w:spacing w:before="0" w:after="0"/>
        <w:jc w:val="center"/>
        <w:rPr/>
      </w:pPr>
      <w:r>
        <w:rPr/>
        <w:t> </w:t>
      </w:r>
    </w:p>
    <w:p>
      <w:pPr>
        <w:pStyle w:val="TextBody"/>
        <w:spacing w:before="0" w:after="120"/>
        <w:jc w:val="center"/>
        <w:rPr>
          <w:rFonts w:ascii="Arial;sans-serif" w:hAnsi="Arial;sans-serif"/>
          <w:b/>
          <w:sz w:val="22"/>
        </w:rPr>
      </w:pPr>
      <w:r>
        <w:rPr>
          <w:rFonts w:ascii="Arial;sans-serif" w:hAnsi="Arial;sans-serif"/>
          <w:b/>
          <w:sz w:val="22"/>
        </w:rPr>
        <w:t>Definitive Healthcare Reports Financial Results for First Quarter Fiscal Year 2023</w:t>
      </w:r>
    </w:p>
    <w:p>
      <w:pPr>
        <w:pStyle w:val="TextBody"/>
        <w:spacing w:before="0" w:after="120"/>
        <w:jc w:val="center"/>
        <w:rPr>
          <w:rFonts w:ascii="Arial;sans-serif" w:hAnsi="Arial;sans-serif"/>
          <w:b w:val="false"/>
          <w:i/>
          <w:sz w:val="22"/>
        </w:rPr>
      </w:pPr>
      <w:r>
        <w:rPr>
          <w:rFonts w:ascii="Arial;sans-serif" w:hAnsi="Arial;sans-serif"/>
          <w:b w:val="false"/>
          <w:i/>
          <w:sz w:val="22"/>
        </w:rPr>
        <w:t>First quarter revenue grew 18% year-over-year to $59.2 million</w:t>
      </w:r>
    </w:p>
    <w:p>
      <w:pPr>
        <w:pStyle w:val="TextBody"/>
        <w:spacing w:before="0" w:after="120"/>
        <w:jc w:val="left"/>
        <w:rPr>
          <w:rFonts w:ascii="Times New Roman" w:hAnsi="Times New Roman"/>
          <w:sz w:val="20"/>
        </w:rPr>
      </w:pPr>
      <w:r>
        <w:rPr>
          <w:rFonts w:ascii="Arial;sans-serif" w:hAnsi="Arial;sans-serif"/>
          <w:b/>
          <w:sz w:val="22"/>
        </w:rPr>
        <w:t xml:space="preserve">Framingham, MA (May 4, 2023) – </w:t>
      </w:r>
      <w:r>
        <w:rPr>
          <w:rFonts w:ascii="Arial;sans-serif" w:hAnsi="Arial;sans-serif"/>
          <w:b w:val="false"/>
          <w:sz w:val="22"/>
        </w:rPr>
        <w:t>Definitive Healthcare Corp. (“Definitive Healthcare" or the "Company") (Nasdaq: DH), an industry leader in healthcare commercial intelligence, today announced financial results for the quarter ended March 31, 2023.</w:t>
      </w:r>
    </w:p>
    <w:p>
      <w:pPr>
        <w:pStyle w:val="TextBody"/>
        <w:spacing w:before="0" w:after="0"/>
        <w:jc w:val="both"/>
        <w:rPr>
          <w:rFonts w:ascii="Arial;sans-serif" w:hAnsi="Arial;sans-serif"/>
          <w:b/>
          <w:sz w:val="22"/>
        </w:rPr>
      </w:pPr>
      <w:r>
        <w:rPr>
          <w:rFonts w:ascii="Arial;sans-serif" w:hAnsi="Arial;sans-serif"/>
          <w:b/>
          <w:sz w:val="22"/>
        </w:rPr>
        <w:t>First Quarter 2023 Financial Highlights:</w:t>
      </w:r>
    </w:p>
    <w:p>
      <w:pPr>
        <w:pStyle w:val="TextBody"/>
        <w:spacing w:before="120" w:after="0"/>
        <w:jc w:val="left"/>
        <w:rPr/>
      </w:pPr>
      <w:r>
        <w:rPr/>
        <w:t>•</w:t>
      </w:r>
    </w:p>
    <w:p>
      <w:pPr>
        <w:pStyle w:val="TextBody"/>
        <w:spacing w:before="120" w:after="0"/>
        <w:jc w:val="left"/>
        <w:rPr/>
      </w:pPr>
      <w:r>
        <w:rPr>
          <w:rFonts w:ascii="Arial;sans-serif" w:hAnsi="Arial;sans-serif"/>
          <w:b/>
          <w:sz w:val="22"/>
        </w:rPr>
        <w:t>Revenue</w:t>
      </w:r>
      <w:r>
        <w:rPr/>
        <w:t xml:space="preserve"> </w:t>
      </w:r>
      <w:r>
        <w:rPr>
          <w:rFonts w:ascii="Arial;sans-serif" w:hAnsi="Arial;sans-serif"/>
          <w:b w:val="false"/>
          <w:sz w:val="22"/>
        </w:rPr>
        <w:t>was $59.2 million, an increase of 18% from $50.1 million in Q1 2022.</w:t>
      </w:r>
    </w:p>
    <w:p>
      <w:pPr>
        <w:pStyle w:val="TextBody"/>
        <w:spacing w:before="0" w:after="0"/>
        <w:jc w:val="both"/>
        <w:rPr/>
      </w:pPr>
      <w:r>
        <w:rPr/>
        <w:t>•</w:t>
      </w:r>
    </w:p>
    <w:p>
      <w:pPr>
        <w:pStyle w:val="TextBody"/>
        <w:spacing w:before="0" w:after="0"/>
        <w:jc w:val="both"/>
        <w:rPr/>
      </w:pPr>
      <w:r>
        <w:rPr>
          <w:rFonts w:ascii="Arial;sans-serif" w:hAnsi="Arial;sans-serif"/>
          <w:b/>
          <w:sz w:val="22"/>
        </w:rPr>
        <w:t xml:space="preserve">Net loss </w:t>
      </w:r>
      <w:r>
        <w:rPr>
          <w:rFonts w:ascii="Arial;sans-serif" w:hAnsi="Arial;sans-serif"/>
          <w:b w:val="false"/>
          <w:sz w:val="22"/>
        </w:rPr>
        <w:t>was ($15.6) million, or 26% of revenue, compared to ($13.1) million, or 26% of revenue in Q1 2022.</w:t>
      </w:r>
    </w:p>
    <w:p>
      <w:pPr>
        <w:pStyle w:val="TextBody"/>
        <w:spacing w:before="0" w:after="0"/>
        <w:jc w:val="both"/>
        <w:rPr/>
      </w:pPr>
      <w:r>
        <w:rPr/>
        <w:t>•</w:t>
      </w:r>
    </w:p>
    <w:p>
      <w:pPr>
        <w:pStyle w:val="TextBody"/>
        <w:spacing w:before="0" w:after="0"/>
        <w:jc w:val="both"/>
        <w:rPr/>
      </w:pPr>
      <w:r>
        <w:rPr>
          <w:rFonts w:ascii="Arial;sans-serif" w:hAnsi="Arial;sans-serif"/>
          <w:b/>
          <w:sz w:val="22"/>
        </w:rPr>
        <w:t xml:space="preserve">Adjusted Net Income </w:t>
      </w:r>
      <w:r>
        <w:rPr>
          <w:rFonts w:ascii="Arial;sans-serif" w:hAnsi="Arial;sans-serif"/>
          <w:b w:val="false"/>
          <w:sz w:val="22"/>
        </w:rPr>
        <w:t>was $9.2 million, compared to $7.7 million in Q1 2022.</w:t>
      </w:r>
    </w:p>
    <w:p>
      <w:pPr>
        <w:pStyle w:val="TextBody"/>
        <w:spacing w:before="0" w:after="0"/>
        <w:jc w:val="both"/>
        <w:rPr/>
      </w:pPr>
      <w:r>
        <w:rPr/>
        <w:t>•</w:t>
      </w:r>
    </w:p>
    <w:p>
      <w:pPr>
        <w:pStyle w:val="TextBody"/>
        <w:spacing w:before="0" w:after="0"/>
        <w:jc w:val="both"/>
        <w:rPr/>
      </w:pPr>
      <w:r>
        <w:rPr>
          <w:rFonts w:ascii="Arial;sans-serif" w:hAnsi="Arial;sans-serif"/>
          <w:b/>
          <w:sz w:val="22"/>
        </w:rPr>
        <w:t xml:space="preserve">Adjusted EBITDA </w:t>
      </w:r>
      <w:r>
        <w:rPr>
          <w:rFonts w:ascii="Arial;sans-serif" w:hAnsi="Arial;sans-serif"/>
          <w:b w:val="false"/>
          <w:sz w:val="22"/>
        </w:rPr>
        <w:t>was $15.7 million, or 26% of revenue, compared to $14.0 million, or 28% of revenue in Q1 2022.</w:t>
      </w:r>
    </w:p>
    <w:p>
      <w:pPr>
        <w:pStyle w:val="TextBody"/>
        <w:spacing w:before="0" w:after="0"/>
        <w:jc w:val="both"/>
        <w:rPr/>
      </w:pPr>
      <w:r>
        <w:rPr/>
        <w:t>•</w:t>
      </w:r>
    </w:p>
    <w:p>
      <w:pPr>
        <w:pStyle w:val="TextBody"/>
        <w:spacing w:before="0" w:after="0"/>
        <w:jc w:val="both"/>
        <w:rPr/>
      </w:pPr>
      <w:r>
        <w:rPr>
          <w:rFonts w:ascii="Arial;sans-serif" w:hAnsi="Arial;sans-serif"/>
          <w:b/>
          <w:sz w:val="22"/>
        </w:rPr>
        <w:t xml:space="preserve">Cash flow from operations </w:t>
      </w:r>
      <w:r>
        <w:rPr>
          <w:rFonts w:ascii="Arial;sans-serif" w:hAnsi="Arial;sans-serif"/>
          <w:b w:val="false"/>
          <w:sz w:val="22"/>
        </w:rPr>
        <w:t>was $15.0 million in the quarter or 25% of revenue. For the trailing twelve-month period, cash flow from operations was $36.9 million, or 16% of revenue.</w:t>
      </w:r>
    </w:p>
    <w:p>
      <w:pPr>
        <w:pStyle w:val="TextBody"/>
        <w:spacing w:before="0" w:after="0"/>
        <w:jc w:val="both"/>
        <w:rPr/>
      </w:pPr>
      <w:r>
        <w:rPr/>
        <w:t>•</w:t>
      </w:r>
    </w:p>
    <w:p>
      <w:pPr>
        <w:pStyle w:val="TextBody"/>
        <w:jc w:val="both"/>
        <w:rPr/>
      </w:pPr>
      <w:r>
        <w:rPr>
          <w:rFonts w:ascii="Arial;sans-serif" w:hAnsi="Arial;sans-serif"/>
          <w:b/>
          <w:sz w:val="22"/>
        </w:rPr>
        <w:t xml:space="preserve">Unlevered free cash flow </w:t>
      </w:r>
      <w:r>
        <w:rPr>
          <w:rFonts w:ascii="Arial;sans-serif" w:hAnsi="Arial;sans-serif"/>
          <w:b w:val="false"/>
          <w:sz w:val="22"/>
        </w:rPr>
        <w:t>was $20.4 million in the quarter, or 34% of revenue. For the trailing twelve-month period, unlevered free cash flow was $50.7 million, or 22% of revenue.</w:t>
      </w:r>
    </w:p>
    <w:p>
      <w:pPr>
        <w:pStyle w:val="TextBody"/>
        <w:spacing w:before="240" w:after="0"/>
        <w:jc w:val="left"/>
        <w:rPr/>
      </w:pPr>
      <w:r>
        <w:rPr/>
        <w:t>“</w:t>
      </w:r>
      <w:r>
        <w:rPr>
          <w:rFonts w:ascii="Arial;sans-serif" w:hAnsi="Arial;sans-serif"/>
          <w:b w:val="false"/>
          <w:sz w:val="22"/>
        </w:rPr>
        <w:t>In the first quarter of 2023, we got off to a solid start to the year, especially given the context of the ongoing macroeconomic challenges,” said Robert Musslewhite, CEO of Definitive Healthcare. “We continue to have strong demand generation and customer interest in our commercial intelligence platform. Our customers recognize that the Definitive Healthcare platform plays a strategic role in their go-to-market and product development efforts and that our solutions will be critical in accelerating their business performance as market conditions improve.”</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360" w:after="0"/>
        <w:jc w:val="both"/>
        <w:rPr>
          <w:rFonts w:ascii="Arial;sans-serif" w:hAnsi="Arial;sans-serif"/>
          <w:b/>
          <w:sz w:val="22"/>
        </w:rPr>
      </w:pPr>
      <w:r>
        <w:rPr>
          <w:rFonts w:ascii="Arial;sans-serif" w:hAnsi="Arial;sans-serif"/>
          <w:b/>
          <w:sz w:val="22"/>
        </w:rPr>
        <w:t>Recent Business and Operating Highlights:</w:t>
      </w:r>
    </w:p>
    <w:p>
      <w:pPr>
        <w:pStyle w:val="TextBody"/>
        <w:spacing w:before="120" w:after="0"/>
        <w:jc w:val="both"/>
        <w:rPr>
          <w:rFonts w:ascii="Arial;sans-serif" w:hAnsi="Arial;sans-serif"/>
          <w:b/>
          <w:sz w:val="22"/>
        </w:rPr>
      </w:pPr>
      <w:r>
        <w:rPr>
          <w:rFonts w:ascii="Arial;sans-serif" w:hAnsi="Arial;sans-serif"/>
          <w:b/>
          <w:sz w:val="22"/>
        </w:rPr>
        <w:t>Customer Wins</w:t>
      </w:r>
    </w:p>
    <w:p>
      <w:pPr>
        <w:pStyle w:val="TextBody"/>
        <w:spacing w:before="120" w:after="0"/>
        <w:jc w:val="left"/>
        <w:rPr>
          <w:rFonts w:ascii="Arial;sans-serif" w:hAnsi="Arial;sans-serif"/>
          <w:b w:val="false"/>
          <w:sz w:val="22"/>
        </w:rPr>
      </w:pPr>
      <w:r>
        <w:rPr>
          <w:rFonts w:ascii="Arial;sans-serif" w:hAnsi="Arial;sans-serif"/>
          <w:b w:val="false"/>
          <w:sz w:val="22"/>
        </w:rPr>
        <w:t>In the first quarter, Definitive Healthcare continued to grow its enterprise client base, ending the quarter with 529 enterprise customers, defined as those customers with more than one hundred thousand dollars in annual recurring revenue. Significant customer wins included:</w:t>
      </w:r>
    </w:p>
    <w:p>
      <w:pPr>
        <w:pStyle w:val="TextBody"/>
        <w:spacing w:before="120" w:after="240"/>
        <w:jc w:val="both"/>
        <w:rPr/>
      </w:pPr>
      <w:r>
        <w:rPr/>
        <w:t>•</w:t>
      </w:r>
    </w:p>
    <w:p>
      <w:pPr>
        <w:pStyle w:val="TextBody"/>
        <w:spacing w:before="120" w:after="240"/>
        <w:jc w:val="both"/>
        <w:rPr>
          <w:rFonts w:ascii="Arial;sans-serif" w:hAnsi="Arial;sans-serif"/>
          <w:b w:val="false"/>
          <w:sz w:val="22"/>
        </w:rPr>
      </w:pPr>
      <w:r>
        <w:rPr>
          <w:rFonts w:ascii="Arial;sans-serif" w:hAnsi="Arial;sans-serif"/>
          <w:b w:val="false"/>
          <w:sz w:val="22"/>
        </w:rPr>
        <w:t>The world’s leading mRNA therapeutic company expanded its relationship with Definitive Healthcare by signing an enterprise contract for Monocl ExpertInsight to help them better identify clinical experts around the globe who could accelerate their research and development efforts.</w:t>
      </w:r>
    </w:p>
    <w:p>
      <w:pPr>
        <w:pStyle w:val="TextBody"/>
        <w:spacing w:before="120" w:after="240"/>
        <w:jc w:val="both"/>
        <w:rPr/>
      </w:pPr>
      <w:r>
        <w:rPr/>
        <w:t>•</w:t>
      </w:r>
    </w:p>
    <w:p>
      <w:pPr>
        <w:pStyle w:val="TextBody"/>
        <w:spacing w:before="120" w:after="240"/>
        <w:jc w:val="both"/>
        <w:rPr>
          <w:rFonts w:ascii="Arial;sans-serif" w:hAnsi="Arial;sans-serif"/>
          <w:b w:val="false"/>
          <w:sz w:val="22"/>
        </w:rPr>
      </w:pPr>
      <w:r>
        <w:rPr>
          <w:rFonts w:ascii="Arial;sans-serif" w:hAnsi="Arial;sans-serif"/>
          <w:b w:val="false"/>
          <w:sz w:val="22"/>
        </w:rPr>
        <w:t>A multinational pharmaceutical and biotechnology company expanded its relationship with Definitive Healthcare by making a multi-year commitment to the Passport Analytics Suite. This company plans to use the Passport Analytics Suite to optimize its global marketing spend and re-allocate precious investment dollars to the sales and marketing channels that are delivering the highest return.</w:t>
      </w:r>
    </w:p>
    <w:p>
      <w:pPr>
        <w:pStyle w:val="TextBody"/>
        <w:spacing w:before="120" w:after="240"/>
        <w:jc w:val="both"/>
        <w:rPr/>
      </w:pPr>
      <w:r>
        <w:rPr/>
        <w:t>•</w:t>
      </w:r>
    </w:p>
    <w:p>
      <w:pPr>
        <w:pStyle w:val="TextBody"/>
        <w:spacing w:before="120" w:after="240"/>
        <w:jc w:val="both"/>
        <w:rPr>
          <w:rFonts w:ascii="Arial;sans-serif" w:hAnsi="Arial;sans-serif"/>
          <w:b w:val="false"/>
          <w:sz w:val="22"/>
        </w:rPr>
      </w:pPr>
      <w:r>
        <w:rPr>
          <w:rFonts w:ascii="Arial;sans-serif" w:hAnsi="Arial;sans-serif"/>
          <w:b w:val="false"/>
          <w:sz w:val="22"/>
        </w:rPr>
        <w:t>A leading children’s hospital in the western region of the United States purchased access to the Atlas All-Payer Claims Dataset, the Atlas Reference and Affiliation Dataset, and the company’s executive contact data, along with the Latitude Analytics Suite. The hospital plans to use this data to help it understand the pediatric market in its region, including market share, patient flow, network leakage, and competitive analysis.</w:t>
      </w:r>
    </w:p>
    <w:p>
      <w:pPr>
        <w:pStyle w:val="TextBody"/>
        <w:spacing w:before="120" w:after="240"/>
        <w:jc w:val="both"/>
        <w:rPr/>
      </w:pPr>
      <w:r>
        <w:rPr/>
        <w:t>•</w:t>
      </w:r>
    </w:p>
    <w:p>
      <w:pPr>
        <w:pStyle w:val="TextBody"/>
        <w:spacing w:before="120" w:after="240"/>
        <w:jc w:val="both"/>
        <w:rPr>
          <w:rFonts w:ascii="Arial;sans-serif" w:hAnsi="Arial;sans-serif"/>
          <w:b w:val="false"/>
          <w:sz w:val="22"/>
        </w:rPr>
      </w:pPr>
      <w:r>
        <w:rPr>
          <w:rFonts w:ascii="Arial;sans-serif" w:hAnsi="Arial;sans-serif"/>
          <w:b w:val="false"/>
          <w:sz w:val="22"/>
        </w:rPr>
        <w:t>The largest virtual musculoskeletal clinic in the United States will be using the new DefinitiveConnect product to directly import data from the Atlas Dataset into their Salesforce instance to drive their business development strategy. In addition, this company’s strategy team will use the ConnectedCareView product to get better insurance coverage in their core markets of hospitals and long-term care facilities.</w:t>
      </w:r>
    </w:p>
    <w:p>
      <w:pPr>
        <w:pStyle w:val="TextBody"/>
        <w:spacing w:before="120" w:after="240"/>
        <w:jc w:val="both"/>
        <w:rPr/>
      </w:pPr>
      <w:r>
        <w:rPr/>
        <w:t>•</w:t>
      </w:r>
    </w:p>
    <w:p>
      <w:pPr>
        <w:pStyle w:val="TextBody"/>
        <w:spacing w:before="120" w:after="240"/>
        <w:jc w:val="both"/>
        <w:rPr>
          <w:rFonts w:ascii="Arial;sans-serif" w:hAnsi="Arial;sans-serif"/>
          <w:b w:val="false"/>
          <w:sz w:val="22"/>
        </w:rPr>
      </w:pPr>
      <w:r>
        <w:rPr>
          <w:rFonts w:ascii="Arial;sans-serif" w:hAnsi="Arial;sans-serif"/>
          <w:b w:val="false"/>
          <w:sz w:val="22"/>
        </w:rPr>
        <w:t>A non-profit humanitarian organization that provides emergency assistance, disaster relief, and disaster preparedness education across the United States organization purchased the Atlas All-Payor Claims Dataset, which it will use to transform its sales strategy and identify the US hospitals and departments offering the most opportunity for growth.</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sz w:val="22"/>
        </w:rPr>
        <w:t>Innovation</w:t>
      </w:r>
      <w:r>
        <w:rPr>
          <w:rFonts w:ascii="Times New Roman" w:hAnsi="Times New Roman"/>
          <w:sz w:val="20"/>
        </w:rPr>
        <w:t xml:space="preserve"> </w:t>
      </w:r>
    </w:p>
    <w:p>
      <w:pPr>
        <w:pStyle w:val="TextBody"/>
        <w:spacing w:before="120" w:after="0"/>
        <w:jc w:val="left"/>
        <w:rPr>
          <w:rFonts w:ascii="Arial;sans-serif" w:hAnsi="Arial;sans-serif"/>
          <w:b w:val="false"/>
          <w:sz w:val="22"/>
        </w:rPr>
      </w:pPr>
      <w:r>
        <w:rPr>
          <w:rFonts w:ascii="Arial;sans-serif" w:hAnsi="Arial;sans-serif"/>
          <w:b w:val="false"/>
          <w:sz w:val="22"/>
        </w:rPr>
        <w:t>The company recently made two significant product announcements that further expand its competitive differentiation.</w:t>
      </w:r>
    </w:p>
    <w:p>
      <w:pPr>
        <w:pStyle w:val="TextBody"/>
        <w:spacing w:before="120" w:after="0"/>
        <w:jc w:val="left"/>
        <w:rPr>
          <w:rFonts w:ascii="Times New Roman" w:hAnsi="Times New Roman"/>
          <w:sz w:val="20"/>
        </w:rPr>
      </w:pPr>
      <w:r>
        <w:rPr>
          <w:rFonts w:ascii="Arial;sans-serif" w:hAnsi="Arial;sans-serif"/>
          <w:b w:val="false"/>
          <w:sz w:val="22"/>
        </w:rPr>
        <w:t>First, the company launched three new offerings that significantly enhance its data integration capabilities. Customers can now choose from a range of flexible options and support services to seamlessly integrate the Definitive Healthcare’s commercial intelligence into their IT infrastructure. These new data integration offerings are:</w:t>
      </w:r>
      <w:r>
        <w:rPr>
          <w:rFonts w:ascii="Times New Roman" w:hAnsi="Times New Roman"/>
          <w:sz w:val="20"/>
        </w:rPr>
        <w:t xml:space="preserve"> </w:t>
      </w:r>
    </w:p>
    <w:p>
      <w:pPr>
        <w:pStyle w:val="TextBody"/>
        <w:spacing w:before="120" w:after="120"/>
        <w:jc w:val="left"/>
        <w:rPr/>
      </w:pPr>
      <w:r>
        <w:rPr/>
        <w:t>•</w:t>
      </w:r>
    </w:p>
    <w:p>
      <w:pPr>
        <w:pStyle w:val="TextBody"/>
        <w:spacing w:before="120" w:after="120"/>
        <w:jc w:val="left"/>
        <w:rPr/>
      </w:pPr>
      <w:r>
        <w:rPr>
          <w:rFonts w:ascii="Arial;sans-serif" w:hAnsi="Arial;sans-serif"/>
          <w:b/>
          <w:sz w:val="22"/>
        </w:rPr>
        <w:t>DefinitiveConnect</w:t>
      </w:r>
      <w:r>
        <w:rPr/>
        <w:t xml:space="preserve"> – </w:t>
      </w:r>
      <w:r>
        <w:rPr>
          <w:rFonts w:ascii="Arial;sans-serif" w:hAnsi="Arial;sans-serif"/>
          <w:b w:val="false"/>
          <w:sz w:val="22"/>
        </w:rPr>
        <w:t>Optimized to work with the Salesforce Lightning platform, DefinitiveConnect provides users with access to more than 300 data elements that are continuously updated directly in their Salesforce environment through automated data syncing. The DefinitiveConnect app is available now on the Salesforce AppExchange.</w:t>
      </w:r>
    </w:p>
    <w:p>
      <w:pPr>
        <w:pStyle w:val="TextBody"/>
        <w:spacing w:before="120" w:after="120"/>
        <w:jc w:val="left"/>
        <w:rPr/>
      </w:pPr>
      <w:r>
        <w:rPr/>
        <w:t>•</w:t>
      </w:r>
    </w:p>
    <w:p>
      <w:pPr>
        <w:pStyle w:val="TextBody"/>
        <w:spacing w:before="120" w:after="120"/>
        <w:jc w:val="left"/>
        <w:rPr/>
      </w:pPr>
      <w:r>
        <w:rPr>
          <w:rFonts w:ascii="Arial;sans-serif" w:hAnsi="Arial;sans-serif"/>
          <w:b/>
          <w:sz w:val="22"/>
        </w:rPr>
        <w:t xml:space="preserve">Snowflake </w:t>
      </w:r>
      <w:r>
        <w:rPr/>
        <w:t xml:space="preserve">– </w:t>
      </w:r>
      <w:r>
        <w:rPr>
          <w:rFonts w:ascii="Arial;sans-serif" w:hAnsi="Arial;sans-serif"/>
          <w:b w:val="false"/>
          <w:sz w:val="22"/>
        </w:rPr>
        <w:t>Customers of one of the industry-leading data warehouse platforms, Snowflake, can now leverage its secure data-sharing technology to access the Atlas Dataset. Existing clients can opt to work with a professional services team to ingest the data they need into Snowflake, unite multiple datasets, and create data marts to perform advanced analytics.</w:t>
      </w:r>
    </w:p>
    <w:p>
      <w:pPr>
        <w:pStyle w:val="TextBody"/>
        <w:spacing w:before="120" w:after="120"/>
        <w:jc w:val="left"/>
        <w:rPr/>
      </w:pPr>
      <w:r>
        <w:rPr/>
        <w:t>•</w:t>
      </w:r>
    </w:p>
    <w:p>
      <w:pPr>
        <w:pStyle w:val="TextBody"/>
        <w:spacing w:before="120" w:after="120"/>
        <w:jc w:val="left"/>
        <w:rPr/>
      </w:pPr>
      <w:r>
        <w:rPr>
          <w:rFonts w:ascii="Arial;sans-serif" w:hAnsi="Arial;sans-serif"/>
          <w:b/>
          <w:sz w:val="22"/>
        </w:rPr>
        <w:t>APIs</w:t>
      </w:r>
      <w:r>
        <w:rPr/>
        <w:t xml:space="preserve"> – </w:t>
      </w:r>
      <w:r>
        <w:rPr>
          <w:rFonts w:ascii="Arial;sans-serif" w:hAnsi="Arial;sans-serif"/>
          <w:b w:val="false"/>
          <w:sz w:val="22"/>
        </w:rPr>
        <w:t>A new suite of modern commercial APIs now supports automated synchronization of Definitive Healthcare data into a broad range of applications and systems. Developers can use these APIs to request and retrieve Definitive Healthcare data through virtually any CRM software system or business intelligence data warehouse.</w:t>
      </w:r>
    </w:p>
    <w:p>
      <w:pPr>
        <w:pStyle w:val="TextBody"/>
        <w:spacing w:before="120" w:after="0"/>
        <w:jc w:val="left"/>
        <w:rPr>
          <w:rFonts w:ascii="Times New Roman" w:hAnsi="Times New Roman"/>
          <w:sz w:val="20"/>
        </w:rPr>
      </w:pPr>
      <w:r>
        <w:rPr>
          <w:rFonts w:ascii="Arial;sans-serif" w:hAnsi="Arial;sans-serif"/>
          <w:b w:val="false"/>
          <w:sz w:val="22"/>
        </w:rPr>
        <w:t>Second, the company recently launched Atlas AI, a set of proprietary analytics embedded throughout its solutions and services. Atlas AI is built on the Atlas Dataset, which contains robust claims, reference, affiliation, and expert data that provides a longitudinal, comprehensive, and current picture of the healthcare market. Definitive Healthcare’s data science team leverages the Atlas Dataset and applies deep domain expertise, computer science, mathematics, and a vast toolbox of methodologies, including natural language processing, machine learning, graph networks, and proprietary algorithms to create new intelligence. Atlas AI enables clients to better target opportunities, allocate resources, inform strategic planning, and drive critical business decisions.</w:t>
      </w:r>
      <w:r>
        <w:rPr>
          <w:rFonts w:ascii="Times New Roman" w:hAnsi="Times New Roman"/>
          <w:sz w:val="20"/>
        </w:rPr>
        <w:t xml:space="preserve"> </w:t>
      </w:r>
    </w:p>
    <w:p>
      <w:pPr>
        <w:pStyle w:val="TextBody"/>
        <w:spacing w:before="120" w:after="0"/>
        <w:jc w:val="left"/>
        <w:rPr>
          <w:rFonts w:ascii="Arial;sans-serif" w:hAnsi="Arial;sans-serif"/>
          <w:b w:val="false"/>
          <w:sz w:val="22"/>
        </w:rPr>
      </w:pPr>
      <w:r>
        <w:rPr>
          <w:rFonts w:ascii="Arial;sans-serif" w:hAnsi="Arial;sans-serif"/>
          <w:b w:val="false"/>
          <w:sz w:val="22"/>
        </w:rPr>
        <w:t>The first release of Atlas AI includes 11 proprietary analytics, each designed by the company’s data science team to address a specific customer challenge. Atlas AI comes standard with Definitive Healthcare’s data products in the View Product Suite, the Monocl Expert Suite, as well as its Latitude Analytics Suite and Passport Analytics Suite. Additionally, clients can use Atlas AI in offline reports and custom reports for more complex analyses.</w:t>
      </w:r>
    </w:p>
    <w:p>
      <w:pPr>
        <w:pStyle w:val="TextBody"/>
        <w:spacing w:before="120" w:after="0"/>
        <w:jc w:val="left"/>
        <w:rPr>
          <w:rFonts w:ascii="Arial;sans-serif" w:hAnsi="Arial;sans-serif"/>
          <w:b w:val="false"/>
          <w:sz w:val="22"/>
        </w:rPr>
      </w:pPr>
      <w:r>
        <w:rPr>
          <w:rFonts w:ascii="Arial;sans-serif" w:hAnsi="Arial;sans-serif"/>
          <w:b w:val="false"/>
          <w:sz w:val="22"/>
        </w:rPr>
        <w:t>To learn more about Atlas AI, visit https://www.definitivehc.com/why-definitive-healthcare/our-platform/atlas-ai.</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2"/>
        </w:rPr>
      </w:pPr>
      <w:r>
        <w:rPr>
          <w:rFonts w:ascii="Arial;sans-serif" w:hAnsi="Arial;sans-serif"/>
          <w:b/>
          <w:sz w:val="22"/>
        </w:rPr>
        <w:t>Business Outlook</w:t>
      </w:r>
    </w:p>
    <w:p>
      <w:pPr>
        <w:pStyle w:val="TextBody"/>
        <w:spacing w:before="120" w:after="0"/>
        <w:jc w:val="both"/>
        <w:rPr>
          <w:rFonts w:ascii="Arial;sans-serif" w:hAnsi="Arial;sans-serif"/>
          <w:b w:val="false"/>
          <w:sz w:val="22"/>
        </w:rPr>
      </w:pPr>
      <w:r>
        <w:rPr>
          <w:rFonts w:ascii="Arial;sans-serif" w:hAnsi="Arial;sans-serif"/>
          <w:b w:val="false"/>
          <w:sz w:val="22"/>
        </w:rPr>
        <w:t>Based on information as of May 4, 2023, the Company is issuing the following financial guidance.</w:t>
      </w:r>
    </w:p>
    <w:p>
      <w:pPr>
        <w:pStyle w:val="TextBody"/>
        <w:spacing w:before="120" w:after="0"/>
        <w:jc w:val="both"/>
        <w:rPr>
          <w:rFonts w:ascii="Arial;sans-serif" w:hAnsi="Arial;sans-serif"/>
          <w:b/>
          <w:sz w:val="22"/>
        </w:rPr>
      </w:pPr>
      <w:r>
        <w:rPr>
          <w:rFonts w:ascii="Arial;sans-serif" w:hAnsi="Arial;sans-serif"/>
          <w:b/>
          <w:sz w:val="22"/>
        </w:rPr>
        <w:t>Second Quarter 2023:</w:t>
      </w:r>
    </w:p>
    <w:p>
      <w:pPr>
        <w:pStyle w:val="TextBody"/>
        <w:spacing w:before="120" w:after="0"/>
        <w:jc w:val="both"/>
        <w:rPr/>
      </w:pPr>
      <w:r>
        <w:rPr/>
        <w:t>•</w:t>
      </w:r>
    </w:p>
    <w:p>
      <w:pPr>
        <w:pStyle w:val="TextBody"/>
        <w:spacing w:before="120" w:after="0"/>
        <w:jc w:val="both"/>
        <w:rPr/>
      </w:pPr>
      <w:r>
        <w:rPr>
          <w:rFonts w:ascii="Arial;sans-serif" w:hAnsi="Arial;sans-serif"/>
          <w:b/>
          <w:sz w:val="22"/>
        </w:rPr>
        <w:t>Revenue</w:t>
      </w:r>
      <w:r>
        <w:rPr/>
        <w:t xml:space="preserve"> </w:t>
      </w:r>
      <w:r>
        <w:rPr>
          <w:rFonts w:ascii="Arial;sans-serif" w:hAnsi="Arial;sans-serif"/>
          <w:b w:val="false"/>
          <w:sz w:val="22"/>
        </w:rPr>
        <w:t>is expected to be in the range of $60.5 – $61.5 million, a 12% increase year over year.</w:t>
      </w:r>
    </w:p>
    <w:p>
      <w:pPr>
        <w:pStyle w:val="TextBody"/>
        <w:spacing w:before="0" w:after="0"/>
        <w:jc w:val="both"/>
        <w:rPr/>
      </w:pPr>
      <w:r>
        <w:rPr/>
        <w:t>•</w:t>
      </w:r>
    </w:p>
    <w:p>
      <w:pPr>
        <w:pStyle w:val="TextBody"/>
        <w:spacing w:before="0" w:after="0"/>
        <w:jc w:val="both"/>
        <w:rPr/>
      </w:pPr>
      <w:r>
        <w:rPr>
          <w:rFonts w:ascii="Arial;sans-serif" w:hAnsi="Arial;sans-serif"/>
          <w:b/>
          <w:sz w:val="22"/>
        </w:rPr>
        <w:t>Adjusted Operating Income</w:t>
      </w:r>
      <w:r>
        <w:rPr/>
        <w:t xml:space="preserve"> </w:t>
      </w:r>
      <w:r>
        <w:rPr>
          <w:rFonts w:ascii="Arial;sans-serif" w:hAnsi="Arial;sans-serif"/>
          <w:b w:val="false"/>
          <w:sz w:val="22"/>
        </w:rPr>
        <w:t>is expected to be in the range of $14.5 – $15.5 million.</w:t>
      </w:r>
    </w:p>
    <w:p>
      <w:pPr>
        <w:pStyle w:val="TextBody"/>
        <w:spacing w:before="0" w:after="0"/>
        <w:jc w:val="both"/>
        <w:rPr/>
      </w:pPr>
      <w:r>
        <w:rPr/>
        <w:t>•</w:t>
      </w:r>
    </w:p>
    <w:p>
      <w:pPr>
        <w:pStyle w:val="TextBody"/>
        <w:spacing w:before="0" w:after="0"/>
        <w:jc w:val="both"/>
        <w:rPr/>
      </w:pPr>
      <w:r>
        <w:rPr>
          <w:rFonts w:ascii="Arial;sans-serif" w:hAnsi="Arial;sans-serif"/>
          <w:b/>
          <w:sz w:val="22"/>
        </w:rPr>
        <w:t>Adjusted EBITDA</w:t>
      </w:r>
      <w:r>
        <w:rPr/>
        <w:t xml:space="preserve"> </w:t>
      </w:r>
      <w:r>
        <w:rPr>
          <w:rFonts w:ascii="Arial;sans-serif" w:hAnsi="Arial;sans-serif"/>
          <w:b w:val="false"/>
          <w:sz w:val="22"/>
        </w:rPr>
        <w:t>is expected to be in the range of $16.0 – $17.0 million.</w:t>
      </w:r>
    </w:p>
    <w:p>
      <w:pPr>
        <w:pStyle w:val="TextBody"/>
        <w:spacing w:before="0" w:after="0"/>
        <w:jc w:val="left"/>
        <w:rPr/>
      </w:pPr>
      <w:r>
        <w:rPr/>
        <w:t>•</w:t>
      </w:r>
    </w:p>
    <w:p>
      <w:pPr>
        <w:pStyle w:val="TextBody"/>
        <w:spacing w:before="0" w:after="0"/>
        <w:jc w:val="left"/>
        <w:rPr/>
      </w:pPr>
      <w:r>
        <w:rPr>
          <w:rFonts w:ascii="Arial;sans-serif" w:hAnsi="Arial;sans-serif"/>
          <w:b/>
          <w:sz w:val="22"/>
        </w:rPr>
        <w:t>Adjusted Net Income</w:t>
      </w:r>
      <w:r>
        <w:rPr/>
        <w:t xml:space="preserve"> </w:t>
      </w:r>
      <w:r>
        <w:rPr>
          <w:rFonts w:ascii="Arial;sans-serif" w:hAnsi="Arial;sans-serif"/>
          <w:b w:val="false"/>
          <w:sz w:val="22"/>
        </w:rPr>
        <w:t>is expected to be $7.0 – $8.0 million.</w:t>
      </w:r>
    </w:p>
    <w:p>
      <w:pPr>
        <w:pStyle w:val="TextBody"/>
        <w:spacing w:before="0" w:after="0"/>
        <w:jc w:val="left"/>
        <w:rPr/>
      </w:pPr>
      <w:r>
        <w:rPr/>
        <w:t>•</w:t>
      </w:r>
    </w:p>
    <w:p>
      <w:pPr>
        <w:pStyle w:val="TextBody"/>
        <w:jc w:val="left"/>
        <w:rPr/>
      </w:pPr>
      <w:r>
        <w:rPr>
          <w:rFonts w:ascii="Arial;sans-serif" w:hAnsi="Arial;sans-serif"/>
          <w:b/>
          <w:sz w:val="22"/>
        </w:rPr>
        <w:t xml:space="preserve">Adjusted Net Income Per Diluted Share </w:t>
      </w:r>
      <w:r>
        <w:rPr>
          <w:rFonts w:ascii="Arial;sans-serif" w:hAnsi="Arial;sans-serif"/>
          <w:b w:val="false"/>
          <w:sz w:val="22"/>
        </w:rPr>
        <w:t>is expected to be $0.03– $0.05 per share on approximately 155.2 million weighted-average shares outstanding.</w:t>
      </w:r>
    </w:p>
    <w:p>
      <w:pPr>
        <w:pStyle w:val="TextBody"/>
        <w:spacing w:before="360" w:after="0"/>
        <w:jc w:val="both"/>
        <w:rPr>
          <w:rFonts w:ascii="Arial;sans-serif" w:hAnsi="Arial;sans-serif"/>
          <w:b/>
          <w:sz w:val="22"/>
        </w:rPr>
      </w:pPr>
      <w:r>
        <w:rPr>
          <w:rFonts w:ascii="Arial;sans-serif" w:hAnsi="Arial;sans-serif"/>
          <w:b/>
          <w:sz w:val="22"/>
        </w:rPr>
        <w:t>Full Year 2023:</w:t>
      </w:r>
    </w:p>
    <w:p>
      <w:pPr>
        <w:pStyle w:val="TextBody"/>
        <w:spacing w:before="120" w:after="0"/>
        <w:jc w:val="both"/>
        <w:rPr/>
      </w:pPr>
      <w:r>
        <w:rPr/>
        <w:t>•</w:t>
      </w:r>
    </w:p>
    <w:p>
      <w:pPr>
        <w:pStyle w:val="TextBody"/>
        <w:spacing w:before="120" w:after="0"/>
        <w:jc w:val="both"/>
        <w:rPr/>
      </w:pPr>
      <w:r>
        <w:rPr>
          <w:rFonts w:ascii="Arial;sans-serif" w:hAnsi="Arial;sans-serif"/>
          <w:b/>
          <w:sz w:val="22"/>
        </w:rPr>
        <w:t>Revenue</w:t>
      </w:r>
      <w:r>
        <w:rPr/>
        <w:t xml:space="preserve"> </w:t>
      </w:r>
      <w:r>
        <w:rPr>
          <w:rFonts w:ascii="Arial;sans-serif" w:hAnsi="Arial;sans-serif"/>
          <w:b w:val="false"/>
          <w:sz w:val="22"/>
        </w:rPr>
        <w:t>is expected to be in the range of $249.0 – $255.0 million, up 12% – 15% from prior year.</w:t>
      </w:r>
    </w:p>
    <w:p>
      <w:pPr>
        <w:pStyle w:val="TextBody"/>
        <w:spacing w:before="0" w:after="0"/>
        <w:jc w:val="both"/>
        <w:rPr/>
      </w:pPr>
      <w:r>
        <w:rPr/>
        <w:t>•</w:t>
      </w:r>
    </w:p>
    <w:p>
      <w:pPr>
        <w:pStyle w:val="TextBody"/>
        <w:spacing w:before="0" w:after="0"/>
        <w:jc w:val="both"/>
        <w:rPr/>
      </w:pPr>
      <w:r>
        <w:rPr>
          <w:rFonts w:ascii="Arial;sans-serif" w:hAnsi="Arial;sans-serif"/>
          <w:b/>
          <w:sz w:val="22"/>
        </w:rPr>
        <w:t>Adjusted Operating Income</w:t>
      </w:r>
      <w:r>
        <w:rPr/>
        <w:t xml:space="preserve"> </w:t>
      </w:r>
      <w:r>
        <w:rPr>
          <w:rFonts w:ascii="Arial;sans-serif" w:hAnsi="Arial;sans-serif"/>
          <w:b w:val="false"/>
          <w:sz w:val="22"/>
        </w:rPr>
        <w:t>is expected to be in the range of $61.5 – $65.5 million.</w:t>
      </w:r>
    </w:p>
    <w:p>
      <w:pPr>
        <w:pStyle w:val="TextBody"/>
        <w:spacing w:before="0" w:after="0"/>
        <w:jc w:val="both"/>
        <w:rPr/>
      </w:pPr>
      <w:r>
        <w:rPr/>
        <w:t>•</w:t>
      </w:r>
    </w:p>
    <w:p>
      <w:pPr>
        <w:pStyle w:val="TextBody"/>
        <w:spacing w:before="0" w:after="0"/>
        <w:jc w:val="both"/>
        <w:rPr/>
      </w:pPr>
      <w:r>
        <w:rPr>
          <w:rFonts w:ascii="Arial;sans-serif" w:hAnsi="Arial;sans-serif"/>
          <w:b/>
          <w:sz w:val="22"/>
        </w:rPr>
        <w:t>Adjusted EBITDA</w:t>
      </w:r>
      <w:r>
        <w:rPr/>
        <w:t xml:space="preserve"> </w:t>
      </w:r>
      <w:r>
        <w:rPr>
          <w:rFonts w:ascii="Arial;sans-serif" w:hAnsi="Arial;sans-serif"/>
          <w:b w:val="false"/>
          <w:sz w:val="22"/>
        </w:rPr>
        <w:t>is expected to be in the range of $67.0 – $71.0 million.</w:t>
      </w:r>
    </w:p>
    <w:p>
      <w:pPr>
        <w:pStyle w:val="TextBody"/>
        <w:spacing w:before="0" w:after="0"/>
        <w:jc w:val="left"/>
        <w:rPr/>
      </w:pPr>
      <w:r>
        <w:rPr/>
        <w:t>•</w:t>
      </w:r>
    </w:p>
    <w:p>
      <w:pPr>
        <w:pStyle w:val="TextBody"/>
        <w:spacing w:before="0" w:after="0"/>
        <w:jc w:val="left"/>
        <w:rPr/>
      </w:pPr>
      <w:r>
        <w:rPr>
          <w:rFonts w:ascii="Arial;sans-serif" w:hAnsi="Arial;sans-serif"/>
          <w:b/>
          <w:sz w:val="22"/>
        </w:rPr>
        <w:t>Adjusted Net Income</w:t>
      </w:r>
      <w:r>
        <w:rPr/>
        <w:t xml:space="preserve"> </w:t>
      </w:r>
      <w:r>
        <w:rPr>
          <w:rFonts w:ascii="Arial;sans-serif" w:hAnsi="Arial;sans-serif"/>
          <w:b w:val="false"/>
          <w:sz w:val="22"/>
        </w:rPr>
        <w:t>is expected to be $30.0 – $34.0 million.</w:t>
      </w:r>
    </w:p>
    <w:p>
      <w:pPr>
        <w:pStyle w:val="TextBody"/>
        <w:spacing w:before="0" w:after="0"/>
        <w:jc w:val="left"/>
        <w:rPr/>
      </w:pPr>
      <w:r>
        <w:rPr/>
        <w:t>•</w:t>
      </w:r>
    </w:p>
    <w:p>
      <w:pPr>
        <w:pStyle w:val="TextBody"/>
        <w:jc w:val="left"/>
        <w:rPr/>
      </w:pPr>
      <w:r>
        <w:rPr>
          <w:rFonts w:ascii="Arial;sans-serif" w:hAnsi="Arial;sans-serif"/>
          <w:b/>
          <w:sz w:val="22"/>
        </w:rPr>
        <w:t xml:space="preserve">Adjusted Net Income Per Diluted Share </w:t>
      </w:r>
      <w:r>
        <w:rPr>
          <w:rFonts w:ascii="Arial;sans-serif" w:hAnsi="Arial;sans-serif"/>
          <w:b w:val="false"/>
          <w:sz w:val="22"/>
        </w:rPr>
        <w:t>is expected to be $0.19 – $0.23 per share on approximately 155.5 million weighted-average shares outstanding.</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360" w:after="0"/>
        <w:jc w:val="left"/>
        <w:rPr>
          <w:rFonts w:ascii="Arial;sans-serif" w:hAnsi="Arial;sans-serif"/>
          <w:b/>
          <w:sz w:val="22"/>
        </w:rPr>
      </w:pPr>
      <w:r>
        <w:rPr>
          <w:rFonts w:ascii="Arial;sans-serif" w:hAnsi="Arial;sans-serif"/>
          <w:b/>
          <w:sz w:val="22"/>
        </w:rPr>
        <w:t>Conference Call Information</w:t>
      </w:r>
    </w:p>
    <w:p>
      <w:pPr>
        <w:pStyle w:val="TextBody"/>
        <w:spacing w:before="120" w:after="0"/>
        <w:jc w:val="left"/>
        <w:rPr>
          <w:rFonts w:ascii="Times New Roman" w:hAnsi="Times New Roman"/>
          <w:sz w:val="20"/>
        </w:rPr>
      </w:pPr>
      <w:r>
        <w:rPr>
          <w:rFonts w:ascii="Arial;sans-serif" w:hAnsi="Arial;sans-serif"/>
          <w:b w:val="false"/>
          <w:sz w:val="22"/>
        </w:rPr>
        <w:t>Definitive Healthcare will host a conference call today, May 4, 2023, at 5:00 p.m. (Eastern Time) to discuss the Company's financial results and current business outlook. Participants may access the call at 1-877-407-3982 to be connected through the operator or via Call me link</w:t>
      </w:r>
      <w:r>
        <w:rPr>
          <w:rFonts w:ascii="Times New Roman" w:hAnsi="Times New Roman"/>
          <w:sz w:val="20"/>
        </w:rPr>
        <w:t xml:space="preserve"> </w:t>
      </w:r>
      <w:r>
        <w:rPr>
          <w:rFonts w:ascii="Arial;sans-serif" w:hAnsi="Arial;sans-serif"/>
          <w:b w:val="false"/>
          <w:sz w:val="22"/>
        </w:rPr>
        <w:t>to request a return call. The Call me link will be available 15 minutes prior to the call. Shortly after the conclusion of the call, a replay of this conference call will be available through May 18, 2023 at 1-844-512-2921 or 1-412-317-6671. The replay passcode is 13737281. A live audio webcast of the event will be available on the Definitive Healthcare’s Investor Relations website at https://ir.definitivehc.com/.</w:t>
      </w:r>
    </w:p>
    <w:p>
      <w:pPr>
        <w:pStyle w:val="TextBody"/>
        <w:spacing w:before="360" w:after="0"/>
        <w:jc w:val="left"/>
        <w:rPr>
          <w:rFonts w:ascii="Arial;sans-serif" w:hAnsi="Arial;sans-serif"/>
          <w:b/>
          <w:sz w:val="22"/>
        </w:rPr>
      </w:pPr>
      <w:r>
        <w:rPr>
          <w:rFonts w:ascii="Arial;sans-serif" w:hAnsi="Arial;sans-serif"/>
          <w:b/>
          <w:sz w:val="22"/>
        </w:rPr>
        <w:t>About Definitive Healthcare</w:t>
      </w:r>
    </w:p>
    <w:p>
      <w:pPr>
        <w:pStyle w:val="TextBody"/>
        <w:spacing w:before="120" w:after="0"/>
        <w:jc w:val="left"/>
        <w:rPr>
          <w:rFonts w:ascii="Arial;sans-serif" w:hAnsi="Arial;sans-serif"/>
          <w:b w:val="false"/>
          <w:sz w:val="22"/>
        </w:rPr>
      </w:pPr>
      <w:r>
        <w:rPr>
          <w:rFonts w:ascii="Arial;sans-serif" w:hAnsi="Arial;sans-serif"/>
          <w:b w:val="false"/>
          <w:sz w:val="22"/>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definitivehc.com.</w:t>
      </w:r>
    </w:p>
    <w:p>
      <w:pPr>
        <w:pStyle w:val="TextBody"/>
        <w:spacing w:before="240" w:after="0"/>
        <w:jc w:val="both"/>
        <w:rPr>
          <w:rFonts w:ascii="Arial;sans-serif" w:hAnsi="Arial;sans-serif"/>
          <w:b/>
          <w:sz w:val="22"/>
        </w:rPr>
      </w:pPr>
      <w:r>
        <w:rPr>
          <w:rFonts w:ascii="Arial;sans-serif" w:hAnsi="Arial;sans-serif"/>
          <w:b/>
          <w:sz w:val="22"/>
        </w:rPr>
        <w:t>Forward-Looking Statements</w:t>
      </w:r>
    </w:p>
    <w:p>
      <w:pPr>
        <w:pStyle w:val="TextBody"/>
        <w:spacing w:before="120" w:after="0"/>
        <w:jc w:val="left"/>
        <w:rPr>
          <w:rFonts w:ascii="Times New Roman" w:hAnsi="Times New Roman"/>
          <w:sz w:val="20"/>
        </w:rPr>
      </w:pPr>
      <w:r>
        <w:rPr>
          <w:rFonts w:ascii="Arial;sans-serif" w:hAnsi="Arial;sans-serif"/>
          <w:b w:val="false"/>
          <w:i/>
          <w:sz w:val="22"/>
        </w:rPr>
        <w:t>This press release includes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the war between Russia and Ukraine, global geopolitical tension and worsening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our inability to acquire new customers and generate additional revenue from existing customers; our inability to generate sales of subscriptions to our platform or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our security measures are breached or unauthorized access to data is otherwise obtained.</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i/>
          <w:sz w:val="22"/>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For additional discussion of factors that could impact our operational and financial results, refer to our Quarterly Report on Form 10-Q for the three months ended March 31, 2023 that will be filed following this earnings release and our Annual Report on Form 10-K for the fiscal year ended December 31, 2022, and our subsequent SEC filings, which are or will be available on the Investor Relations page of our website at ir.definitivehc.com and on the SEC website at www.sec.gov.</w:t>
      </w:r>
      <w:r>
        <w:rPr>
          <w:rFonts w:ascii="Times New Roman" w:hAnsi="Times New Roman"/>
          <w:sz w:val="20"/>
        </w:rPr>
        <w:t xml:space="preserve"> </w:t>
      </w:r>
    </w:p>
    <w:p>
      <w:pPr>
        <w:pStyle w:val="TextBody"/>
        <w:spacing w:before="120" w:after="0"/>
        <w:jc w:val="left"/>
        <w:rPr>
          <w:rFonts w:ascii="Arial;sans-serif" w:hAnsi="Arial;sans-serif"/>
          <w:b w:val="false"/>
          <w:i/>
          <w:sz w:val="22"/>
        </w:rPr>
      </w:pPr>
      <w:r>
        <w:rPr>
          <w:rFonts w:ascii="Arial;sans-serif" w:hAnsi="Arial;sans-serif"/>
          <w:b w:val="false"/>
          <w:i/>
          <w:sz w:val="22"/>
        </w:rPr>
        <w:t>All information in this press release speaks only as of the date on which it is made. We undertake no obligation to publicly update this information, whether as a result of new information, future developments or otherwise, except as may be required by law.</w:t>
      </w:r>
    </w:p>
    <w:p>
      <w:pPr>
        <w:pStyle w:val="TextBody"/>
        <w:spacing w:before="360" w:after="0"/>
        <w:jc w:val="both"/>
        <w:rPr>
          <w:rFonts w:ascii="Arial;sans-serif" w:hAnsi="Arial;sans-serif"/>
          <w:b/>
          <w:sz w:val="22"/>
        </w:rPr>
      </w:pPr>
      <w:r>
        <w:rPr>
          <w:rFonts w:ascii="Arial;sans-serif" w:hAnsi="Arial;sans-serif"/>
          <w:b/>
          <w:sz w:val="22"/>
        </w:rPr>
        <w:t>Website</w:t>
      </w:r>
    </w:p>
    <w:p>
      <w:pPr>
        <w:pStyle w:val="TextBody"/>
        <w:spacing w:before="120" w:after="0"/>
        <w:jc w:val="left"/>
        <w:rPr>
          <w:rFonts w:ascii="Times New Roman" w:hAnsi="Times New Roman"/>
          <w:sz w:val="20"/>
        </w:rPr>
      </w:pPr>
      <w:r>
        <w:rPr>
          <w:rFonts w:ascii="Arial;sans-serif" w:hAnsi="Arial;sans-serif"/>
          <w:b w:val="false"/>
          <w:i/>
          <w:sz w:val="22"/>
        </w:rPr>
        <w:t>Definitive Healthcare intends to use its website as a distribution channel of material company information. Financial and other important information regarding the Company is routinely posted on and accessible through the Company’s website at https://www.definitivehc.com/. Accordingly, you should monitor the investor relations portion of our website at https://ir.definitivehc.com/</w:t>
      </w:r>
      <w:r>
        <w:rPr>
          <w:rFonts w:ascii="Times New Roman" w:hAnsi="Times New Roman"/>
          <w:sz w:val="20"/>
        </w:rPr>
        <w:t xml:space="preserve"> </w:t>
      </w:r>
      <w:r>
        <w:rPr>
          <w:rFonts w:ascii="Arial;sans-serif" w:hAnsi="Arial;sans-serif"/>
          <w:b w:val="false"/>
          <w:i/>
          <w:sz w:val="22"/>
        </w:rPr>
        <w:t>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https://ir.definitivehc.com/.</w:t>
      </w:r>
    </w:p>
    <w:p>
      <w:pPr>
        <w:pStyle w:val="TextBody"/>
        <w:spacing w:before="360" w:after="0"/>
        <w:jc w:val="both"/>
        <w:rPr>
          <w:rFonts w:ascii="Times New Roman" w:hAnsi="Times New Roman"/>
          <w:sz w:val="20"/>
        </w:rPr>
      </w:pPr>
      <w:r>
        <w:rPr>
          <w:rFonts w:ascii="Arial;sans-serif" w:hAnsi="Arial;sans-serif"/>
          <w:b/>
          <w:sz w:val="22"/>
        </w:rPr>
        <w:t>Non-GAAP Financial Measures</w:t>
      </w:r>
      <w:r>
        <w:rPr>
          <w:rFonts w:ascii="Times New Roman" w:hAnsi="Times New Roman"/>
          <w:sz w:val="20"/>
        </w:rPr>
        <w:t xml:space="preserve"> </w:t>
      </w:r>
    </w:p>
    <w:p>
      <w:pPr>
        <w:pStyle w:val="TextBody"/>
        <w:spacing w:before="120" w:after="0"/>
        <w:jc w:val="left"/>
        <w:rPr>
          <w:rFonts w:ascii="Arial;sans-serif" w:hAnsi="Arial;sans-serif"/>
          <w:b w:val="false"/>
          <w:i/>
          <w:sz w:val="22"/>
        </w:rPr>
      </w:pPr>
      <w:r>
        <w:rPr>
          <w:rFonts w:ascii="Arial;sans-serif" w:hAnsi="Arial;sans-serif"/>
          <w:b w:val="false"/>
          <w:i/>
          <w:sz w:val="22"/>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pStyle w:val="TextBody"/>
        <w:spacing w:before="120" w:after="0"/>
        <w:jc w:val="left"/>
        <w:rPr>
          <w:rFonts w:ascii="Times New Roman" w:hAnsi="Times New Roman"/>
          <w:sz w:val="20"/>
        </w:rPr>
      </w:pPr>
      <w:r>
        <w:rPr>
          <w:rFonts w:ascii="Arial;sans-serif" w:hAnsi="Arial;sans-serif"/>
          <w:b w:val="false"/>
          <w:i/>
          <w:sz w:val="22"/>
        </w:rPr>
        <w:t>We refer to Unlevered Free Cash Flow, Adjusted EBITDA, Adjusted EBITDA Margin, Adjusted Gross Profit, Adjusted Gross Margin, Adjusted Operating Income, Adjusted Net Income, and Adjusted Net Income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gross margin, or any other measure derived in accordance with GAAP.</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We define Unlevered Free Cash Flow as net cash provided from operating activities less purchases of property, equipment and other assets, plus cash interest expense, and cash payments related to transaction, integration, and restructuring related expenses, earnouts, and other non-recurring items. Unlevered Free Cash Flow does not represent residual cash flow available for discretionary expenditures since, among other things, we have mandatory debt service requirements.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i/>
          <w:sz w:val="22"/>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We define Adjusted Operating Income as income (loss) from operations plus acquisition related amortization, equity-based compensation, transaction, integration, and restructuring expenses and other non-recurring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gross margin, earnings per share or any other performance measures derived in accordance with GAAP, or as measures of operating cash flows or liquidity.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i/>
          <w:sz w:val="22"/>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r>
        <w:rPr>
          <w:rFonts w:ascii="Times New Roman" w:hAnsi="Times New Roman"/>
          <w:sz w:val="20"/>
        </w:rPr>
        <w:t xml:space="preserve"> </w:t>
      </w:r>
    </w:p>
    <w:p>
      <w:pPr>
        <w:pStyle w:val="TextBody"/>
        <w:spacing w:before="120" w:after="0"/>
        <w:jc w:val="left"/>
        <w:rPr>
          <w:rFonts w:ascii="Arial;sans-serif" w:hAnsi="Arial;sans-serif"/>
          <w:b w:val="false"/>
          <w:i/>
          <w:sz w:val="22"/>
        </w:rPr>
      </w:pPr>
      <w:r>
        <w:rPr>
          <w:rFonts w:ascii="Arial;sans-serif" w:hAnsi="Arial;sans-serif"/>
          <w:b w:val="false"/>
          <w:i/>
          <w:sz w:val="22"/>
        </w:rPr>
        <w:t>In evaluating our non-GAAP financial measures, you should be aware that in the future we may incur expenses similar to those eliminated in these presentations.</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Arial;sans-serif" w:hAnsi="Arial;sans-serif"/>
          <w:b/>
          <w:sz w:val="22"/>
        </w:rPr>
        <w:t>Investor Contact:</w:t>
      </w:r>
      <w:r>
        <w:rPr>
          <w:rFonts w:ascii="Times New Roman" w:hAnsi="Times New Roman"/>
          <w:sz w:val="20"/>
        </w:rPr>
        <w:t xml:space="preserve"> </w:t>
      </w:r>
    </w:p>
    <w:p>
      <w:pPr>
        <w:pStyle w:val="TextBody"/>
        <w:spacing w:before="0" w:after="0"/>
        <w:jc w:val="left"/>
        <w:rPr>
          <w:rFonts w:ascii="Arial;sans-serif" w:hAnsi="Arial;sans-serif"/>
          <w:b w:val="false"/>
          <w:sz w:val="22"/>
        </w:rPr>
      </w:pPr>
      <w:r>
        <w:rPr>
          <w:rFonts w:ascii="Arial;sans-serif" w:hAnsi="Arial;sans-serif"/>
          <w:b w:val="false"/>
          <w:sz w:val="22"/>
        </w:rPr>
        <w:t>Brian Denyeau</w:t>
      </w:r>
    </w:p>
    <w:p>
      <w:pPr>
        <w:pStyle w:val="TextBody"/>
        <w:spacing w:before="0" w:after="0"/>
        <w:jc w:val="left"/>
        <w:rPr>
          <w:rFonts w:ascii="Times New Roman" w:hAnsi="Times New Roman"/>
          <w:sz w:val="20"/>
        </w:rPr>
      </w:pPr>
      <w:r>
        <w:rPr>
          <w:rFonts w:ascii="Arial;sans-serif" w:hAnsi="Arial;sans-serif"/>
          <w:b w:val="false"/>
          <w:sz w:val="22"/>
        </w:rPr>
        <w:t>ICR for Definitive Healthcare</w:t>
      </w:r>
      <w:r>
        <w:rPr>
          <w:rFonts w:ascii="Times New Roman" w:hAnsi="Times New Roman"/>
          <w:sz w:val="20"/>
        </w:rPr>
        <w:t xml:space="preserve"> </w:t>
      </w:r>
    </w:p>
    <w:p>
      <w:pPr>
        <w:pStyle w:val="TextBody"/>
        <w:spacing w:before="0" w:after="0"/>
        <w:jc w:val="left"/>
        <w:rPr>
          <w:rFonts w:ascii="Arial;sans-serif" w:hAnsi="Arial;sans-serif"/>
          <w:b w:val="false"/>
          <w:sz w:val="22"/>
          <w:u w:val="single"/>
        </w:rPr>
      </w:pPr>
      <w:r>
        <w:rPr>
          <w:rFonts w:ascii="Arial;sans-serif" w:hAnsi="Arial;sans-serif"/>
          <w:b w:val="false"/>
          <w:sz w:val="22"/>
          <w:u w:val="single"/>
        </w:rPr>
        <w:t>brian.denyeau@icrinc.com</w:t>
      </w:r>
    </w:p>
    <w:p>
      <w:pPr>
        <w:pStyle w:val="TextBody"/>
        <w:spacing w:before="0" w:after="0"/>
        <w:jc w:val="left"/>
        <w:rPr>
          <w:rFonts w:ascii="Arial;sans-serif" w:hAnsi="Arial;sans-serif"/>
          <w:b w:val="false"/>
          <w:sz w:val="22"/>
        </w:rPr>
      </w:pPr>
      <w:r>
        <w:rPr>
          <w:rFonts w:ascii="Arial;sans-serif" w:hAnsi="Arial;sans-serif"/>
          <w:b w:val="false"/>
          <w:sz w:val="22"/>
        </w:rPr>
        <w:t>646-277-1251</w:t>
      </w:r>
    </w:p>
    <w:p>
      <w:pPr>
        <w:pStyle w:val="TextBody"/>
        <w:spacing w:before="240" w:after="0"/>
        <w:jc w:val="left"/>
        <w:rPr>
          <w:rFonts w:ascii="Times New Roman" w:hAnsi="Times New Roman"/>
          <w:sz w:val="20"/>
        </w:rPr>
      </w:pPr>
      <w:r>
        <w:rPr>
          <w:rFonts w:ascii="Arial;sans-serif" w:hAnsi="Arial;sans-serif"/>
          <w:b/>
          <w:sz w:val="22"/>
        </w:rPr>
        <w:t>Media Contact:</w:t>
      </w:r>
      <w:r>
        <w:rPr>
          <w:rFonts w:ascii="Times New Roman" w:hAnsi="Times New Roman"/>
          <w:sz w:val="20"/>
        </w:rPr>
        <w:t xml:space="preserve"> </w:t>
      </w:r>
    </w:p>
    <w:p>
      <w:pPr>
        <w:pStyle w:val="TextBody"/>
        <w:spacing w:before="0" w:after="0"/>
        <w:jc w:val="left"/>
        <w:rPr>
          <w:rFonts w:ascii="Times New Roman" w:hAnsi="Times New Roman"/>
          <w:sz w:val="20"/>
        </w:rPr>
      </w:pPr>
      <w:r>
        <w:rPr>
          <w:rFonts w:ascii="Arial;sans-serif" w:hAnsi="Arial;sans-serif"/>
          <w:b w:val="false"/>
          <w:sz w:val="22"/>
        </w:rPr>
        <w:t xml:space="preserve">Danielle Johns </w:t>
        <w:br/>
      </w:r>
      <w:r>
        <w:rPr>
          <w:rFonts w:ascii="Arial;sans-serif" w:hAnsi="Arial;sans-serif"/>
          <w:b w:val="false"/>
          <w:sz w:val="22"/>
          <w:u w:val="single"/>
        </w:rPr>
        <w:t>djohns@definitivehc.com</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center"/>
        <w:rPr/>
      </w:pPr>
      <w:r>
        <w:rPr/>
        <w:t> </w:t>
      </w:r>
    </w:p>
    <w:tbl>
      <w:tblPr>
        <w:tblW w:w="10205" w:type="dxa"/>
        <w:jc w:val="left"/>
        <w:tblInd w:w="0" w:type="dxa"/>
        <w:tblCellMar>
          <w:top w:w="28" w:type="dxa"/>
          <w:left w:w="28" w:type="dxa"/>
          <w:bottom w:w="28" w:type="dxa"/>
          <w:right w:w="28" w:type="dxa"/>
        </w:tblCellMar>
      </w:tblPr>
      <w:tblGrid>
        <w:gridCol w:w="6550"/>
        <w:gridCol w:w="246"/>
        <w:gridCol w:w="216"/>
        <w:gridCol w:w="955"/>
        <w:gridCol w:w="166"/>
        <w:gridCol w:w="246"/>
        <w:gridCol w:w="227"/>
        <w:gridCol w:w="1005"/>
        <w:gridCol w:w="594"/>
      </w:tblGrid>
      <w:tr>
        <w:trPr/>
        <w:tc>
          <w:tcPr>
            <w:tcW w:w="655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r>
      <w:tr>
        <w:trPr/>
        <w:tc>
          <w:tcPr>
            <w:tcW w:w="9611"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Definitive Healthcare Corp.</w:t>
            </w:r>
          </w:p>
        </w:tc>
        <w:tc>
          <w:tcPr>
            <w:tcW w:w="594" w:type="dxa"/>
            <w:tcBorders/>
            <w:shd w:fill="auto" w:val="clear"/>
            <w:vAlign w:val="center"/>
          </w:tcPr>
          <w:p>
            <w:pPr>
              <w:pStyle w:val="TableContents"/>
              <w:spacing w:before="0" w:after="0"/>
              <w:ind w:left="0" w:right="0" w:hanging="0"/>
              <w:jc w:val="center"/>
              <w:rPr/>
            </w:pPr>
            <w:r>
              <w:rPr/>
              <w:t> </w:t>
            </w:r>
          </w:p>
        </w:tc>
      </w:tr>
      <w:tr>
        <w:trPr/>
        <w:tc>
          <w:tcPr>
            <w:tcW w:w="9611"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Condensed Consolidated Balance Sheets</w:t>
            </w:r>
          </w:p>
        </w:tc>
        <w:tc>
          <w:tcPr>
            <w:tcW w:w="594" w:type="dxa"/>
            <w:tcBorders/>
            <w:shd w:fill="auto" w:val="clear"/>
            <w:vAlign w:val="center"/>
          </w:tcPr>
          <w:p>
            <w:pPr>
              <w:pStyle w:val="TableContents"/>
              <w:spacing w:before="0" w:after="0"/>
              <w:ind w:left="0" w:right="0" w:hanging="0"/>
              <w:jc w:val="center"/>
              <w:rPr/>
            </w:pPr>
            <w:r>
              <w:rPr/>
              <w:t> </w:t>
            </w:r>
          </w:p>
        </w:tc>
      </w:tr>
      <w:tr>
        <w:trPr/>
        <w:tc>
          <w:tcPr>
            <w:tcW w:w="9611" w:type="dxa"/>
            <w:gridSpan w:val="8"/>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(amounts in thousands, except number of shares and par value; unaudited)</w:t>
            </w:r>
          </w:p>
        </w:tc>
        <w:tc>
          <w:tcPr>
            <w:tcW w:w="594" w:type="dxa"/>
            <w:tcBorders/>
            <w:shd w:fill="auto" w:val="clear"/>
            <w:vAlign w:val="center"/>
          </w:tcPr>
          <w:p>
            <w:pPr>
              <w:pStyle w:val="TableContents"/>
              <w:spacing w:before="0" w:after="0"/>
              <w:ind w:left="0" w:right="0" w:hanging="0"/>
              <w:jc w:val="center"/>
              <w:rPr/>
            </w:pPr>
            <w:r>
              <w:rPr/>
              <w:t> </w:t>
            </w:r>
          </w:p>
        </w:tc>
      </w:tr>
      <w:tr>
        <w:trPr/>
        <w:tc>
          <w:tcPr>
            <w:tcW w:w="6550"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46" w:type="dxa"/>
            <w:tcBorders/>
            <w:shd w:fill="auto" w:val="clear"/>
            <w:vAlign w:val="center"/>
          </w:tcPr>
          <w:p>
            <w:pPr>
              <w:pStyle w:val="TableContents"/>
              <w:spacing w:before="0" w:after="0"/>
              <w:ind w:left="0" w:right="0" w:firstLine="100"/>
              <w:jc w:val="left"/>
              <w:rPr/>
            </w:pPr>
            <w:r>
              <w:rPr/>
              <w:t> </w:t>
            </w:r>
          </w:p>
        </w:tc>
        <w:tc>
          <w:tcPr>
            <w:tcW w:w="1171" w:type="dxa"/>
            <w:gridSpan w:val="2"/>
            <w:tcBorders/>
            <w:shd w:fill="auto" w:val="clear"/>
            <w:vAlign w:val="center"/>
          </w:tcPr>
          <w:p>
            <w:pPr>
              <w:pStyle w:val="TableContents"/>
              <w:spacing w:before="0" w:after="0"/>
              <w:ind w:left="10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32" w:type="dxa"/>
            <w:gridSpan w:val="2"/>
            <w:tcBorders/>
            <w:shd w:fill="auto" w:val="clear"/>
            <w:vAlign w:val="center"/>
          </w:tcPr>
          <w:p>
            <w:pPr>
              <w:pStyle w:val="TableContents"/>
              <w:spacing w:before="0" w:after="0"/>
              <w:ind w:left="10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32" w:type="dxa"/>
            <w:gridSpan w:val="2"/>
            <w:tcBorders/>
            <w:shd w:fill="auto" w:val="clear"/>
            <w:vAlign w:val="center"/>
          </w:tcPr>
          <w:p>
            <w:pPr>
              <w:pStyle w:val="TableContents"/>
              <w:spacing w:before="0" w:after="283"/>
              <w:ind w:left="0" w:right="0" w:firstLine="100"/>
              <w:rPr>
                <w:sz w:val="4"/>
                <w:szCs w:val="4"/>
              </w:rPr>
            </w:pPr>
            <w:r>
              <w:rPr>
                <w:sz w:val="4"/>
                <w:szCs w:val="4"/>
              </w:rPr>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124,961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146,934</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218,955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51,801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14,711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12,686</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contract costs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0"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current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421,492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413,745</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9,118</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9,681</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3,697</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contract costs,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15,080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338,295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0"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2,115,236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3,948</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18,748</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105,362</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99,692</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term loan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10,313</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0"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current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142,620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132,503</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liabilities:</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252,465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9,491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9,969</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161,721</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156,311</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78,315</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75,737</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0"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645,785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633,772</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0" w:type="dxa"/>
            <w:tcBorders/>
            <w:shd w:fill="auto" w:val="clear"/>
            <w:vAlign w:val="center"/>
          </w:tcPr>
          <w:p>
            <w:pPr>
              <w:pStyle w:val="TableContents"/>
              <w:spacing w:before="0" w:after="0"/>
              <w:ind w:left="40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hanging="0"/>
              <w:jc w:val="left"/>
              <w:rPr/>
            </w:pPr>
            <w:r>
              <w:rPr/>
              <w:t> </w:t>
            </w:r>
          </w:p>
        </w:tc>
      </w:tr>
      <w:tr>
        <w:trPr/>
        <w:tc>
          <w:tcPr>
            <w:tcW w:w="655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Equity:</w:t>
            </w:r>
          </w:p>
        </w:tc>
        <w:tc>
          <w:tcPr>
            <w:tcW w:w="246" w:type="dxa"/>
            <w:tcBorders/>
            <w:shd w:fill="auto" w:val="clear"/>
            <w:vAlign w:val="center"/>
          </w:tcPr>
          <w:p>
            <w:pPr>
              <w:pStyle w:val="TableContents"/>
              <w:spacing w:before="0" w:after="0"/>
              <w:ind w:left="0" w:right="0" w:hanging="0"/>
              <w:jc w:val="left"/>
              <w:rPr/>
            </w:pPr>
            <w:r>
              <w:rPr/>
              <w:t> </w:t>
            </w:r>
          </w:p>
        </w:tc>
        <w:tc>
          <w:tcPr>
            <w:tcW w:w="117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32" w:type="dxa"/>
            <w:gridSpan w:val="2"/>
            <w:tcBorders/>
            <w:shd w:fill="auto" w:val="clear"/>
            <w:vAlign w:val="center"/>
          </w:tcPr>
          <w:p>
            <w:pPr>
              <w:pStyle w:val="TableContents"/>
              <w:spacing w:before="0" w:after="0"/>
              <w:ind w:left="0" w:right="0" w:hanging="0"/>
              <w:jc w:val="left"/>
              <w:rPr/>
            </w:pPr>
            <w:r>
              <w:rPr/>
              <w:t> </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Class A Common Stock, par value $0.001, 600,000,000 shares authorized, 110,162,665 and 105,138,273 shares issued and outstanding at March 31, 2023 and December 31, 2022, respectively</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Class B Common Stock, par value $0.00001, 65,000,000 shares authorized, 45,626,933 and 44,217,344 shares issued and outstanding, respectively, at March 31, 2023, and 50,433,101 and 48,923,952 shares issued and outstanding, respectively at December 31, 2022</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pPr>
            <w:r>
              <w:rPr/>
              <w:t>—</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1,020,709</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972,077</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1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594" w:type="dxa"/>
            <w:tcBorders/>
            <w:shd w:fill="auto" w:val="cle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9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100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(23,714</w:t>
            </w:r>
          </w:p>
        </w:tc>
        <w:tc>
          <w:tcPr>
            <w:tcW w:w="59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481,370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535,085</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655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1,469,451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5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550"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liabilities and equity</w:t>
            </w:r>
          </w:p>
        </w:tc>
        <w:tc>
          <w:tcPr>
            <w:tcW w:w="2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2,115,236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5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pPr>
      <w:r>
        <w:rPr/>
        <w:t> </w:t>
      </w:r>
    </w:p>
    <w:tbl>
      <w:tblPr>
        <w:tblW w:w="9794" w:type="dxa"/>
        <w:jc w:val="left"/>
        <w:tblInd w:w="0" w:type="dxa"/>
        <w:tblCellMar>
          <w:top w:w="28" w:type="dxa"/>
          <w:left w:w="28" w:type="dxa"/>
          <w:bottom w:w="28" w:type="dxa"/>
          <w:right w:w="28" w:type="dxa"/>
        </w:tblCellMar>
      </w:tblPr>
      <w:tblGrid>
        <w:gridCol w:w="5626"/>
        <w:gridCol w:w="246"/>
        <w:gridCol w:w="211"/>
        <w:gridCol w:w="1141"/>
        <w:gridCol w:w="266"/>
        <w:gridCol w:w="246"/>
        <w:gridCol w:w="211"/>
        <w:gridCol w:w="1036"/>
        <w:gridCol w:w="811"/>
      </w:tblGrid>
      <w:tr>
        <w:trPr/>
        <w:tc>
          <w:tcPr>
            <w:tcW w:w="562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r>
      <w:tr>
        <w:trPr/>
        <w:tc>
          <w:tcPr>
            <w:tcW w:w="8983"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Definitive Healthcare Corp.</w:t>
            </w:r>
          </w:p>
        </w:tc>
        <w:tc>
          <w:tcPr>
            <w:tcW w:w="811" w:type="dxa"/>
            <w:tcBorders/>
            <w:shd w:fill="auto" w:val="clear"/>
            <w:vAlign w:val="center"/>
          </w:tcPr>
          <w:p>
            <w:pPr>
              <w:pStyle w:val="TableContents"/>
              <w:spacing w:before="0" w:after="0"/>
              <w:ind w:left="0" w:right="0" w:hanging="0"/>
              <w:jc w:val="center"/>
              <w:rPr/>
            </w:pPr>
            <w:r>
              <w:rPr/>
              <w:t> </w:t>
            </w:r>
          </w:p>
        </w:tc>
      </w:tr>
      <w:tr>
        <w:trPr/>
        <w:tc>
          <w:tcPr>
            <w:tcW w:w="8983"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Condensed Consolidated Statements of Operations</w:t>
            </w:r>
          </w:p>
        </w:tc>
        <w:tc>
          <w:tcPr>
            <w:tcW w:w="811" w:type="dxa"/>
            <w:tcBorders/>
            <w:shd w:fill="auto" w:val="clear"/>
            <w:vAlign w:val="center"/>
          </w:tcPr>
          <w:p>
            <w:pPr>
              <w:pStyle w:val="TableContents"/>
              <w:spacing w:before="0" w:after="0"/>
              <w:ind w:left="0" w:right="0" w:hanging="0"/>
              <w:jc w:val="center"/>
              <w:rPr/>
            </w:pPr>
            <w:r>
              <w:rPr/>
              <w:t> </w:t>
            </w:r>
          </w:p>
        </w:tc>
      </w:tr>
      <w:tr>
        <w:trPr/>
        <w:tc>
          <w:tcPr>
            <w:tcW w:w="8983" w:type="dxa"/>
            <w:gridSpan w:val="8"/>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(amounts in thousands, except share amounts and per share data; unaudited)</w:t>
            </w:r>
          </w:p>
        </w:tc>
        <w:tc>
          <w:tcPr>
            <w:tcW w:w="811" w:type="dxa"/>
            <w:tcBorders/>
            <w:shd w:fill="auto" w:val="cle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31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 w:hAnsi="Times New Roman"/>
                <w:sz w:val="20"/>
              </w:rPr>
            </w:pPr>
            <w:r>
              <w:rPr>
                <w:rFonts w:ascii="Times New Roman;serif" w:hAnsi="Times New Roman;serif"/>
                <w:b w:val="false"/>
                <w:sz w:val="20"/>
              </w:rPr>
              <w:t xml:space="preserve">Cost of revenue exclusive of amortization </w:t>
            </w:r>
            <w:r>
              <w:rPr>
                <w:rFonts w:ascii="Times New Roman;serif" w:hAnsi="Times New Roman;serif"/>
                <w:b w:val="false"/>
                <w:sz w:val="13"/>
              </w:rPr>
              <w:t>(1)</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8,552</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5,950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3,354</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5,378</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47,295</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 w:hAnsi="Times New Roman"/>
                <w:sz w:val="20"/>
              </w:rPr>
            </w:pPr>
            <w:r>
              <w:rPr>
                <w:rFonts w:ascii="Times New Roman;serif" w:hAnsi="Times New Roman;serif"/>
                <w:b w:val="false"/>
                <w:sz w:val="20"/>
              </w:rPr>
              <w:t xml:space="preserve">Sales and marketing </w:t>
            </w:r>
            <w:r>
              <w:rPr>
                <w:rFonts w:ascii="Times New Roman;serif" w:hAnsi="Times New Roman;serif"/>
                <w:b w:val="false"/>
                <w:sz w:val="13"/>
              </w:rPr>
              <w:t>(1)</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23,423</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21,293</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 w:hAnsi="Times New Roman"/>
                <w:sz w:val="20"/>
              </w:rPr>
            </w:pPr>
            <w:r>
              <w:rPr>
                <w:rFonts w:ascii="Times New Roman;serif" w:hAnsi="Times New Roman;serif"/>
                <w:b w:val="false"/>
                <w:sz w:val="20"/>
              </w:rPr>
              <w:t xml:space="preserve">Product development </w:t>
            </w:r>
            <w:r>
              <w:rPr>
                <w:rFonts w:ascii="Times New Roman;serif" w:hAnsi="Times New Roman;serif"/>
                <w:b w:val="false"/>
                <w:sz w:val="13"/>
              </w:rPr>
              <w:t>(1)</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9,884</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6,850</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 w:hAnsi="Times New Roman"/>
                <w:sz w:val="20"/>
              </w:rPr>
            </w:pPr>
            <w:r>
              <w:rPr>
                <w:rFonts w:ascii="Times New Roman;serif" w:hAnsi="Times New Roman;serif"/>
                <w:b w:val="false"/>
                <w:sz w:val="20"/>
              </w:rPr>
              <w:t xml:space="preserve">General and administrative </w:t>
            </w:r>
            <w:r>
              <w:rPr>
                <w:rFonts w:ascii="Times New Roman;serif" w:hAnsi="Times New Roman;serif"/>
                <w:b w:val="false"/>
                <w:sz w:val="13"/>
              </w:rPr>
              <w:t>(1)</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13,640</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10,454</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9,590</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9,874</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59,127</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49,781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(11,832</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8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(3,698</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14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(4,478</w:t>
            </w:r>
          </w:p>
        </w:tc>
        <w:tc>
          <w:tcPr>
            <w:tcW w:w="2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(1,985</w:t>
            </w:r>
          </w:p>
        </w:tc>
        <w:tc>
          <w:tcPr>
            <w:tcW w:w="8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loss before income taxes</w:t>
            </w:r>
          </w:p>
        </w:tc>
        <w:tc>
          <w:tcPr>
            <w:tcW w:w="246" w:type="dxa"/>
            <w:tcBorders/>
            <w:shd w:fill="auto" w:val="clear"/>
            <w:vAlign w:val="center"/>
          </w:tcPr>
          <w:p>
            <w:pPr>
              <w:pStyle w:val="TableContents"/>
              <w:spacing w:before="0" w:after="0"/>
              <w:ind w:left="5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(16,310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(12,970</w:t>
            </w:r>
          </w:p>
        </w:tc>
        <w:tc>
          <w:tcPr>
            <w:tcW w:w="8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Benefit from (provision for) income taxes</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26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8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(8,624</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shd w:fill="auto" w:val="clear"/>
            <w:vAlign w:val="center"/>
          </w:tcPr>
          <w:p>
            <w:pPr>
              <w:pStyle w:val="TableContents"/>
              <w:spacing w:before="0" w:after="0"/>
              <w:ind w:left="120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2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Class A Common Stock outstanding:</w:t>
            </w:r>
          </w:p>
        </w:tc>
        <w:tc>
          <w:tcPr>
            <w:tcW w:w="246" w:type="dxa"/>
            <w:tcBorders/>
            <w:shd w:fill="auto" w:val="clear"/>
            <w:vAlign w:val="center"/>
          </w:tcPr>
          <w:p>
            <w:pPr>
              <w:pStyle w:val="TableContents"/>
              <w:spacing w:before="0" w:after="0"/>
              <w:ind w:left="0" w:right="0" w:firstLine="100"/>
              <w:jc w:val="left"/>
              <w:rPr/>
            </w:pPr>
            <w:r>
              <w:rPr/>
              <w:t> </w:t>
            </w:r>
          </w:p>
        </w:tc>
        <w:tc>
          <w:tcPr>
            <w:tcW w:w="1352" w:type="dxa"/>
            <w:gridSpan w:val="2"/>
            <w:tcBorders/>
            <w:shd w:fill="auto" w:val="clear"/>
            <w:vAlign w:val="center"/>
          </w:tcPr>
          <w:p>
            <w:pPr>
              <w:pStyle w:val="TableContents"/>
              <w:spacing w:before="0" w:after="0"/>
              <w:ind w:left="100" w:right="0" w:hanging="0"/>
              <w:jc w:val="left"/>
              <w:rPr/>
            </w:pPr>
            <w:r>
              <w:rPr/>
              <w:t> </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247" w:type="dxa"/>
            <w:gridSpan w:val="2"/>
            <w:tcBorders/>
            <w:shd w:fill="auto" w:val="clear"/>
            <w:vAlign w:val="center"/>
          </w:tcPr>
          <w:p>
            <w:pPr>
              <w:pStyle w:val="TableContents"/>
              <w:spacing w:before="0" w:after="0"/>
              <w:ind w:left="100" w:right="0" w:hanging="0"/>
              <w:jc w:val="left"/>
              <w:rPr/>
            </w:pPr>
            <w:r>
              <w:rPr/>
              <w:t> </w:t>
            </w:r>
          </w:p>
        </w:tc>
        <w:tc>
          <w:tcPr>
            <w:tcW w:w="811" w:type="dxa"/>
            <w:tcBorders/>
            <w:shd w:fill="auto" w:val="clear"/>
            <w:vAlign w:val="center"/>
          </w:tcPr>
          <w:p>
            <w:pPr>
              <w:pStyle w:val="TableContents"/>
              <w:spacing w:before="0" w:after="0"/>
              <w:ind w:left="0" w:right="0" w:firstLine="400"/>
              <w:jc w:val="left"/>
              <w:rPr/>
            </w:pPr>
            <w:r>
              <w:rPr/>
              <w:t> </w:t>
            </w:r>
          </w:p>
        </w:tc>
      </w:tr>
      <w:tr>
        <w:trPr/>
        <w:tc>
          <w:tcPr>
            <w:tcW w:w="5626" w:type="dxa"/>
            <w:tcBorders/>
            <w:shd w:fill="auto" w:val="clear"/>
            <w:vAlign w:val="center"/>
          </w:tcPr>
          <w:p>
            <w:pPr>
              <w:pStyle w:val="TableContents"/>
              <w:spacing w:before="0" w:after="0"/>
              <w:ind w:left="0" w:right="0" w:firstLine="8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shd w:fill="auto" w:val="clear"/>
            <w:vAlign w:val="center"/>
          </w:tcPr>
          <w:p>
            <w:pPr>
              <w:pStyle w:val="TableContents"/>
              <w:spacing w:before="0" w:after="0"/>
              <w:ind w:left="8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108,234,043</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97,158,823</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
              <w:jc w:val="left"/>
              <w:rPr/>
            </w:pPr>
            <w:r>
              <w:rPr/>
              <w:t> </w:t>
            </w:r>
          </w:p>
        </w:tc>
      </w:tr>
      <w:tr>
        <w:trPr/>
        <w:tc>
          <w:tcPr>
            <w:tcW w:w="5626" w:type="dxa"/>
            <w:tcBorders/>
            <w:shd w:fill="auto" w:val="clear"/>
            <w:vAlign w:val="center"/>
          </w:tcPr>
          <w:p>
            <w:pPr>
              <w:pStyle w:val="TableContents"/>
              <w:spacing w:before="0" w:after="0"/>
              <w:ind w:left="0" w:right="0" w:firstLine="20"/>
              <w:jc w:val="left"/>
              <w:rPr/>
            </w:pPr>
            <w:r>
              <w:rPr/>
              <w:t> </w:t>
            </w:r>
          </w:p>
        </w:tc>
        <w:tc>
          <w:tcPr>
            <w:tcW w:w="246" w:type="dxa"/>
            <w:tcBorders/>
            <w:shd w:fill="auto" w:val="clear"/>
            <w:vAlign w:val="center"/>
          </w:tcPr>
          <w:p>
            <w:pPr>
              <w:pStyle w:val="TableContents"/>
              <w:spacing w:before="0" w:after="0"/>
              <w:ind w:left="20" w:right="0" w:hanging="0"/>
              <w:jc w:val="left"/>
              <w:rPr/>
            </w:pPr>
            <w:r>
              <w:rPr/>
              <w:t> </w:t>
            </w:r>
          </w:p>
        </w:tc>
        <w:tc>
          <w:tcPr>
            <w:tcW w:w="1352" w:type="dxa"/>
            <w:gridSpan w:val="2"/>
            <w:tcBorders/>
            <w:shd w:fill="auto" w:val="clear"/>
            <w:vAlign w:val="center"/>
          </w:tcPr>
          <w:p>
            <w:pPr>
              <w:pStyle w:val="TableContents"/>
              <w:spacing w:before="0" w:after="0"/>
              <w:ind w:left="0" w:right="0" w:hanging="0"/>
              <w:jc w:val="center"/>
              <w:rPr/>
            </w:pPr>
            <w:r>
              <w:rPr/>
              <w:t> </w:t>
            </w:r>
          </w:p>
        </w:tc>
        <w:tc>
          <w:tcPr>
            <w:tcW w:w="266" w:type="dxa"/>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247" w:type="dxa"/>
            <w:gridSpan w:val="2"/>
            <w:tcBorders/>
            <w:shd w:fill="auto" w:val="clear"/>
            <w:vAlign w:val="center"/>
          </w:tcPr>
          <w:p>
            <w:pPr>
              <w:pStyle w:val="TableContents"/>
              <w:spacing w:before="0" w:after="0"/>
              <w:ind w:left="0" w:right="0" w:hanging="0"/>
              <w:jc w:val="center"/>
              <w:rPr/>
            </w:pPr>
            <w:r>
              <w:rPr/>
              <w:t> </w:t>
            </w:r>
          </w:p>
        </w:tc>
        <w:tc>
          <w:tcPr>
            <w:tcW w:w="811" w:type="dxa"/>
            <w:tcBorders/>
            <w:shd w:fill="auto" w:val="cle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w:t>
            </w:r>
            <w:r>
              <w:rPr>
                <w:rFonts w:ascii="Times New Roman;serif" w:hAnsi="Times New Roman;serif"/>
                <w:b w:val="false"/>
                <w:sz w:val="20"/>
              </w:rPr>
              <w:t>Amounts include equity-based compensation expense as follows:</w:t>
            </w:r>
          </w:p>
        </w:tc>
        <w:tc>
          <w:tcPr>
            <w:tcW w:w="2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811" w:type="dxa"/>
            <w:tcBorders/>
            <w:shd w:fill="auto" w:val="clear"/>
            <w:vAlign w:val="center"/>
          </w:tcPr>
          <w:p>
            <w:pPr>
              <w:pStyle w:val="TableContents"/>
              <w:spacing w:before="0" w:after="0"/>
              <w:ind w:left="0" w:right="0" w:hanging="0"/>
              <w:jc w:val="left"/>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1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2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2,649</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3,746</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3,011</w:t>
            </w:r>
          </w:p>
        </w:tc>
        <w:tc>
          <w:tcPr>
            <w:tcW w:w="266" w:type="dxa"/>
            <w:tcBorders/>
            <w:shd w:fill="auto" w:val="cle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w:t>
            </w:r>
          </w:p>
        </w:tc>
        <w:tc>
          <w:tcPr>
            <w:tcW w:w="811" w:type="dxa"/>
            <w:tcBorders/>
            <w:shd w:fill="auto" w:val="cle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5,210</w:t>
            </w:r>
          </w:p>
        </w:tc>
        <w:tc>
          <w:tcPr>
            <w:tcW w:w="2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1,605</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626" w:type="dxa"/>
            <w:tcBorders/>
            <w:shd w:fill="auto" w:val="clear"/>
            <w:vAlign w:val="center"/>
          </w:tcPr>
          <w:p>
            <w:pPr>
              <w:pStyle w:val="TableContents"/>
              <w:spacing w:before="0" w:after="0"/>
              <w:ind w:left="0" w:right="0" w:firstLine="1200"/>
              <w:jc w:val="left"/>
              <w:rPr>
                <w:rFonts w:ascii="Times New Roman;serif" w:hAnsi="Times New Roman;serif"/>
                <w:b w:val="false"/>
                <w:sz w:val="20"/>
              </w:rPr>
            </w:pPr>
            <w:r>
              <w:rPr>
                <w:rFonts w:ascii="Times New Roman;serif" w:hAnsi="Times New Roman;serif"/>
                <w:b w:val="false"/>
                <w:sz w:val="20"/>
              </w:rPr>
              <w:t>Total equity-based compensation expense</w:t>
            </w:r>
          </w:p>
        </w:tc>
        <w:tc>
          <w:tcPr>
            <w:tcW w:w="246" w:type="dxa"/>
            <w:tcBorders/>
            <w:shd w:fill="auto" w:val="clear"/>
            <w:vAlign w:val="center"/>
          </w:tcPr>
          <w:p>
            <w:pPr>
              <w:pStyle w:val="TableContents"/>
              <w:spacing w:before="0" w:after="0"/>
              <w:ind w:left="12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11,128</w:t>
            </w:r>
          </w:p>
        </w:tc>
        <w:tc>
          <w:tcPr>
            <w:tcW w:w="2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center"/>
        <w:rPr/>
      </w:pPr>
      <w:r>
        <w:rPr/>
        <w:t> </w:t>
      </w:r>
    </w:p>
    <w:tbl>
      <w:tblPr>
        <w:tblW w:w="9416" w:type="dxa"/>
        <w:jc w:val="left"/>
        <w:tblInd w:w="0" w:type="dxa"/>
        <w:tblCellMar>
          <w:top w:w="28" w:type="dxa"/>
          <w:left w:w="28" w:type="dxa"/>
          <w:bottom w:w="28" w:type="dxa"/>
          <w:right w:w="28" w:type="dxa"/>
        </w:tblCellMar>
      </w:tblPr>
      <w:tblGrid>
        <w:gridCol w:w="5561"/>
        <w:gridCol w:w="246"/>
        <w:gridCol w:w="200"/>
        <w:gridCol w:w="707"/>
        <w:gridCol w:w="272"/>
        <w:gridCol w:w="251"/>
        <w:gridCol w:w="200"/>
        <w:gridCol w:w="768"/>
        <w:gridCol w:w="1211"/>
      </w:tblGrid>
      <w:tr>
        <w:trPr/>
        <w:tc>
          <w:tcPr>
            <w:tcW w:w="556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r>
      <w:tr>
        <w:trPr/>
        <w:tc>
          <w:tcPr>
            <w:tcW w:w="8205"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Definitive Healthcare Corp.</w:t>
            </w:r>
          </w:p>
        </w:tc>
        <w:tc>
          <w:tcPr>
            <w:tcW w:w="1211" w:type="dxa"/>
            <w:tcBorders/>
            <w:shd w:fill="auto" w:val="clear"/>
            <w:vAlign w:val="center"/>
          </w:tcPr>
          <w:p>
            <w:pPr>
              <w:pStyle w:val="TableContents"/>
              <w:spacing w:before="0" w:after="0"/>
              <w:ind w:left="0" w:right="0" w:hanging="0"/>
              <w:jc w:val="center"/>
              <w:rPr/>
            </w:pPr>
            <w:r>
              <w:rPr/>
              <w:t> </w:t>
            </w:r>
          </w:p>
        </w:tc>
      </w:tr>
      <w:tr>
        <w:trPr/>
        <w:tc>
          <w:tcPr>
            <w:tcW w:w="8205" w:type="dxa"/>
            <w:gridSpan w:val="8"/>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Condensed Consolidated Statements of Cash Flows</w:t>
            </w:r>
          </w:p>
        </w:tc>
        <w:tc>
          <w:tcPr>
            <w:tcW w:w="1211" w:type="dxa"/>
            <w:tcBorders/>
            <w:shd w:fill="auto" w:val="clear"/>
            <w:vAlign w:val="center"/>
          </w:tcPr>
          <w:p>
            <w:pPr>
              <w:pStyle w:val="TableContents"/>
              <w:spacing w:before="0" w:after="0"/>
              <w:ind w:left="0" w:right="0" w:hanging="0"/>
              <w:jc w:val="center"/>
              <w:rPr/>
            </w:pPr>
            <w:r>
              <w:rPr/>
              <w:t> </w:t>
            </w:r>
          </w:p>
        </w:tc>
      </w:tr>
      <w:tr>
        <w:trPr/>
        <w:tc>
          <w:tcPr>
            <w:tcW w:w="8205" w:type="dxa"/>
            <w:gridSpan w:val="8"/>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(amounts in thousands; unaudited)</w:t>
            </w:r>
          </w:p>
        </w:tc>
        <w:tc>
          <w:tcPr>
            <w:tcW w:w="1211" w:type="dxa"/>
            <w:tcBorders/>
            <w:shd w:fill="auto" w:val="clear"/>
            <w:vAlign w:val="center"/>
          </w:tcPr>
          <w:p>
            <w:pPr>
              <w:pStyle w:val="TableContents"/>
              <w:spacing w:before="0" w:after="0"/>
              <w:ind w:left="0" w:right="0" w:hanging="0"/>
              <w:jc w:val="center"/>
              <w:rPr/>
            </w:pPr>
            <w:r>
              <w:rPr/>
              <w:t> </w:t>
            </w:r>
          </w:p>
        </w:tc>
      </w:tr>
      <w:tr>
        <w:trPr/>
        <w:tc>
          <w:tcPr>
            <w:tcW w:w="5561"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907" w:type="dxa"/>
            <w:gridSpan w:val="2"/>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968" w:type="dxa"/>
            <w:gridSpan w:val="2"/>
            <w:tcBorders/>
            <w:shd w:fill="auto" w:val="clear"/>
            <w:vAlign w:val="center"/>
          </w:tcPr>
          <w:p>
            <w:pPr>
              <w:pStyle w:val="TableContents"/>
              <w:spacing w:before="0" w:after="0"/>
              <w:ind w:left="0" w:right="0" w:hanging="0"/>
              <w:jc w:val="left"/>
              <w:rPr/>
            </w:pPr>
            <w:r>
              <w:rPr/>
              <w:t> </w:t>
            </w:r>
          </w:p>
        </w:tc>
        <w:tc>
          <w:tcPr>
            <w:tcW w:w="1211" w:type="dxa"/>
            <w:tcBorders/>
            <w:shd w:fill="auto" w:val="cle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1"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9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1" w:type="dxa"/>
            <w:tcBorders/>
            <w:shd w:fill="auto" w:val="clear"/>
            <w:vAlign w:val="center"/>
          </w:tcPr>
          <w:p>
            <w:pPr>
              <w:pStyle w:val="TableContents"/>
              <w:spacing w:before="0" w:after="0"/>
              <w:ind w:left="0" w:right="0" w:hanging="0"/>
              <w:jc w:val="center"/>
              <w:rPr/>
            </w:pPr>
            <w:r>
              <w:rPr/>
              <w:t> </w:t>
            </w:r>
          </w:p>
        </w:tc>
        <w:tc>
          <w:tcPr>
            <w:tcW w:w="96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Cash flows provided by (used in) operating activities: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loss</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(15,600</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(13,057</w:t>
            </w:r>
          </w:p>
        </w:tc>
        <w:tc>
          <w:tcPr>
            <w:tcW w:w="1211"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Adjustments to reconcile net loss to net cash provided by operating activities: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Depreciation and amortization</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513</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525</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intangible assets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12,431</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14,727</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deferred contract costs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2,860</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1,875</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Equity-based compensation</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11,128</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6,872</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Amortization of debt issuance costs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176</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176</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Provision for doubtful accounts receivable</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22</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Non-cash restructuring charges related to office leases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157</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Tax receivable agreement remeasurement</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3,619</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248</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income taxes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(773</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69</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Changes in operating assets and liabilities: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receivable</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6,966</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8,526</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Prepaid expenses and other current assets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(3,796</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692</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contract costs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(4,021</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(3,299</w:t>
            </w:r>
          </w:p>
        </w:tc>
        <w:tc>
          <w:tcPr>
            <w:tcW w:w="1211" w:type="dxa"/>
            <w:tcBorders/>
            <w:shd w:fill="auto" w:val="clear"/>
            <w:vAlign w:val="center"/>
          </w:tcPr>
          <w:p>
            <w:pPr>
              <w:pStyle w:val="TableContents"/>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Contingent consideration</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righ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(6,400</w:t>
            </w:r>
          </w:p>
        </w:tc>
        <w:tc>
          <w:tcPr>
            <w:tcW w:w="1211" w:type="dxa"/>
            <w:tcBorders/>
            <w:shd w:fill="auto" w:val="clear"/>
            <w:vAlign w:val="center"/>
          </w:tcPr>
          <w:p>
            <w:pPr>
              <w:pStyle w:val="TableContents"/>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Accounts payable, accrued expenses, and other liabilities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(4,294</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(3,579</w:t>
            </w:r>
          </w:p>
        </w:tc>
        <w:tc>
          <w:tcPr>
            <w:tcW w:w="1211" w:type="dxa"/>
            <w:tcBorders/>
            <w:shd w:fill="auto" w:val="clear"/>
            <w:vAlign w:val="center"/>
          </w:tcPr>
          <w:p>
            <w:pPr>
              <w:pStyle w:val="TableContents"/>
              <w:spacing w:before="0" w:after="0"/>
              <w:ind w:left="0" w:right="0" w:firstLine="6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Deferred revenue</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5,569</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6,249</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cash provided by operating activities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14,957</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13,633</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Cash flows (used in) provided by investing activities: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Purchases of property, equipment, and other assets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(1,338</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(794</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Purchases of short-term investments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(90,252</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(109,559</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Maturities of short-term investments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58,120</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Cash paid for acquisitions, net of cash acquired</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cash used in investing activities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(33,470</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(166,852</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Cash flows used in financing activities: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Repayments of term loans</w:t>
            </w:r>
          </w:p>
        </w:tc>
        <w:tc>
          <w:tcPr>
            <w:tcW w:w="246" w:type="dxa"/>
            <w:tcBorders/>
            <w:shd w:fill="auto" w:val="clear"/>
            <w:vAlign w:val="center"/>
          </w:tcPr>
          <w:p>
            <w:pPr>
              <w:pStyle w:val="TableContents"/>
              <w:spacing w:before="0" w:after="0"/>
              <w:ind w:left="4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(1,719</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(1,719</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Taxes paid related to net share settlement of equity awards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(1,530</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Payment of contingent consideration</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(1,100</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Payments under tax receivable agreement</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(246</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Payments of equity offering issuance costs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(30</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(1,299</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Member distributions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(258</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cash used in financing activities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(3,525</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(4,376</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Net decrease in cash and cash equivalents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(22,038</w:t>
            </w:r>
          </w:p>
        </w:tc>
        <w:tc>
          <w:tcPr>
            <w:tcW w:w="272"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(157,595</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Effect of exchange rate changes on cash and cash equivalents</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65</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(108</w:t>
            </w:r>
          </w:p>
        </w:tc>
        <w:tc>
          <w:tcPr>
            <w:tcW w:w="1211" w:type="dxa"/>
            <w:tcBorders/>
            <w:shd w:fill="auto" w:val="clear"/>
            <w:vAlign w:val="center"/>
          </w:tcPr>
          <w:p>
            <w:pPr>
              <w:pStyle w:val="TableContents"/>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Cash and cash equivalents, beginning of period</w:t>
            </w:r>
          </w:p>
        </w:tc>
        <w:tc>
          <w:tcPr>
            <w:tcW w:w="246" w:type="dxa"/>
            <w:tcBorders/>
            <w:shd w:fill="auto" w:val="clear"/>
            <w:vAlign w:val="center"/>
          </w:tcPr>
          <w:p>
            <w:pPr>
              <w:pStyle w:val="TableContents"/>
              <w:spacing w:before="0" w:after="0"/>
              <w:ind w:left="8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146,934</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387,498</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Cash and cash equivalents, end of period</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124,961</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229,795</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Supplemental cash flow disclosures: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val="false"/>
                <w:sz w:val="17"/>
              </w:rPr>
            </w:pPr>
            <w:r>
              <w:rPr>
                <w:rFonts w:ascii="Times New Roman;serif" w:hAnsi="Times New Roman;serif"/>
                <w:b w:val="false"/>
                <w:sz w:val="17"/>
              </w:rPr>
              <w:t>Cash paid during the period for:</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Interest</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3,475</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1,771</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Income taxes</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79</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shd w:fill="auto" w:val="clear"/>
            <w:vAlign w:val="center"/>
          </w:tcPr>
          <w:p>
            <w:pPr>
              <w:pStyle w:val="TableContents"/>
              <w:spacing w:before="0" w:after="0"/>
              <w:ind w:left="0" w:right="0" w:hanging="0"/>
              <w:jc w:val="right"/>
              <w:rPr/>
            </w:pPr>
            <w:r>
              <w:rPr/>
              <w:t>—</w:t>
            </w:r>
          </w:p>
        </w:tc>
        <w:tc>
          <w:tcPr>
            <w:tcW w:w="1211" w:type="dxa"/>
            <w:tcBorders/>
            <w:shd w:fill="auto" w:val="clear"/>
            <w:vAlign w:val="center"/>
          </w:tcPr>
          <w:p>
            <w:pPr>
              <w:pStyle w:val="TableContents"/>
              <w:spacing w:before="0" w:after="0"/>
              <w:ind w:left="0" w:right="0" w:firstLine="6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Acquisitions:</w:t>
            </w:r>
          </w:p>
        </w:tc>
        <w:tc>
          <w:tcPr>
            <w:tcW w:w="246" w:type="dxa"/>
            <w:tcBorders/>
            <w:shd w:fill="auto" w:val="clear"/>
            <w:vAlign w:val="center"/>
          </w:tcPr>
          <w:p>
            <w:pPr>
              <w:pStyle w:val="TableContents"/>
              <w:spacing w:before="0" w:after="0"/>
              <w:ind w:left="500" w:right="0" w:hanging="0"/>
              <w:jc w:val="left"/>
              <w:rPr/>
            </w:pPr>
            <w:r>
              <w:rPr/>
              <w:t> </w:t>
            </w:r>
          </w:p>
        </w:tc>
        <w:tc>
          <w:tcPr>
            <w:tcW w:w="907" w:type="dxa"/>
            <w:gridSpan w:val="2"/>
            <w:tcBorders/>
            <w:shd w:fill="auto" w:val="clear"/>
            <w:vAlign w:val="center"/>
          </w:tcPr>
          <w:p>
            <w:pPr>
              <w:pStyle w:val="TableContents"/>
              <w:spacing w:before="0" w:after="0"/>
              <w:ind w:left="0" w:right="0" w:hanging="0"/>
              <w:jc w:val="right"/>
              <w:rPr/>
            </w:pPr>
            <w:r>
              <w:rPr/>
              <w:t> </w:t>
            </w:r>
          </w:p>
        </w:tc>
        <w:tc>
          <w:tcPr>
            <w:tcW w:w="272" w:type="dxa"/>
            <w:tcBorders/>
            <w:shd w:fill="auto" w:val="clear"/>
            <w:vAlign w:val="center"/>
          </w:tcPr>
          <w:p>
            <w:pPr>
              <w:pStyle w:val="TableContents"/>
              <w:spacing w:before="0" w:after="0"/>
              <w:ind w:left="0" w:right="0" w:firstLine="100"/>
              <w:jc w:val="righ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968" w:type="dxa"/>
            <w:gridSpan w:val="2"/>
            <w:tcBorders/>
            <w:shd w:fill="auto" w:val="clear"/>
            <w:vAlign w:val="center"/>
          </w:tcPr>
          <w:p>
            <w:pPr>
              <w:pStyle w:val="TableContents"/>
              <w:spacing w:before="0" w:after="0"/>
              <w:ind w:left="0" w:right="0" w:hanging="0"/>
              <w:jc w:val="right"/>
              <w:rPr/>
            </w:pPr>
            <w:r>
              <w:rPr/>
              <w:t> </w:t>
            </w:r>
          </w:p>
        </w:tc>
        <w:tc>
          <w:tcPr>
            <w:tcW w:w="1211" w:type="dxa"/>
            <w:tcBorders/>
            <w:shd w:fill="auto" w:val="clear"/>
            <w:vAlign w:val="center"/>
          </w:tcPr>
          <w:p>
            <w:pPr>
              <w:pStyle w:val="TableContents"/>
              <w:spacing w:before="0" w:after="0"/>
              <w:ind w:left="0" w:right="0" w:firstLine="800"/>
              <w:jc w:val="righ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assets acquired, net of cash acquired</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shd w:fill="auto" w:val="clear"/>
            <w:vAlign w:val="center"/>
          </w:tcPr>
          <w:p>
            <w:pPr>
              <w:pStyle w:val="TableContents"/>
              <w:spacing w:before="0" w:after="0"/>
              <w:ind w:left="0" w:right="0" w:hanging="0"/>
              <w:jc w:val="right"/>
              <w:rPr/>
            </w:pPr>
            <w:r>
              <w:rPr/>
              <w:t>—</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97,499</w:t>
            </w:r>
          </w:p>
        </w:tc>
        <w:tc>
          <w:tcPr>
            <w:tcW w:w="1211" w:type="dxa"/>
            <w:tcBorders/>
            <w:shd w:fill="auto" w:val="clear"/>
            <w:vAlign w:val="center"/>
          </w:tcPr>
          <w:p>
            <w:pPr>
              <w:pStyle w:val="TableContents"/>
              <w:spacing w:before="0" w:after="0"/>
              <w:ind w:left="0" w:right="0" w:firstLine="8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Initial cash investment in prior year</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(40,000</w:t>
            </w:r>
          </w:p>
        </w:tc>
        <w:tc>
          <w:tcPr>
            <w:tcW w:w="1211" w:type="dxa"/>
            <w:tcBorders/>
            <w:shd w:fill="auto" w:val="clear"/>
            <w:vAlign w:val="center"/>
          </w:tcPr>
          <w:p>
            <w:pPr>
              <w:pStyle w:val="TableContents"/>
              <w:spacing w:before="0" w:after="0"/>
              <w:ind w:left="0" w:right="0" w:firstLine="8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Contingent consideration</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(1,000</w:t>
            </w:r>
          </w:p>
        </w:tc>
        <w:tc>
          <w:tcPr>
            <w:tcW w:w="1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0"/>
              <w:jc w:val="left"/>
              <w:rPr>
                <w:rFonts w:ascii="Times New Roman;serif" w:hAnsi="Times New Roman;serif"/>
                <w:b w:val="false"/>
                <w:sz w:val="17"/>
              </w:rPr>
            </w:pPr>
            <w:r>
              <w:rPr>
                <w:rFonts w:ascii="Times New Roman;serif" w:hAnsi="Times New Roman;serif"/>
                <w:b w:val="false"/>
                <w:sz w:val="17"/>
              </w:rPr>
              <w:t>)</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Net cash paid for acquisitions</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56,499</w:t>
            </w:r>
          </w:p>
        </w:tc>
        <w:tc>
          <w:tcPr>
            <w:tcW w:w="1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61" w:type="dxa"/>
            <w:tcBorders/>
            <w:shd w:fill="auto" w:val="clear"/>
            <w:vAlign w:val="center"/>
          </w:tcPr>
          <w:p>
            <w:pPr>
              <w:pStyle w:val="TableContents"/>
              <w:spacing w:before="0" w:after="0"/>
              <w:ind w:left="0" w:right="0" w:firstLine="100"/>
              <w:jc w:val="left"/>
              <w:rPr>
                <w:rFonts w:ascii="Times New Roman;serif" w:hAnsi="Times New Roman;serif"/>
                <w:b/>
                <w:sz w:val="17"/>
              </w:rPr>
            </w:pPr>
            <w:r>
              <w:rPr>
                <w:rFonts w:ascii="Times New Roman;serif" w:hAnsi="Times New Roman;serif"/>
                <w:b/>
                <w:sz w:val="17"/>
              </w:rPr>
              <w:t>Supplemental disclosure of non-cash investing activities:</w:t>
            </w:r>
          </w:p>
        </w:tc>
        <w:tc>
          <w:tcPr>
            <w:tcW w:w="246" w:type="dxa"/>
            <w:tcBorders/>
            <w:shd w:fill="auto" w:val="clear"/>
            <w:vAlign w:val="center"/>
          </w:tcPr>
          <w:p>
            <w:pPr>
              <w:pStyle w:val="TableContents"/>
              <w:spacing w:before="0" w:after="0"/>
              <w:ind w:left="0" w:right="0" w:firstLine="100"/>
              <w:jc w:val="left"/>
              <w:rPr/>
            </w:pPr>
            <w:r>
              <w:rPr/>
              <w:t> </w:t>
            </w:r>
          </w:p>
        </w:tc>
        <w:tc>
          <w:tcPr>
            <w:tcW w:w="907" w:type="dxa"/>
            <w:gridSpan w:val="2"/>
            <w:tcBorders/>
            <w:shd w:fill="auto" w:val="clear"/>
            <w:vAlign w:val="center"/>
          </w:tcPr>
          <w:p>
            <w:pPr>
              <w:pStyle w:val="TableContents"/>
              <w:spacing w:before="0" w:after="0"/>
              <w:ind w:left="100" w:right="0" w:hanging="0"/>
              <w:jc w:val="left"/>
              <w:rPr/>
            </w:pPr>
            <w:r>
              <w:rPr/>
              <w:t> </w:t>
            </w:r>
          </w:p>
        </w:tc>
        <w:tc>
          <w:tcPr>
            <w:tcW w:w="272"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firstLine="100"/>
              <w:jc w:val="right"/>
              <w:rPr/>
            </w:pPr>
            <w:r>
              <w:rPr/>
              <w:t> </w:t>
            </w:r>
          </w:p>
        </w:tc>
        <w:tc>
          <w:tcPr>
            <w:tcW w:w="968" w:type="dxa"/>
            <w:gridSpan w:val="2"/>
            <w:tcBorders/>
            <w:shd w:fill="auto" w:val="clear"/>
            <w:vAlign w:val="center"/>
          </w:tcPr>
          <w:p>
            <w:pPr>
              <w:pStyle w:val="TableContents"/>
              <w:spacing w:before="0" w:after="0"/>
              <w:ind w:left="100" w:right="0" w:hanging="0"/>
              <w:jc w:val="left"/>
              <w:rPr/>
            </w:pPr>
            <w:r>
              <w:rPr/>
              <w:t> </w:t>
            </w:r>
          </w:p>
        </w:tc>
        <w:tc>
          <w:tcPr>
            <w:tcW w:w="1211" w:type="dxa"/>
            <w:tcBorders/>
            <w:shd w:fill="auto" w:val="clear"/>
            <w:vAlign w:val="center"/>
          </w:tcPr>
          <w:p>
            <w:pPr>
              <w:pStyle w:val="TableContents"/>
              <w:spacing w:before="0" w:after="0"/>
              <w:ind w:left="0" w:right="0" w:firstLine="400"/>
              <w:jc w:val="left"/>
              <w:rPr/>
            </w:pPr>
            <w:r>
              <w:rPr/>
              <w:t> </w:t>
            </w:r>
          </w:p>
        </w:tc>
      </w:tr>
      <w:tr>
        <w:trPr/>
        <w:tc>
          <w:tcPr>
            <w:tcW w:w="5561" w:type="dxa"/>
            <w:tcBorders/>
            <w:shd w:fill="auto" w:val="clear"/>
            <w:vAlign w:val="center"/>
          </w:tcPr>
          <w:p>
            <w:pPr>
              <w:pStyle w:val="TableContents"/>
              <w:spacing w:before="0" w:after="0"/>
              <w:ind w:left="0" w:right="0" w:firstLine="500"/>
              <w:jc w:val="left"/>
              <w:rPr>
                <w:rFonts w:ascii="Times New Roman;serif" w:hAnsi="Times New Roman;serif"/>
                <w:b w:val="false"/>
                <w:sz w:val="17"/>
              </w:rPr>
            </w:pPr>
            <w:r>
              <w:rPr>
                <w:rFonts w:ascii="Times New Roman;serif" w:hAnsi="Times New Roman;serif"/>
                <w:b w:val="false"/>
                <w:sz w:val="17"/>
              </w:rPr>
              <w:t>Capital expenditures included in accrued expenses</w:t>
            </w:r>
          </w:p>
        </w:tc>
        <w:tc>
          <w:tcPr>
            <w:tcW w:w="246" w:type="dxa"/>
            <w:tcBorders/>
            <w:shd w:fill="auto" w:val="clear"/>
            <w:vAlign w:val="center"/>
          </w:tcPr>
          <w:p>
            <w:pPr>
              <w:pStyle w:val="TableContents"/>
              <w:spacing w:before="0" w:after="0"/>
              <w:ind w:left="5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07"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333</w:t>
            </w:r>
          </w:p>
        </w:tc>
        <w:tc>
          <w:tcPr>
            <w:tcW w:w="272" w:type="dxa"/>
            <w:tcBorders/>
            <w:shd w:fill="auto" w:val="clear"/>
            <w:vAlign w:val="center"/>
          </w:tcPr>
          <w:p>
            <w:pPr>
              <w:pStyle w:val="TableContents"/>
              <w:spacing w:before="0" w:after="0"/>
              <w:ind w:left="0" w:right="0" w:firstLine="100"/>
              <w:jc w:val="left"/>
              <w:rPr/>
            </w:pPr>
            <w:r>
              <w:rPr/>
              <w:t> </w:t>
            </w:r>
          </w:p>
        </w:tc>
        <w:tc>
          <w:tcPr>
            <w:tcW w:w="251" w:type="dxa"/>
            <w:tcBorders/>
            <w:shd w:fill="auto" w:val="clear"/>
            <w:vAlign w:val="center"/>
          </w:tcPr>
          <w:p>
            <w:pPr>
              <w:pStyle w:val="TableContents"/>
              <w:spacing w:before="0" w:after="0"/>
              <w:ind w:left="10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768" w:type="dxa"/>
            <w:tcBorders/>
            <w:shd w:fill="auto" w:val="clear"/>
            <w:vAlign w:val="center"/>
          </w:tcPr>
          <w:p>
            <w:pPr>
              <w:pStyle w:val="TableContents"/>
              <w:spacing w:before="0" w:after="0"/>
              <w:ind w:left="0" w:right="0" w:hanging="0"/>
              <w:jc w:val="right"/>
              <w:rPr>
                <w:rFonts w:ascii="Times New Roman;serif" w:hAnsi="Times New Roman;serif"/>
                <w:b w:val="false"/>
                <w:sz w:val="17"/>
              </w:rPr>
            </w:pPr>
            <w:r>
              <w:rPr>
                <w:rFonts w:ascii="Times New Roman;serif" w:hAnsi="Times New Roman;serif"/>
                <w:b w:val="false"/>
                <w:sz w:val="17"/>
              </w:rPr>
              <w:t>3,500</w:t>
            </w:r>
          </w:p>
        </w:tc>
        <w:tc>
          <w:tcPr>
            <w:tcW w:w="1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240" w:after="0"/>
        <w:jc w:val="center"/>
        <w:rPr>
          <w:rFonts w:ascii="Times New Roman" w:hAnsi="Times New Roman"/>
          <w:sz w:val="20"/>
        </w:rPr>
      </w:pPr>
      <w:r>
        <w:rPr>
          <w:rFonts w:ascii="Times New Roman;serif" w:hAnsi="Times New Roman;serif"/>
          <w:b/>
          <w:sz w:val="20"/>
        </w:rPr>
        <w:t>Definitive Healthcare Corp.</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Reconciliations of Non-GAAP Financial Measures to Closest GAAP Equivalent</w:t>
      </w:r>
      <w:r>
        <w:rPr>
          <w:rFonts w:ascii="Times New Roman" w:hAnsi="Times New Roman"/>
          <w:sz w:val="20"/>
        </w:rPr>
        <w:t xml:space="preserve">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5981"/>
        <w:gridCol w:w="359"/>
        <w:gridCol w:w="1154"/>
        <w:gridCol w:w="454"/>
        <w:gridCol w:w="249"/>
        <w:gridCol w:w="359"/>
        <w:gridCol w:w="1154"/>
        <w:gridCol w:w="495"/>
      </w:tblGrid>
      <w:tr>
        <w:trPr/>
        <w:tc>
          <w:tcPr>
            <w:tcW w:w="5981"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9710" w:type="dxa"/>
            <w:gridSpan w:val="7"/>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GAAP Operating Cash Flow to Unlevered Free Cash Flow</w:t>
            </w:r>
          </w:p>
        </w:tc>
        <w:tc>
          <w:tcPr>
            <w:tcW w:w="495" w:type="dxa"/>
            <w:tcBorders/>
            <w:shd w:fill="auto" w:val="clear"/>
            <w:vAlign w:val="center"/>
          </w:tcPr>
          <w:p>
            <w:pPr>
              <w:pStyle w:val="TableContents"/>
              <w:spacing w:before="0" w:after="0"/>
              <w:ind w:left="0" w:right="0" w:hanging="0"/>
              <w:jc w:val="center"/>
              <w:rPr/>
            </w:pPr>
            <w:r>
              <w:rPr/>
              <w:t> </w:t>
            </w:r>
          </w:p>
        </w:tc>
      </w:tr>
      <w:tr>
        <w:trPr/>
        <w:tc>
          <w:tcPr>
            <w:tcW w:w="9710" w:type="dxa"/>
            <w:gridSpan w:val="7"/>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unaudited)</w:t>
            </w:r>
          </w:p>
        </w:tc>
        <w:tc>
          <w:tcPr>
            <w:tcW w:w="495" w:type="dxa"/>
            <w:tcBorders/>
            <w:shd w:fill="auto" w:val="clear"/>
            <w:vAlign w:val="center"/>
          </w:tcPr>
          <w:p>
            <w:pPr>
              <w:pStyle w:val="TableContents"/>
              <w:spacing w:before="0" w:after="0"/>
              <w:ind w:left="0" w:right="0" w:hanging="0"/>
              <w:jc w:val="center"/>
              <w:rPr/>
            </w:pPr>
            <w:r>
              <w:rPr/>
              <w:t> </w:t>
            </w:r>
          </w:p>
        </w:tc>
      </w:tr>
      <w:tr>
        <w:trPr/>
        <w:tc>
          <w:tcPr>
            <w:tcW w:w="5981" w:type="dxa"/>
            <w:tcBorders/>
            <w:shd w:fill="auto" w:val="clear"/>
            <w:vAlign w:val="center"/>
          </w:tcPr>
          <w:p>
            <w:pPr>
              <w:pStyle w:val="TableContents"/>
              <w:spacing w:before="0" w:after="0"/>
              <w:ind w:left="0" w:right="0" w:hanging="0"/>
              <w:jc w:val="center"/>
              <w:rPr/>
            </w:pPr>
            <w:r>
              <w:rPr/>
              <w:t> </w:t>
            </w:r>
          </w:p>
        </w:tc>
        <w:tc>
          <w:tcPr>
            <w:tcW w:w="1513" w:type="dxa"/>
            <w:gridSpan w:val="2"/>
            <w:tcBorders/>
            <w:shd w:fill="auto" w:val="clear"/>
            <w:vAlign w:val="center"/>
          </w:tcPr>
          <w:p>
            <w:pPr>
              <w:pStyle w:val="TableContents"/>
              <w:spacing w:before="0" w:after="0"/>
              <w:ind w:left="0" w:right="0" w:hanging="0"/>
              <w:jc w:val="center"/>
              <w:rPr/>
            </w:pPr>
            <w:r>
              <w:rPr/>
              <w:t> </w:t>
            </w:r>
          </w:p>
        </w:tc>
        <w:tc>
          <w:tcPr>
            <w:tcW w:w="454"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center"/>
              <w:rPr/>
            </w:pPr>
            <w:r>
              <w:rPr/>
              <w:t> </w:t>
            </w:r>
          </w:p>
        </w:tc>
        <w:tc>
          <w:tcPr>
            <w:tcW w:w="1513" w:type="dxa"/>
            <w:gridSpan w:val="2"/>
            <w:tcBorders/>
            <w:shd w:fill="auto" w:val="clear"/>
            <w:vAlign w:val="center"/>
          </w:tcPr>
          <w:p>
            <w:pPr>
              <w:pStyle w:val="TableContents"/>
              <w:spacing w:before="0" w:after="0"/>
              <w:ind w:left="0" w:right="0" w:hanging="0"/>
              <w:jc w:val="center"/>
              <w:rPr/>
            </w:pPr>
            <w:r>
              <w:rPr/>
              <w:t> </w:t>
            </w:r>
          </w:p>
        </w:tc>
        <w:tc>
          <w:tcPr>
            <w:tcW w:w="495" w:type="dxa"/>
            <w:tcBorders/>
            <w:shd w:fill="auto" w:val="clear"/>
            <w:vAlign w:val="center"/>
          </w:tcPr>
          <w:p>
            <w:pPr>
              <w:pStyle w:val="TableContents"/>
              <w:spacing w:before="0" w:after="0"/>
              <w:ind w:left="0" w:right="0" w:hanging="0"/>
              <w:jc w:val="center"/>
              <w:rPr/>
            </w:pPr>
            <w:r>
              <w:rPr/>
              <w:t> </w:t>
            </w:r>
          </w:p>
        </w:tc>
      </w:tr>
      <w:tr>
        <w:trPr/>
        <w:tc>
          <w:tcPr>
            <w:tcW w:w="5981" w:type="dxa"/>
            <w:tcBorders/>
            <w:shd w:fill="auto" w:val="clear"/>
            <w:vAlign w:val="center"/>
          </w:tcPr>
          <w:p>
            <w:pPr>
              <w:pStyle w:val="TableContents"/>
              <w:spacing w:before="0" w:after="0"/>
              <w:ind w:left="0" w:right="0" w:hanging="0"/>
              <w:jc w:val="left"/>
              <w:rPr/>
            </w:pPr>
            <w:r>
              <w:rPr/>
              <w:t> </w:t>
            </w:r>
          </w:p>
        </w:tc>
        <w:tc>
          <w:tcPr>
            <w:tcW w:w="372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81" w:type="dxa"/>
            <w:tcBorders/>
            <w:shd w:fill="auto" w:val="clear"/>
            <w:vAlign w:val="center"/>
          </w:tcPr>
          <w:p>
            <w:pPr>
              <w:pStyle w:val="TableContents"/>
              <w:spacing w:before="0" w:after="0"/>
              <w:ind w:left="0" w:right="0" w:hanging="0"/>
              <w:jc w:val="left"/>
              <w:rPr/>
            </w:pPr>
            <w:r>
              <w:rPr/>
              <w:t> </w:t>
            </w:r>
          </w:p>
        </w:tc>
        <w:tc>
          <w:tcPr>
            <w:tcW w:w="15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5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 from operations</w:t>
            </w:r>
          </w:p>
        </w:tc>
        <w:tc>
          <w:tcPr>
            <w:tcW w:w="3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14,957</w:t>
            </w:r>
          </w:p>
        </w:tc>
        <w:tc>
          <w:tcPr>
            <w:tcW w:w="454" w:type="dxa"/>
            <w:tcBorders/>
            <w:shd w:fill="auto" w:val="clear"/>
            <w:vAlign w:val="center"/>
          </w:tcPr>
          <w:p>
            <w:pPr>
              <w:pStyle w:val="TableContents"/>
              <w:spacing w:before="0" w:after="0"/>
              <w:ind w:left="0" w:right="0" w:firstLine="100"/>
              <w:jc w:val="left"/>
              <w:rPr/>
            </w:pPr>
            <w:r>
              <w:rPr/>
              <w:t> </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13,633</w:t>
            </w:r>
          </w:p>
        </w:tc>
        <w:tc>
          <w:tcPr>
            <w:tcW w:w="495" w:type="dxa"/>
            <w:tcBorders/>
            <w:shd w:fill="auto" w:val="clear"/>
            <w:vAlign w:val="center"/>
          </w:tcPr>
          <w:p>
            <w:pPr>
              <w:pStyle w:val="TableContents"/>
              <w:spacing w:before="0" w:after="0"/>
              <w:ind w:left="0" w:right="0" w:firstLine="100"/>
              <w:jc w:val="left"/>
              <w:rPr/>
            </w:pPr>
            <w:r>
              <w:rPr/>
              <w:t> </w:t>
            </w:r>
          </w:p>
        </w:tc>
      </w:tr>
      <w:tr>
        <w:trPr/>
        <w:tc>
          <w:tcPr>
            <w:tcW w:w="59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Purchases of property, equipment, and other assets</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(1,338</w:t>
            </w:r>
          </w:p>
        </w:tc>
        <w:tc>
          <w:tcPr>
            <w:tcW w:w="454"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(794</w:t>
            </w:r>
          </w:p>
        </w:tc>
        <w:tc>
          <w:tcPr>
            <w:tcW w:w="495"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98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paid in cash</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454" w:type="dxa"/>
            <w:tcBorders/>
            <w:shd w:fill="auto" w:val="clear"/>
            <w:vAlign w:val="center"/>
          </w:tcPr>
          <w:p>
            <w:pPr>
              <w:pStyle w:val="TableContents"/>
              <w:spacing w:before="0" w:after="0"/>
              <w:ind w:left="0" w:right="0" w:firstLine="100"/>
              <w:jc w:val="left"/>
              <w:rPr/>
            </w:pPr>
            <w:r>
              <w:rPr/>
              <w:t> </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1,771</w:t>
            </w:r>
          </w:p>
        </w:tc>
        <w:tc>
          <w:tcPr>
            <w:tcW w:w="495" w:type="dxa"/>
            <w:tcBorders/>
            <w:shd w:fill="auto" w:val="clear"/>
            <w:vAlign w:val="center"/>
          </w:tcPr>
          <w:p>
            <w:pPr>
              <w:pStyle w:val="TableContents"/>
              <w:spacing w:before="0" w:after="0"/>
              <w:ind w:left="0" w:right="0" w:firstLine="100"/>
              <w:jc w:val="left"/>
              <w:rPr/>
            </w:pPr>
            <w:r>
              <w:rPr/>
              <w:t> </w:t>
            </w:r>
          </w:p>
        </w:tc>
      </w:tr>
      <w:tr>
        <w:trPr/>
        <w:tc>
          <w:tcPr>
            <w:tcW w:w="5981"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Transaction, integration, and restructuring expenses paid in cash</w:t>
            </w:r>
            <w:r>
              <w:rPr>
                <w:rFonts w:ascii="Times New Roman" w:hAnsi="Times New Roman"/>
                <w:sz w:val="20"/>
              </w:rPr>
              <w:t> </w:t>
            </w:r>
            <w:r>
              <w:rPr>
                <w:rFonts w:ascii="Times New Roman;serif" w:hAnsi="Times New Roman;serif"/>
                <w:b w:val="false"/>
                <w:sz w:val="13"/>
              </w:rPr>
              <w:t>(a)</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w:t>
            </w:r>
          </w:p>
        </w:tc>
        <w:tc>
          <w:tcPr>
            <w:tcW w:w="454" w:type="dxa"/>
            <w:tcBorders/>
            <w:shd w:fill="auto" w:val="clear"/>
            <w:vAlign w:val="center"/>
          </w:tcPr>
          <w:p>
            <w:pPr>
              <w:pStyle w:val="TableContents"/>
              <w:spacing w:before="0" w:after="0"/>
              <w:ind w:left="0" w:right="0" w:firstLine="100"/>
              <w:jc w:val="left"/>
              <w:rPr/>
            </w:pPr>
            <w:r>
              <w:rPr/>
              <w:t> </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495" w:type="dxa"/>
            <w:tcBorders/>
            <w:shd w:fill="auto" w:val="clear"/>
            <w:vAlign w:val="center"/>
          </w:tcPr>
          <w:p>
            <w:pPr>
              <w:pStyle w:val="TableContents"/>
              <w:spacing w:before="0" w:after="0"/>
              <w:ind w:left="0" w:right="0" w:firstLine="100"/>
              <w:jc w:val="left"/>
              <w:rPr/>
            </w:pPr>
            <w:r>
              <w:rPr/>
              <w:t> </w:t>
            </w:r>
          </w:p>
        </w:tc>
      </w:tr>
      <w:tr>
        <w:trPr/>
        <w:tc>
          <w:tcPr>
            <w:tcW w:w="5981"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 xml:space="preserve">Earnout payment </w:t>
            </w:r>
            <w:r>
              <w:rPr>
                <w:rFonts w:ascii="Times New Roman;serif" w:hAnsi="Times New Roman;serif"/>
                <w:b w:val="false"/>
                <w:sz w:val="13"/>
              </w:rPr>
              <w:t>(b)</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pPr>
            <w:r>
              <w:rPr/>
              <w:t>—</w:t>
            </w:r>
          </w:p>
        </w:tc>
        <w:tc>
          <w:tcPr>
            <w:tcW w:w="454" w:type="dxa"/>
            <w:tcBorders/>
            <w:shd w:fill="auto" w:val="clear"/>
            <w:vAlign w:val="center"/>
          </w:tcPr>
          <w:p>
            <w:pPr>
              <w:pStyle w:val="TableContents"/>
              <w:spacing w:before="0" w:after="0"/>
              <w:ind w:left="0" w:right="0" w:firstLine="100"/>
              <w:jc w:val="left"/>
              <w:rPr/>
            </w:pPr>
            <w:r>
              <w:rPr/>
              <w:t> </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115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6,400</w:t>
            </w:r>
          </w:p>
        </w:tc>
        <w:tc>
          <w:tcPr>
            <w:tcW w:w="495" w:type="dxa"/>
            <w:tcBorders/>
            <w:shd w:fill="auto" w:val="clear"/>
            <w:vAlign w:val="center"/>
          </w:tcPr>
          <w:p>
            <w:pPr>
              <w:pStyle w:val="TableContents"/>
              <w:spacing w:before="0" w:after="0"/>
              <w:ind w:left="0" w:right="0" w:firstLine="100"/>
              <w:jc w:val="left"/>
              <w:rPr/>
            </w:pPr>
            <w:r>
              <w:rPr/>
              <w:t> </w:t>
            </w:r>
          </w:p>
        </w:tc>
      </w:tr>
      <w:tr>
        <w:trPr/>
        <w:tc>
          <w:tcPr>
            <w:tcW w:w="5981"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(c)</w:t>
            </w:r>
          </w:p>
        </w:tc>
        <w:tc>
          <w:tcPr>
            <w:tcW w:w="3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4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5981"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Unlevered Free Cash Flow</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20,364</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9" w:type="dxa"/>
            <w:tcBorders/>
            <w:shd w:fill="auto" w:val="clear"/>
            <w:vAlign w:val="center"/>
          </w:tcPr>
          <w:p>
            <w:pPr>
              <w:pStyle w:val="TableContents"/>
              <w:spacing w:before="0" w:after="0"/>
              <w:ind w:left="100" w:right="0" w:hanging="0"/>
              <w:jc w:val="left"/>
              <w:rPr/>
            </w:pPr>
            <w:r>
              <w:rPr/>
              <w:t> </w:t>
            </w:r>
          </w:p>
        </w:tc>
        <w:tc>
          <w:tcPr>
            <w:tcW w:w="3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23,916</w:t>
            </w:r>
          </w:p>
        </w:tc>
        <w:tc>
          <w:tcPr>
            <w:tcW w:w="4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81" w:type="dxa"/>
            <w:tcBorders/>
            <w:shd w:fill="auto" w:val="cle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454"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1513" w:type="dxa"/>
            <w:gridSpan w:val="2"/>
            <w:tcBorders/>
            <w:shd w:fill="auto" w:val="clear"/>
            <w:vAlign w:val="center"/>
          </w:tcPr>
          <w:p>
            <w:pPr>
              <w:pStyle w:val="TableContents"/>
              <w:spacing w:before="0" w:after="0"/>
              <w:ind w:left="0" w:right="0" w:hanging="0"/>
              <w:jc w:val="left"/>
              <w:rPr/>
            </w:pPr>
            <w:r>
              <w:rPr/>
              <w:t> </w:t>
            </w:r>
          </w:p>
        </w:tc>
        <w:tc>
          <w:tcPr>
            <w:tcW w:w="495" w:type="dxa"/>
            <w:tcBorders/>
            <w:shd w:fill="auto" w:val="clear"/>
            <w:vAlign w:val="center"/>
          </w:tcPr>
          <w:p>
            <w:pPr>
              <w:pStyle w:val="TableContents"/>
              <w:spacing w:before="0" w:after="0"/>
              <w:ind w:left="0" w:right="0" w:hanging="0"/>
              <w:jc w:val="left"/>
              <w:rPr/>
            </w:pPr>
            <w:r>
              <w:rPr/>
              <w:t> </w:t>
            </w:r>
          </w:p>
        </w:tc>
      </w:tr>
      <w:tr>
        <w:trPr/>
        <w:tc>
          <w:tcPr>
            <w:tcW w:w="9710" w:type="dxa"/>
            <w:gridSpan w:val="7"/>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Transaction and integration expenses paid in cash primarily represent legal, accounting, and consulting expenses related to our acquisitions. Restructuring expenses paid in cash relate to our restructuring plan announced in the first quarter of 2023 and exit costs related to office relocations.</w:t>
              <w:br/>
              <w:t xml:space="preserve">(b) Earnout payment represents final settlement of contingent consideration included in cash flow from operations. </w:t>
              <w:br/>
              <w:t>(c) Non-recurring items represent expenses that are typically one-time, non-operational in nature, and unrelated to our core operations.</w:t>
            </w:r>
          </w:p>
        </w:tc>
        <w:tc>
          <w:tcPr>
            <w:tcW w:w="495"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center"/>
        <w:rPr/>
      </w:pPr>
      <w:r>
        <w:rPr/>
        <w:t> </w:t>
      </w:r>
    </w:p>
    <w:tbl>
      <w:tblPr>
        <w:tblW w:w="10205" w:type="dxa"/>
        <w:jc w:val="left"/>
        <w:tblInd w:w="0" w:type="dxa"/>
        <w:tblCellMar>
          <w:top w:w="28" w:type="dxa"/>
          <w:left w:w="28" w:type="dxa"/>
          <w:bottom w:w="28" w:type="dxa"/>
          <w:right w:w="28" w:type="dxa"/>
        </w:tblCellMar>
      </w:tblPr>
      <w:tblGrid>
        <w:gridCol w:w="5082"/>
        <w:gridCol w:w="312"/>
        <w:gridCol w:w="1688"/>
        <w:gridCol w:w="393"/>
        <w:gridCol w:w="216"/>
        <w:gridCol w:w="312"/>
        <w:gridCol w:w="1688"/>
        <w:gridCol w:w="514"/>
      </w:tblGrid>
      <w:tr>
        <w:trPr/>
        <w:tc>
          <w:tcPr>
            <w:tcW w:w="508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9691" w:type="dxa"/>
            <w:gridSpan w:val="7"/>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GAAP Net Loss to Adjusted Net Income and</w:t>
            </w:r>
          </w:p>
        </w:tc>
        <w:tc>
          <w:tcPr>
            <w:tcW w:w="514" w:type="dxa"/>
            <w:tcBorders/>
            <w:shd w:fill="auto" w:val="clear"/>
            <w:vAlign w:val="center"/>
          </w:tcPr>
          <w:p>
            <w:pPr>
              <w:pStyle w:val="TableContents"/>
              <w:spacing w:before="0" w:after="0"/>
              <w:ind w:left="0" w:right="0" w:hanging="0"/>
              <w:jc w:val="center"/>
              <w:rPr/>
            </w:pPr>
            <w:r>
              <w:rPr/>
              <w:t> </w:t>
            </w:r>
          </w:p>
        </w:tc>
      </w:tr>
      <w:tr>
        <w:trPr/>
        <w:tc>
          <w:tcPr>
            <w:tcW w:w="9691" w:type="dxa"/>
            <w:gridSpan w:val="7"/>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GAAP Operating Loss to Adjusted Operating Income</w:t>
            </w:r>
          </w:p>
        </w:tc>
        <w:tc>
          <w:tcPr>
            <w:tcW w:w="514" w:type="dxa"/>
            <w:tcBorders/>
            <w:shd w:fill="auto" w:val="clear"/>
            <w:vAlign w:val="center"/>
          </w:tcPr>
          <w:p>
            <w:pPr>
              <w:pStyle w:val="TableContents"/>
              <w:spacing w:before="0" w:after="0"/>
              <w:ind w:left="0" w:right="0" w:hanging="0"/>
              <w:jc w:val="center"/>
              <w:rPr/>
            </w:pPr>
            <w:r>
              <w:rPr/>
              <w:t> </w:t>
            </w:r>
          </w:p>
        </w:tc>
      </w:tr>
      <w:tr>
        <w:trPr/>
        <w:tc>
          <w:tcPr>
            <w:tcW w:w="9691" w:type="dxa"/>
            <w:gridSpan w:val="7"/>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except per share amounts; unaudited)</w:t>
            </w:r>
          </w:p>
        </w:tc>
        <w:tc>
          <w:tcPr>
            <w:tcW w:w="514" w:type="dxa"/>
            <w:tcBorders/>
            <w:shd w:fill="auto" w:val="clear"/>
            <w:vAlign w:val="center"/>
          </w:tcPr>
          <w:p>
            <w:pPr>
              <w:pStyle w:val="TableContents"/>
              <w:spacing w:before="0" w:after="0"/>
              <w:ind w:left="0" w:right="0" w:hanging="0"/>
              <w:jc w:val="center"/>
              <w:rPr/>
            </w:pPr>
            <w:r>
              <w:rPr/>
              <w:t> </w:t>
            </w:r>
          </w:p>
        </w:tc>
      </w:tr>
      <w:tr>
        <w:trPr/>
        <w:tc>
          <w:tcPr>
            <w:tcW w:w="5082" w:type="dxa"/>
            <w:tcBorders/>
            <w:shd w:fill="auto" w:val="clear"/>
            <w:vAlign w:val="center"/>
          </w:tcPr>
          <w:p>
            <w:pPr>
              <w:pStyle w:val="TableContents"/>
              <w:spacing w:before="0" w:after="0"/>
              <w:ind w:left="0" w:right="0" w:hanging="0"/>
              <w:jc w:val="center"/>
              <w:rPr/>
            </w:pPr>
            <w:r>
              <w:rPr/>
              <w:t> </w:t>
            </w:r>
          </w:p>
        </w:tc>
        <w:tc>
          <w:tcPr>
            <w:tcW w:w="2000" w:type="dxa"/>
            <w:gridSpan w:val="2"/>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center"/>
              <w:rPr/>
            </w:pPr>
            <w:r>
              <w:rPr/>
              <w:t> </w:t>
            </w:r>
          </w:p>
        </w:tc>
        <w:tc>
          <w:tcPr>
            <w:tcW w:w="2000" w:type="dxa"/>
            <w:gridSpan w:val="2"/>
            <w:tcBorders/>
            <w:shd w:fill="auto" w:val="clear"/>
            <w:vAlign w:val="center"/>
          </w:tcPr>
          <w:p>
            <w:pPr>
              <w:pStyle w:val="TableContents"/>
              <w:spacing w:before="0" w:after="0"/>
              <w:ind w:left="0" w:right="0" w:hanging="0"/>
              <w:jc w:val="center"/>
              <w:rPr/>
            </w:pPr>
            <w:r>
              <w:rPr/>
              <w:t> </w:t>
            </w:r>
          </w:p>
        </w:tc>
        <w:tc>
          <w:tcPr>
            <w:tcW w:w="514" w:type="dxa"/>
            <w:tcBorders/>
            <w:shd w:fill="auto" w:val="clear"/>
            <w:vAlign w:val="center"/>
          </w:tcPr>
          <w:p>
            <w:pPr>
              <w:pStyle w:val="TableContents"/>
              <w:spacing w:before="0" w:after="0"/>
              <w:ind w:left="0" w:right="0" w:hanging="0"/>
              <w:jc w:val="center"/>
              <w:rPr/>
            </w:pPr>
            <w:r>
              <w:rPr/>
              <w:t> </w:t>
            </w:r>
          </w:p>
        </w:tc>
      </w:tr>
      <w:tr>
        <w:trPr/>
        <w:tc>
          <w:tcPr>
            <w:tcW w:w="5082" w:type="dxa"/>
            <w:tcBorders/>
            <w:shd w:fill="auto" w:val="clear"/>
            <w:vAlign w:val="center"/>
          </w:tcPr>
          <w:p>
            <w:pPr>
              <w:pStyle w:val="TableContents"/>
              <w:spacing w:before="0" w:after="0"/>
              <w:ind w:left="0" w:right="0" w:hanging="0"/>
              <w:jc w:val="left"/>
              <w:rPr/>
            </w:pPr>
            <w:r>
              <w:rPr/>
              <w:t> </w:t>
            </w:r>
          </w:p>
        </w:tc>
        <w:tc>
          <w:tcPr>
            <w:tcW w:w="460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82" w:type="dxa"/>
            <w:tcBorders/>
            <w:shd w:fill="auto" w:val="clear"/>
            <w:vAlign w:val="center"/>
          </w:tcPr>
          <w:p>
            <w:pPr>
              <w:pStyle w:val="TableContents"/>
              <w:spacing w:before="0" w:after="0"/>
              <w:ind w:left="0" w:right="0" w:hanging="0"/>
              <w:jc w:val="left"/>
              <w:rPr/>
            </w:pPr>
            <w:r>
              <w:rPr/>
              <w:t> </w:t>
            </w:r>
          </w:p>
        </w:tc>
        <w:tc>
          <w:tcPr>
            <w:tcW w:w="20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20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0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39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514"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Income tax (benefit) provision</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39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Interest expense, net</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393"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righ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Other expense, net</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3,698</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righ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5082"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Loss from operations</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(11,832</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6" w:type="dxa"/>
            <w:tcBorders/>
            <w:shd w:fill="auto" w:val="clear"/>
            <w:vAlign w:val="center"/>
          </w:tcPr>
          <w:p>
            <w:pPr>
              <w:pStyle w:val="TableContents"/>
              <w:spacing w:before="0" w:after="0"/>
              <w:ind w:left="0" w:right="0" w:hanging="0"/>
              <w:jc w:val="righ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Amortization of intangible assets acquired through business combinations</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11,367</w:t>
            </w:r>
          </w:p>
        </w:tc>
        <w:tc>
          <w:tcPr>
            <w:tcW w:w="393" w:type="dxa"/>
            <w:tcBorders/>
            <w:shd w:fill="auto" w:val="cle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14,451</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Equity-based compensation</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11,128</w:t>
            </w:r>
          </w:p>
        </w:tc>
        <w:tc>
          <w:tcPr>
            <w:tcW w:w="393" w:type="dxa"/>
            <w:tcBorders/>
            <w:shd w:fill="auto" w:val="cle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Transaction, integration, and restructuring expenses</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393" w:type="dxa"/>
            <w:tcBorders/>
            <w:shd w:fill="auto" w:val="cle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Add: Other non-recurring items</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5082"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Adjusted Operating Income</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14,090</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13,244</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Interest expense, net</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39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514"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Recurring income tax benefit</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393" w:type="dxa"/>
            <w:tcBorders/>
            <w:shd w:fill="auto" w:val="cle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Foreign currency (loss) gain</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39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Less: Tax impacts of adjustments to net loss</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(4,776</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(4,161</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5082" w:type="dxa"/>
            <w:tcBorders/>
            <w:shd w:fill="auto" w:val="clear"/>
            <w:vAlign w:val="center"/>
          </w:tcPr>
          <w:p>
            <w:pPr>
              <w:pStyle w:val="TableContents"/>
              <w:spacing w:before="0" w:after="0"/>
              <w:ind w:left="300" w:right="0" w:hanging="0"/>
              <w:jc w:val="left"/>
              <w:rPr>
                <w:rFonts w:ascii="Times New Roman;serif" w:hAnsi="Times New Roman;serif"/>
                <w:b/>
                <w:sz w:val="20"/>
              </w:rPr>
            </w:pPr>
            <w:r>
              <w:rPr>
                <w:rFonts w:ascii="Times New Roman;serif" w:hAnsi="Times New Roman;serif"/>
                <w:b/>
                <w:sz w:val="20"/>
              </w:rPr>
              <w:t>Adjusted Net Income</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9,165</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7,651</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 w:hAnsi="Times New Roman"/>
                <w:sz w:val="20"/>
              </w:rPr>
            </w:pPr>
            <w:r>
              <w:rPr>
                <w:rFonts w:ascii="Times New Roman;serif" w:hAnsi="Times New Roman;serif"/>
                <w:b w:val="false"/>
                <w:sz w:val="20"/>
              </w:rPr>
              <w:t xml:space="preserve">Shares for Adjusted Net Income Per Diluted Share </w:t>
            </w:r>
            <w:r>
              <w:rPr>
                <w:rFonts w:ascii="Times New Roman;serif" w:hAnsi="Times New Roman;serif"/>
                <w:b w:val="false"/>
                <w:sz w:val="13"/>
              </w:rPr>
              <w:t>(a)</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154,300,768</w:t>
            </w:r>
          </w:p>
        </w:tc>
        <w:tc>
          <w:tcPr>
            <w:tcW w:w="393" w:type="dxa"/>
            <w:tcBorders/>
            <w:shd w:fill="auto" w:val="cle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154,216,995</w:t>
            </w:r>
          </w:p>
        </w:tc>
        <w:tc>
          <w:tcPr>
            <w:tcW w:w="514" w:type="dxa"/>
            <w:tcBorders/>
            <w:shd w:fill="auto" w:val="clear"/>
            <w:vAlign w:val="center"/>
          </w:tcPr>
          <w:p>
            <w:pPr>
              <w:pStyle w:val="TableContents"/>
              <w:spacing w:before="0" w:after="0"/>
              <w:ind w:left="0" w:right="0" w:firstLine="100"/>
              <w:jc w:val="left"/>
              <w:rPr/>
            </w:pPr>
            <w:r>
              <w:rPr/>
              <w:t> </w:t>
            </w:r>
          </w:p>
        </w:tc>
      </w:tr>
      <w:tr>
        <w:trPr/>
        <w:tc>
          <w:tcPr>
            <w:tcW w:w="5082"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Adjusted Net Income Per Share</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393" w:type="dxa"/>
            <w:tcBorders/>
            <w:shd w:fill="auto" w:val="clear"/>
            <w:vAlign w:val="center"/>
          </w:tcPr>
          <w:p>
            <w:pPr>
              <w:pStyle w:val="TableContents"/>
              <w:spacing w:before="0" w:after="0"/>
              <w:ind w:left="0" w:right="0" w:firstLine="100"/>
              <w:jc w:val="left"/>
              <w:rPr/>
            </w:pPr>
            <w:r>
              <w:rPr/>
              <w:t> </w:t>
            </w:r>
          </w:p>
        </w:tc>
        <w:tc>
          <w:tcPr>
            <w:tcW w:w="216" w:type="dxa"/>
            <w:tcBorders/>
            <w:shd w:fill="auto" w:val="clear"/>
            <w:vAlign w:val="center"/>
          </w:tcPr>
          <w:p>
            <w:pPr>
              <w:pStyle w:val="TableContents"/>
              <w:spacing w:before="0" w:after="0"/>
              <w:ind w:left="100" w:right="0" w:hanging="0"/>
              <w:jc w:val="left"/>
              <w:rPr/>
            </w:pPr>
            <w:r>
              <w:rPr/>
              <w:t> </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8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514" w:type="dxa"/>
            <w:tcBorders/>
            <w:shd w:fill="auto" w:val="clear"/>
            <w:vAlign w:val="center"/>
          </w:tcPr>
          <w:p>
            <w:pPr>
              <w:pStyle w:val="TableContents"/>
              <w:spacing w:before="0" w:after="0"/>
              <w:ind w:left="0" w:right="0" w:hanging="0"/>
              <w:jc w:val="left"/>
              <w:rPr/>
            </w:pPr>
            <w:r>
              <w:rPr/>
              <w:t> </w:t>
            </w:r>
          </w:p>
        </w:tc>
      </w:tr>
      <w:tr>
        <w:trPr/>
        <w:tc>
          <w:tcPr>
            <w:tcW w:w="5082" w:type="dxa"/>
            <w:tcBorders/>
            <w:shd w:fill="auto" w:val="clear"/>
            <w:vAlign w:val="center"/>
          </w:tcPr>
          <w:p>
            <w:pPr>
              <w:pStyle w:val="TableContents"/>
              <w:spacing w:before="0" w:after="0"/>
              <w:ind w:left="0" w:right="0" w:hanging="0"/>
              <w:jc w:val="left"/>
              <w:rPr/>
            </w:pPr>
            <w:r>
              <w:rPr/>
              <w:t> </w:t>
            </w:r>
          </w:p>
        </w:tc>
        <w:tc>
          <w:tcPr>
            <w:tcW w:w="2000" w:type="dxa"/>
            <w:gridSpan w:val="2"/>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2000" w:type="dxa"/>
            <w:gridSpan w:val="2"/>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pPr>
            <w:r>
              <w:rPr/>
              <w:t> </w:t>
            </w:r>
          </w:p>
        </w:tc>
      </w:tr>
      <w:tr>
        <w:trPr/>
        <w:tc>
          <w:tcPr>
            <w:tcW w:w="9691" w:type="dxa"/>
            <w:gridSpan w:val="7"/>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162,001,223 and 158,339,437 as of March 31, 2023 and 2022, respectively.</w:t>
            </w:r>
          </w:p>
        </w:tc>
        <w:tc>
          <w:tcPr>
            <w:tcW w:w="51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240"/>
        <w:jc w:val="center"/>
        <w:rPr/>
      </w:pPr>
      <w:r>
        <w:rPr/>
        <w:t> </w:t>
      </w:r>
    </w:p>
    <w:tbl>
      <w:tblPr>
        <w:tblW w:w="10205" w:type="dxa"/>
        <w:jc w:val="left"/>
        <w:tblInd w:w="0" w:type="dxa"/>
        <w:tblCellMar>
          <w:top w:w="28" w:type="dxa"/>
          <w:left w:w="28" w:type="dxa"/>
          <w:bottom w:w="28" w:type="dxa"/>
          <w:right w:w="28" w:type="dxa"/>
        </w:tblCellMar>
      </w:tblPr>
      <w:tblGrid>
        <w:gridCol w:w="5690"/>
        <w:gridCol w:w="383"/>
        <w:gridCol w:w="1337"/>
        <w:gridCol w:w="492"/>
        <w:gridCol w:w="264"/>
        <w:gridCol w:w="383"/>
        <w:gridCol w:w="1337"/>
        <w:gridCol w:w="319"/>
      </w:tblGrid>
      <w:tr>
        <w:trPr/>
        <w:tc>
          <w:tcPr>
            <w:tcW w:w="569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9886" w:type="dxa"/>
            <w:gridSpan w:val="7"/>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Adjusted EBITDA to GAAP Net Loss</w:t>
            </w:r>
          </w:p>
        </w:tc>
        <w:tc>
          <w:tcPr>
            <w:tcW w:w="319" w:type="dxa"/>
            <w:tcBorders/>
            <w:shd w:fill="auto" w:val="clear"/>
            <w:vAlign w:val="center"/>
          </w:tcPr>
          <w:p>
            <w:pPr>
              <w:pStyle w:val="TableContents"/>
              <w:spacing w:before="0" w:after="0"/>
              <w:ind w:left="0" w:right="0" w:hanging="0"/>
              <w:jc w:val="center"/>
              <w:rPr/>
            </w:pPr>
            <w:r>
              <w:rPr/>
              <w:t> </w:t>
            </w:r>
          </w:p>
        </w:tc>
      </w:tr>
      <w:tr>
        <w:trPr/>
        <w:tc>
          <w:tcPr>
            <w:tcW w:w="9886" w:type="dxa"/>
            <w:gridSpan w:val="7"/>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unaudited)</w:t>
            </w:r>
          </w:p>
        </w:tc>
        <w:tc>
          <w:tcPr>
            <w:tcW w:w="319" w:type="dxa"/>
            <w:tcBorders/>
            <w:shd w:fill="auto" w:val="clear"/>
            <w:vAlign w:val="center"/>
          </w:tcPr>
          <w:p>
            <w:pPr>
              <w:pStyle w:val="TableContents"/>
              <w:spacing w:before="0" w:after="0"/>
              <w:ind w:left="0" w:right="0" w:hanging="0"/>
              <w:jc w:val="center"/>
              <w:rPr/>
            </w:pPr>
            <w:r>
              <w:rPr/>
              <w:t> </w:t>
            </w:r>
          </w:p>
        </w:tc>
      </w:tr>
      <w:tr>
        <w:trPr/>
        <w:tc>
          <w:tcPr>
            <w:tcW w:w="5690" w:type="dxa"/>
            <w:tcBorders/>
            <w:shd w:fill="auto" w:val="clear"/>
            <w:vAlign w:val="center"/>
          </w:tcPr>
          <w:p>
            <w:pPr>
              <w:pStyle w:val="TableContents"/>
              <w:spacing w:before="0" w:after="0"/>
              <w:ind w:left="0" w:right="0" w:hanging="0"/>
              <w:jc w:val="center"/>
              <w:rPr/>
            </w:pPr>
            <w:r>
              <w:rPr/>
              <w:t> </w:t>
            </w:r>
          </w:p>
        </w:tc>
        <w:tc>
          <w:tcPr>
            <w:tcW w:w="1720" w:type="dxa"/>
            <w:gridSpan w:val="2"/>
            <w:tcBorders/>
            <w:shd w:fill="auto" w:val="clear"/>
            <w:vAlign w:val="center"/>
          </w:tcPr>
          <w:p>
            <w:pPr>
              <w:pStyle w:val="TableContents"/>
              <w:spacing w:before="0" w:after="0"/>
              <w:ind w:left="0" w:right="0" w:hanging="0"/>
              <w:jc w:val="center"/>
              <w:rPr/>
            </w:pPr>
            <w:r>
              <w:rPr/>
              <w:t> </w:t>
            </w:r>
          </w:p>
        </w:tc>
        <w:tc>
          <w:tcPr>
            <w:tcW w:w="492" w:type="dxa"/>
            <w:tcBorders/>
            <w:shd w:fill="auto" w:val="clear"/>
            <w:vAlign w:val="center"/>
          </w:tcPr>
          <w:p>
            <w:pPr>
              <w:pStyle w:val="TableContents"/>
              <w:spacing w:before="0" w:after="0"/>
              <w:ind w:left="0" w:right="0" w:hanging="0"/>
              <w:jc w:val="center"/>
              <w:rPr/>
            </w:pPr>
            <w:r>
              <w:rPr/>
              <w:t> </w:t>
            </w:r>
          </w:p>
        </w:tc>
        <w:tc>
          <w:tcPr>
            <w:tcW w:w="264" w:type="dxa"/>
            <w:tcBorders/>
            <w:shd w:fill="auto" w:val="clear"/>
            <w:vAlign w:val="center"/>
          </w:tcPr>
          <w:p>
            <w:pPr>
              <w:pStyle w:val="TableContents"/>
              <w:spacing w:before="0" w:after="0"/>
              <w:ind w:left="0" w:right="0" w:hanging="0"/>
              <w:jc w:val="center"/>
              <w:rPr/>
            </w:pPr>
            <w:r>
              <w:rPr/>
              <w:t> </w:t>
            </w:r>
          </w:p>
        </w:tc>
        <w:tc>
          <w:tcPr>
            <w:tcW w:w="1720" w:type="dxa"/>
            <w:gridSpan w:val="2"/>
            <w:tcBorders/>
            <w:shd w:fill="auto" w:val="clear"/>
            <w:vAlign w:val="center"/>
          </w:tcPr>
          <w:p>
            <w:pPr>
              <w:pStyle w:val="TableContents"/>
              <w:spacing w:before="0" w:after="0"/>
              <w:ind w:left="0" w:right="0" w:hanging="0"/>
              <w:jc w:val="center"/>
              <w:rPr/>
            </w:pPr>
            <w:r>
              <w:rPr/>
              <w:t> </w:t>
            </w:r>
          </w:p>
        </w:tc>
        <w:tc>
          <w:tcPr>
            <w:tcW w:w="319" w:type="dxa"/>
            <w:tcBorders/>
            <w:shd w:fill="auto" w:val="clear"/>
            <w:vAlign w:val="center"/>
          </w:tcPr>
          <w:p>
            <w:pPr>
              <w:pStyle w:val="TableContents"/>
              <w:spacing w:before="0" w:after="0"/>
              <w:ind w:left="0" w:right="0" w:hanging="0"/>
              <w:jc w:val="center"/>
              <w:rPr/>
            </w:pPr>
            <w:r>
              <w:rPr/>
              <w:t> </w:t>
            </w:r>
          </w:p>
        </w:tc>
      </w:tr>
      <w:tr>
        <w:trPr/>
        <w:tc>
          <w:tcPr>
            <w:tcW w:w="5690" w:type="dxa"/>
            <w:tcBorders/>
            <w:shd w:fill="auto" w:val="clear"/>
            <w:vAlign w:val="center"/>
          </w:tcPr>
          <w:p>
            <w:pPr>
              <w:pStyle w:val="TableContents"/>
              <w:spacing w:before="0" w:after="0"/>
              <w:ind w:left="0" w:right="0" w:hanging="0"/>
              <w:jc w:val="center"/>
              <w:rPr/>
            </w:pPr>
            <w:r>
              <w:rPr/>
              <w:t> </w:t>
            </w:r>
          </w:p>
        </w:tc>
        <w:tc>
          <w:tcPr>
            <w:tcW w:w="41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90" w:type="dxa"/>
            <w:tcBorders/>
            <w:shd w:fill="auto" w:val="clear"/>
            <w:vAlign w:val="center"/>
          </w:tcPr>
          <w:p>
            <w:pPr>
              <w:pStyle w:val="TableContents"/>
              <w:spacing w:before="0" w:after="0"/>
              <w:ind w:left="0" w:right="0" w:hanging="0"/>
              <w:jc w:val="left"/>
              <w:rPr/>
            </w:pPr>
            <w:r>
              <w:rPr/>
              <w:t> </w:t>
            </w:r>
          </w:p>
        </w:tc>
        <w:tc>
          <w:tcPr>
            <w:tcW w:w="17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17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loss</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(15,600</w:t>
            </w:r>
          </w:p>
        </w:tc>
        <w:tc>
          <w:tcPr>
            <w:tcW w:w="4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3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 net</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780</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provision</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4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&amp; amortization</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12,944</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15,252</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EBITDA</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(2,586</w:t>
            </w:r>
          </w:p>
        </w:tc>
        <w:tc>
          <w:tcPr>
            <w:tcW w:w="4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Other expense, net </w:t>
            </w:r>
            <w:r>
              <w:rPr>
                <w:rFonts w:ascii="Times New Roman;serif" w:hAnsi="Times New Roman;serif"/>
                <w:b w:val="false"/>
                <w:sz w:val="13"/>
              </w:rPr>
              <w:t>(a)</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3,698</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Equity-based compensation </w:t>
            </w:r>
            <w:r>
              <w:rPr>
                <w:rFonts w:ascii="Times New Roman;serif" w:hAnsi="Times New Roman;serif"/>
                <w:b w:val="false"/>
                <w:sz w:val="13"/>
              </w:rPr>
              <w:t>(b)</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11,128</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6,872</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Transaction, integration, and restructuring expenses </w:t>
            </w:r>
            <w:r>
              <w:rPr>
                <w:rFonts w:ascii="Times New Roman;serif" w:hAnsi="Times New Roman;serif"/>
                <w:b w:val="false"/>
                <w:sz w:val="13"/>
              </w:rPr>
              <w:t>(c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2,590</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pPr>
            <w:r>
              <w:rPr/>
              <w:t> </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(d)</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w:t>
            </w:r>
          </w:p>
        </w:tc>
        <w:tc>
          <w:tcPr>
            <w:tcW w:w="3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15,667</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14,045</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59,201</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319" w:type="dxa"/>
            <w:tcBorders/>
            <w:shd w:fill="auto" w:val="clear"/>
            <w:vAlign w:val="center"/>
          </w:tcPr>
          <w:p>
            <w:pPr>
              <w:pStyle w:val="TableContents"/>
              <w:spacing w:before="0" w:after="0"/>
              <w:ind w:left="0" w:right="0" w:hanging="0"/>
              <w:jc w:val="left"/>
              <w:rPr/>
            </w:pPr>
            <w:r>
              <w:rPr/>
              <w:t> </w:t>
            </w:r>
          </w:p>
        </w:tc>
      </w:tr>
      <w:tr>
        <w:trPr/>
        <w:tc>
          <w:tcPr>
            <w:tcW w:w="569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3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4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4" w:type="dxa"/>
            <w:tcBorders/>
            <w:shd w:fill="auto" w:val="clear"/>
            <w:vAlign w:val="center"/>
          </w:tcPr>
          <w:p>
            <w:pPr>
              <w:pStyle w:val="TableContents"/>
              <w:spacing w:before="0" w:after="0"/>
              <w:ind w:left="0" w:right="0" w:hanging="0"/>
              <w:jc w:val="right"/>
              <w:rPr/>
            </w:pPr>
            <w:r>
              <w:rPr/>
              <w:t> </w:t>
            </w:r>
          </w:p>
        </w:tc>
        <w:tc>
          <w:tcPr>
            <w:tcW w:w="3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90" w:type="dxa"/>
            <w:tcBorders/>
            <w:shd w:fill="auto" w:val="clear"/>
            <w:vAlign w:val="center"/>
          </w:tcPr>
          <w:p>
            <w:pPr>
              <w:pStyle w:val="TableContents"/>
              <w:spacing w:before="0" w:after="0"/>
              <w:ind w:left="0" w:right="0" w:hanging="0"/>
              <w:jc w:val="left"/>
              <w:rPr/>
            </w:pPr>
            <w:r>
              <w:rPr/>
              <w:t> </w:t>
            </w:r>
          </w:p>
        </w:tc>
        <w:tc>
          <w:tcPr>
            <w:tcW w:w="1720" w:type="dxa"/>
            <w:gridSpan w:val="2"/>
            <w:tcBorders/>
            <w:shd w:fill="auto" w:val="clear"/>
            <w:vAlign w:val="center"/>
          </w:tcPr>
          <w:p>
            <w:pPr>
              <w:pStyle w:val="TableContents"/>
              <w:spacing w:before="0" w:after="0"/>
              <w:ind w:left="0" w:right="0" w:hanging="0"/>
              <w:jc w:val="left"/>
              <w:rPr/>
            </w:pPr>
            <w:r>
              <w:rPr/>
              <w:t> </w:t>
            </w:r>
          </w:p>
        </w:tc>
        <w:tc>
          <w:tcPr>
            <w:tcW w:w="492"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1720" w:type="dxa"/>
            <w:gridSpan w:val="2"/>
            <w:tcBorders/>
            <w:shd w:fill="auto" w:val="clear"/>
            <w:vAlign w:val="center"/>
          </w:tcPr>
          <w:p>
            <w:pPr>
              <w:pStyle w:val="TableContents"/>
              <w:spacing w:before="0" w:after="0"/>
              <w:ind w:left="0" w:right="0" w:hanging="0"/>
              <w:jc w:val="left"/>
              <w:rPr/>
            </w:pPr>
            <w:r>
              <w:rPr/>
              <w:t> </w:t>
            </w:r>
          </w:p>
        </w:tc>
        <w:tc>
          <w:tcPr>
            <w:tcW w:w="319" w:type="dxa"/>
            <w:tcBorders/>
            <w:shd w:fill="auto" w:val="clear"/>
            <w:vAlign w:val="center"/>
          </w:tcPr>
          <w:p>
            <w:pPr>
              <w:pStyle w:val="TableContents"/>
              <w:spacing w:before="0" w:after="0"/>
              <w:ind w:left="0" w:right="0" w:hanging="0"/>
              <w:jc w:val="left"/>
              <w:rPr/>
            </w:pPr>
            <w:r>
              <w:rPr/>
              <w:t> </w:t>
            </w:r>
          </w:p>
        </w:tc>
      </w:tr>
      <w:tr>
        <w:trPr/>
        <w:tc>
          <w:tcPr>
            <w:tcW w:w="9886" w:type="dxa"/>
            <w:gridSpan w:val="7"/>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 Primarily represents foreign exchange and TRA liability remeasurement gains and losses.</w:t>
              <w:br/>
              <w:t>(b) Equity-based compensation represents non-cash compensation expense recognized in association with equity awards made to employees and directors.</w:t>
              <w:br/>
              <w:t>(c) Transaction and integration expenses primarily represent legal, accounting, and consulting expenses and fair value adjustments for contingent consideration related to our acquisitions. Restructuring expenses relate to our restructuring plan announced in the first quarter of 2023 and impairment and restructuring charges related to office relocations.</w:t>
              <w:br/>
              <w:t>(d) Non-recurring items represent expenses that are typically by nature one-time, non-operational, and unrelated to our core operations. These expenses are comprised primarily of professional fees related to financing, capital structure changes, and other non-recurring set-up costs related to public company operations.</w:t>
            </w:r>
          </w:p>
        </w:tc>
        <w:tc>
          <w:tcPr>
            <w:tcW w:w="319" w:type="dxa"/>
            <w:tcBorders/>
            <w:shd w:fill="auto" w:val="clear"/>
            <w:vAlign w:val="center"/>
          </w:tcPr>
          <w:p>
            <w:pPr>
              <w:pStyle w:val="TableContents"/>
              <w:spacing w:before="0" w:after="0"/>
              <w:ind w:left="0" w:right="0" w:hanging="0"/>
              <w:jc w:val="left"/>
              <w:rPr/>
            </w:pPr>
            <w:r>
              <w:rPr/>
              <w:t> </w:t>
            </w:r>
          </w:p>
        </w:tc>
      </w:tr>
    </w:tbl>
    <w:p>
      <w:pPr>
        <w:pStyle w:val="TextBody"/>
        <w:spacing w:before="0" w:after="240"/>
        <w:jc w:val="center"/>
        <w:rPr/>
      </w:pPr>
      <w:r>
        <w:rPr/>
        <w:t> </w:t>
      </w:r>
    </w:p>
    <w:tbl>
      <w:tblPr>
        <w:tblW w:w="10205" w:type="dxa"/>
        <w:jc w:val="left"/>
        <w:tblInd w:w="0" w:type="dxa"/>
        <w:tblCellMar>
          <w:top w:w="28" w:type="dxa"/>
          <w:left w:w="28" w:type="dxa"/>
          <w:bottom w:w="28" w:type="dxa"/>
          <w:right w:w="28" w:type="dxa"/>
        </w:tblCellMar>
      </w:tblPr>
      <w:tblGrid>
        <w:gridCol w:w="4766"/>
        <w:gridCol w:w="146"/>
        <w:gridCol w:w="211"/>
        <w:gridCol w:w="676"/>
        <w:gridCol w:w="146"/>
        <w:gridCol w:w="146"/>
        <w:gridCol w:w="324"/>
        <w:gridCol w:w="776"/>
        <w:gridCol w:w="271"/>
        <w:gridCol w:w="146"/>
        <w:gridCol w:w="211"/>
        <w:gridCol w:w="676"/>
        <w:gridCol w:w="146"/>
        <w:gridCol w:w="146"/>
        <w:gridCol w:w="324"/>
        <w:gridCol w:w="776"/>
        <w:gridCol w:w="318"/>
      </w:tblGrid>
      <w:tr>
        <w:trPr/>
        <w:tc>
          <w:tcPr>
            <w:tcW w:w="4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9887" w:type="dxa"/>
            <w:gridSpan w:val="16"/>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Reconciliation of Adjusted Gross Profit and Margin to GAAP Gross Profit and Margin</w:t>
            </w:r>
          </w:p>
        </w:tc>
        <w:tc>
          <w:tcPr>
            <w:tcW w:w="318" w:type="dxa"/>
            <w:tcBorders/>
            <w:shd w:fill="auto" w:val="clear"/>
            <w:vAlign w:val="center"/>
          </w:tcPr>
          <w:p>
            <w:pPr>
              <w:pStyle w:val="TableContents"/>
              <w:spacing w:before="0" w:after="0"/>
              <w:ind w:left="0" w:right="0" w:hanging="0"/>
              <w:jc w:val="center"/>
              <w:rPr/>
            </w:pPr>
            <w:r>
              <w:rPr/>
              <w:t> </w:t>
            </w:r>
          </w:p>
        </w:tc>
      </w:tr>
      <w:tr>
        <w:trPr/>
        <w:tc>
          <w:tcPr>
            <w:tcW w:w="9887" w:type="dxa"/>
            <w:gridSpan w:val="16"/>
            <w:tcBorders/>
            <w:shd w:fill="auto" w:val="clear"/>
            <w:vAlign w:val="center"/>
          </w:tcPr>
          <w:p>
            <w:pPr>
              <w:pStyle w:val="TableContents"/>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(in thousands; unaudited)</w:t>
            </w:r>
          </w:p>
        </w:tc>
        <w:tc>
          <w:tcPr>
            <w:tcW w:w="318" w:type="dxa"/>
            <w:tcBorders/>
            <w:shd w:fill="auto" w:val="cle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0"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0" w:type="dxa"/>
            <w:gridSpan w:val="2"/>
            <w:tcBorders/>
            <w:shd w:fill="auto" w:val="clear"/>
            <w:vAlign w:val="center"/>
          </w:tcPr>
          <w:p>
            <w:pPr>
              <w:pStyle w:val="TableContents"/>
              <w:spacing w:before="0" w:after="0"/>
              <w:ind w:left="0" w:right="0" w:hanging="0"/>
              <w:jc w:val="left"/>
              <w:rPr/>
            </w:pPr>
            <w:r>
              <w:rPr/>
              <w:t> </w:t>
            </w:r>
          </w:p>
        </w:tc>
        <w:tc>
          <w:tcPr>
            <w:tcW w:w="318" w:type="dxa"/>
            <w:tcBorders/>
            <w:shd w:fill="auto" w:val="clear"/>
            <w:vAlign w:val="center"/>
          </w:tcPr>
          <w:p>
            <w:pPr>
              <w:pStyle w:val="TableContents"/>
              <w:spacing w:before="0" w:after="0"/>
              <w:ind w:left="0" w:right="0" w:hanging="0"/>
              <w:jc w:val="left"/>
              <w:rPr/>
            </w:pPr>
            <w:r>
              <w:rPr/>
              <w:t> </w:t>
            </w:r>
          </w:p>
        </w:tc>
      </w:tr>
      <w:tr>
        <w:trPr/>
        <w:tc>
          <w:tcPr>
            <w:tcW w:w="47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75"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Reported gross profit</w:t>
            </w:r>
            <w:r>
              <w:rPr>
                <w:rFonts w:ascii="Times New Roman" w:hAnsi="Times New Roman"/>
                <w:sz w:val="20"/>
              </w:rPr>
              <w:t xml:space="preserve"> </w:t>
            </w:r>
            <w:r>
              <w:rPr>
                <w:rFonts w:ascii="Times New Roman;serif" w:hAnsi="Times New Roman;serif"/>
                <w:b/>
                <w:sz w:val="20"/>
              </w:rPr>
              <w:t>and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intangible assets acquired through business</w:t>
              <w:br/>
              <w:t>   combinations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shd w:fill="auto" w:val="clear"/>
            <w:vAlign w:val="center"/>
          </w:tcPr>
          <w:p>
            <w:pPr>
              <w:pStyle w:val="TableContents"/>
              <w:spacing w:before="0" w:after="0"/>
              <w:ind w:left="0" w:right="0" w:hanging="0"/>
              <w:jc w:val="left"/>
              <w:rPr/>
            </w:pPr>
            <w:r>
              <w:rPr/>
              <w:t> </w:t>
            </w:r>
          </w:p>
        </w:tc>
        <w:tc>
          <w:tcPr>
            <w:tcW w:w="7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Adjusted gross profit and margin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44,130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5136</Words>
  <CharactersWithSpaces>35169</CharactersWithSpaces>
  <Paragraphs>1857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