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0571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05714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Hamood Samuel A</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40" w:type="dxa"/>
            <w:vAlign w:val="bottom"/>
            <w:tcBorders>
              <w:top w:val="single" w:sz="8" w:color="0000EE"/>
              <w:bottom w:val="single" w:sz="8" w:color="9A9A9A"/>
            </w:tcBorders>
          </w:tcPr>
          <w:p>
            <w:pPr>
              <w:spacing w:after="0"/>
              <w:rPr>
                <w:sz w:val="17"/>
                <w:szCs w:val="17"/>
                <w:color w:val="auto"/>
              </w:rPr>
            </w:pPr>
          </w:p>
        </w:tc>
        <w:tc>
          <w:tcPr>
            <w:tcW w:w="94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09/15/2021</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800"/>
        <w:spacing w:after="0" w:line="269" w:lineRule="auto"/>
        <w:rPr>
          <w:sz w:val="20"/>
          <w:szCs w:val="20"/>
          <w:color w:val="auto"/>
        </w:rPr>
      </w:pPr>
      <w:r>
        <w:rPr>
          <w:rFonts w:ascii="Arial" w:cs="Arial" w:eastAsia="Arial" w:hAnsi="Arial"/>
          <w:sz w:val="20"/>
          <w:szCs w:val="20"/>
          <w:color w:val="0000FF"/>
        </w:rPr>
        <w:t>C/O DEFINITIVE HEALTHCARE CORP.</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550 COCHITUATE RD</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2020" w:type="dxa"/>
            <w:vAlign w:val="bottom"/>
          </w:tcPr>
          <w:p>
            <w:pPr>
              <w:spacing w:after="0"/>
              <w:rPr>
                <w:sz w:val="20"/>
                <w:szCs w:val="20"/>
                <w:color w:val="auto"/>
              </w:rPr>
            </w:pPr>
            <w:r>
              <w:rPr>
                <w:rFonts w:ascii="Arial" w:cs="Arial" w:eastAsia="Arial" w:hAnsi="Arial"/>
                <w:sz w:val="15"/>
                <w:szCs w:val="15"/>
                <w:color w:val="auto"/>
              </w:rPr>
              <w:t>(Street)</w:t>
            </w:r>
          </w:p>
        </w:tc>
        <w:tc>
          <w:tcPr>
            <w:tcW w:w="720" w:type="dxa"/>
            <w:vAlign w:val="bottom"/>
          </w:tcPr>
          <w:p>
            <w:pPr>
              <w:spacing w:after="0"/>
              <w:rPr>
                <w:sz w:val="15"/>
                <w:szCs w:val="15"/>
                <w:color w:val="auto"/>
              </w:rPr>
            </w:pPr>
          </w:p>
        </w:tc>
      </w:tr>
      <w:tr>
        <w:trPr>
          <w:trHeight w:val="269"/>
        </w:trPr>
        <w:tc>
          <w:tcPr>
            <w:tcW w:w="2020" w:type="dxa"/>
            <w:vAlign w:val="bottom"/>
          </w:tcPr>
          <w:p>
            <w:pPr>
              <w:ind w:left="40"/>
              <w:spacing w:after="0"/>
              <w:rPr>
                <w:sz w:val="20"/>
                <w:szCs w:val="20"/>
                <w:color w:val="auto"/>
              </w:rPr>
            </w:pPr>
            <w:r>
              <w:rPr>
                <w:rFonts w:ascii="Arial" w:cs="Arial" w:eastAsia="Arial" w:hAnsi="Arial"/>
                <w:sz w:val="20"/>
                <w:szCs w:val="20"/>
                <w:color w:val="0000FF"/>
              </w:rPr>
              <w:t>FRAMINGHAM MA</w:t>
            </w:r>
          </w:p>
        </w:tc>
        <w:tc>
          <w:tcPr>
            <w:tcW w:w="720" w:type="dxa"/>
            <w:vAlign w:val="bottom"/>
          </w:tcPr>
          <w:p>
            <w:pPr>
              <w:jc w:val="right"/>
              <w:spacing w:after="0"/>
              <w:rPr>
                <w:sz w:val="20"/>
                <w:szCs w:val="20"/>
                <w:color w:val="auto"/>
              </w:rPr>
            </w:pPr>
            <w:r>
              <w:rPr>
                <w:rFonts w:ascii="Arial" w:cs="Arial" w:eastAsia="Arial" w:hAnsi="Arial"/>
                <w:sz w:val="20"/>
                <w:szCs w:val="20"/>
                <w:color w:val="0000FF"/>
              </w:rPr>
              <w:t>01701</w:t>
            </w: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Definitive Healthcare Corp.</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DH</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Class A common stock</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720" w:type="dxa"/>
            <w:vAlign w:val="bottom"/>
          </w:tcPr>
          <w:p>
            <w:pPr>
              <w:jc w:val="center"/>
              <w:spacing w:after="0"/>
              <w:rPr>
                <w:sz w:val="20"/>
                <w:szCs w:val="20"/>
                <w:color w:val="auto"/>
              </w:rPr>
            </w:pPr>
            <w:r>
              <w:rPr>
                <w:rFonts w:ascii="Arial" w:cs="Arial" w:eastAsia="Arial" w:hAnsi="Arial"/>
                <w:sz w:val="20"/>
                <w:szCs w:val="20"/>
                <w:color w:val="0000FF"/>
                <w:w w:val="84"/>
              </w:rPr>
              <w:t>37,037</w:t>
            </w:r>
          </w:p>
        </w:tc>
        <w:tc>
          <w:tcPr>
            <w:tcW w:w="920" w:type="dxa"/>
            <w:vAlign w:val="bottom"/>
            <w:gridSpan w:val="2"/>
          </w:tcPr>
          <w:p>
            <w:pPr>
              <w:ind w:left="740"/>
              <w:spacing w:after="0"/>
              <w:rPr>
                <w:sz w:val="20"/>
                <w:szCs w:val="20"/>
                <w:color w:val="auto"/>
              </w:rPr>
            </w:pPr>
            <w:r>
              <w:rPr>
                <w:rFonts w:ascii="Arial" w:cs="Arial" w:eastAsia="Arial" w:hAnsi="Arial"/>
                <w:sz w:val="20"/>
                <w:szCs w:val="20"/>
                <w:color w:val="0000FF"/>
              </w:rPr>
              <w:t>D</w:t>
            </w:r>
          </w:p>
        </w:tc>
        <w:tc>
          <w:tcPr>
            <w:tcW w:w="9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4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6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6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4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4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20" w:type="dxa"/>
            <w:vAlign w:val="bottom"/>
          </w:tcPr>
          <w:p>
            <w:pPr>
              <w:spacing w:after="0"/>
              <w:rPr>
                <w:sz w:val="4"/>
                <w:szCs w:val="4"/>
                <w:color w:val="auto"/>
              </w:rPr>
            </w:pPr>
          </w:p>
        </w:tc>
        <w:tc>
          <w:tcPr>
            <w:tcW w:w="920" w:type="dxa"/>
            <w:vAlign w:val="bottom"/>
            <w:gridSpan w:val="2"/>
            <w:vMerge w:val="restart"/>
          </w:tcPr>
          <w:p>
            <w:pPr>
              <w:ind w:left="16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940" w:type="dxa"/>
            <w:vAlign w:val="bottom"/>
          </w:tcPr>
          <w:p>
            <w:pPr>
              <w:ind w:left="4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2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20" w:type="dxa"/>
            <w:vAlign w:val="bottom"/>
            <w:gridSpan w:val="2"/>
          </w:tcPr>
          <w:p>
            <w:pPr>
              <w:ind w:left="16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20" w:type="dxa"/>
            <w:vAlign w:val="bottom"/>
          </w:tcPr>
          <w:p>
            <w:pPr>
              <w:spacing w:after="0"/>
              <w:rPr>
                <w:sz w:val="14"/>
                <w:szCs w:val="14"/>
                <w:color w:val="auto"/>
              </w:rPr>
            </w:pPr>
          </w:p>
        </w:tc>
        <w:tc>
          <w:tcPr>
            <w:tcW w:w="92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20" w:type="dxa"/>
            <w:vAlign w:val="bottom"/>
            <w:gridSpan w:val="2"/>
          </w:tcPr>
          <w:p>
            <w:pPr>
              <w:ind w:left="16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w w:val="93"/>
              </w:rPr>
              <w:t>LLC Units of AIDH Management</w:t>
            </w:r>
          </w:p>
        </w:tc>
        <w:tc>
          <w:tcPr>
            <w:tcW w:w="1280" w:type="dxa"/>
            <w:vAlign w:val="bottom"/>
            <w:gridSpan w:val="2"/>
            <w:vMerge w:val="restart"/>
          </w:tcPr>
          <w:p>
            <w:pPr>
              <w:jc w:val="right"/>
              <w:ind w:right="261"/>
              <w:spacing w:after="0"/>
              <w:rPr>
                <w:sz w:val="20"/>
                <w:szCs w:val="20"/>
                <w:color w:val="auto"/>
              </w:rPr>
            </w:pPr>
            <w:r>
              <w:rPr>
                <w:rFonts w:ascii="Arial" w:cs="Arial" w:eastAsia="Arial" w:hAnsi="Arial"/>
                <w:sz w:val="13"/>
                <w:szCs w:val="13"/>
                <w:color w:val="008000"/>
              </w:rPr>
              <w:t>(1)(2)</w:t>
            </w:r>
          </w:p>
        </w:tc>
        <w:tc>
          <w:tcPr>
            <w:tcW w:w="900" w:type="dxa"/>
            <w:vAlign w:val="bottom"/>
            <w:vMerge w:val="restart"/>
          </w:tcPr>
          <w:p>
            <w:pPr>
              <w:jc w:val="right"/>
              <w:ind w:right="229"/>
              <w:spacing w:after="0"/>
              <w:rPr>
                <w:sz w:val="20"/>
                <w:szCs w:val="20"/>
                <w:color w:val="auto"/>
              </w:rPr>
            </w:pPr>
            <w:r>
              <w:rPr>
                <w:rFonts w:ascii="Arial" w:cs="Arial" w:eastAsia="Arial" w:hAnsi="Arial"/>
                <w:sz w:val="13"/>
                <w:szCs w:val="13"/>
                <w:color w:val="008000"/>
              </w:rPr>
              <w:t>(1)(2)</w:t>
            </w:r>
          </w:p>
        </w:tc>
        <w:tc>
          <w:tcPr>
            <w:tcW w:w="1720" w:type="dxa"/>
            <w:vAlign w:val="bottom"/>
          </w:tcPr>
          <w:p>
            <w:pPr>
              <w:jc w:val="center"/>
              <w:spacing w:after="0"/>
              <w:rPr>
                <w:sz w:val="20"/>
                <w:szCs w:val="20"/>
                <w:color w:val="auto"/>
              </w:rPr>
            </w:pPr>
            <w:r>
              <w:rPr>
                <w:rFonts w:ascii="Arial" w:cs="Arial" w:eastAsia="Arial" w:hAnsi="Arial"/>
                <w:sz w:val="20"/>
                <w:szCs w:val="20"/>
                <w:color w:val="0000FF"/>
                <w:w w:val="89"/>
              </w:rPr>
              <w:t>Class A common</w:t>
            </w:r>
          </w:p>
        </w:tc>
        <w:tc>
          <w:tcPr>
            <w:tcW w:w="880" w:type="dxa"/>
            <w:vAlign w:val="bottom"/>
            <w:vMerge w:val="restart"/>
          </w:tcPr>
          <w:p>
            <w:pPr>
              <w:ind w:left="160"/>
              <w:spacing w:after="0"/>
              <w:rPr>
                <w:sz w:val="20"/>
                <w:szCs w:val="20"/>
                <w:color w:val="auto"/>
              </w:rPr>
            </w:pPr>
            <w:r>
              <w:rPr>
                <w:rFonts w:ascii="Arial" w:cs="Arial" w:eastAsia="Arial" w:hAnsi="Arial"/>
                <w:sz w:val="20"/>
                <w:szCs w:val="20"/>
                <w:color w:val="0000FF"/>
                <w:w w:val="96"/>
              </w:rPr>
              <w:t>310,078</w:t>
            </w:r>
          </w:p>
        </w:tc>
        <w:tc>
          <w:tcPr>
            <w:tcW w:w="40" w:type="dxa"/>
            <w:vAlign w:val="bottom"/>
          </w:tcPr>
          <w:p>
            <w:pPr>
              <w:spacing w:after="0"/>
              <w:rPr>
                <w:sz w:val="24"/>
                <w:szCs w:val="24"/>
                <w:color w:val="auto"/>
              </w:rPr>
            </w:pPr>
          </w:p>
        </w:tc>
        <w:tc>
          <w:tcPr>
            <w:tcW w:w="940" w:type="dxa"/>
            <w:vAlign w:val="bottom"/>
            <w:vMerge w:val="restart"/>
          </w:tcPr>
          <w:p>
            <w:pPr>
              <w:ind w:left="320"/>
              <w:spacing w:after="0"/>
              <w:rPr>
                <w:sz w:val="20"/>
                <w:szCs w:val="20"/>
                <w:color w:val="auto"/>
              </w:rPr>
            </w:pPr>
            <w:r>
              <w:rPr>
                <w:rFonts w:ascii="Arial" w:cs="Arial" w:eastAsia="Arial" w:hAnsi="Arial"/>
                <w:sz w:val="13"/>
                <w:szCs w:val="13"/>
                <w:color w:val="008000"/>
              </w:rPr>
              <w:t>(1)(2)</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60" w:type="dxa"/>
            <w:vAlign w:val="bottom"/>
            <w:gridSpan w:val="2"/>
            <w:vMerge w:val="restart"/>
          </w:tcPr>
          <w:p>
            <w:pPr>
              <w:ind w:left="80"/>
              <w:spacing w:after="0"/>
              <w:rPr>
                <w:sz w:val="20"/>
                <w:szCs w:val="20"/>
                <w:color w:val="auto"/>
              </w:rPr>
            </w:pPr>
            <w:r>
              <w:rPr>
                <w:rFonts w:ascii="Arial" w:cs="Arial" w:eastAsia="Arial" w:hAnsi="Arial"/>
                <w:sz w:val="20"/>
                <w:szCs w:val="20"/>
                <w:color w:val="0000FF"/>
              </w:rPr>
              <w:t>By trust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Holdings, LLC</w:t>
            </w:r>
          </w:p>
        </w:tc>
        <w:tc>
          <w:tcPr>
            <w:tcW w:w="128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20" w:type="dxa"/>
            <w:vAlign w:val="bottom"/>
            <w:vMerge w:val="restart"/>
          </w:tcPr>
          <w:p>
            <w:pPr>
              <w:jc w:val="center"/>
              <w:spacing w:after="0"/>
              <w:rPr>
                <w:sz w:val="20"/>
                <w:szCs w:val="20"/>
                <w:color w:val="auto"/>
              </w:rPr>
            </w:pPr>
            <w:r>
              <w:rPr>
                <w:rFonts w:ascii="Arial" w:cs="Arial" w:eastAsia="Arial" w:hAnsi="Arial"/>
                <w:sz w:val="20"/>
                <w:szCs w:val="20"/>
                <w:color w:val="0000FF"/>
                <w:w w:val="85"/>
              </w:rPr>
              <w:t>stock</w:t>
            </w:r>
          </w:p>
        </w:tc>
        <w:tc>
          <w:tcPr>
            <w:tcW w:w="8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2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200" w:firstLine="5"/>
        <w:spacing w:after="0" w:line="236" w:lineRule="auto"/>
        <w:tabs>
          <w:tab w:leader="none" w:pos="190"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AIDH Management Holdings, LLC ("Management Holdings") is a special purpose investment vehicle through which interests in AIDH Topco, LLC are indirectly owned. Certain unvested awards vest in equal installments on each of the first, second and third anniversaries of the Issuer's initial public offering, and the remainder of the unvested awards continue to vest pursuant to a four-year annual vesting schedule. Once vested the Reporting Person may exchange LLC Units of Management Holdings for LLC Units of AIDH Topco, LLC on a one-for-one basis, which are exchanged for shares of Class A common stock of the Issuer on a one-for-one basis, subject to certain exceptions, conditions and adjustments. The LLC Units of Management Holdings have no expiration date.</w:t>
      </w:r>
    </w:p>
    <w:p>
      <w:pPr>
        <w:spacing w:after="0" w:line="37" w:lineRule="exact"/>
        <w:rPr>
          <w:rFonts w:ascii="Arial" w:cs="Arial" w:eastAsia="Arial" w:hAnsi="Arial"/>
          <w:sz w:val="15"/>
          <w:szCs w:val="15"/>
          <w:color w:val="008000"/>
        </w:rPr>
      </w:pPr>
    </w:p>
    <w:p>
      <w:pPr>
        <w:ind w:left="40" w:right="160" w:firstLine="5"/>
        <w:spacing w:after="0" w:line="283" w:lineRule="auto"/>
        <w:tabs>
          <w:tab w:leader="none" w:pos="19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(Continued from Footnote 1) At the time of any such exchange, an equal number of shares of Class B Common Stock of the Issuer held by the Reporting Person, which have no economic value and entitle holders thereof to one vote per share on all matters on which stockholders of the Issuer are entitled to vote generally, are cancelled.</w:t>
      </w:r>
    </w:p>
    <w:p>
      <w:pPr>
        <w:spacing w:after="0" w:line="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38"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6"/>
              </w:rPr>
              <w:t>By: /s/ David Samuels, as</w:t>
            </w:r>
          </w:p>
        </w:tc>
        <w:tc>
          <w:tcPr>
            <w:tcW w:w="18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09/15/2021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739" w:firstLine="936"/>
        <w:spacing w:after="0" w:line="271"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Jason Krantz, Richard Booth and David Samuels of Definitive Healthcare Corp. (the "Company") or any of them signing singly, and with full power of substitution, the undersigned's true and lawful attorney-in-fact to:</w:t>
      </w:r>
    </w:p>
    <w:p>
      <w:pPr>
        <w:spacing w:after="0" w:line="205" w:lineRule="exact"/>
        <w:rPr>
          <w:sz w:val="20"/>
          <w:szCs w:val="20"/>
          <w:color w:val="auto"/>
        </w:rPr>
      </w:pPr>
    </w:p>
    <w:p>
      <w:pPr>
        <w:ind w:left="1520" w:right="619" w:hanging="584"/>
        <w:spacing w:after="0" w:line="268" w:lineRule="auto"/>
        <w:tabs>
          <w:tab w:leader="none" w:pos="15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206" w:lineRule="exact"/>
        <w:rPr>
          <w:rFonts w:ascii="Courier New" w:cs="Courier New" w:eastAsia="Courier New" w:hAnsi="Courier New"/>
          <w:sz w:val="18"/>
          <w:szCs w:val="18"/>
          <w:color w:val="auto"/>
        </w:rPr>
      </w:pPr>
    </w:p>
    <w:p>
      <w:pPr>
        <w:ind w:left="1520" w:right="739" w:hanging="584"/>
        <w:spacing w:after="0" w:line="237" w:lineRule="auto"/>
        <w:tabs>
          <w:tab w:leader="none" w:pos="1520"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with respect to the Company, Schedules 13D and 13G and Forms 3, 4, and 5 in accordance with Sections 13 and 16(a) of the Securities Exchange Act of 1934 and the rules thereunder;</w:t>
      </w:r>
    </w:p>
    <w:p>
      <w:pPr>
        <w:spacing w:after="0" w:line="230" w:lineRule="exact"/>
        <w:rPr>
          <w:rFonts w:ascii="Courier New" w:cs="Courier New" w:eastAsia="Courier New" w:hAnsi="Courier New"/>
          <w:sz w:val="20"/>
          <w:szCs w:val="20"/>
          <w:color w:val="auto"/>
        </w:rPr>
      </w:pPr>
    </w:p>
    <w:p>
      <w:pPr>
        <w:ind w:left="1520" w:right="619" w:hanging="584"/>
        <w:spacing w:after="0" w:line="237" w:lineRule="auto"/>
        <w:tabs>
          <w:tab w:leader="none" w:pos="1520"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Schedules 13D or 13G or Form 3, 4, or 5, complete and execute any amendment or amendments thereto, and timely file such form with the SEC and any stock exchange or similar authority; and</w:t>
      </w:r>
    </w:p>
    <w:p>
      <w:pPr>
        <w:spacing w:after="0" w:line="233" w:lineRule="exact"/>
        <w:rPr>
          <w:rFonts w:ascii="Courier New" w:cs="Courier New" w:eastAsia="Courier New" w:hAnsi="Courier New"/>
          <w:sz w:val="20"/>
          <w:szCs w:val="20"/>
          <w:color w:val="auto"/>
        </w:rPr>
      </w:pPr>
    </w:p>
    <w:p>
      <w:pPr>
        <w:ind w:left="1520" w:right="619" w:hanging="584"/>
        <w:spacing w:after="0" w:line="237" w:lineRule="auto"/>
        <w:tabs>
          <w:tab w:leader="none" w:pos="1520"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6" w:lineRule="exact"/>
        <w:rPr>
          <w:sz w:val="20"/>
          <w:szCs w:val="20"/>
          <w:color w:val="auto"/>
        </w:rPr>
      </w:pPr>
    </w:p>
    <w:p>
      <w:pPr>
        <w:ind w:right="739" w:firstLine="936"/>
        <w:spacing w:after="0" w:line="238"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Sections 13 and 16 of the Securities Exchange Act of 1934.</w:t>
      </w:r>
    </w:p>
    <w:p>
      <w:pPr>
        <w:spacing w:after="0" w:line="231" w:lineRule="exact"/>
        <w:rPr>
          <w:sz w:val="20"/>
          <w:szCs w:val="20"/>
          <w:color w:val="auto"/>
        </w:rPr>
      </w:pPr>
    </w:p>
    <w:p>
      <w:pPr>
        <w:jc w:val="both"/>
        <w:ind w:right="739" w:firstLine="936"/>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32" w:lineRule="exact"/>
        <w:rPr>
          <w:sz w:val="20"/>
          <w:szCs w:val="20"/>
          <w:color w:val="auto"/>
        </w:rPr>
      </w:pPr>
    </w:p>
    <w:p>
      <w:pPr>
        <w:ind w:right="619" w:firstLine="936"/>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15th day of August, 2021.</w:t>
      </w:r>
    </w:p>
    <w:p>
      <w:pPr>
        <w:spacing w:after="0" w:line="200" w:lineRule="exact"/>
        <w:rPr>
          <w:sz w:val="20"/>
          <w:szCs w:val="20"/>
          <w:color w:val="auto"/>
        </w:rPr>
      </w:pPr>
    </w:p>
    <w:p>
      <w:pPr>
        <w:spacing w:after="0" w:line="249"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By: /s/ Samuel Allen Hamood</w:t>
      </w:r>
    </w:p>
    <w:p>
      <w:pPr>
        <w:spacing w:after="0" w:line="5" w:lineRule="exact"/>
        <w:rPr>
          <w:sz w:val="20"/>
          <w:szCs w:val="20"/>
          <w:color w:val="auto"/>
        </w:rPr>
      </w:pPr>
    </w:p>
    <w:p>
      <w:pPr>
        <w:ind w:left="4680"/>
        <w:spacing w:after="0"/>
        <w:rPr>
          <w:sz w:val="20"/>
          <w:szCs w:val="20"/>
          <w:color w:val="auto"/>
        </w:rPr>
      </w:pPr>
      <w:r>
        <w:rPr>
          <w:rFonts w:ascii="Courier New" w:cs="Courier New" w:eastAsia="Courier New" w:hAnsi="Courier New"/>
          <w:sz w:val="18"/>
          <w:szCs w:val="18"/>
          <w:color w:val="auto"/>
        </w:rPr>
        <w:t>----------------------------------------</w:t>
      </w:r>
    </w:p>
    <w:p>
      <w:pPr>
        <w:spacing w:after="0" w:line="15"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Name: Samuel Allen Hamood</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645772" TargetMode="External"/><Relationship Id="rId11"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2021-09-15T19:33:45Z</dcterms:created>
  <dcterms:modified xsi:type="dcterms:W3CDTF">2021-09-15T19:33:45Z</dcterms:modified>
</cp:coreProperties>
</file>