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83059d8k.htm"/>
      <w:bookmarkStart w:id="1" w:name="ksd683059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January 12,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DEFINITIVE HEALTHCARE CORP.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001-40815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86-3988281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492 Old Connecticut Path, Suite 401</w:t>
      </w:r>
    </w:p>
    <w:p>
      <w:pPr>
        <w:pStyle w:val="TextBody"/>
        <w:bidi w:val="0"/>
        <w:spacing w:before="0" w:after="0"/>
        <w:jc w:val="center"/>
        <w:rPr>
          <w:rFonts w:ascii="Times New Roman" w:hAnsi="Times New Roman"/>
          <w:b/>
          <w:sz w:val="20"/>
        </w:rPr>
      </w:pPr>
      <w:r>
        <w:rPr>
          <w:rFonts w:ascii="Times New Roman" w:hAnsi="Times New Roman"/>
          <w:b/>
          <w:sz w:val="20"/>
        </w:rPr>
        <w:t>Framingham, MA 01701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(508) 720-4224</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040"/>
        <w:gridCol w:w="60"/>
        <w:gridCol w:w="740"/>
        <w:gridCol w:w="60"/>
        <w:gridCol w:w="3050"/>
      </w:tblGrid>
      <w:tr>
        <w:trPr/>
        <w:tc>
          <w:tcPr>
            <w:tcW w:w="4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40" w:type="dxa"/>
            <w:tcBorders/>
            <w:vAlign w:val="center"/>
          </w:tcPr>
          <w:p>
            <w:pPr>
              <w:pStyle w:val="TableContents"/>
              <w:bidi w:val="0"/>
              <w:spacing w:before="0" w:after="283"/>
              <w:jc w:val="center"/>
              <w:rPr/>
            </w:pPr>
            <w:r>
              <w:rPr/>
              <w:t>Class A 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DH</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960" w:type="dxa"/>
        <w:jc w:val="left"/>
        <w:tblInd w:w="0" w:type="dxa"/>
        <w:tblLayout w:type="fixed"/>
        <w:tblCellMar>
          <w:top w:w="0" w:type="dxa"/>
          <w:left w:w="0" w:type="dxa"/>
          <w:bottom w:w="0" w:type="dxa"/>
          <w:right w:w="0" w:type="dxa"/>
        </w:tblCellMar>
      </w:tblPr>
      <w:tblGrid>
        <w:gridCol w:w="980"/>
        <w:gridCol w:w="3980"/>
      </w:tblGrid>
      <w:tr>
        <w:trPr/>
        <w:tc>
          <w:tcPr>
            <w:tcW w:w="980"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16, 2024, Definitive Healthcare Corp. (“Definitive Healthcare” or the “Company”) issued a press release announcing the management changes described in Item 5.02 below and its reaffirmation of previously announced guidance for the quarter ended December 31, 2023. A copy of the press release is attached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5.02</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Separation of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January 16, 2024, the Company announced that Robert Musslewhite has stepped down as the Company’s Chief Executive Officer and as a member of the Company’s Board of Directors, effective January 16, 2024 (the “Separation Date”). </w:t>
      </w:r>
    </w:p>
    <w:p>
      <w:pPr>
        <w:pStyle w:val="TextBody"/>
        <w:bidi w:val="0"/>
        <w:spacing w:before="240" w:after="0"/>
        <w:jc w:val="left"/>
        <w:rPr>
          <w:rFonts w:ascii="Times New Roman" w:hAnsi="Times New Roman"/>
          <w:sz w:val="20"/>
        </w:rPr>
      </w:pPr>
      <w:r>
        <w:rPr>
          <w:rFonts w:ascii="Times New Roman" w:hAnsi="Times New Roman"/>
          <w:sz w:val="20"/>
        </w:rPr>
        <w:t xml:space="preserve">Mr. Musslewhite’s departure constitutes a termination of employment without “cause” for purposes of any employment, equity compensation or benefit agreement, plan or arrangement of the Company and its subsidiaries to which Mr. Musslewhite is a party or otherwise participates; provided, however, that pursuant to a separation agreement and release of claims agreement dated January 12, 2024 (the “Separation Agreement”), the Company has agreed to credit Mr. Musslewhite with an additional three months of accelerated vesting with respect to his outstanding time-based equity awards (for a total of 15 months) and to reimburse him up to $15,000 for legal fees incurred by him in connection with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Separation Agreement is attached as Exhibit 10.1 to this Current Report on Form 8-K. </w:t>
      </w:r>
    </w:p>
    <w:p>
      <w:pPr>
        <w:pStyle w:val="TextBody"/>
        <w:bidi w:val="0"/>
        <w:spacing w:before="360" w:after="0"/>
        <w:jc w:val="left"/>
        <w:rPr>
          <w:rFonts w:ascii="Times New Roman" w:hAnsi="Times New Roman"/>
          <w:i/>
          <w:sz w:val="20"/>
        </w:rPr>
      </w:pPr>
      <w:r>
        <w:rPr>
          <w:rFonts w:ascii="Times New Roman" w:hAnsi="Times New Roman"/>
          <w:i/>
          <w:sz w:val="20"/>
        </w:rPr>
        <w:t xml:space="preserve">Appointment of Interim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On January 12, 2024, the Company’s Board of Directors appointed Jason Krantz, the Company’s founder and Executive Chairman, as Interim Chief Executive Officer, effective January 16, 2024. </w:t>
      </w:r>
    </w:p>
    <w:p>
      <w:pPr>
        <w:pStyle w:val="TextBody"/>
        <w:bidi w:val="0"/>
        <w:spacing w:before="240" w:after="0"/>
        <w:jc w:val="left"/>
        <w:rPr>
          <w:rFonts w:ascii="Times New Roman" w:hAnsi="Times New Roman"/>
          <w:sz w:val="20"/>
        </w:rPr>
      </w:pPr>
      <w:r>
        <w:rPr>
          <w:rFonts w:ascii="Times New Roman" w:hAnsi="Times New Roman"/>
          <w:sz w:val="20"/>
        </w:rPr>
        <w:t xml:space="preserve">Mr. Krantz, age 50, has served as Executive Chairman of the Board of Directors of the Company since August 2022, having previously served as Chief Executive Officer and director since founding the Company in February 2011. Prior to founding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build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a private company, from 2015 until 2017. Mr. Krantz is currently on the board of directors of FINTRX and MDCalc, each private companies. Mr. Krantz holds a B.S. in Finance and Computer Science from Boston College and an M.B.A. from Harvard Business School. </w:t>
      </w:r>
    </w:p>
    <w:p>
      <w:pPr>
        <w:pStyle w:val="TextBody"/>
        <w:bidi w:val="0"/>
        <w:spacing w:before="240" w:after="0"/>
        <w:jc w:val="left"/>
        <w:rPr>
          <w:rFonts w:ascii="Times New Roman" w:hAnsi="Times New Roman"/>
          <w:sz w:val="20"/>
        </w:rPr>
      </w:pPr>
      <w:r>
        <w:rPr>
          <w:rFonts w:ascii="Times New Roman" w:hAnsi="Times New Roman"/>
          <w:sz w:val="20"/>
        </w:rPr>
        <w:t xml:space="preserve">There are no related person transactions within the meaning of Item 404(a) of Regulation S-K promulgated by the Securities and Exchange Commission between Mr. Krantz and the Company other than those described under the heading “Certain Relationships and Related Party Transactions” in the Company’s Definitive Proxy Statement on Schedule 14A, filed with the Securities and Exchange Commission April 6, 2023. </w:t>
      </w:r>
      <w:r>
        <w:br w:type="page"/>
      </w:r>
    </w:p>
    <w:p>
      <w:pPr>
        <w:pStyle w:val="HorizontalLine"/>
        <w:bidi w:val="0"/>
        <w:jc w:val="left"/>
        <w:rPr/>
      </w:pPr>
      <w:r>
        <w:rPr/>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683059dex101.htm">
              <w:r>
                <w:rPr>
                  <w:rStyle w:val="InternetLink"/>
                </w:rPr>
                <w:t xml:space="preserve">Separation Agreement and Release of Claims, dated January 12, 2024, by and between the Company and Robert Musslewhite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683059dex991.htm">
              <w:r>
                <w:rPr>
                  <w:rStyle w:val="InternetLink"/>
                </w:rPr>
                <w:t xml:space="preserve">Press Release dated January 16, 2024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671" w:type="dxa"/>
        <w:jc w:val="left"/>
        <w:tblInd w:w="0" w:type="dxa"/>
        <w:tblLayout w:type="fixed"/>
        <w:tblCellMar>
          <w:top w:w="0" w:type="dxa"/>
          <w:left w:w="0" w:type="dxa"/>
          <w:bottom w:w="0" w:type="dxa"/>
          <w:right w:w="0" w:type="dxa"/>
        </w:tblCellMar>
      </w:tblPr>
      <w:tblGrid>
        <w:gridCol w:w="1670"/>
        <w:gridCol w:w="60"/>
        <w:gridCol w:w="23"/>
        <w:gridCol w:w="60"/>
        <w:gridCol w:w="675"/>
        <w:gridCol w:w="83"/>
        <w:gridCol w:w="3100"/>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DEFINITIVE HEALTHCARE CORP.</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35" w:type="dxa"/>
            <w:gridSpan w:val="2"/>
            <w:tcBorders/>
            <w:vAlign w:val="center"/>
          </w:tcPr>
          <w:p>
            <w:pPr>
              <w:pStyle w:val="TableContents"/>
              <w:bidi w:val="0"/>
              <w:spacing w:before="0" w:after="283"/>
              <w:jc w:val="left"/>
              <w:rPr>
                <w:sz w:val="4"/>
                <w:szCs w:val="4"/>
              </w:rPr>
            </w:pPr>
            <w:r>
              <w:rPr>
                <w:sz w:val="4"/>
                <w:szCs w:val="4"/>
              </w:rPr>
            </w:r>
          </w:p>
        </w:tc>
        <w:tc>
          <w:tcPr>
            <w:tcW w:w="3183" w:type="dxa"/>
            <w:gridSpan w:val="2"/>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pPr>
            <w:r>
              <w:rPr/>
              <w:t>January 16,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r>
              <w:rPr/>
              <w:t>By:</w:t>
            </w:r>
          </w:p>
        </w:tc>
        <w:tc>
          <w:tcPr>
            <w:tcW w:w="83" w:type="dxa"/>
            <w:tcBorders/>
            <w:vAlign w:val="center"/>
          </w:tcPr>
          <w:p>
            <w:pPr>
              <w:pStyle w:val="TableContents"/>
              <w:bidi w:val="0"/>
              <w:spacing w:before="0" w:after="283"/>
              <w:jc w:val="left"/>
              <w:rPr/>
            </w:pPr>
            <w:r>
              <w:rPr/>
              <w:t> </w:t>
            </w:r>
          </w:p>
        </w:tc>
        <w:tc>
          <w:tcPr>
            <w:tcW w:w="310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Richard Booth</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3100" w:type="dxa"/>
            <w:tcBorders/>
            <w:vAlign w:val="center"/>
          </w:tcPr>
          <w:p>
            <w:pPr>
              <w:pStyle w:val="TableContents"/>
              <w:bidi w:val="0"/>
              <w:spacing w:before="0" w:after="283"/>
              <w:jc w:val="left"/>
              <w:rPr/>
            </w:pPr>
            <w:r>
              <w:rPr/>
              <w:t>Richard Booth</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3100"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683059dex101.htm"/>
      <w:bookmarkStart w:id="3" w:name="ksd683059dex101"/>
      <w:bookmarkEnd w:id="2"/>
      <w:bookmarkEnd w:id="3"/>
      <w:r>
        <w:rPr>
          <w:rFonts w:ascii="Times New Roman" w:hAnsi="Times New Roman"/>
          <w:b/>
          <w:sz w:val="20"/>
        </w:rPr>
        <w:t xml:space="preserve">Exhibit 10.1 </w:t>
      </w:r>
      <w:r>
        <w:br w:type="page"/>
      </w:r>
    </w:p>
    <w:p>
      <w:pPr>
        <w:pStyle w:val="TextBody"/>
        <w:bidi w:val="0"/>
        <w:spacing w:before="0" w:after="0"/>
        <w:jc w:val="center"/>
        <w:rPr>
          <w:rFonts w:ascii="Times New Roman" w:hAnsi="Times New Roman"/>
          <w:b/>
          <w:sz w:val="20"/>
        </w:rPr>
      </w:pPr>
      <w:r>
        <w:rPr>
          <w:rFonts w:ascii="Times New Roman" w:hAnsi="Times New Roman"/>
          <w:b/>
          <w:sz w:val="20"/>
        </w:rPr>
        <w:t xml:space="preserve">DEFINITIVE HEALTHCARE, LLC </w:t>
      </w:r>
    </w:p>
    <w:p>
      <w:pPr>
        <w:pStyle w:val="TextBody"/>
        <w:bidi w:val="0"/>
        <w:spacing w:before="240" w:after="0"/>
        <w:jc w:val="left"/>
        <w:rPr>
          <w:rFonts w:ascii="Times New Roman" w:hAnsi="Times New Roman"/>
          <w:sz w:val="20"/>
        </w:rPr>
      </w:pPr>
      <w:r>
        <w:rPr>
          <w:rFonts w:ascii="Times New Roman" w:hAnsi="Times New Roman"/>
          <w:sz w:val="20"/>
        </w:rPr>
        <w:t xml:space="preserve">January 12, 2024 </w:t>
      </w:r>
    </w:p>
    <w:p>
      <w:pPr>
        <w:pStyle w:val="TextBody"/>
        <w:bidi w:val="0"/>
        <w:spacing w:before="240" w:after="0"/>
        <w:jc w:val="left"/>
        <w:rPr>
          <w:rFonts w:ascii="Times New Roman" w:hAnsi="Times New Roman"/>
          <w:sz w:val="20"/>
        </w:rPr>
      </w:pPr>
      <w:r>
        <w:rPr>
          <w:rFonts w:ascii="Times New Roman" w:hAnsi="Times New Roman"/>
          <w:sz w:val="20"/>
        </w:rPr>
        <w:t xml:space="preserve">Robert Musslewhite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Separation Agreement and Release of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Robert: </w:t>
      </w:r>
    </w:p>
    <w:p>
      <w:pPr>
        <w:pStyle w:val="TextBody"/>
        <w:bidi w:val="0"/>
        <w:spacing w:before="120" w:after="0"/>
        <w:jc w:val="left"/>
        <w:rPr>
          <w:rFonts w:ascii="Times New Roman" w:hAnsi="Times New Roman"/>
          <w:sz w:val="20"/>
        </w:rPr>
      </w:pPr>
      <w:r>
        <w:rPr>
          <w:rFonts w:ascii="Times New Roman" w:hAnsi="Times New Roman"/>
          <w:sz w:val="20"/>
        </w:rPr>
        <w:t xml:space="preserve">This letter sets forth the substance of the separation agreement (the Agreement) which Definitive Healthcare, LLC (the Company) and its parent company Definitive Healthcare Corp., a Delaware corporation (Parent) (together with the Company, the Company Group) is offering to you to aid in your employment transition.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Separation.</w:t>
      </w:r>
      <w:r>
        <w:rPr>
          <w:rFonts w:ascii="Times New Roman" w:hAnsi="Times New Roman"/>
          <w:sz w:val="20"/>
        </w:rPr>
        <w:t xml:space="preserve"> Your last day of work with the Company and Parent, and your employment termination date will be January 16, 2024 (the Separation Date). As of the Separation Date, you hereby resign from your role or position on the Board of Directors of Parent and any of its direct or indirect subsidiaries and affiliates. The preceding sentence is not contingent or conditioned on the occurrence of any other events and is effective regardless of whether this Agreement becomes effective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 xml:space="preserve">Accrued Salary and Paid Time Off. </w:t>
      </w:r>
      <w:r>
        <w:rPr>
          <w:rFonts w:ascii="Times New Roman" w:hAnsi="Times New Roman"/>
          <w:sz w:val="20"/>
        </w:rPr>
        <w:t xml:space="preserve">On the Separation Date, the Company Group will pay you all accrued salary and all accrued and unused paid time off earned through the Separation Date, subject to standard payroll deductions and withholdings. You will receive these payments regardless of whether or not you sign this Agreement.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Severance Benefits.</w:t>
      </w:r>
      <w:r>
        <w:rPr>
          <w:rFonts w:ascii="Times New Roman" w:hAnsi="Times New Roman"/>
          <w:sz w:val="20"/>
        </w:rPr>
        <w:t xml:space="preserve"> If you execute and do not revoke this Agreement, the Company Group will provide you with the following Severance Benefits pursuant to the terms of your May 4, 2022 Amended and Restated Employment Agreement (the Employment Agreement) and this Agreement: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Salary Continuation</w:t>
      </w:r>
      <w:r>
        <w:rPr>
          <w:rFonts w:ascii="Times New Roman" w:hAnsi="Times New Roman"/>
          <w:sz w:val="20"/>
        </w:rPr>
        <w:t xml:space="preserve">. The Company Group will make severance payments to you in the form of continuation of your base salary in effect on the Separation Date for twelve (12) months following the Separation Date. These payments will be subject to standard payroll deductions and withholdings and will be made on the Companys ordinary payroll dates, beginning with the first such date which occurs at least eight (8) business days following the Effective Date as defined below, provided the Company Group has received the executed Agreement from you on or before that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Severance Annual Bonus</w:t>
      </w:r>
      <w:r>
        <w:rPr>
          <w:rFonts w:ascii="Times New Roman" w:hAnsi="Times New Roman"/>
          <w:sz w:val="20"/>
        </w:rPr>
        <w:t xml:space="preserve">. The Company Group will pay you, as severance, an amount representing the Annual Bonus (as defined in the Employment Agreement) you would have earned during the twelve month period following the Separation Date at a level equal to the greater of the Annual Bonus for the current year at target or the average of the Annual Bonus paid in the last two calendar years. This payment will be subject to standard payroll deductions and withholdings and will be made within thirty (30) days following the Separation Date, provided the Company Group has received the executed Agreement from you on or before that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Robert Musslewhite </w:t>
      </w:r>
    </w:p>
    <w:p>
      <w:pPr>
        <w:pStyle w:val="TextBody"/>
        <w:bidi w:val="0"/>
        <w:spacing w:before="0" w:after="0"/>
        <w:jc w:val="left"/>
        <w:rPr>
          <w:rFonts w:ascii="Times New Roman" w:hAnsi="Times New Roman"/>
          <w:sz w:val="20"/>
        </w:rPr>
      </w:pPr>
      <w:r>
        <w:rPr>
          <w:rFonts w:ascii="Times New Roman" w:hAnsi="Times New Roman"/>
          <w:sz w:val="20"/>
        </w:rPr>
        <w:t xml:space="preserve">January 12, 2024 </w:t>
      </w:r>
    </w:p>
    <w:p>
      <w:pPr>
        <w:pStyle w:val="TextBody"/>
        <w:bidi w:val="0"/>
        <w:spacing w:before="0" w:after="0"/>
        <w:jc w:val="left"/>
        <w:rPr>
          <w:rFonts w:ascii="Times New Roman" w:hAnsi="Times New Roman"/>
          <w:sz w:val="20"/>
        </w:rPr>
      </w:pPr>
      <w:r>
        <w:rPr>
          <w:rFonts w:ascii="Times New Roman" w:hAnsi="Times New Roman"/>
          <w:sz w:val="20"/>
        </w:rPr>
        <w:t xml:space="preserve">Page 2 of 14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2023 Annual Bonus</w:t>
      </w:r>
      <w:r>
        <w:rPr>
          <w:rFonts w:ascii="Times New Roman" w:hAnsi="Times New Roman"/>
          <w:sz w:val="20"/>
        </w:rPr>
        <w:t xml:space="preserve">. You remain eligible for a 2023 Annual Bonus, as determined reasonably and in good faith by the Board of Parent. The amount of the 2023 Annual Bonus, if any, will be subject to standard payroll deductions and withholdings, and paid at substantially the same time as 2023 annual bonuses are paid in the ordinary course to actively employed senior executives at the Company, and in no event later than March 15, 2024.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COBRA</w:t>
      </w:r>
      <w:r>
        <w:rPr>
          <w:rFonts w:ascii="Times New Roman" w:hAnsi="Times New Roman"/>
          <w:sz w:val="20"/>
        </w:rPr>
        <w:t xml:space="preserve">. If you are eligible for and timely elect to continue your health insurance coverage under the Consolidated Omnibus Budget Reconciliation Act of 1985 (COBRA) or the state equivalent, the Company Group will pay for the cost of COBRA premiums for you and your eligible dependents (COBRA Premiums), if any, until the earlier of (A) twelve (12) months from the date that your coverage as an active employee ends, (B) the expiration of your eligibility for the continuation coverage under COBRA, or (C) such time as you become employed by another employer or self-employed through which you are eligible for health insurance (thereafter, you will be responsible for all COBRA premium payments, if any). Notwithstanding the foregoing, if the Company Group determines, in its sole discretion, that it cannot pay the COBRA Premiums without a substantial risk of violating applicable law (including, without limitation, Section 2716 of the Public Health Service Act), the Company Group instead shall pay you, on the first day of each calendar month, a fully taxable cash payment equal to the applicable COBRA Premiums for that month (including premiums for any dependents), subject to applicable tax withholdings (such amount the Special Cash Payment), for the remainder of the COBRA Premium Period. You may, but are not obligated to, use such Special Cash Payment toward the cost of COBRA Premiums.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Equity Acceleration. </w:t>
      </w:r>
      <w:r>
        <w:rPr>
          <w:rFonts w:ascii="Times New Roman" w:hAnsi="Times New Roman"/>
          <w:sz w:val="20"/>
        </w:rPr>
        <w:t xml:space="preserve">The Company Group will provide accelerated vesting or continued vesting, as applicable, of your RSU Awards (defined below), according to the terms of Section 5 of this Agreement.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Legal Fees</w:t>
      </w:r>
      <w:r>
        <w:rPr>
          <w:rFonts w:ascii="Times New Roman" w:hAnsi="Times New Roman"/>
          <w:sz w:val="20"/>
        </w:rPr>
        <w:t xml:space="preserve">. As an additional severance benefit, even though not required by the Employment Agreement, the Company Group will reimburse you for reasonable legal fees actually incurred by you in connection with the negotiation and review of this Agreement in an amount not to exceed $15,000.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is intended to comply with Section 409A of the Code and its corresponding regulations, to the extent applicable. Severance benefits under this Agreement are intended to be exempt from Section 409A of the Code under the short term deferral exemption, to the maximum extent applicable, and then under the separation pay exemption, to the maximum extent applicable.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Robert Musslewhite </w:t>
      </w:r>
    </w:p>
    <w:p>
      <w:pPr>
        <w:pStyle w:val="TextBody"/>
        <w:bidi w:val="0"/>
        <w:spacing w:before="0" w:after="0"/>
        <w:jc w:val="left"/>
        <w:rPr>
          <w:rFonts w:ascii="Times New Roman" w:hAnsi="Times New Roman"/>
          <w:sz w:val="20"/>
        </w:rPr>
      </w:pPr>
      <w:r>
        <w:rPr>
          <w:rFonts w:ascii="Times New Roman" w:hAnsi="Times New Roman"/>
          <w:sz w:val="20"/>
        </w:rPr>
        <w:t xml:space="preserve">January 12, 2024 </w:t>
      </w:r>
    </w:p>
    <w:p>
      <w:pPr>
        <w:pStyle w:val="TextBody"/>
        <w:bidi w:val="0"/>
        <w:spacing w:before="0" w:after="0"/>
        <w:jc w:val="left"/>
        <w:rPr>
          <w:rFonts w:ascii="Times New Roman" w:hAnsi="Times New Roman"/>
          <w:sz w:val="20"/>
        </w:rPr>
      </w:pPr>
      <w:r>
        <w:rPr>
          <w:rFonts w:ascii="Times New Roman" w:hAnsi="Times New Roman"/>
          <w:sz w:val="20"/>
        </w:rPr>
        <w:t xml:space="preserve">Page 3 of 14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4. Benefit Plans. </w:t>
      </w:r>
    </w:p>
    <w:p>
      <w:pPr>
        <w:pStyle w:val="TextBody"/>
        <w:bidi w:val="0"/>
        <w:spacing w:before="120" w:after="0"/>
        <w:jc w:val="left"/>
        <w:rPr>
          <w:rFonts w:ascii="Times New Roman" w:hAnsi="Times New Roman"/>
          <w:sz w:val="20"/>
        </w:rPr>
      </w:pPr>
      <w:r>
        <w:rPr>
          <w:rFonts w:ascii="Times New Roman" w:hAnsi="Times New Roman"/>
          <w:sz w:val="20"/>
        </w:rPr>
        <w:t xml:space="preserve">If you are currently participating in the Company Groups group health insurance plans, your participation as an employee will end on the last day of the month in which separation occurs. Thereafter, to the extent provided by the federal COBRA law or, if applicable, state insurance laws, and by the Company Groups current group health insurance policies, you will be eligible to continue your group health insurance benefits at your own expense. Later, you may be able to convert to an individual policy through the provider of the Company Groups health insurance, if you wish. </w:t>
      </w:r>
    </w:p>
    <w:p>
      <w:pPr>
        <w:pStyle w:val="TextBody"/>
        <w:bidi w:val="0"/>
        <w:spacing w:before="240" w:after="0"/>
        <w:jc w:val="left"/>
        <w:rPr>
          <w:rFonts w:ascii="Times New Roman" w:hAnsi="Times New Roman"/>
          <w:sz w:val="20"/>
        </w:rPr>
      </w:pPr>
      <w:r>
        <w:rPr>
          <w:rFonts w:ascii="Times New Roman" w:hAnsi="Times New Roman"/>
          <w:sz w:val="20"/>
        </w:rPr>
        <w:t xml:space="preserve">You may be eligible for unemployment insurance benefits after the Separation Date. The Massachusetts Department of Unemployment Assistance, not the Company Group, will determine your eligibility for such benefits. </w:t>
      </w:r>
      <w:r>
        <w:rPr>
          <w:rFonts w:ascii="Times New Roman" w:hAnsi="Times New Roman"/>
          <w:b/>
          <w:sz w:val="20"/>
        </w:rPr>
        <w:t>Exhibit A</w:t>
      </w:r>
      <w:r>
        <w:rPr>
          <w:rFonts w:ascii="Times New Roman" w:hAnsi="Times New Roman"/>
          <w:sz w:val="20"/>
        </w:rPr>
        <w:t xml:space="preserve"> provides information concerning how to file for unemployment insurance benefits.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Equity-Based Awards.</w:t>
      </w:r>
      <w:r>
        <w:rPr>
          <w:rFonts w:ascii="Times New Roman" w:hAnsi="Times New Roman"/>
          <w:sz w:val="20"/>
        </w:rPr>
        <w:t xml:space="preserve"> Pursuant to the AIDH Topco, LLC 2019 Equity Incentive Plan (the 2019 Plan) and the Definitive Healthcare Corp. 2021 Equity Incentive Plan (the 2021 Plan) and the applicable award agreements thereunder (each, an Award Agreement and together with the 2019 Plan and the 2021 Plan, as applicable, the Equity Award Documents), you were granted Class B Units, which subsequently exchanged into LLC Units, of AIDH Management Holdings, LLC (LLC Units) and restricted stock units of Definitive Healthcare Corp. (RSUs and collectively with the LLC Units, the Equity Awards) as set forth on Schedule I(A) (Time-Based Equity Awards, as defined below), and Schedule I(B) Performance-Based Equity Awards, as defined below</w:t>
      </w:r>
      <w:r>
        <w:rPr>
          <w:rFonts w:ascii="Times New Roman" w:hAnsi="Times New Roman"/>
          <w:b/>
          <w:sz w:val="20"/>
        </w:rPr>
        <w:t>)</w:t>
      </w:r>
      <w:r>
        <w:rPr>
          <w:rFonts w:ascii="Times New Roman" w:hAnsi="Times New Roman"/>
          <w:sz w:val="20"/>
        </w:rPr>
        <w:t xml:space="preserve"> both attached hereto. Under the terms of the Equity Award Documents, vesting of your Equity Awards will cease as of the Separation Date. If you timely return and do not revoke this fully signed Agreement to the Company Group, then (i) each Equity Award that vests based on continued service with the Company Group (the Time-Based Equity Awards) will be credited with accelerated vesting as to that portion of each such Equity Award that would otherwise have vested during the fifteen-month period following the Separation Date and (ii) each Equity Award that vests based on the achievement of performance goals other than continued service with the Company Group (the Performance-Based Equity Awards) shall remain outstanding and eligible to vest during the twelve-month period following the Separation Date to the extent such performance goals are capable of being achieved during such twelve-month period and if such performance goals are not so achieved within such period, such Performance-Based Equity Awards) shall be forfeited at the end of such period. Except as provided in this Agreement, all other terms and conditions applicable to your Equity Awards will remain in full force and effect pursuant to the applicable Award Documents; provided however, you acknowledge that this Section 5 sets forth the full agreement between the parties as to the treatment of your Equity Awards as of the Separation Date. You acknowledge that the unvested portion of your Equity Awards (for the avoidance of doubt, after applying any vesting acceleration applicable to your Time-Based Equity Awards and potential vesting continuation applicable to your Performance-Based Equity Awards in accordance with this Section 5) will expire and terminate as of the Separation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Robert Musslewhite </w:t>
      </w:r>
    </w:p>
    <w:p>
      <w:pPr>
        <w:pStyle w:val="TextBody"/>
        <w:bidi w:val="0"/>
        <w:spacing w:before="0" w:after="0"/>
        <w:jc w:val="left"/>
        <w:rPr>
          <w:rFonts w:ascii="Times New Roman" w:hAnsi="Times New Roman"/>
          <w:sz w:val="20"/>
        </w:rPr>
      </w:pPr>
      <w:r>
        <w:rPr>
          <w:rFonts w:ascii="Times New Roman" w:hAnsi="Times New Roman"/>
          <w:sz w:val="20"/>
        </w:rPr>
        <w:t xml:space="preserve">January 12, 2024 </w:t>
      </w:r>
    </w:p>
    <w:p>
      <w:pPr>
        <w:pStyle w:val="TextBody"/>
        <w:bidi w:val="0"/>
        <w:spacing w:before="0" w:after="0"/>
        <w:jc w:val="left"/>
        <w:rPr>
          <w:rFonts w:ascii="Times New Roman" w:hAnsi="Times New Roman"/>
          <w:sz w:val="20"/>
        </w:rPr>
      </w:pPr>
      <w:r>
        <w:rPr>
          <w:rFonts w:ascii="Times New Roman" w:hAnsi="Times New Roman"/>
          <w:sz w:val="20"/>
        </w:rPr>
        <w:t xml:space="preserve">Page 4 of 14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Other Compensation or Benefits.</w:t>
      </w:r>
      <w:r>
        <w:rPr>
          <w:rFonts w:ascii="Times New Roman" w:hAnsi="Times New Roman"/>
          <w:sz w:val="20"/>
        </w:rPr>
        <w:t xml:space="preserve"> You acknowledge that, except as expressly provided in this Agreement, you will not receive any additional compensation, severance or benefits after the Separation Date. </w:t>
      </w:r>
    </w:p>
    <w:p>
      <w:pPr>
        <w:pStyle w:val="TextBody"/>
        <w:bidi w:val="0"/>
        <w:spacing w:before="240" w:after="0"/>
        <w:jc w:val="left"/>
        <w:rPr>
          <w:rFonts w:ascii="Times New Roman" w:hAnsi="Times New Roman"/>
          <w:sz w:val="20"/>
        </w:rPr>
      </w:pPr>
      <w:r>
        <w:rPr>
          <w:rFonts w:ascii="Times New Roman" w:hAnsi="Times New Roman"/>
          <w:b/>
          <w:sz w:val="20"/>
        </w:rPr>
        <w:t>7. Return of Company Group Property.</w:t>
      </w:r>
      <w:r>
        <w:rPr>
          <w:rFonts w:ascii="Times New Roman" w:hAnsi="Times New Roman"/>
          <w:sz w:val="20"/>
        </w:rPr>
        <w:t xml:space="preserve"> Within ten (10) days of the Separation Date, you agree to return to the Company Group all Company Group documents (and all copies thereof) and other Company Group property that you have had in your possession at any time, including, but not limited to, Company Group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Group (and all reproductions thereof). Please coordinate return of Company Group property with Craig Hazenfield, Chief People Officer.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Confidential Information and Post-Termination Obligations.</w:t>
      </w:r>
      <w:r>
        <w:rPr>
          <w:rFonts w:ascii="Times New Roman" w:hAnsi="Times New Roman"/>
          <w:sz w:val="20"/>
        </w:rPr>
        <w:t xml:space="preserve"> Both during and after your employment you acknowledge your continuing obligations under your Employment Agreement and the Award Agreements both (1) not to use or disclose any confidential or proprietary information of the Company Group and (2) to refrain from certain customer and employee solicitation activities. A copy of your Employment Agreement is attached hereto as Exhibit B. Notwithstanding the foregoing, the Company Group hereby provides a limited waiver of the employee non-solicitation provision of Section 6(b) of your Employment Agreement as it relates to solicitation of one individual, your Executive Assistant, with whom you represent that you worked prior to your employment with the Company Group. If you have any doubts as to the scope of the restrictions in your agreement, you should contact Craig Hazenfield, Chief People Officer immediately to assess your compliance. As you know, the Company Group will enforce its contract rights relating to the protection of its confidential or proprietary information and the non-solicitation of its customers and employees.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Group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 xml:space="preserve">Release. </w:t>
      </w:r>
      <w:r>
        <w:rPr>
          <w:rFonts w:ascii="Times New Roman" w:hAnsi="Times New Roman"/>
          <w:sz w:val="20"/>
        </w:rPr>
        <w:t xml:space="preserve">In exchange for the payments and other consideration under this Agreement, to which you would not otherwise be 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Group, and their respective parents and subsidiaries, and their respective officers, directors, managers, partners, agents, representatives, employees, attorneys, shareholders, predecessors, successors, assigns, insurers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Robert Musslewhite </w:t>
      </w:r>
    </w:p>
    <w:p>
      <w:pPr>
        <w:pStyle w:val="TextBody"/>
        <w:bidi w:val="0"/>
        <w:spacing w:before="0" w:after="0"/>
        <w:jc w:val="left"/>
        <w:rPr>
          <w:rFonts w:ascii="Times New Roman" w:hAnsi="Times New Roman"/>
          <w:sz w:val="20"/>
        </w:rPr>
      </w:pPr>
      <w:r>
        <w:rPr>
          <w:rFonts w:ascii="Times New Roman" w:hAnsi="Times New Roman"/>
          <w:sz w:val="20"/>
        </w:rPr>
        <w:t xml:space="preserve">January 12, 2024 </w:t>
      </w:r>
    </w:p>
    <w:p>
      <w:pPr>
        <w:pStyle w:val="TextBody"/>
        <w:bidi w:val="0"/>
        <w:spacing w:before="0" w:after="0"/>
        <w:jc w:val="left"/>
        <w:rPr>
          <w:rFonts w:ascii="Times New Roman" w:hAnsi="Times New Roman"/>
          <w:sz w:val="20"/>
        </w:rPr>
      </w:pPr>
      <w:r>
        <w:rPr>
          <w:rFonts w:ascii="Times New Roman" w:hAnsi="Times New Roman"/>
          <w:sz w:val="20"/>
        </w:rPr>
        <w:t xml:space="preserve">Page 5 of 14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affiliates (the Company Group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Group or the termination of that employment; claims or demands related to salary, bonuses, commissions, stock, stock options, or any other ownership interests in the Company Group,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Group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violated its personnel policies, handbooks, contracts of employment, or covenants of good faith and fair dealing;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Robert Musslewhite </w:t>
      </w:r>
    </w:p>
    <w:p>
      <w:pPr>
        <w:pStyle w:val="TextBody"/>
        <w:bidi w:val="0"/>
        <w:spacing w:before="0" w:after="0"/>
        <w:jc w:val="left"/>
        <w:rPr>
          <w:rFonts w:ascii="Times New Roman" w:hAnsi="Times New Roman"/>
          <w:sz w:val="20"/>
        </w:rPr>
      </w:pPr>
      <w:r>
        <w:rPr>
          <w:rFonts w:ascii="Times New Roman" w:hAnsi="Times New Roman"/>
          <w:sz w:val="20"/>
        </w:rPr>
        <w:t xml:space="preserve">January 12, 2024 </w:t>
      </w:r>
    </w:p>
    <w:p>
      <w:pPr>
        <w:pStyle w:val="TextBody"/>
        <w:bidi w:val="0"/>
        <w:spacing w:before="0" w:after="0"/>
        <w:jc w:val="left"/>
        <w:rPr>
          <w:rFonts w:ascii="Times New Roman" w:hAnsi="Times New Roman"/>
          <w:sz w:val="20"/>
        </w:rPr>
      </w:pPr>
      <w:r>
        <w:rPr>
          <w:rFonts w:ascii="Times New Roman" w:hAnsi="Times New Roman"/>
          <w:sz w:val="20"/>
        </w:rPr>
        <w:t xml:space="preserve">Page 6 of 14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you do not waive or release (1) rights or Claims that may arise from events that occur after the date this waiver is executed, (2) your right to enforce this Agreement and (3) any right of indemnification you may have for any liabilities arising from your actions within the course and scope of your employment with the Company Group or within the course and scope of your role as a member of the Board of Directors and/or officer of the Company Group, including under the terms of that certain Indemnification Agreement dated September 17, 2021.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has prevented, currently prevents, or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Nothing in this Agreement: (i) prevents you from discussing or disclosing information about unlawful acts in the workplace, such as harassment or discrimination or any other conduct that you have reason to believe is unlawful; or (ii) waives any rights you may have under Section 7 of the National Labor Relations Act (subject to the release of claims set forth herein). You further understand this Agreement is not intended to and does not limit your ability to voluntarily communicate with any Government Agencies or otherwise participate in any investigation or proceeding that may be conducted by any Government Agency, including providing documents or other information, without notice to the Company Group. While this Agreement does not limit your right to receive an award for information provided to the Securities and Exchange Commission, you understand and agree that you are otherwise waiving,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Robert Musslewhite </w:t>
      </w:r>
    </w:p>
    <w:p>
      <w:pPr>
        <w:pStyle w:val="TextBody"/>
        <w:bidi w:val="0"/>
        <w:spacing w:before="0" w:after="0"/>
        <w:jc w:val="left"/>
        <w:rPr>
          <w:rFonts w:ascii="Times New Roman" w:hAnsi="Times New Roman"/>
          <w:sz w:val="20"/>
        </w:rPr>
      </w:pPr>
      <w:r>
        <w:rPr>
          <w:rFonts w:ascii="Times New Roman" w:hAnsi="Times New Roman"/>
          <w:sz w:val="20"/>
        </w:rPr>
        <w:t xml:space="preserve">January 12, 2024 </w:t>
      </w:r>
    </w:p>
    <w:p>
      <w:pPr>
        <w:pStyle w:val="TextBody"/>
        <w:bidi w:val="0"/>
        <w:spacing w:before="0" w:after="0"/>
        <w:jc w:val="left"/>
        <w:rPr>
          <w:rFonts w:ascii="Times New Roman" w:hAnsi="Times New Roman"/>
          <w:sz w:val="20"/>
        </w:rPr>
      </w:pPr>
      <w:r>
        <w:rPr>
          <w:rFonts w:ascii="Times New Roman" w:hAnsi="Times New Roman"/>
          <w:sz w:val="20"/>
        </w:rPr>
        <w:t xml:space="preserve">Page 7 of 14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Group Parties is a party. This Agreement does not abrogate your existing rights under the terms of any Company Group benefit plan or any plan or agreement related to equity ownership in the Company Group, as modified by this Agreement; however, to the extent not in conflict with the preceding portion of this sentence, it does waive, release and forever discharge Claims existing as of the date you execute this Agreement pursuant to any such plan or agreement. For avoidance of doubt, your existing rights as to equity ownership are as set forth in Section 5 above and Schedule I.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 xml:space="preserve">Your Acknowledgments and Affirmations/ Effective Date of Agreement. </w:t>
      </w:r>
      <w:r>
        <w:rPr>
          <w:rFonts w:ascii="Times New Roman" w:hAnsi="Times New Roman"/>
          <w:sz w:val="20"/>
        </w:rPr>
        <w:t xml:space="preserve">You acknowledge that you are knowingly and 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Group Parties regarding your pay and benefits through the date of your execution of this Agreement were not discriminatory based on age, disability, race, color, sex, religion, national origin or any other classification protected by law. You agree that you will not voluntarily (except in response to legal compulsion or as permitted in Section 9 above) assist any person in bringing or pursuing any proposed or pending litigation, arbitration, administrative claim or other formal proceeding against any of the Company Group Parties. You further affirm that you have no known workplace injuries or occupational diseases. You acknowledge and affirm that you have not been retaliated against for reporting any allegation of corporate fraud or other wrongdoing by any of the Company Group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days following your execution of this Agreement to revoke this Agreement; and (e) this Agreement shall not be effective until the date upon which the revocation period has expired unexercised (the Effective Date), which shall be the eighth day after this Agreement is executed by you.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Robert Musslewhite </w:t>
      </w:r>
    </w:p>
    <w:p>
      <w:pPr>
        <w:pStyle w:val="TextBody"/>
        <w:bidi w:val="0"/>
        <w:spacing w:before="0" w:after="0"/>
        <w:jc w:val="left"/>
        <w:rPr>
          <w:rFonts w:ascii="Times New Roman" w:hAnsi="Times New Roman"/>
          <w:sz w:val="20"/>
        </w:rPr>
      </w:pPr>
      <w:r>
        <w:rPr>
          <w:rFonts w:ascii="Times New Roman" w:hAnsi="Times New Roman"/>
          <w:sz w:val="20"/>
        </w:rPr>
        <w:t xml:space="preserve">January 12, 2024 </w:t>
      </w:r>
    </w:p>
    <w:p>
      <w:pPr>
        <w:pStyle w:val="TextBody"/>
        <w:bidi w:val="0"/>
        <w:spacing w:before="0" w:after="0"/>
        <w:jc w:val="left"/>
        <w:rPr>
          <w:rFonts w:ascii="Times New Roman" w:hAnsi="Times New Roman"/>
          <w:sz w:val="20"/>
        </w:rPr>
      </w:pPr>
      <w:r>
        <w:rPr>
          <w:rFonts w:ascii="Times New Roman" w:hAnsi="Times New Roman"/>
          <w:sz w:val="20"/>
        </w:rPr>
        <w:t xml:space="preserve">Page 8 of 14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No Admission. </w:t>
      </w:r>
      <w:r>
        <w:rPr>
          <w:rFonts w:ascii="Times New Roman" w:hAnsi="Times New Roman"/>
          <w:sz w:val="20"/>
        </w:rPr>
        <w:t xml:space="preserve">This Agreement does not constitute an admission by the Company Group of any wrongful action or violation of any federal, state, or local statute, or common law rights, including those relating to the provisions of any law or statute concerning employment actions, or of any other possible or claimed violation of law or rights.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Breach.</w:t>
      </w:r>
      <w:r>
        <w:rPr>
          <w:rFonts w:ascii="Times New Roman" w:hAnsi="Times New Roman"/>
          <w:sz w:val="20"/>
        </w:rPr>
        <w:t xml:space="preserve"> You agree that upon any breach of this Agreement that causes material harm to the business of the Company Group, you will forfeit all amounts paid or owing to you under Sections 3 and 5 of this Agreement. Further, you acknowledge that it may be impossible to assess the damages caused by your violation of the terms of Section 8 of this Agreement and further agree that any threatened or actual violation or breach of Section 8 of this Agreement will constitute immediate and irreparable injury to the Company Group. You therefore agree that for purposes of the availability of equitable remedies to the Company Group in the event of a breach, any such breach of Section 8 of this Agreement shall be deemed to be a material breach of this Agreement, and, in addition to any and all other damages and remedies available to the Company Group upon your breach of this Agreement, the Company Group shall be entitled to an injunction to prevent you from violating or breaching this Agreement. You agree that if the Company Group is successful in whole or part in any legal or equitable action against you under this Agreement, you agree to pay all of the costs, including reasonable attorneys fees, incurred by the Company Group in enforcing the terms of this Agreement.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Miscellaneous.</w:t>
      </w:r>
      <w:r>
        <w:rPr>
          <w:rFonts w:ascii="Times New Roman" w:hAnsi="Times New Roman"/>
          <w:sz w:val="20"/>
        </w:rPr>
        <w:t xml:space="preserve"> This Agreement, including any exhibits and the Award Agreements, constitutes the complete, final and exclusive embodiment of the entire agreement between you and the Company Group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officers of both the Company and Parent. This Agreement will bind the heirs, personal representatives, successors and assigns of both you and the Company Group, and inure to the benefit of both you and the Company Group,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Robert Musslewhite </w:t>
      </w:r>
    </w:p>
    <w:p>
      <w:pPr>
        <w:pStyle w:val="TextBody"/>
        <w:bidi w:val="0"/>
        <w:spacing w:before="0" w:after="0"/>
        <w:jc w:val="left"/>
        <w:rPr>
          <w:rFonts w:ascii="Times New Roman" w:hAnsi="Times New Roman"/>
          <w:sz w:val="20"/>
        </w:rPr>
      </w:pPr>
      <w:r>
        <w:rPr>
          <w:rFonts w:ascii="Times New Roman" w:hAnsi="Times New Roman"/>
          <w:sz w:val="20"/>
        </w:rPr>
        <w:t xml:space="preserve">January 12, 2024 </w:t>
      </w:r>
    </w:p>
    <w:p>
      <w:pPr>
        <w:pStyle w:val="TextBody"/>
        <w:bidi w:val="0"/>
        <w:spacing w:before="0" w:after="0"/>
        <w:jc w:val="left"/>
        <w:rPr>
          <w:rFonts w:ascii="Times New Roman" w:hAnsi="Times New Roman"/>
          <w:sz w:val="20"/>
        </w:rPr>
      </w:pPr>
      <w:r>
        <w:rPr>
          <w:rFonts w:ascii="Times New Roman" w:hAnsi="Times New Roman"/>
          <w:sz w:val="20"/>
        </w:rPr>
        <w:t xml:space="preserve">Page 9 of 14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 </w:t>
      </w:r>
    </w:p>
    <w:p>
      <w:pPr>
        <w:pStyle w:val="TextBody"/>
        <w:bidi w:val="0"/>
        <w:spacing w:before="240" w:after="0"/>
        <w:jc w:val="left"/>
        <w:rPr>
          <w:rFonts w:ascii="Times New Roman" w:hAnsi="Times New Roman"/>
          <w:sz w:val="20"/>
        </w:rPr>
      </w:pPr>
      <w:r>
        <w:rPr>
          <w:rFonts w:ascii="Times New Roman" w:hAnsi="Times New Roman"/>
          <w:sz w:val="20"/>
        </w:rPr>
        <w:t xml:space="preserve">We wish you good luck in your future endeavors.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w:t>
            </w:r>
            <w:r>
              <w:rPr>
                <w:b/>
                <w:sz w:val="20"/>
              </w:rPr>
              <w:t>EFINITIVE</w:t>
            </w:r>
            <w:r>
              <w:rPr>
                <w:b/>
              </w:rPr>
              <w:t xml:space="preserve"> H</w:t>
            </w:r>
            <w:r>
              <w:rPr>
                <w:b/>
                <w:sz w:val="20"/>
              </w:rPr>
              <w:t>EALTHCARE</w:t>
            </w:r>
            <w:r>
              <w:rPr>
                <w:b/>
              </w:rPr>
              <w:t>,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 Ruderman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Matt Ruderman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Chief Legal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w:t>
            </w:r>
            <w:r>
              <w:rPr>
                <w:b/>
                <w:sz w:val="20"/>
              </w:rPr>
              <w:t>EFINITIVE</w:t>
            </w:r>
            <w:r>
              <w:rPr>
                <w:b/>
              </w:rPr>
              <w:t xml:space="preserve"> H</w:t>
            </w:r>
            <w:r>
              <w:rPr>
                <w:b/>
                <w:sz w:val="20"/>
              </w:rPr>
              <w:t>EALTHCARE</w:t>
            </w:r>
            <w:r>
              <w:rPr>
                <w:b/>
              </w:rPr>
              <w:t xml:space="preserve"> C</w:t>
            </w:r>
            <w:r>
              <w:rPr>
                <w:b/>
                <w:sz w:val="20"/>
              </w:rPr>
              <w:t>ORP</w:t>
            </w:r>
            <w:r>
              <w:rPr>
                <w:b/>
              </w:rPr>
              <w:t>.</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Krantz</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Jason Krantz</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283"/>
              <w:jc w:val="left"/>
              <w:rPr/>
            </w:pPr>
            <w:r>
              <w:rPr/>
              <w:t>Executive Chairman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w:t>
            </w:r>
            <w:r>
              <w:rPr>
                <w:sz w:val="20"/>
              </w:rPr>
              <w:t>GREED</w:t>
            </w:r>
            <w:r>
              <w:rPr/>
              <w:t xml:space="preserve"> </w:t>
            </w:r>
            <w:r>
              <w:rPr>
                <w:sz w:val="20"/>
              </w:rPr>
              <w:t>TO</w:t>
            </w:r>
            <w:r>
              <w:rPr/>
              <w:t xml:space="preserve"> </w:t>
            </w:r>
            <w:r>
              <w:rPr>
                <w:sz w:val="20"/>
              </w:rPr>
              <w:t>AND</w:t>
            </w:r>
            <w:r>
              <w:rPr/>
              <w:t xml:space="preserve"> A</w:t>
            </w:r>
            <w:r>
              <w:rPr>
                <w:sz w:val="20"/>
              </w:rPr>
              <w:t>CCEPTED</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Musslewhite</w:t>
            </w:r>
          </w:p>
        </w:tc>
      </w:tr>
      <w:tr>
        <w:trPr/>
        <w:tc>
          <w:tcPr>
            <w:tcW w:w="4082" w:type="dxa"/>
            <w:gridSpan w:val="3"/>
            <w:tcBorders/>
          </w:tcPr>
          <w:p>
            <w:pPr>
              <w:pStyle w:val="TableContents"/>
              <w:bidi w:val="0"/>
              <w:spacing w:before="0" w:after="283"/>
              <w:jc w:val="left"/>
              <w:rPr/>
            </w:pPr>
            <w:r>
              <w:rPr/>
              <w:t>Robert Musslewhite</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Exhibit A  How to File for Unemployment Insurance Benefits (Form 0590A) </w:t>
      </w:r>
    </w:p>
    <w:p>
      <w:pPr>
        <w:pStyle w:val="TextBody"/>
        <w:bidi w:val="0"/>
        <w:spacing w:before="240" w:after="0"/>
        <w:jc w:val="left"/>
        <w:rPr>
          <w:rFonts w:ascii="Times New Roman" w:hAnsi="Times New Roman"/>
          <w:b/>
          <w:sz w:val="20"/>
        </w:rPr>
      </w:pPr>
      <w:r>
        <w:rPr>
          <w:rFonts w:ascii="Times New Roman" w:hAnsi="Times New Roman"/>
          <w:b/>
          <w:sz w:val="20"/>
        </w:rPr>
        <w:t xml:space="preserve">Exhibit B  Employment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Schedule I (A) - Time-Based Equity Awards </w:t>
      </w:r>
    </w:p>
    <w:p>
      <w:pPr>
        <w:pStyle w:val="TextBody"/>
        <w:bidi w:val="0"/>
        <w:spacing w:before="240" w:after="0"/>
        <w:jc w:val="left"/>
        <w:rPr>
          <w:rFonts w:ascii="Times New Roman" w:hAnsi="Times New Roman"/>
          <w:b/>
          <w:sz w:val="20"/>
        </w:rPr>
      </w:pPr>
      <w:r>
        <w:rPr>
          <w:rFonts w:ascii="Times New Roman" w:hAnsi="Times New Roman"/>
          <w:b/>
          <w:sz w:val="20"/>
        </w:rPr>
        <w:t xml:space="preserve">Schedule I(B) - Performance-Based Equity Awards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CONSIDERATION PERIOD </w:t>
      </w:r>
    </w:p>
    <w:p>
      <w:pPr>
        <w:pStyle w:val="TextBody"/>
        <w:bidi w:val="0"/>
        <w:spacing w:before="240" w:after="0"/>
        <w:jc w:val="left"/>
        <w:rPr>
          <w:rFonts w:ascii="Times New Roman" w:hAnsi="Times New Roman"/>
          <w:sz w:val="20"/>
        </w:rPr>
      </w:pPr>
      <w:r>
        <w:rPr>
          <w:rFonts w:ascii="Times New Roman" w:hAnsi="Times New Roman"/>
          <w:sz w:val="20"/>
        </w:rPr>
        <w:t xml:space="preserve">I, Robert Musslewhite, understand that I have the right to take at least 21 days to consider whether to sign this Agreement, which I received on January 12, 2024. If I elect to sign this Agreement before 21 days have passed, I understand I am to sign and date below this paragraph to confirm that I knowingly and voluntarily agree to waive the 21-day consideration period.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w:t>
            </w:r>
            <w:r>
              <w:rPr>
                <w:sz w:val="20"/>
              </w:rPr>
              <w:t>GREED</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Musslewhite</w:t>
            </w:r>
          </w:p>
        </w:tc>
      </w:tr>
      <w:tr>
        <w:trPr/>
        <w:tc>
          <w:tcPr>
            <w:tcW w:w="4082" w:type="dxa"/>
            <w:tcBorders/>
          </w:tcPr>
          <w:p>
            <w:pPr>
              <w:pStyle w:val="TableContents"/>
              <w:bidi w:val="0"/>
              <w:spacing w:before="0" w:after="283"/>
              <w:jc w:val="left"/>
              <w:rPr/>
            </w:pPr>
            <w:r>
              <w:rPr/>
              <w:t>Signature</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January 15, 2024</w:t>
            </w:r>
          </w:p>
        </w:tc>
      </w:tr>
      <w:tr>
        <w:trPr/>
        <w:tc>
          <w:tcPr>
            <w:tcW w:w="4082" w:type="dxa"/>
            <w:tcBorders/>
          </w:tcPr>
          <w:p>
            <w:pPr>
              <w:pStyle w:val="TableContents"/>
              <w:bidi w:val="0"/>
              <w:spacing w:before="0" w:after="283"/>
              <w:jc w:val="left"/>
              <w:rPr/>
            </w:pPr>
            <w:r>
              <w:rPr/>
              <w:t>Date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How to File for Unemployment Insurance Benefits (Form 0590A)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Employment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I(A) </w:t>
      </w:r>
    </w:p>
    <w:p>
      <w:pPr>
        <w:pStyle w:val="TextBody"/>
        <w:bidi w:val="0"/>
        <w:spacing w:before="240" w:after="0"/>
        <w:jc w:val="center"/>
        <w:rPr>
          <w:rFonts w:ascii="Times New Roman" w:hAnsi="Times New Roman"/>
          <w:b/>
          <w:sz w:val="20"/>
        </w:rPr>
      </w:pPr>
      <w:r>
        <w:rPr>
          <w:rFonts w:ascii="Times New Roman" w:hAnsi="Times New Roman"/>
          <w:b/>
          <w:sz w:val="20"/>
        </w:rPr>
        <w:t xml:space="preserve">Time-Based Equity Awards </w:t>
      </w:r>
    </w:p>
    <w:p>
      <w:pPr>
        <w:pStyle w:val="TextBody"/>
        <w:bidi w:val="0"/>
        <w:spacing w:before="0" w:after="0"/>
        <w:jc w:val="left"/>
        <w:rPr/>
      </w:pPr>
      <w:r>
        <w:rPr/>
        <w:t> </w:t>
      </w:r>
    </w:p>
    <w:tbl>
      <w:tblPr>
        <w:tblW w:w="16120" w:type="dxa"/>
        <w:jc w:val="center"/>
        <w:tblInd w:w="0" w:type="dxa"/>
        <w:tblLayout w:type="fixed"/>
        <w:tblCellMar>
          <w:top w:w="0" w:type="dxa"/>
          <w:left w:w="0" w:type="dxa"/>
          <w:bottom w:w="0" w:type="dxa"/>
          <w:right w:w="0" w:type="dxa"/>
        </w:tblCellMar>
      </w:tblPr>
      <w:tblGrid>
        <w:gridCol w:w="860"/>
        <w:gridCol w:w="120"/>
        <w:gridCol w:w="1835"/>
        <w:gridCol w:w="120"/>
        <w:gridCol w:w="60"/>
        <w:gridCol w:w="800"/>
        <w:gridCol w:w="60"/>
        <w:gridCol w:w="120"/>
        <w:gridCol w:w="96"/>
        <w:gridCol w:w="1289"/>
        <w:gridCol w:w="60"/>
        <w:gridCol w:w="120"/>
        <w:gridCol w:w="90"/>
        <w:gridCol w:w="1205"/>
        <w:gridCol w:w="60"/>
        <w:gridCol w:w="120"/>
        <w:gridCol w:w="105"/>
        <w:gridCol w:w="1190"/>
        <w:gridCol w:w="60"/>
        <w:gridCol w:w="120"/>
        <w:gridCol w:w="90"/>
        <w:gridCol w:w="1205"/>
        <w:gridCol w:w="60"/>
        <w:gridCol w:w="440"/>
        <w:gridCol w:w="120"/>
        <w:gridCol w:w="1115"/>
        <w:gridCol w:w="120"/>
        <w:gridCol w:w="60"/>
        <w:gridCol w:w="800"/>
        <w:gridCol w:w="60"/>
        <w:gridCol w:w="120"/>
        <w:gridCol w:w="60"/>
        <w:gridCol w:w="680"/>
        <w:gridCol w:w="60"/>
        <w:gridCol w:w="120"/>
        <w:gridCol w:w="60"/>
        <w:gridCol w:w="680"/>
        <w:gridCol w:w="60"/>
        <w:gridCol w:w="120"/>
        <w:gridCol w:w="60"/>
        <w:gridCol w:w="560"/>
        <w:gridCol w:w="60"/>
        <w:gridCol w:w="120"/>
        <w:gridCol w:w="60"/>
        <w:gridCol w:w="680"/>
        <w:gridCol w:w="6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11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8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Grant Date</w:t>
            </w:r>
          </w:p>
        </w:tc>
        <w:tc>
          <w:tcPr>
            <w:tcW w:w="120" w:type="dxa"/>
            <w:tcBorders/>
            <w:vAlign w:val="bottom"/>
          </w:tcPr>
          <w:p>
            <w:pPr>
              <w:pStyle w:val="TableContents"/>
              <w:bidi w:val="0"/>
              <w:spacing w:before="0" w:after="283"/>
              <w:jc w:val="left"/>
              <w:rPr/>
            </w:pPr>
            <w:r>
              <w:rPr/>
              <w:t>  </w:t>
            </w:r>
          </w:p>
        </w:tc>
        <w:tc>
          <w:tcPr>
            <w:tcW w:w="18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Award Type</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Grant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Unvested as</w:t>
              <w:br/>
              <w:t>of Separation</w:t>
              <w:b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Eligible for</w:t>
              <w:br/>
              <w:t>Vesting</w:t>
              <w:br/>
              <w:t>Acceleration</w:t>
              <w:br/>
              <w:t>(12-months)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Extra</w:t>
              <w:br/>
              <w:t>Quarter</w:t>
              <w:br/>
              <w:t>Vesting</w:t>
              <w:br/>
              <w:t>Acceleration</w:t>
              <w:br/>
              <w:t>(3-months)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Eligible for</w:t>
              <w:br/>
              <w:t>Vesting</w:t>
              <w:br/>
              <w:t>Acceleration</w:t>
              <w:br/>
              <w:t>(15-months)</w:t>
            </w:r>
          </w:p>
        </w:tc>
        <w:tc>
          <w:tcPr>
            <w:tcW w:w="60"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11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6/25/2021</w:t>
            </w:r>
          </w:p>
        </w:tc>
        <w:tc>
          <w:tcPr>
            <w:tcW w:w="120"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center"/>
              <w:rPr/>
            </w:pPr>
            <w:r>
              <w:rPr/>
              <w:t>MIUsa (time-based)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145,263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71,700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36,781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36,781</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111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5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r>
      <w:tr>
        <w:trPr/>
        <w:tc>
          <w:tcPr>
            <w:tcW w:w="860"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10/7/2021</w:t>
            </w:r>
          </w:p>
        </w:tc>
        <w:tc>
          <w:tcPr>
            <w:tcW w:w="120" w:type="dxa"/>
            <w:vMerge w:val="restart"/>
            <w:tcBorders/>
            <w:vAlign w:val="bottom"/>
          </w:tcPr>
          <w:p>
            <w:pPr>
              <w:pStyle w:val="TableContents"/>
              <w:bidi w:val="0"/>
              <w:spacing w:before="0" w:after="283"/>
              <w:jc w:val="left"/>
              <w:rPr/>
            </w:pPr>
            <w:r>
              <w:rPr/>
              <w:t>  </w:t>
            </w:r>
          </w:p>
        </w:tc>
        <w:tc>
          <w:tcPr>
            <w:tcW w:w="1835" w:type="dxa"/>
            <w:vMerge w:val="restart"/>
            <w:tcBorders/>
            <w:vAlign w:val="bottom"/>
          </w:tcPr>
          <w:p>
            <w:pPr>
              <w:pStyle w:val="TableContents"/>
              <w:bidi w:val="0"/>
              <w:spacing w:before="0" w:after="283"/>
              <w:jc w:val="center"/>
              <w:rPr/>
            </w:pPr>
            <w:r>
              <w:rPr/>
              <w:t>RSUs (time-based)</w:t>
            </w:r>
          </w:p>
        </w:tc>
        <w:tc>
          <w:tcPr>
            <w:tcW w:w="12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800" w:type="dxa"/>
            <w:vMerge w:val="restart"/>
            <w:tcBorders/>
            <w:vAlign w:val="bottom"/>
          </w:tcPr>
          <w:p>
            <w:pPr>
              <w:pStyle w:val="TableContents"/>
              <w:bidi w:val="0"/>
              <w:spacing w:before="0" w:after="283"/>
              <w:jc w:val="right"/>
              <w:rPr/>
            </w:pPr>
            <w:r>
              <w:rPr/>
              <w:t>433,550</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96" w:type="dxa"/>
            <w:vMerge w:val="restart"/>
            <w:tcBorders/>
            <w:vAlign w:val="bottom"/>
          </w:tcPr>
          <w:p>
            <w:pPr>
              <w:pStyle w:val="TableContents"/>
              <w:bidi w:val="0"/>
              <w:spacing w:before="0" w:after="283"/>
              <w:jc w:val="left"/>
              <w:rPr/>
            </w:pPr>
            <w:r>
              <w:rPr/>
              <w:t> </w:t>
            </w:r>
          </w:p>
        </w:tc>
        <w:tc>
          <w:tcPr>
            <w:tcW w:w="1289" w:type="dxa"/>
            <w:vMerge w:val="restart"/>
            <w:tcBorders/>
            <w:vAlign w:val="bottom"/>
          </w:tcPr>
          <w:p>
            <w:pPr>
              <w:pStyle w:val="TableContents"/>
              <w:bidi w:val="0"/>
              <w:spacing w:before="0" w:after="283"/>
              <w:jc w:val="right"/>
              <w:rPr/>
            </w:pPr>
            <w:r>
              <w:rPr/>
              <w:t>189,679</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205" w:type="dxa"/>
            <w:vMerge w:val="restart"/>
            <w:tcBorders/>
            <w:vAlign w:val="bottom"/>
          </w:tcPr>
          <w:p>
            <w:pPr>
              <w:pStyle w:val="TableContents"/>
              <w:bidi w:val="0"/>
              <w:spacing w:before="0" w:after="283"/>
              <w:jc w:val="right"/>
              <w:rPr/>
            </w:pPr>
            <w:r>
              <w:rPr/>
              <w:t>108,388</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05" w:type="dxa"/>
            <w:vMerge w:val="restart"/>
            <w:tcBorders/>
            <w:vAlign w:val="bottom"/>
          </w:tcPr>
          <w:p>
            <w:pPr>
              <w:pStyle w:val="TableContents"/>
              <w:bidi w:val="0"/>
              <w:spacing w:before="0" w:after="283"/>
              <w:jc w:val="left"/>
              <w:rPr/>
            </w:pPr>
            <w:r>
              <w:rPr/>
              <w:t> </w:t>
            </w:r>
          </w:p>
        </w:tc>
        <w:tc>
          <w:tcPr>
            <w:tcW w:w="1190" w:type="dxa"/>
            <w:vMerge w:val="restart"/>
            <w:tcBorders/>
            <w:vAlign w:val="bottom"/>
          </w:tcPr>
          <w:p>
            <w:pPr>
              <w:pStyle w:val="TableContents"/>
              <w:bidi w:val="0"/>
              <w:spacing w:before="0" w:after="283"/>
              <w:jc w:val="right"/>
              <w:rPr/>
            </w:pPr>
            <w:r>
              <w:rPr/>
              <w:t>27,097</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205" w:type="dxa"/>
            <w:vMerge w:val="restart"/>
            <w:tcBorders/>
            <w:vAlign w:val="bottom"/>
          </w:tcPr>
          <w:p>
            <w:pPr>
              <w:pStyle w:val="TableContents"/>
              <w:bidi w:val="0"/>
              <w:spacing w:before="0" w:after="283"/>
              <w:jc w:val="right"/>
              <w:rPr/>
            </w:pPr>
            <w:r>
              <w:rPr/>
              <w:t>135,485</w:t>
            </w:r>
          </w:p>
        </w:tc>
        <w:tc>
          <w:tcPr>
            <w:tcW w:w="60" w:type="dxa"/>
            <w:vMerge w:val="restart"/>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11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5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86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1835"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800"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96" w:type="dxa"/>
            <w:vMerge w:val="continue"/>
            <w:tcBorders/>
            <w:shd w:fill="CCEEFF" w:val="clear"/>
            <w:vAlign w:val="bottom"/>
          </w:tcPr>
          <w:p>
            <w:pPr>
              <w:pStyle w:val="Normal"/>
              <w:bidi w:val="0"/>
              <w:jc w:val="left"/>
              <w:rPr/>
            </w:pPr>
            <w:r>
              <w:rPr/>
            </w:r>
          </w:p>
        </w:tc>
        <w:tc>
          <w:tcPr>
            <w:tcW w:w="1289"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90" w:type="dxa"/>
            <w:vMerge w:val="continue"/>
            <w:tcBorders/>
            <w:shd w:fill="CCEEFF" w:val="clear"/>
            <w:vAlign w:val="bottom"/>
          </w:tcPr>
          <w:p>
            <w:pPr>
              <w:pStyle w:val="Normal"/>
              <w:bidi w:val="0"/>
              <w:jc w:val="left"/>
              <w:rPr/>
            </w:pPr>
            <w:r>
              <w:rPr/>
            </w:r>
          </w:p>
        </w:tc>
        <w:tc>
          <w:tcPr>
            <w:tcW w:w="1205"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105" w:type="dxa"/>
            <w:vMerge w:val="continue"/>
            <w:tcBorders/>
            <w:shd w:fill="CCEEFF" w:val="clear"/>
            <w:vAlign w:val="bottom"/>
          </w:tcPr>
          <w:p>
            <w:pPr>
              <w:pStyle w:val="Normal"/>
              <w:bidi w:val="0"/>
              <w:jc w:val="left"/>
              <w:rPr/>
            </w:pPr>
            <w:r>
              <w:rPr/>
            </w:r>
          </w:p>
        </w:tc>
        <w:tc>
          <w:tcPr>
            <w:tcW w:w="1190"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90" w:type="dxa"/>
            <w:vMerge w:val="continue"/>
            <w:tcBorders/>
            <w:shd w:fill="CCEEFF" w:val="clear"/>
            <w:vAlign w:val="bottom"/>
          </w:tcPr>
          <w:p>
            <w:pPr>
              <w:pStyle w:val="Normal"/>
              <w:bidi w:val="0"/>
              <w:jc w:val="left"/>
              <w:rPr/>
            </w:pPr>
            <w:r>
              <w:rPr/>
            </w:r>
          </w:p>
        </w:tc>
        <w:tc>
          <w:tcPr>
            <w:tcW w:w="1205"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440" w:type="dxa"/>
            <w:vMerge w:val="restart"/>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10/7/2021</w:t>
            </w:r>
          </w:p>
        </w:tc>
        <w:tc>
          <w:tcPr>
            <w:tcW w:w="120" w:type="dxa"/>
            <w:vMerge w:val="restart"/>
            <w:tcBorders/>
            <w:shd w:fill="CCEEFF" w:val="clear"/>
            <w:vAlign w:val="bottom"/>
          </w:tcPr>
          <w:p>
            <w:pPr>
              <w:pStyle w:val="TableContents"/>
              <w:bidi w:val="0"/>
              <w:spacing w:before="0" w:after="283"/>
              <w:jc w:val="left"/>
              <w:rPr/>
            </w:pPr>
            <w:r>
              <w:rPr/>
              <w:t>  </w:t>
            </w:r>
          </w:p>
        </w:tc>
        <w:tc>
          <w:tcPr>
            <w:tcW w:w="1115" w:type="dxa"/>
            <w:vMerge w:val="restart"/>
            <w:tcBorders/>
            <w:shd w:fill="CCEEFF" w:val="clear"/>
            <w:vAlign w:val="bottom"/>
          </w:tcPr>
          <w:p>
            <w:pPr>
              <w:pStyle w:val="TableContents"/>
              <w:bidi w:val="0"/>
              <w:spacing w:before="0" w:after="283"/>
              <w:jc w:val="center"/>
              <w:rPr/>
            </w:pPr>
            <w:r>
              <w:rPr/>
              <w:t>RSUs (time-based)</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800" w:type="dxa"/>
            <w:vMerge w:val="restart"/>
            <w:tcBorders/>
            <w:shd w:fill="CCEEFF" w:val="clear"/>
            <w:vAlign w:val="bottom"/>
          </w:tcPr>
          <w:p>
            <w:pPr>
              <w:pStyle w:val="TableContents"/>
              <w:bidi w:val="0"/>
              <w:spacing w:before="0" w:after="283"/>
              <w:jc w:val="right"/>
              <w:rPr/>
            </w:pPr>
            <w:r>
              <w:rPr/>
              <w:t>216,450</w:t>
            </w:r>
          </w:p>
        </w:tc>
        <w:tc>
          <w:tcPr>
            <w:tcW w:w="60" w:type="dxa"/>
            <w:vMerge w:val="restart"/>
            <w:tcBorders/>
            <w:shd w:fill="CCEEFF" w:val="clear"/>
            <w:vAlign w:val="bottom"/>
          </w:tcPr>
          <w:p>
            <w:pPr>
              <w:pStyle w:val="TableContents"/>
              <w:bidi w:val="0"/>
              <w:spacing w:before="0" w:after="283"/>
              <w:jc w:val="left"/>
              <w:rPr/>
            </w:pPr>
            <w:r>
              <w:rPr/>
              <w:t> </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680" w:type="dxa"/>
            <w:vMerge w:val="restart"/>
            <w:tcBorders/>
            <w:shd w:fill="CCEEFF" w:val="clear"/>
            <w:vAlign w:val="bottom"/>
          </w:tcPr>
          <w:p>
            <w:pPr>
              <w:pStyle w:val="TableContents"/>
              <w:bidi w:val="0"/>
              <w:spacing w:before="0" w:after="283"/>
              <w:jc w:val="right"/>
              <w:rPr/>
            </w:pPr>
            <w:r>
              <w:rPr/>
              <w:t>54,113</w:t>
            </w:r>
          </w:p>
        </w:tc>
        <w:tc>
          <w:tcPr>
            <w:tcW w:w="60" w:type="dxa"/>
            <w:vMerge w:val="restart"/>
            <w:tcBorders/>
            <w:shd w:fill="CCEEFF" w:val="clear"/>
            <w:vAlign w:val="bottom"/>
          </w:tcPr>
          <w:p>
            <w:pPr>
              <w:pStyle w:val="TableContents"/>
              <w:bidi w:val="0"/>
              <w:spacing w:before="0" w:after="283"/>
              <w:jc w:val="left"/>
              <w:rPr/>
            </w:pPr>
            <w:r>
              <w:rPr/>
              <w:t> </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680" w:type="dxa"/>
            <w:vMerge w:val="restart"/>
            <w:tcBorders/>
            <w:shd w:fill="CCEEFF" w:val="clear"/>
            <w:vAlign w:val="bottom"/>
          </w:tcPr>
          <w:p>
            <w:pPr>
              <w:pStyle w:val="TableContents"/>
              <w:bidi w:val="0"/>
              <w:spacing w:before="0" w:after="283"/>
              <w:jc w:val="right"/>
              <w:rPr/>
            </w:pPr>
            <w:r>
              <w:rPr/>
              <w:t>54,113</w:t>
            </w:r>
          </w:p>
        </w:tc>
        <w:tc>
          <w:tcPr>
            <w:tcW w:w="60" w:type="dxa"/>
            <w:vMerge w:val="restart"/>
            <w:tcBorders/>
            <w:shd w:fill="CCEEFF" w:val="clear"/>
            <w:vAlign w:val="bottom"/>
          </w:tcPr>
          <w:p>
            <w:pPr>
              <w:pStyle w:val="TableContents"/>
              <w:bidi w:val="0"/>
              <w:spacing w:before="0" w:after="283"/>
              <w:jc w:val="left"/>
              <w:rPr/>
            </w:pPr>
            <w:r>
              <w:rPr/>
              <w:t> </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560" w:type="dxa"/>
            <w:vMerge w:val="restart"/>
            <w:tcBorders/>
            <w:shd w:fill="CCEEFF" w:val="clear"/>
            <w:vAlign w:val="bottom"/>
          </w:tcPr>
          <w:p>
            <w:pPr>
              <w:pStyle w:val="TableContents"/>
              <w:bidi w:val="0"/>
              <w:spacing w:before="0" w:after="283"/>
              <w:jc w:val="right"/>
              <w:rPr/>
            </w:pPr>
            <w:r>
              <w:rPr/>
              <w:t>0</w:t>
            </w:r>
          </w:p>
        </w:tc>
        <w:tc>
          <w:tcPr>
            <w:tcW w:w="60" w:type="dxa"/>
            <w:vMerge w:val="restart"/>
            <w:tcBorders/>
            <w:shd w:fill="CCEEFF" w:val="clear"/>
            <w:vAlign w:val="bottom"/>
          </w:tcPr>
          <w:p>
            <w:pPr>
              <w:pStyle w:val="TableContents"/>
              <w:bidi w:val="0"/>
              <w:spacing w:before="0" w:after="283"/>
              <w:jc w:val="left"/>
              <w:rPr/>
            </w:pPr>
            <w:r>
              <w:rPr/>
              <w:t> </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680" w:type="dxa"/>
            <w:vMerge w:val="restart"/>
            <w:tcBorders/>
            <w:shd w:fill="CCEEFF" w:val="clear"/>
            <w:vAlign w:val="bottom"/>
          </w:tcPr>
          <w:p>
            <w:pPr>
              <w:pStyle w:val="TableContents"/>
              <w:bidi w:val="0"/>
              <w:spacing w:before="0" w:after="283"/>
              <w:jc w:val="right"/>
              <w:rPr/>
            </w:pPr>
            <w:r>
              <w:rPr/>
              <w:t>54,113</w:t>
            </w:r>
          </w:p>
        </w:tc>
        <w:tc>
          <w:tcPr>
            <w:tcW w:w="60" w:type="dxa"/>
            <w:vMerge w:val="restart"/>
            <w:tcBorders/>
            <w:shd w:fill="CCEEFF" w:val="clear"/>
            <w:vAlign w:val="bottom"/>
          </w:tcPr>
          <w:p>
            <w:pPr>
              <w:pStyle w:val="TableContents"/>
              <w:bidi w:val="0"/>
              <w:spacing w:before="0" w:after="283"/>
              <w:jc w:val="left"/>
              <w:rPr/>
            </w:pPr>
            <w:r>
              <w:rPr/>
              <w:t> </w:t>
            </w:r>
          </w:p>
        </w:tc>
      </w:tr>
      <w:tr>
        <w:trPr/>
        <w:tc>
          <w:tcPr>
            <w:tcW w:w="860"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5/4/2022</w:t>
            </w:r>
          </w:p>
        </w:tc>
        <w:tc>
          <w:tcPr>
            <w:tcW w:w="120" w:type="dxa"/>
            <w:vMerge w:val="restart"/>
            <w:tcBorders/>
            <w:vAlign w:val="bottom"/>
          </w:tcPr>
          <w:p>
            <w:pPr>
              <w:pStyle w:val="TableContents"/>
              <w:bidi w:val="0"/>
              <w:spacing w:before="0" w:after="283"/>
              <w:jc w:val="left"/>
              <w:rPr/>
            </w:pPr>
            <w:r>
              <w:rPr/>
              <w:t>  </w:t>
            </w:r>
          </w:p>
        </w:tc>
        <w:tc>
          <w:tcPr>
            <w:tcW w:w="1835" w:type="dxa"/>
            <w:vMerge w:val="restart"/>
            <w:tcBorders/>
            <w:vAlign w:val="bottom"/>
          </w:tcPr>
          <w:p>
            <w:pPr>
              <w:pStyle w:val="TableContents"/>
              <w:bidi w:val="0"/>
              <w:spacing w:before="0" w:after="283"/>
              <w:jc w:val="center"/>
              <w:rPr/>
            </w:pPr>
            <w:r>
              <w:rPr/>
              <w:t>RSUs (time-based)</w:t>
            </w:r>
          </w:p>
        </w:tc>
        <w:tc>
          <w:tcPr>
            <w:tcW w:w="12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800" w:type="dxa"/>
            <w:vMerge w:val="restart"/>
            <w:tcBorders/>
            <w:vAlign w:val="bottom"/>
          </w:tcPr>
          <w:p>
            <w:pPr>
              <w:pStyle w:val="TableContents"/>
              <w:bidi w:val="0"/>
              <w:spacing w:before="0" w:after="283"/>
              <w:jc w:val="right"/>
              <w:rPr/>
            </w:pPr>
            <w:r>
              <w:rPr/>
              <w:t>333,322</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96" w:type="dxa"/>
            <w:vMerge w:val="restart"/>
            <w:tcBorders/>
            <w:vAlign w:val="bottom"/>
          </w:tcPr>
          <w:p>
            <w:pPr>
              <w:pStyle w:val="TableContents"/>
              <w:bidi w:val="0"/>
              <w:spacing w:before="0" w:after="283"/>
              <w:jc w:val="left"/>
              <w:rPr/>
            </w:pPr>
            <w:r>
              <w:rPr/>
              <w:t> </w:t>
            </w:r>
          </w:p>
        </w:tc>
        <w:tc>
          <w:tcPr>
            <w:tcW w:w="1289" w:type="dxa"/>
            <w:vMerge w:val="restart"/>
            <w:tcBorders/>
            <w:vAlign w:val="bottom"/>
          </w:tcPr>
          <w:p>
            <w:pPr>
              <w:pStyle w:val="TableContents"/>
              <w:bidi w:val="0"/>
              <w:spacing w:before="0" w:after="283"/>
              <w:jc w:val="right"/>
              <w:rPr/>
            </w:pPr>
            <w:r>
              <w:rPr/>
              <w:t>186,660</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205" w:type="dxa"/>
            <w:vMerge w:val="restart"/>
            <w:tcBorders/>
            <w:vAlign w:val="bottom"/>
          </w:tcPr>
          <w:p>
            <w:pPr>
              <w:pStyle w:val="TableContents"/>
              <w:bidi w:val="0"/>
              <w:spacing w:before="0" w:after="283"/>
              <w:jc w:val="right"/>
              <w:rPr/>
            </w:pPr>
            <w:r>
              <w:rPr/>
              <w:t>93,330</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05" w:type="dxa"/>
            <w:vMerge w:val="restart"/>
            <w:tcBorders/>
            <w:vAlign w:val="bottom"/>
          </w:tcPr>
          <w:p>
            <w:pPr>
              <w:pStyle w:val="TableContents"/>
              <w:bidi w:val="0"/>
              <w:spacing w:before="0" w:after="283"/>
              <w:jc w:val="left"/>
              <w:rPr/>
            </w:pPr>
            <w:r>
              <w:rPr/>
              <w:t> </w:t>
            </w:r>
          </w:p>
        </w:tc>
        <w:tc>
          <w:tcPr>
            <w:tcW w:w="1190" w:type="dxa"/>
            <w:vMerge w:val="restart"/>
            <w:tcBorders/>
            <w:vAlign w:val="bottom"/>
          </w:tcPr>
          <w:p>
            <w:pPr>
              <w:pStyle w:val="TableContents"/>
              <w:bidi w:val="0"/>
              <w:spacing w:before="0" w:after="283"/>
              <w:jc w:val="right"/>
              <w:rPr/>
            </w:pPr>
            <w:r>
              <w:rPr/>
              <w:t>23,333</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205" w:type="dxa"/>
            <w:vMerge w:val="restart"/>
            <w:tcBorders/>
            <w:vAlign w:val="bottom"/>
          </w:tcPr>
          <w:p>
            <w:pPr>
              <w:pStyle w:val="TableContents"/>
              <w:bidi w:val="0"/>
              <w:spacing w:before="0" w:after="283"/>
              <w:jc w:val="right"/>
              <w:rPr/>
            </w:pPr>
            <w:r>
              <w:rPr/>
              <w:t>116,663</w:t>
            </w:r>
          </w:p>
        </w:tc>
        <w:tc>
          <w:tcPr>
            <w:tcW w:w="60" w:type="dxa"/>
            <w:vMerge w:val="restart"/>
            <w:tcBorders/>
            <w:vAlign w:val="bottom"/>
          </w:tcPr>
          <w:p>
            <w:pPr>
              <w:pStyle w:val="TableContents"/>
              <w:bidi w:val="0"/>
              <w:spacing w:before="0" w:after="283"/>
              <w:jc w:val="left"/>
              <w:rPr/>
            </w:pPr>
            <w:r>
              <w:rPr/>
              <w:t> </w:t>
            </w:r>
          </w:p>
        </w:tc>
        <w:tc>
          <w:tcPr>
            <w:tcW w:w="44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115"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80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5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86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1835"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800"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96" w:type="dxa"/>
            <w:vMerge w:val="continue"/>
            <w:tcBorders/>
            <w:shd w:fill="CCEEFF" w:val="clear"/>
            <w:vAlign w:val="bottom"/>
          </w:tcPr>
          <w:p>
            <w:pPr>
              <w:pStyle w:val="Normal"/>
              <w:bidi w:val="0"/>
              <w:jc w:val="left"/>
              <w:rPr/>
            </w:pPr>
            <w:r>
              <w:rPr/>
            </w:r>
          </w:p>
        </w:tc>
        <w:tc>
          <w:tcPr>
            <w:tcW w:w="1289"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90" w:type="dxa"/>
            <w:vMerge w:val="continue"/>
            <w:tcBorders/>
            <w:shd w:fill="CCEEFF" w:val="clear"/>
            <w:vAlign w:val="bottom"/>
          </w:tcPr>
          <w:p>
            <w:pPr>
              <w:pStyle w:val="Normal"/>
              <w:bidi w:val="0"/>
              <w:jc w:val="left"/>
              <w:rPr/>
            </w:pPr>
            <w:r>
              <w:rPr/>
            </w:r>
          </w:p>
        </w:tc>
        <w:tc>
          <w:tcPr>
            <w:tcW w:w="1205"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105" w:type="dxa"/>
            <w:vMerge w:val="continue"/>
            <w:tcBorders/>
            <w:shd w:fill="CCEEFF" w:val="clear"/>
            <w:vAlign w:val="bottom"/>
          </w:tcPr>
          <w:p>
            <w:pPr>
              <w:pStyle w:val="Normal"/>
              <w:bidi w:val="0"/>
              <w:jc w:val="left"/>
              <w:rPr/>
            </w:pPr>
            <w:r>
              <w:rPr/>
            </w:r>
          </w:p>
        </w:tc>
        <w:tc>
          <w:tcPr>
            <w:tcW w:w="1190"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120" w:type="dxa"/>
            <w:vMerge w:val="continue"/>
            <w:tcBorders/>
            <w:shd w:fill="CCEEFF" w:val="clear"/>
            <w:vAlign w:val="bottom"/>
          </w:tcPr>
          <w:p>
            <w:pPr>
              <w:pStyle w:val="Normal"/>
              <w:bidi w:val="0"/>
              <w:jc w:val="left"/>
              <w:rPr/>
            </w:pPr>
            <w:r>
              <w:rPr/>
            </w:r>
          </w:p>
        </w:tc>
        <w:tc>
          <w:tcPr>
            <w:tcW w:w="90" w:type="dxa"/>
            <w:vMerge w:val="continue"/>
            <w:tcBorders/>
            <w:shd w:fill="CCEEFF" w:val="clear"/>
            <w:vAlign w:val="bottom"/>
          </w:tcPr>
          <w:p>
            <w:pPr>
              <w:pStyle w:val="Normal"/>
              <w:bidi w:val="0"/>
              <w:jc w:val="left"/>
              <w:rPr/>
            </w:pPr>
            <w:r>
              <w:rPr/>
            </w:r>
          </w:p>
        </w:tc>
        <w:tc>
          <w:tcPr>
            <w:tcW w:w="1205" w:type="dxa"/>
            <w:vMerge w:val="continue"/>
            <w:tcBorders/>
            <w:shd w:fill="CCEEFF" w:val="cle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440" w:type="dxa"/>
            <w:vMerge w:val="restart"/>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5/4/2022</w:t>
            </w:r>
          </w:p>
        </w:tc>
        <w:tc>
          <w:tcPr>
            <w:tcW w:w="120" w:type="dxa"/>
            <w:vMerge w:val="restart"/>
            <w:tcBorders/>
            <w:shd w:fill="CCEEFF" w:val="clear"/>
            <w:vAlign w:val="bottom"/>
          </w:tcPr>
          <w:p>
            <w:pPr>
              <w:pStyle w:val="TableContents"/>
              <w:bidi w:val="0"/>
              <w:spacing w:before="0" w:after="283"/>
              <w:jc w:val="left"/>
              <w:rPr/>
            </w:pPr>
            <w:r>
              <w:rPr/>
              <w:t>  </w:t>
            </w:r>
          </w:p>
        </w:tc>
        <w:tc>
          <w:tcPr>
            <w:tcW w:w="1115" w:type="dxa"/>
            <w:vMerge w:val="restart"/>
            <w:tcBorders/>
            <w:shd w:fill="CCEEFF" w:val="clear"/>
            <w:vAlign w:val="bottom"/>
          </w:tcPr>
          <w:p>
            <w:pPr>
              <w:pStyle w:val="TableContents"/>
              <w:bidi w:val="0"/>
              <w:spacing w:before="0" w:after="283"/>
              <w:jc w:val="center"/>
              <w:rPr/>
            </w:pPr>
            <w:r>
              <w:rPr/>
              <w:t>RSUs (time-based)</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800" w:type="dxa"/>
            <w:vMerge w:val="restart"/>
            <w:tcBorders/>
            <w:shd w:fill="CCEEFF" w:val="clear"/>
            <w:vAlign w:val="bottom"/>
          </w:tcPr>
          <w:p>
            <w:pPr>
              <w:pStyle w:val="TableContents"/>
              <w:bidi w:val="0"/>
              <w:spacing w:before="0" w:after="283"/>
              <w:jc w:val="right"/>
              <w:rPr/>
            </w:pPr>
            <w:r>
              <w:rPr/>
              <w:t>83,333</w:t>
            </w:r>
          </w:p>
        </w:tc>
        <w:tc>
          <w:tcPr>
            <w:tcW w:w="60" w:type="dxa"/>
            <w:vMerge w:val="restart"/>
            <w:tcBorders/>
            <w:shd w:fill="CCEEFF" w:val="clear"/>
            <w:vAlign w:val="bottom"/>
          </w:tcPr>
          <w:p>
            <w:pPr>
              <w:pStyle w:val="TableContents"/>
              <w:bidi w:val="0"/>
              <w:spacing w:before="0" w:after="283"/>
              <w:jc w:val="left"/>
              <w:rPr/>
            </w:pPr>
            <w:r>
              <w:rPr/>
              <w:t> </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680" w:type="dxa"/>
            <w:vMerge w:val="restart"/>
            <w:tcBorders/>
            <w:shd w:fill="CCEEFF" w:val="clear"/>
            <w:vAlign w:val="bottom"/>
          </w:tcPr>
          <w:p>
            <w:pPr>
              <w:pStyle w:val="TableContents"/>
              <w:bidi w:val="0"/>
              <w:spacing w:before="0" w:after="283"/>
              <w:jc w:val="right"/>
              <w:rPr/>
            </w:pPr>
            <w:r>
              <w:rPr/>
              <w:t>52,084</w:t>
            </w:r>
          </w:p>
        </w:tc>
        <w:tc>
          <w:tcPr>
            <w:tcW w:w="60" w:type="dxa"/>
            <w:vMerge w:val="restart"/>
            <w:tcBorders/>
            <w:shd w:fill="CCEEFF" w:val="clear"/>
            <w:vAlign w:val="bottom"/>
          </w:tcPr>
          <w:p>
            <w:pPr>
              <w:pStyle w:val="TableContents"/>
              <w:bidi w:val="0"/>
              <w:spacing w:before="0" w:after="283"/>
              <w:jc w:val="left"/>
              <w:rPr/>
            </w:pPr>
            <w:r>
              <w:rPr/>
              <w:t> </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680" w:type="dxa"/>
            <w:vMerge w:val="restart"/>
            <w:tcBorders/>
            <w:shd w:fill="CCEEFF" w:val="clear"/>
            <w:vAlign w:val="bottom"/>
          </w:tcPr>
          <w:p>
            <w:pPr>
              <w:pStyle w:val="TableContents"/>
              <w:bidi w:val="0"/>
              <w:spacing w:before="0" w:after="283"/>
              <w:jc w:val="right"/>
              <w:rPr/>
            </w:pPr>
            <w:r>
              <w:rPr/>
              <w:t>20,834</w:t>
            </w:r>
          </w:p>
        </w:tc>
        <w:tc>
          <w:tcPr>
            <w:tcW w:w="60" w:type="dxa"/>
            <w:vMerge w:val="restart"/>
            <w:tcBorders/>
            <w:shd w:fill="CCEEFF" w:val="clear"/>
            <w:vAlign w:val="bottom"/>
          </w:tcPr>
          <w:p>
            <w:pPr>
              <w:pStyle w:val="TableContents"/>
              <w:bidi w:val="0"/>
              <w:spacing w:before="0" w:after="283"/>
              <w:jc w:val="left"/>
              <w:rPr/>
            </w:pPr>
            <w:r>
              <w:rPr/>
              <w:t> </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560" w:type="dxa"/>
            <w:vMerge w:val="restart"/>
            <w:tcBorders/>
            <w:shd w:fill="CCEEFF" w:val="clear"/>
            <w:vAlign w:val="bottom"/>
          </w:tcPr>
          <w:p>
            <w:pPr>
              <w:pStyle w:val="TableContents"/>
              <w:bidi w:val="0"/>
              <w:spacing w:before="0" w:after="283"/>
              <w:jc w:val="right"/>
              <w:rPr/>
            </w:pPr>
            <w:r>
              <w:rPr/>
              <w:t>5,208</w:t>
            </w:r>
          </w:p>
        </w:tc>
        <w:tc>
          <w:tcPr>
            <w:tcW w:w="60" w:type="dxa"/>
            <w:vMerge w:val="restart"/>
            <w:tcBorders/>
            <w:shd w:fill="CCEEFF" w:val="clear"/>
            <w:vAlign w:val="bottom"/>
          </w:tcPr>
          <w:p>
            <w:pPr>
              <w:pStyle w:val="TableContents"/>
              <w:bidi w:val="0"/>
              <w:spacing w:before="0" w:after="283"/>
              <w:jc w:val="left"/>
              <w:rPr/>
            </w:pPr>
            <w:r>
              <w:rPr/>
              <w:t> </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680" w:type="dxa"/>
            <w:vMerge w:val="restart"/>
            <w:tcBorders/>
            <w:shd w:fill="CCEEFF" w:val="clear"/>
            <w:vAlign w:val="bottom"/>
          </w:tcPr>
          <w:p>
            <w:pPr>
              <w:pStyle w:val="TableContents"/>
              <w:bidi w:val="0"/>
              <w:spacing w:before="0" w:after="283"/>
              <w:jc w:val="right"/>
              <w:rPr/>
            </w:pPr>
            <w:r>
              <w:rPr/>
              <w:t>26,042</w:t>
            </w:r>
          </w:p>
        </w:tc>
        <w:tc>
          <w:tcPr>
            <w:tcW w:w="60" w:type="dxa"/>
            <w:vMerge w:val="restart"/>
            <w:tcBorders/>
            <w:shd w:fill="CCEEFF" w:val="clear"/>
            <w:vAlign w:val="bottom"/>
          </w:tcPr>
          <w:p>
            <w:pPr>
              <w:pStyle w:val="TableContents"/>
              <w:bidi w:val="0"/>
              <w:spacing w:before="0" w:after="283"/>
              <w:jc w:val="left"/>
              <w:rPr/>
            </w:pPr>
            <w:r>
              <w:rPr/>
              <w:t> </w:t>
            </w:r>
          </w:p>
        </w:tc>
      </w:tr>
      <w:tr>
        <w:trPr/>
        <w:tc>
          <w:tcPr>
            <w:tcW w:w="860" w:type="dxa"/>
            <w:tcBorders/>
          </w:tcPr>
          <w:p>
            <w:pPr>
              <w:pStyle w:val="TableContents"/>
              <w:bidi w:val="0"/>
              <w:spacing w:before="0" w:after="0"/>
              <w:jc w:val="left"/>
              <w:rPr>
                <w:rFonts w:ascii="Times New Roman" w:hAnsi="Times New Roman"/>
                <w:sz w:val="20"/>
              </w:rPr>
            </w:pPr>
            <w:r>
              <w:rPr>
                <w:rFonts w:ascii="Times New Roman" w:hAnsi="Times New Roman"/>
                <w:sz w:val="20"/>
              </w:rPr>
              <w:t>2/16/2023</w:t>
            </w:r>
          </w:p>
        </w:tc>
        <w:tc>
          <w:tcPr>
            <w:tcW w:w="120"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center"/>
              <w:rPr/>
            </w:pPr>
            <w:r>
              <w:rPr/>
              <w:t>RSUs (time-based)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368,422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368,422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161,184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23,026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184,210</w:t>
            </w:r>
          </w:p>
        </w:tc>
        <w:tc>
          <w:tcPr>
            <w:tcW w:w="60" w:type="dxa"/>
            <w:tcBorders/>
            <w:vAlign w:val="bottom"/>
          </w:tcPr>
          <w:p>
            <w:pPr>
              <w:pStyle w:val="TableContents"/>
              <w:bidi w:val="0"/>
              <w:spacing w:before="0" w:after="283"/>
              <w:jc w:val="left"/>
              <w:rPr/>
            </w:pPr>
            <w:r>
              <w:rPr/>
              <w:t> </w:t>
            </w:r>
          </w:p>
        </w:tc>
        <w:tc>
          <w:tcPr>
            <w:tcW w:w="44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115"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80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5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8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Originally granted as Class B Units of AIDH Management Holdings, LLC under the AIDH Topco, LLC 2019 Equity Incentive Plan and subsequently exchanged into LLC units of AIDH Management Holdings, LLC. Once vested, such units may be exchanged for LLC units of AIDH Topco, LLC on a one-for-one basis, which are then exchangeable into shares of Class A common stock of Definitive Healthcare Corp. on a one-for-one basis. All LLC units remain at all times subject to the applicable operating agreements of the foregoing entities.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I(B) </w:t>
      </w:r>
    </w:p>
    <w:p>
      <w:pPr>
        <w:pStyle w:val="TextBody"/>
        <w:bidi w:val="0"/>
        <w:spacing w:before="120" w:after="0"/>
        <w:jc w:val="center"/>
        <w:rPr>
          <w:rFonts w:ascii="Times New Roman" w:hAnsi="Times New Roman"/>
          <w:b/>
          <w:sz w:val="20"/>
        </w:rPr>
      </w:pPr>
      <w:r>
        <w:rPr>
          <w:rFonts w:ascii="Times New Roman" w:hAnsi="Times New Roman"/>
          <w:b/>
          <w:sz w:val="20"/>
        </w:rPr>
        <w:t xml:space="preserve">Performance-Based Equity Awards </w:t>
      </w:r>
    </w:p>
    <w:p>
      <w:pPr>
        <w:pStyle w:val="TextBody"/>
        <w:bidi w:val="0"/>
        <w:spacing w:before="0" w:after="0"/>
        <w:jc w:val="left"/>
        <w:rPr/>
      </w:pPr>
      <w:r>
        <w:rPr/>
        <w:t> </w:t>
      </w:r>
    </w:p>
    <w:tbl>
      <w:tblPr>
        <w:tblW w:w="19295" w:type="dxa"/>
        <w:jc w:val="center"/>
        <w:tblInd w:w="0" w:type="dxa"/>
        <w:tblLayout w:type="fixed"/>
        <w:tblCellMar>
          <w:top w:w="0" w:type="dxa"/>
          <w:left w:w="0" w:type="dxa"/>
          <w:bottom w:w="0" w:type="dxa"/>
          <w:right w:w="0" w:type="dxa"/>
        </w:tblCellMar>
      </w:tblPr>
      <w:tblGrid>
        <w:gridCol w:w="470"/>
        <w:gridCol w:w="120"/>
        <w:gridCol w:w="2600"/>
        <w:gridCol w:w="120"/>
        <w:gridCol w:w="60"/>
        <w:gridCol w:w="800"/>
        <w:gridCol w:w="60"/>
        <w:gridCol w:w="120"/>
        <w:gridCol w:w="78"/>
        <w:gridCol w:w="1052"/>
        <w:gridCol w:w="60"/>
        <w:gridCol w:w="120"/>
        <w:gridCol w:w="178"/>
        <w:gridCol w:w="1192"/>
        <w:gridCol w:w="185"/>
        <w:gridCol w:w="60"/>
        <w:gridCol w:w="411"/>
        <w:gridCol w:w="959"/>
        <w:gridCol w:w="60"/>
        <w:gridCol w:w="60"/>
        <w:gridCol w:w="95"/>
        <w:gridCol w:w="1275"/>
        <w:gridCol w:w="185"/>
        <w:gridCol w:w="440"/>
        <w:gridCol w:w="120"/>
        <w:gridCol w:w="2600"/>
        <w:gridCol w:w="120"/>
        <w:gridCol w:w="60"/>
        <w:gridCol w:w="800"/>
        <w:gridCol w:w="60"/>
        <w:gridCol w:w="120"/>
        <w:gridCol w:w="60"/>
        <w:gridCol w:w="800"/>
        <w:gridCol w:w="60"/>
        <w:gridCol w:w="120"/>
        <w:gridCol w:w="120"/>
        <w:gridCol w:w="680"/>
        <w:gridCol w:w="365"/>
        <w:gridCol w:w="60"/>
        <w:gridCol w:w="60"/>
        <w:gridCol w:w="680"/>
        <w:gridCol w:w="365"/>
        <w:gridCol w:w="60"/>
        <w:gridCol w:w="60"/>
        <w:gridCol w:w="800"/>
        <w:gridCol w:w="365"/>
      </w:tblGrid>
      <w:tr>
        <w:trPr/>
        <w:tc>
          <w:tcPr>
            <w:tcW w:w="4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4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60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283"/>
              <w:jc w:val="left"/>
              <w:rPr>
                <w:sz w:val="4"/>
                <w:szCs w:val="4"/>
              </w:rPr>
            </w:pPr>
            <w:r>
              <w:rPr>
                <w:sz w:val="4"/>
                <w:szCs w:val="4"/>
              </w:rPr>
            </w:r>
          </w:p>
        </w:tc>
      </w:tr>
      <w:tr>
        <w:trPr/>
        <w:tc>
          <w:tcPr>
            <w:tcW w:w="47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Grant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2600" w:type="dxa"/>
            <w:tcBorders>
              <w:bottom w:val="single" w:sz="8" w:space="0" w:color="000000"/>
            </w:tcBorders>
            <w:tcMar>
              <w:bottom w:w="28" w:type="dxa"/>
            </w:tcMar>
            <w:vAlign w:val="bottom"/>
          </w:tcPr>
          <w:p>
            <w:pPr>
              <w:pStyle w:val="TableContents"/>
              <w:bidi w:val="0"/>
              <w:spacing w:before="0" w:after="283"/>
              <w:jc w:val="center"/>
              <w:rPr>
                <w:b/>
              </w:rPr>
            </w:pPr>
            <w:r>
              <w:rPr>
                <w:b/>
              </w:rPr>
              <w:t>Award Type</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Grant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Unvested</w:t>
              <w:br/>
              <w:t>as of</w:t>
              <w:br/>
              <w:t>Separation</w:t>
              <w:b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Eligible for</w:t>
              <w:br/>
              <w:t>Vesting</w:t>
              <w:br/>
              <w:t>Continuation</w:t>
              <w:br/>
              <w:t>(12-months)</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Extra</w:t>
              <w:br/>
              <w:t>Quarter</w:t>
              <w:br/>
              <w:t>Vesting</w:t>
              <w:br/>
              <w:t>Continuation</w:t>
              <w:br/>
              <w:t>(3-months)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Eligible for</w:t>
              <w:br/>
              <w:t>Vesting</w:t>
              <w:br/>
              <w:t>Continuation</w:t>
              <w:br/>
              <w:t>(15-months)</w:t>
            </w:r>
          </w:p>
        </w:tc>
        <w:tc>
          <w:tcPr>
            <w:tcW w:w="185"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60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80" w:type="dxa"/>
            <w:tcBorders/>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65" w:type="dxa"/>
            <w:tcBorders/>
          </w:tcPr>
          <w:p>
            <w:pPr>
              <w:pStyle w:val="TableContents"/>
              <w:bidi w:val="0"/>
              <w:spacing w:before="0" w:after="283"/>
              <w:jc w:val="left"/>
              <w:rPr>
                <w:sz w:val="4"/>
                <w:szCs w:val="4"/>
              </w:rPr>
            </w:pPr>
            <w:r>
              <w:rPr>
                <w:sz w:val="4"/>
                <w:szCs w:val="4"/>
              </w:rPr>
            </w:r>
          </w:p>
        </w:tc>
      </w:tr>
      <w:tr>
        <w:trPr/>
        <w:tc>
          <w:tcPr>
            <w:tcW w:w="470" w:type="dxa"/>
            <w:vMerge w:val="restart"/>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5/4/2022</w:t>
            </w:r>
          </w:p>
        </w:tc>
        <w:tc>
          <w:tcPr>
            <w:tcW w:w="120" w:type="dxa"/>
            <w:vMerge w:val="restart"/>
            <w:tcBorders/>
            <w:shd w:fill="CCEEFF" w:val="clear"/>
            <w:vAlign w:val="bottom"/>
          </w:tcPr>
          <w:p>
            <w:pPr>
              <w:pStyle w:val="TableContents"/>
              <w:bidi w:val="0"/>
              <w:spacing w:before="0" w:after="283"/>
              <w:jc w:val="left"/>
              <w:rPr/>
            </w:pPr>
            <w:r>
              <w:rPr/>
              <w:t>  </w:t>
            </w:r>
          </w:p>
        </w:tc>
        <w:tc>
          <w:tcPr>
            <w:tcW w:w="2600" w:type="dxa"/>
            <w:vMerge w:val="restart"/>
            <w:tcBorders/>
            <w:shd w:fill="CCEEFF" w:val="clear"/>
            <w:vAlign w:val="bottom"/>
          </w:tcPr>
          <w:p>
            <w:pPr>
              <w:pStyle w:val="TableContents"/>
              <w:bidi w:val="0"/>
              <w:spacing w:before="0" w:after="283"/>
              <w:jc w:val="center"/>
              <w:rPr/>
            </w:pPr>
            <w:r>
              <w:rPr/>
              <w:t>RSUs (performance-based)</w:t>
            </w:r>
          </w:p>
        </w:tc>
        <w:tc>
          <w:tcPr>
            <w:tcW w:w="12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800" w:type="dxa"/>
            <w:vMerge w:val="restart"/>
            <w:tcBorders/>
            <w:shd w:fill="CCEEFF" w:val="clear"/>
            <w:vAlign w:val="bottom"/>
          </w:tcPr>
          <w:p>
            <w:pPr>
              <w:pStyle w:val="TableContents"/>
              <w:bidi w:val="0"/>
              <w:spacing w:before="0" w:after="283"/>
              <w:jc w:val="right"/>
              <w:rPr/>
            </w:pPr>
            <w:r>
              <w:rPr/>
              <w:t>125,000</w:t>
            </w:r>
          </w:p>
        </w:tc>
        <w:tc>
          <w:tcPr>
            <w:tcW w:w="60" w:type="dxa"/>
            <w:vMerge w:val="restart"/>
            <w:tcBorders/>
            <w:shd w:fill="CCEEFF" w:val="clear"/>
            <w:vAlign w:val="bottom"/>
          </w:tcPr>
          <w:p>
            <w:pPr>
              <w:pStyle w:val="TableContents"/>
              <w:bidi w:val="0"/>
              <w:spacing w:before="0" w:after="283"/>
              <w:jc w:val="left"/>
              <w:rPr/>
            </w:pPr>
            <w:r>
              <w:rPr/>
              <w:t> </w:t>
            </w:r>
          </w:p>
        </w:tc>
        <w:tc>
          <w:tcPr>
            <w:tcW w:w="120" w:type="dxa"/>
            <w:vMerge w:val="restart"/>
            <w:tcBorders/>
            <w:shd w:fill="CCEEFF" w:val="clear"/>
            <w:vAlign w:val="bottom"/>
          </w:tcPr>
          <w:p>
            <w:pPr>
              <w:pStyle w:val="TableContents"/>
              <w:bidi w:val="0"/>
              <w:spacing w:before="0" w:after="283"/>
              <w:jc w:val="left"/>
              <w:rPr/>
            </w:pPr>
            <w:r>
              <w:rPr/>
              <w:t>  </w:t>
            </w:r>
          </w:p>
        </w:tc>
        <w:tc>
          <w:tcPr>
            <w:tcW w:w="78" w:type="dxa"/>
            <w:vMerge w:val="restart"/>
            <w:tcBorders/>
            <w:shd w:fill="CCEEFF" w:val="clear"/>
            <w:vAlign w:val="bottom"/>
          </w:tcPr>
          <w:p>
            <w:pPr>
              <w:pStyle w:val="TableContents"/>
              <w:bidi w:val="0"/>
              <w:spacing w:before="0" w:after="283"/>
              <w:jc w:val="left"/>
              <w:rPr/>
            </w:pPr>
            <w:r>
              <w:rPr/>
              <w:t> </w:t>
            </w:r>
          </w:p>
        </w:tc>
        <w:tc>
          <w:tcPr>
            <w:tcW w:w="1052" w:type="dxa"/>
            <w:vMerge w:val="restart"/>
            <w:tcBorders/>
            <w:shd w:fill="CCEEFF" w:val="clear"/>
            <w:vAlign w:val="bottom"/>
          </w:tcPr>
          <w:p>
            <w:pPr>
              <w:pStyle w:val="TableContents"/>
              <w:bidi w:val="0"/>
              <w:spacing w:before="0" w:after="283"/>
              <w:jc w:val="right"/>
              <w:rPr/>
            </w:pPr>
            <w:r>
              <w:rPr/>
              <w:t>125,000</w:t>
            </w:r>
          </w:p>
        </w:tc>
        <w:tc>
          <w:tcPr>
            <w:tcW w:w="60" w:type="dxa"/>
            <w:vMerge w:val="restart"/>
            <w:tcBorders/>
            <w:shd w:fill="CCEEFF" w:val="clear"/>
            <w:vAlign w:val="bottom"/>
          </w:tcPr>
          <w:p>
            <w:pPr>
              <w:pStyle w:val="TableContents"/>
              <w:bidi w:val="0"/>
              <w:spacing w:before="0" w:after="283"/>
              <w:jc w:val="left"/>
              <w:rPr/>
            </w:pPr>
            <w:r>
              <w:rPr/>
              <w:t> </w:t>
            </w:r>
          </w:p>
        </w:tc>
        <w:tc>
          <w:tcPr>
            <w:tcW w:w="120" w:type="dxa"/>
            <w:vMerge w:val="restart"/>
            <w:tcBorders/>
            <w:shd w:fill="CCEEFF" w:val="clear"/>
            <w:vAlign w:val="bottom"/>
          </w:tcPr>
          <w:p>
            <w:pPr>
              <w:pStyle w:val="TableContents"/>
              <w:bidi w:val="0"/>
              <w:spacing w:before="0" w:after="283"/>
              <w:jc w:val="left"/>
              <w:rPr/>
            </w:pPr>
            <w:r>
              <w:rPr/>
              <w:t>  </w:t>
            </w:r>
          </w:p>
        </w:tc>
        <w:tc>
          <w:tcPr>
            <w:tcW w:w="178" w:type="dxa"/>
            <w:vMerge w:val="restart"/>
            <w:tcBorders/>
            <w:shd w:fill="CCEEFF" w:val="clear"/>
            <w:vAlign w:val="bottom"/>
          </w:tcPr>
          <w:p>
            <w:pPr>
              <w:pStyle w:val="TableContents"/>
              <w:bidi w:val="0"/>
              <w:spacing w:before="0" w:after="283"/>
              <w:jc w:val="left"/>
              <w:rPr/>
            </w:pPr>
            <w:r>
              <w:rPr/>
              <w:t>  </w:t>
            </w:r>
          </w:p>
        </w:tc>
        <w:tc>
          <w:tcPr>
            <w:tcW w:w="1192" w:type="dxa"/>
            <w:vMerge w:val="restart"/>
            <w:tcBorders/>
            <w:shd w:fill="CCEEFF" w:val="clear"/>
            <w:vAlign w:val="bottom"/>
          </w:tcPr>
          <w:p>
            <w:pPr>
              <w:pStyle w:val="TableContents"/>
              <w:bidi w:val="0"/>
              <w:spacing w:before="0" w:after="283"/>
              <w:jc w:val="right"/>
              <w:rPr/>
            </w:pPr>
            <w:r>
              <w:rPr/>
              <w:t>125,000</w:t>
            </w:r>
          </w:p>
        </w:tc>
        <w:tc>
          <w:tcPr>
            <w:tcW w:w="185" w:type="dxa"/>
            <w:vMerge w:val="restart"/>
            <w:tcBorders/>
            <w:shd w:fill="CCEEFF" w:val="clear"/>
            <w:vAlign w:val="bottom"/>
          </w:tcPr>
          <w:p>
            <w:pPr>
              <w:pStyle w:val="TableContents"/>
              <w:bidi w:val="0"/>
              <w:spacing w:before="0" w:after="283"/>
              <w:jc w:val="left"/>
              <w:rPr/>
            </w:pPr>
            <w:r>
              <w:rPr/>
              <w:t>a </w:t>
            </w:r>
          </w:p>
        </w:tc>
        <w:tc>
          <w:tcPr>
            <w:tcW w:w="60" w:type="dxa"/>
            <w:vMerge w:val="restart"/>
            <w:tcBorders/>
            <w:shd w:fill="CCEEFF" w:val="clear"/>
            <w:vAlign w:val="bottom"/>
          </w:tcPr>
          <w:p>
            <w:pPr>
              <w:pStyle w:val="TableContents"/>
              <w:bidi w:val="0"/>
              <w:spacing w:before="0" w:after="283"/>
              <w:jc w:val="left"/>
              <w:rPr/>
            </w:pPr>
            <w:r>
              <w:rPr/>
              <w:t> </w:t>
            </w:r>
          </w:p>
        </w:tc>
        <w:tc>
          <w:tcPr>
            <w:tcW w:w="411" w:type="dxa"/>
            <w:vMerge w:val="restart"/>
            <w:tcBorders/>
            <w:shd w:fill="CCEEFF" w:val="clear"/>
            <w:vAlign w:val="bottom"/>
          </w:tcPr>
          <w:p>
            <w:pPr>
              <w:pStyle w:val="TableContents"/>
              <w:bidi w:val="0"/>
              <w:spacing w:before="0" w:after="283"/>
              <w:jc w:val="left"/>
              <w:rPr/>
            </w:pPr>
            <w:r>
              <w:rPr/>
              <w:t> </w:t>
            </w:r>
          </w:p>
        </w:tc>
        <w:tc>
          <w:tcPr>
            <w:tcW w:w="959" w:type="dxa"/>
            <w:vMerge w:val="restart"/>
            <w:tcBorders/>
            <w:shd w:fill="CCEEFF" w:val="clear"/>
            <w:vAlign w:val="bottom"/>
          </w:tcPr>
          <w:p>
            <w:pPr>
              <w:pStyle w:val="TableContents"/>
              <w:bidi w:val="0"/>
              <w:spacing w:before="0" w:after="283"/>
              <w:jc w:val="right"/>
              <w:rPr/>
            </w:pPr>
            <w:r>
              <w:rPr/>
              <w:t>0</w:t>
            </w:r>
          </w:p>
        </w:tc>
        <w:tc>
          <w:tcPr>
            <w:tcW w:w="60" w:type="dxa"/>
            <w:vMerge w:val="restart"/>
            <w:tcBorders/>
            <w:shd w:fill="CCEEFF" w:val="clear"/>
            <w:vAlign w:val="bottom"/>
          </w:tcPr>
          <w:p>
            <w:pPr>
              <w:pStyle w:val="TableContents"/>
              <w:bidi w:val="0"/>
              <w:spacing w:before="0" w:after="283"/>
              <w:jc w:val="left"/>
              <w:rPr/>
            </w:pPr>
            <w:r>
              <w:rPr/>
              <w:t> </w:t>
            </w:r>
          </w:p>
        </w:tc>
        <w:tc>
          <w:tcPr>
            <w:tcW w:w="60" w:type="dxa"/>
            <w:vMerge w:val="restart"/>
            <w:tcBorders/>
            <w:shd w:fill="CCEEFF" w:val="clear"/>
            <w:vAlign w:val="bottom"/>
          </w:tcPr>
          <w:p>
            <w:pPr>
              <w:pStyle w:val="TableContents"/>
              <w:bidi w:val="0"/>
              <w:spacing w:before="0" w:after="283"/>
              <w:jc w:val="left"/>
              <w:rPr/>
            </w:pPr>
            <w:r>
              <w:rPr/>
              <w:t> </w:t>
            </w:r>
          </w:p>
        </w:tc>
        <w:tc>
          <w:tcPr>
            <w:tcW w:w="95" w:type="dxa"/>
            <w:vMerge w:val="restart"/>
            <w:tcBorders/>
            <w:shd w:fill="CCEEFF" w:val="clear"/>
            <w:vAlign w:val="bottom"/>
          </w:tcPr>
          <w:p>
            <w:pPr>
              <w:pStyle w:val="TableContents"/>
              <w:bidi w:val="0"/>
              <w:spacing w:before="0" w:after="283"/>
              <w:jc w:val="left"/>
              <w:rPr/>
            </w:pPr>
            <w:r>
              <w:rPr/>
              <w:t> </w:t>
            </w:r>
          </w:p>
        </w:tc>
        <w:tc>
          <w:tcPr>
            <w:tcW w:w="1275" w:type="dxa"/>
            <w:vMerge w:val="restart"/>
            <w:tcBorders/>
            <w:shd w:fill="CCEEFF" w:val="clear"/>
            <w:vAlign w:val="bottom"/>
          </w:tcPr>
          <w:p>
            <w:pPr>
              <w:pStyle w:val="TableContents"/>
              <w:bidi w:val="0"/>
              <w:spacing w:before="0" w:after="283"/>
              <w:jc w:val="right"/>
              <w:rPr/>
            </w:pPr>
            <w:r>
              <w:rPr/>
              <w:t>125,000</w:t>
            </w:r>
          </w:p>
        </w:tc>
        <w:tc>
          <w:tcPr>
            <w:tcW w:w="185" w:type="dxa"/>
            <w:vMerge w:val="restart"/>
            <w:tcBorders/>
            <w:shd w:fill="CCEEFF" w:val="clear"/>
            <w:vAlign w:val="bottom"/>
          </w:tcPr>
          <w:p>
            <w:pPr>
              <w:pStyle w:val="TableContents"/>
              <w:bidi w:val="0"/>
              <w:spacing w:before="0" w:after="283"/>
              <w:jc w:val="left"/>
              <w:rPr/>
            </w:pPr>
            <w:r>
              <w:rPr/>
              <w:t>a </w:t>
            </w:r>
          </w:p>
        </w:tc>
        <w:tc>
          <w:tcPr>
            <w:tcW w:w="44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260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tcPr>
          <w:p>
            <w:pPr>
              <w:pStyle w:val="TableContents"/>
              <w:bidi w:val="0"/>
              <w:spacing w:before="0" w:after="283"/>
              <w:jc w:val="left"/>
              <w:rPr>
                <w:sz w:val="4"/>
                <w:szCs w:val="4"/>
              </w:rPr>
            </w:pPr>
            <w:r>
              <w:rPr>
                <w:sz w:val="4"/>
                <w:szCs w:val="4"/>
              </w:rPr>
            </w:r>
          </w:p>
        </w:tc>
        <w:tc>
          <w:tcPr>
            <w:tcW w:w="680" w:type="dxa"/>
            <w:tcBorders/>
            <w:shd w:fill="CCEEFF" w:val="clear"/>
          </w:tcPr>
          <w:p>
            <w:pPr>
              <w:pStyle w:val="TableContents"/>
              <w:bidi w:val="0"/>
              <w:spacing w:before="0" w:after="283"/>
              <w:jc w:val="left"/>
              <w:rPr>
                <w:sz w:val="4"/>
                <w:szCs w:val="4"/>
              </w:rPr>
            </w:pPr>
            <w:r>
              <w:rPr>
                <w:sz w:val="4"/>
                <w:szCs w:val="4"/>
              </w:rPr>
            </w:r>
          </w:p>
        </w:tc>
        <w:tc>
          <w:tcPr>
            <w:tcW w:w="36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80" w:type="dxa"/>
            <w:tcBorders/>
            <w:shd w:fill="CCEEFF" w:val="clear"/>
          </w:tcPr>
          <w:p>
            <w:pPr>
              <w:pStyle w:val="TableContents"/>
              <w:bidi w:val="0"/>
              <w:spacing w:before="0" w:after="283"/>
              <w:jc w:val="left"/>
              <w:rPr>
                <w:sz w:val="4"/>
                <w:szCs w:val="4"/>
              </w:rPr>
            </w:pPr>
            <w:r>
              <w:rPr>
                <w:sz w:val="4"/>
                <w:szCs w:val="4"/>
              </w:rPr>
            </w:r>
          </w:p>
        </w:tc>
        <w:tc>
          <w:tcPr>
            <w:tcW w:w="36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365" w:type="dxa"/>
            <w:tcBorders/>
            <w:shd w:fill="CCEEFF" w:val="clear"/>
          </w:tcPr>
          <w:p>
            <w:pPr>
              <w:pStyle w:val="TableContents"/>
              <w:bidi w:val="0"/>
              <w:spacing w:before="0" w:after="283"/>
              <w:jc w:val="left"/>
              <w:rPr>
                <w:sz w:val="4"/>
                <w:szCs w:val="4"/>
              </w:rPr>
            </w:pPr>
            <w:r>
              <w:rPr>
                <w:sz w:val="4"/>
                <w:szCs w:val="4"/>
              </w:rPr>
            </w:r>
          </w:p>
        </w:tc>
      </w:tr>
      <w:tr>
        <w:trPr/>
        <w:tc>
          <w:tcPr>
            <w:tcW w:w="47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260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80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78" w:type="dxa"/>
            <w:vMerge w:val="continue"/>
            <w:tcBorders/>
            <w:vAlign w:val="bottom"/>
          </w:tcPr>
          <w:p>
            <w:pPr>
              <w:pStyle w:val="Normal"/>
              <w:bidi w:val="0"/>
              <w:jc w:val="left"/>
              <w:rPr/>
            </w:pPr>
            <w:r>
              <w:rPr/>
            </w:r>
          </w:p>
        </w:tc>
        <w:tc>
          <w:tcPr>
            <w:tcW w:w="1052"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78" w:type="dxa"/>
            <w:vMerge w:val="continue"/>
            <w:tcBorders/>
            <w:vAlign w:val="bottom"/>
          </w:tcPr>
          <w:p>
            <w:pPr>
              <w:pStyle w:val="Normal"/>
              <w:bidi w:val="0"/>
              <w:jc w:val="left"/>
              <w:rPr/>
            </w:pPr>
            <w:r>
              <w:rPr/>
            </w:r>
          </w:p>
        </w:tc>
        <w:tc>
          <w:tcPr>
            <w:tcW w:w="1192" w:type="dxa"/>
            <w:vMerge w:val="continue"/>
            <w:tcBorders/>
            <w:vAlign w:val="bottom"/>
          </w:tcPr>
          <w:p>
            <w:pPr>
              <w:pStyle w:val="Normal"/>
              <w:bidi w:val="0"/>
              <w:jc w:val="left"/>
              <w:rPr/>
            </w:pPr>
            <w:r>
              <w:rPr/>
            </w:r>
          </w:p>
        </w:tc>
        <w:tc>
          <w:tcPr>
            <w:tcW w:w="18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411" w:type="dxa"/>
            <w:vMerge w:val="continue"/>
            <w:tcBorders/>
            <w:vAlign w:val="bottom"/>
          </w:tcPr>
          <w:p>
            <w:pPr>
              <w:pStyle w:val="Normal"/>
              <w:bidi w:val="0"/>
              <w:jc w:val="left"/>
              <w:rPr/>
            </w:pPr>
            <w:r>
              <w:rPr/>
            </w:r>
          </w:p>
        </w:tc>
        <w:tc>
          <w:tcPr>
            <w:tcW w:w="959"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5" w:type="dxa"/>
            <w:vMerge w:val="continue"/>
            <w:tcBorders/>
            <w:vAlign w:val="bottom"/>
          </w:tcPr>
          <w:p>
            <w:pPr>
              <w:pStyle w:val="Normal"/>
              <w:bidi w:val="0"/>
              <w:jc w:val="left"/>
              <w:rPr/>
            </w:pPr>
            <w:r>
              <w:rPr/>
            </w:r>
          </w:p>
        </w:tc>
        <w:tc>
          <w:tcPr>
            <w:tcW w:w="1275" w:type="dxa"/>
            <w:vMerge w:val="continue"/>
            <w:tcBorders/>
            <w:vAlign w:val="bottom"/>
          </w:tcPr>
          <w:p>
            <w:pPr>
              <w:pStyle w:val="Normal"/>
              <w:bidi w:val="0"/>
              <w:jc w:val="left"/>
              <w:rPr/>
            </w:pPr>
            <w:r>
              <w:rPr/>
            </w:r>
          </w:p>
        </w:tc>
        <w:tc>
          <w:tcPr>
            <w:tcW w:w="185" w:type="dxa"/>
            <w:vMerge w:val="continue"/>
            <w:tcBorders/>
            <w:vAlign w:val="bottom"/>
          </w:tcPr>
          <w:p>
            <w:pPr>
              <w:pStyle w:val="Normal"/>
              <w:bidi w:val="0"/>
              <w:jc w:val="left"/>
              <w:rPr/>
            </w:pPr>
            <w:r>
              <w:rPr/>
            </w:r>
          </w:p>
        </w:tc>
        <w:tc>
          <w:tcPr>
            <w:tcW w:w="440" w:type="dxa"/>
            <w:tcBorders/>
          </w:tcPr>
          <w:p>
            <w:pPr>
              <w:pStyle w:val="TableContents"/>
              <w:bidi w:val="0"/>
              <w:spacing w:before="0" w:after="0"/>
              <w:jc w:val="left"/>
              <w:rPr>
                <w:rFonts w:ascii="Times New Roman" w:hAnsi="Times New Roman"/>
                <w:sz w:val="20"/>
              </w:rPr>
            </w:pPr>
            <w:r>
              <w:rPr>
                <w:rFonts w:ascii="Times New Roman" w:hAnsi="Times New Roman"/>
                <w:sz w:val="20"/>
              </w:rPr>
              <w:t>2/16/2023</w:t>
            </w:r>
          </w:p>
        </w:tc>
        <w:tc>
          <w:tcPr>
            <w:tcW w:w="120"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center"/>
              <w:rPr/>
            </w:pPr>
            <w:r>
              <w:rPr/>
              <w:t>RSUs (performance-based)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198,381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198,381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66,127</w:t>
            </w:r>
          </w:p>
        </w:tc>
        <w:tc>
          <w:tcPr>
            <w:tcW w:w="365" w:type="dxa"/>
            <w:tcBorders/>
            <w:vAlign w:val="bottom"/>
          </w:tcPr>
          <w:p>
            <w:pPr>
              <w:pStyle w:val="TableContents"/>
              <w:bidi w:val="0"/>
              <w:spacing w:before="0" w:after="283"/>
              <w:jc w:val="left"/>
              <w:rPr/>
            </w:pPr>
            <w:r>
              <w:rPr/>
              <w:t>a,b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66,127</w:t>
            </w:r>
          </w:p>
        </w:tc>
        <w:tc>
          <w:tcPr>
            <w:tcW w:w="365" w:type="dxa"/>
            <w:tcBorders/>
            <w:vAlign w:val="bottom"/>
          </w:tcPr>
          <w:p>
            <w:pPr>
              <w:pStyle w:val="TableContents"/>
              <w:bidi w:val="0"/>
              <w:spacing w:before="0" w:after="283"/>
              <w:jc w:val="left"/>
              <w:rPr/>
            </w:pPr>
            <w:r>
              <w:rPr/>
              <w:t>a,b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132,254</w:t>
            </w:r>
          </w:p>
        </w:tc>
        <w:tc>
          <w:tcPr>
            <w:tcW w:w="365" w:type="dxa"/>
            <w:tcBorders/>
            <w:vAlign w:val="bottom"/>
          </w:tcPr>
          <w:p>
            <w:pPr>
              <w:pStyle w:val="TableContents"/>
              <w:bidi w:val="0"/>
              <w:spacing w:before="0" w:after="283"/>
              <w:jc w:val="left"/>
              <w:rPr/>
            </w:pPr>
            <w:r>
              <w:rPr/>
              <w:t>a,b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Employment Agreement, this award will remain outstanding and eligible to vest in accordance with its terms for 12 months following the Separation Date, and if the applicable performance goals are not so achieved within such period, such award will be forfeited at the end of such period.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of these units become Earned PSUs (as defined in the applicable award agreement), which are then subject to time-based vesting, the 15-month acceleration (measured from the Separation Date) will apply to this award. As a result, in addition to any Earned PSUs that vest at the time that such units become Earned PSUs, any Earned PSUs that would have otherwise vested on February 1, 2025 under the award will immediately vest upon becoming Earned PSUs. </w:t>
            </w:r>
          </w:p>
        </w:tc>
      </w:tr>
    </w:tbl>
    <w:p>
      <w:pPr>
        <w:pStyle w:val="TextBody"/>
        <w:bidi w:val="0"/>
        <w:spacing w:before="0" w:after="0"/>
        <w:jc w:val="right"/>
        <w:rPr>
          <w:rFonts w:ascii="Times New Roman" w:hAnsi="Times New Roman"/>
          <w:b/>
          <w:sz w:val="20"/>
        </w:rPr>
      </w:pPr>
      <w:bookmarkStart w:id="4" w:name="d683059dex991.htm"/>
      <w:bookmarkStart w:id="5" w:name="ksd683059dex991"/>
      <w:bookmarkEnd w:id="4"/>
      <w:bookmarkEnd w:id="5"/>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Definitive Healthcare Announces CEO Transition </w:t>
      </w:r>
    </w:p>
    <w:p>
      <w:pPr>
        <w:pStyle w:val="TextBody"/>
        <w:bidi w:val="0"/>
        <w:spacing w:before="240" w:after="0"/>
        <w:jc w:val="center"/>
        <w:rPr>
          <w:rFonts w:ascii="Times New Roman" w:hAnsi="Times New Roman"/>
          <w:i/>
          <w:sz w:val="20"/>
        </w:rPr>
      </w:pPr>
      <w:r>
        <w:rPr>
          <w:rFonts w:ascii="Times New Roman" w:hAnsi="Times New Roman"/>
          <w:i/>
          <w:sz w:val="20"/>
        </w:rPr>
        <w:t xml:space="preserve">Jason Krantz, Founder and Executive Chairman, to Serve as Interim CEO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Reaffirms Fourth Quarter 2023 Guidance and Issues Preliminary Guidance for 2024 </w:t>
      </w:r>
    </w:p>
    <w:p>
      <w:pPr>
        <w:pStyle w:val="TextBody"/>
        <w:bidi w:val="0"/>
        <w:spacing w:before="240" w:after="0"/>
        <w:jc w:val="left"/>
        <w:rPr>
          <w:rFonts w:ascii="Times New Roman" w:hAnsi="Times New Roman"/>
          <w:sz w:val="20"/>
        </w:rPr>
      </w:pPr>
      <w:r>
        <w:rPr>
          <w:rFonts w:ascii="Times New Roman" w:hAnsi="Times New Roman"/>
          <w:b/>
          <w:sz w:val="20"/>
        </w:rPr>
        <w:t>Framingham,</w:t>
      </w:r>
      <w:r>
        <w:rPr>
          <w:rFonts w:ascii="Times New Roman" w:hAnsi="Times New Roman"/>
          <w:sz w:val="20"/>
        </w:rPr>
        <w:t> </w:t>
      </w:r>
      <w:r>
        <w:rPr>
          <w:rFonts w:ascii="Times New Roman" w:hAnsi="Times New Roman"/>
          <w:b/>
          <w:sz w:val="20"/>
        </w:rPr>
        <w:t>MA, January</w:t>
      </w:r>
      <w:r>
        <w:rPr>
          <w:rFonts w:ascii="Times New Roman" w:hAnsi="Times New Roman"/>
          <w:sz w:val="20"/>
        </w:rPr>
        <w:t> </w:t>
      </w:r>
      <w:r>
        <w:rPr>
          <w:rFonts w:ascii="Times New Roman" w:hAnsi="Times New Roman"/>
          <w:b/>
          <w:sz w:val="20"/>
        </w:rPr>
        <w:t>16, 2024 </w:t>
      </w:r>
      <w:r>
        <w:rPr>
          <w:rFonts w:ascii="Times New Roman" w:hAnsi="Times New Roman"/>
          <w:sz w:val="20"/>
        </w:rPr>
        <w:t xml:space="preserve"> Definitive Healthcare (Nasdaq: DH) (the Company), an industry leader in healthcare commercial intelligence, today announced that Robert Musslewhite has stepped down as Chief Executive Officer and as a member of the Board of Directors to transition to a new phase of leadership for the Company. Jason Krantz, Founder and Executive Chairman of Definitive Healthcare, has been appointed interim Chief Executive Officer. The Board has engaged a leading global executive search firm to commence a process to identify a permanent CEO. </w:t>
      </w:r>
    </w:p>
    <w:p>
      <w:pPr>
        <w:pStyle w:val="TextBody"/>
        <w:bidi w:val="0"/>
        <w:spacing w:before="240" w:after="0"/>
        <w:jc w:val="left"/>
        <w:rPr>
          <w:rFonts w:ascii="Times New Roman" w:hAnsi="Times New Roman"/>
          <w:sz w:val="20"/>
        </w:rPr>
      </w:pPr>
      <w:r>
        <w:rPr>
          <w:rFonts w:ascii="Times New Roman" w:hAnsi="Times New Roman"/>
          <w:sz w:val="20"/>
        </w:rPr>
        <w:t xml:space="preserve">Over the last several months, Definitive Healthcare has taken decisive, strategic steps designed to better position our organization to capture opportunities, deliver world-class products to our customers and create value for our shareholders over the long term, said Mr. Krantz. We believe these changes  combined with our proprietary data, powerful tools and deep subject matter expertise  provide us with a solid foundation to drive further growth. While we look for the next leader to propel Definitive Healthcares next chapter, I am excited to work even more closely with our talented team to ensure we continue to drive excellence and performance in this transitional period. </w:t>
      </w:r>
    </w:p>
    <w:p>
      <w:pPr>
        <w:pStyle w:val="TextBody"/>
        <w:bidi w:val="0"/>
        <w:spacing w:before="240" w:after="0"/>
        <w:jc w:val="left"/>
        <w:rPr>
          <w:rFonts w:ascii="Times New Roman" w:hAnsi="Times New Roman"/>
          <w:sz w:val="20"/>
        </w:rPr>
      </w:pPr>
      <w:r>
        <w:rPr>
          <w:rFonts w:ascii="Times New Roman" w:hAnsi="Times New Roman"/>
          <w:sz w:val="20"/>
        </w:rPr>
        <w:t xml:space="preserve">Mr. Krantz founded Definitive Healthcare in 2011. He served as CEO of the Company for more than a decade, scaling the business into a leading data-as-a-service provider to the U.S. healthcare industry. Under his leadership, Definitive Healthcare expanded to over 2,500 customers, reached over $200 million in annual revenue and executed an IPO in September 2021. In August 2022, Mr. Krantz transitioned to the role of Executive Chairman and since then has continued to play an active role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Mr. Krantz continued, We sincerely thank Robert for his contributions to Definitive Healthcare and for laying the foundation for the next phase of growth for the business. The Board remains focused on Definitive Healthcare reaching its full potential and will work to ensure this transition is smooth while we undertake the search process. </w:t>
      </w:r>
    </w:p>
    <w:p>
      <w:pPr>
        <w:pStyle w:val="TextBody"/>
        <w:bidi w:val="0"/>
        <w:spacing w:before="240" w:after="0"/>
        <w:jc w:val="left"/>
        <w:rPr>
          <w:rFonts w:ascii="Times New Roman" w:hAnsi="Times New Roman"/>
          <w:sz w:val="20"/>
        </w:rPr>
      </w:pPr>
      <w:r>
        <w:rPr>
          <w:rFonts w:ascii="Times New Roman" w:hAnsi="Times New Roman"/>
          <w:sz w:val="20"/>
        </w:rPr>
        <w:t xml:space="preserve">Mr. Musslewhite commented, It has been a been a privilege to lead a company as exceptional as Definitive Healthcare. I look forward to closely following the future success of Definitive Healthcare and wish Jason, the Board and the entire team all the best. </w:t>
      </w:r>
    </w:p>
    <w:p>
      <w:pPr>
        <w:pStyle w:val="TextBody"/>
        <w:bidi w:val="0"/>
        <w:spacing w:before="240" w:after="0"/>
        <w:jc w:val="left"/>
        <w:rPr>
          <w:rFonts w:ascii="Times New Roman" w:hAnsi="Times New Roman"/>
          <w:sz w:val="20"/>
        </w:rPr>
      </w:pPr>
      <w:r>
        <w:rPr>
          <w:rFonts w:ascii="Times New Roman" w:hAnsi="Times New Roman"/>
          <w:sz w:val="20"/>
        </w:rPr>
        <w:t xml:space="preserve">Prior to founding Definitive Healthcare, Mr. Krantz founded and served as CEO of Infinata, a SaaS based provider of intelligence to the pharmaceutical industry under the brand BioPharm Insight. In addition, he has co-founded and helped build several intelligence and analytics companies, including Energy Acuity, a privately held provider of intelligence on the alternative energy market, and Xtelligent Media, a privately held integrated marketing company focused on the healthcare industry. Mr. Krantz holds a B.S. in Finance and Computer Science from Boston College and an M.B.A. from Harvard Business School.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Financial Update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announcing the leadership transition, the Company is reaffirming its financial guidance for Q4 2023, as provided on November 3, 2023, and is issuing preliminary guidance for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2024 Revenue is expected to grow 5-7% compared to full year 2023 guidance;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2024 Adjusted EBITDA margin is expected to increase approximately 200 basis points compared to full year 2023 guidance.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release its fourth quarter and full year 2023 financial results on Wednesday, February 28, 2024 after market close.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A reconciliation Adjusted EBITDA to net loss is not available on a forward-looking basis without unreasonable effort due to the uncertainty regarding, and the potential variability of, expenses that may be incurred in the future. For example, stock-based compensation expense-related charges are impacted by the timing of employee stock transactions, the future fair market value of our common stock, and our future hiring and retention needs, all of which are difficult to predict and subject to constant change. Accordingly, a reconciliation is not available without unreasonable effort and the Company is unable to assess the probable significance of the unavailable information, although it is important to note that these factors could be material to its results computed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About Definitive Healthcare </w:t>
      </w:r>
    </w:p>
    <w:p>
      <w:pPr>
        <w:pStyle w:val="TextBody"/>
        <w:bidi w:val="0"/>
        <w:spacing w:before="120" w:after="0"/>
        <w:jc w:val="left"/>
        <w:rPr>
          <w:rFonts w:ascii="Times New Roman" w:hAnsi="Times New Roman"/>
          <w:sz w:val="20"/>
        </w:rPr>
      </w:pPr>
      <w:r>
        <w:rPr>
          <w:rFonts w:ascii="Times New Roman" w:hAnsi="Times New Roman"/>
          <w:sz w:val="20"/>
        </w:rPr>
        <w:t xml:space="preserve">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definitivehc.com.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executive transition, our business, growth strategies, and statements reflecting our expectations about our ability to execute on our strategic plans, achieve future growth and achieve our financial goals.     </w:t>
      </w:r>
    </w:p>
    <w:p>
      <w:pPr>
        <w:pStyle w:val="TextBody"/>
        <w:bidi w:val="0"/>
        <w:spacing w:before="240" w:after="0"/>
        <w:jc w:val="left"/>
        <w:rPr>
          <w:rFonts w:ascii="Times New Roman" w:hAnsi="Times New Roman"/>
          <w:i/>
          <w:sz w:val="20"/>
        </w:rPr>
      </w:pPr>
      <w:r>
        <w:rPr>
          <w:rFonts w:ascii="Times New Roman" w:hAnsi="Times New Roman"/>
          <w:i/>
          <w:sz w:val="20"/>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our inability to realize expected business or financial benefits from acquisitions and the risk that our acquisitions or investments could prove difficult to integrate, disrupt our business, dilute stockholder value and adversely affect our business, financial condition and results of operations; our inability to achieve the anticipated cost savings, operating efficiencies or other benefits of our internal restructuring activities; the war between Russia and Ukraine, the evolving conflict in Israel and surrounding areas, global geopolitical tension and worsening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macroeconomic conditions on our new and existing customers;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GAAP or non-GAAP profitability in the future compared to historical levels as we increase investments in our business; the loss of our access to our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the possibility that our security measures are breached or unauthorized access to data is otherwise obtained; the risk that additional material weaknesses or significant deficiencies that will occur in the future; and the risks of being required to collecting sales or other related taxes for subscriptions to our platform in jurisdictions where we have not historically done so.</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pStyle w:val="TextBody"/>
        <w:bidi w:val="0"/>
        <w:spacing w:before="240" w:after="0"/>
        <w:jc w:val="left"/>
        <w:rPr>
          <w:rFonts w:ascii="Times New Roman" w:hAnsi="Times New Roman"/>
          <w:i/>
          <w:sz w:val="20"/>
        </w:rPr>
      </w:pPr>
      <w:r>
        <w:rPr>
          <w:rFonts w:ascii="Times New Roman" w:hAnsi="Times New Roman"/>
          <w:i/>
          <w:sz w:val="20"/>
        </w:rPr>
        <w:t>For additional discussion of factors that could impact our operational and financial results, refer to our Quarterly Report on Form 10-Q for the three months ended September 30, 2023, as well as our Current Reports on Form 8-K and other subsequent SEC filings, which are or will be available on the Investor Relations page of our website at ir.definitivehc.com and on the SEC website at www.sec.gov.</w:t>
      </w:r>
    </w:p>
    <w:p>
      <w:pPr>
        <w:pStyle w:val="TextBody"/>
        <w:bidi w:val="0"/>
        <w:spacing w:before="240" w:after="0"/>
        <w:jc w:val="left"/>
        <w:rPr>
          <w:rFonts w:ascii="Times New Roman" w:hAnsi="Times New Roman"/>
          <w:i/>
          <w:sz w:val="20"/>
        </w:rPr>
      </w:pPr>
      <w:r>
        <w:rPr>
          <w:rFonts w:ascii="Times New Roman" w:hAnsi="Times New Roman"/>
          <w:i/>
          <w:sz w:val="20"/>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rFonts w:ascii="Times New Roman" w:hAnsi="Times New Roman"/>
          <w:sz w:val="20"/>
        </w:rPr>
      </w:pPr>
      <w:r>
        <w:rPr>
          <w:rFonts w:ascii="Times New Roman" w:hAnsi="Times New Roman"/>
          <w:sz w:val="20"/>
        </w:rPr>
        <w:t xml:space="preserve">Investors: </w:t>
      </w:r>
    </w:p>
    <w:p>
      <w:pPr>
        <w:pStyle w:val="TextBody"/>
        <w:bidi w:val="0"/>
        <w:spacing w:before="0" w:after="0"/>
        <w:jc w:val="left"/>
        <w:rPr>
          <w:rFonts w:ascii="Times New Roman" w:hAnsi="Times New Roman"/>
          <w:sz w:val="20"/>
        </w:rPr>
      </w:pPr>
      <w:r>
        <w:rPr>
          <w:rFonts w:ascii="Times New Roman" w:hAnsi="Times New Roman"/>
          <w:sz w:val="20"/>
        </w:rPr>
        <w:t xml:space="preserve">Brian Denyeau </w:t>
      </w:r>
    </w:p>
    <w:p>
      <w:pPr>
        <w:pStyle w:val="TextBody"/>
        <w:bidi w:val="0"/>
        <w:spacing w:before="0" w:after="0"/>
        <w:jc w:val="left"/>
        <w:rPr>
          <w:rFonts w:ascii="Times New Roman" w:hAnsi="Times New Roman"/>
          <w:sz w:val="20"/>
        </w:rPr>
      </w:pPr>
      <w:r>
        <w:rPr>
          <w:rFonts w:ascii="Times New Roman" w:hAnsi="Times New Roman"/>
          <w:sz w:val="20"/>
        </w:rPr>
        <w:t xml:space="preserve">ICR for Definitive Healthcare </w:t>
      </w:r>
    </w:p>
    <w:p>
      <w:pPr>
        <w:pStyle w:val="TextBody"/>
        <w:bidi w:val="0"/>
        <w:spacing w:before="0" w:after="0"/>
        <w:jc w:val="left"/>
        <w:rPr>
          <w:rFonts w:ascii="Times New Roman" w:hAnsi="Times New Roman"/>
          <w:sz w:val="20"/>
        </w:rPr>
      </w:pPr>
      <w:r>
        <w:rPr>
          <w:rFonts w:ascii="Times New Roman" w:hAnsi="Times New Roman"/>
          <w:sz w:val="20"/>
        </w:rPr>
        <w:t xml:space="preserve">brian.denyeau@icrinc.com </w:t>
      </w:r>
    </w:p>
    <w:p>
      <w:pPr>
        <w:pStyle w:val="TextBody"/>
        <w:bidi w:val="0"/>
        <w:spacing w:before="0" w:after="0"/>
        <w:jc w:val="left"/>
        <w:rPr>
          <w:rFonts w:ascii="Times New Roman" w:hAnsi="Times New Roman"/>
          <w:sz w:val="20"/>
        </w:rPr>
      </w:pPr>
      <w:r>
        <w:rPr>
          <w:rFonts w:ascii="Times New Roman" w:hAnsi="Times New Roman"/>
          <w:sz w:val="20"/>
        </w:rPr>
        <w:t xml:space="preserve">(646) 277-1251 </w:t>
      </w:r>
    </w:p>
    <w:p>
      <w:pPr>
        <w:pStyle w:val="TextBody"/>
        <w:bidi w:val="0"/>
        <w:spacing w:before="240" w:after="0"/>
        <w:jc w:val="left"/>
        <w:rPr>
          <w:rFonts w:ascii="Times New Roman" w:hAnsi="Times New Roman"/>
          <w:sz w:val="20"/>
        </w:rPr>
      </w:pPr>
      <w:r>
        <w:rPr>
          <w:rFonts w:ascii="Times New Roman" w:hAnsi="Times New Roman"/>
          <w:sz w:val="20"/>
        </w:rPr>
        <w:t xml:space="preserve">Media: </w:t>
      </w:r>
    </w:p>
    <w:p>
      <w:pPr>
        <w:pStyle w:val="TextBody"/>
        <w:bidi w:val="0"/>
        <w:spacing w:before="0" w:after="0"/>
        <w:jc w:val="left"/>
        <w:rPr>
          <w:rFonts w:ascii="Times New Roman" w:hAnsi="Times New Roman"/>
          <w:sz w:val="20"/>
        </w:rPr>
      </w:pPr>
      <w:r>
        <w:rPr>
          <w:rFonts w:ascii="Times New Roman" w:hAnsi="Times New Roman"/>
          <w:sz w:val="20"/>
        </w:rPr>
        <w:t xml:space="preserve">Justin Steinman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jsteinman@definitivehc.com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7594</Words>
  <Characters>40869</Characters>
  <CharactersWithSpaces>48461</CharactersWithSpaces>
  <Paragraphs>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