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 securities and exchange commission logo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30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June 24, 2021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Jason Krantz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Executive Officer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Definitive Healthcare Corp.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550 Cochituate Rd</w:t>
      </w:r>
    </w:p>
    <w:p>
      <w:pPr>
        <w:ind w:left="74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Framingham, MA 01701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Definitive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Healthcare Corp.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Draft Registration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 on Form S-1</w:t>
      </w:r>
    </w:p>
    <w:p>
      <w:pPr>
        <w:ind w:left="632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Submitted May 28,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2021</w:t>
      </w: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CIK No. 0001861795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Mr. Krantz: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019" w:firstLine="147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have reviewed your draft registration statement and have the following comments. In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0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some of our comments, we may ask you to provide us with information so we may better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understand your disclosure.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759" w:firstLine="147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respond to this letter by providing the requested information and either submitting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75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 amended draft registration statement or publicly filing your registration statement on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55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EDGAR. If you do not believe our comments apply to your facts and circumstances or do not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75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believe an amendment is appropriate, please tell us why in your response.</w:t>
      </w:r>
    </w:p>
    <w:p>
      <w:pPr>
        <w:spacing w:after="0" w:line="208" w:lineRule="exact"/>
        <w:rPr>
          <w:sz w:val="24"/>
          <w:szCs w:val="24"/>
          <w:color w:val="auto"/>
        </w:rPr>
      </w:pPr>
    </w:p>
    <w:p>
      <w:pPr>
        <w:ind w:right="2019" w:firstLine="136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After reviewing the information you provide in response to these comments and your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18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amended draft registration statement or filed registration statement, we may have additional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comments.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Draft Registration Statement on Form S-1 filed May 28, 2021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Prospectus Summary, page 1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1819" w:firstLine="316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1. Please modify the chart that appears on pages 3 and 84 to also disclose your net losses for 2019 and 2020.</w:t>
      </w:r>
    </w:p>
    <w:p>
      <w:pPr>
        <w:spacing w:after="0" w:line="19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Risk Factors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disparity in the voting rights among the classes of our common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stock..., page 55</w:t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ind w:left="320"/>
        <w:spacing w:after="0"/>
        <w:tabs>
          <w:tab w:leader="none" w:pos="58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As your Class A and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Class B common stock appear to have the same voting rights, please</w:t>
      </w:r>
    </w:p>
    <w:p>
      <w:pPr>
        <w:ind w:left="59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explain the risk to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investors that is being addressed in this risk factor.</w:t>
      </w:r>
    </w:p>
    <w:p>
      <w:pPr>
        <w:ind w:left="12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Jason Krantz</w:t>
      </w:r>
    </w:p>
    <w:p>
      <w:pPr>
        <w:spacing w:after="0" w:line="238" w:lineRule="auto"/>
        <w:tabs>
          <w:tab w:leader="none" w:pos="11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</w:t>
        <w:tab/>
        <w:t>LastNameJason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Definitive Healthcare Corp.Krantz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Comapany</w:t>
      </w:r>
    </w:p>
    <w:p>
      <w:pPr>
        <w:spacing w:after="0" w:line="238" w:lineRule="auto"/>
        <w:tabs>
          <w:tab w:leader="none" w:pos="11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June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NameDefinitive Healthcare Corp.</w:t>
      </w:r>
    </w:p>
    <w:p>
      <w:pPr>
        <w:ind w:left="5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24, 2021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June 24,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2 2021 Page 2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Unaudited Pro Forma Consolidated Financial Information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Notes to Unaudited Pro Forma Consolidated Financial Information (Year Ended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December 31,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2020), page 79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339" w:firstLine="8"/>
        <w:spacing w:after="0" w:line="235" w:lineRule="auto"/>
        <w:tabs>
          <w:tab w:leader="none" w:pos="948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expand Note (5) so that your calculation of the adjustment amount is transparent.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 this regard, please quantify the remaining unpaid balance of the indebtedness, the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applicable interest rate, and any additional charges such as for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breakage.</w:t>
      </w:r>
    </w:p>
    <w:p>
      <w:pPr>
        <w:ind w:left="960" w:hanging="952"/>
        <w:spacing w:after="0" w:line="238" w:lineRule="auto"/>
        <w:tabs>
          <w:tab w:leader="none" w:pos="9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tell us how you considered pro forma effects of the</w:t>
      </w:r>
    </w:p>
    <w:p>
      <w:pPr>
        <w:sectPr>
          <w:pgSz w:w="11900" w:h="16848" w:orient="portrait"/>
          <w:cols w:equalWidth="0" w:num="1">
            <w:col w:w="10139"/>
          </w:cols>
          <w:pgMar w:left="320" w:top="244" w:right="1440" w:bottom="0" w:gutter="0" w:footer="0" w:header="0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reorganization and initial public</w:t>
      </w:r>
    </w:p>
    <w:p>
      <w:pPr>
        <w:ind w:left="9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offering on unvested performance-based units (2019 Equity Incentive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Plan).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Notes to Unaudited Pro Forma Consolidated Balance Sheet (as of , 2021), page 83</w:t>
      </w:r>
    </w:p>
    <w:p>
      <w:pPr>
        <w:spacing w:after="0" w:line="224" w:lineRule="exact"/>
        <w:rPr>
          <w:sz w:val="20"/>
          <w:szCs w:val="20"/>
          <w:color w:val="auto"/>
        </w:rPr>
      </w:pPr>
    </w:p>
    <w:p>
      <w:pPr>
        <w:ind w:right="2559" w:firstLine="8"/>
        <w:spacing w:after="0" w:line="235" w:lineRule="auto"/>
        <w:tabs>
          <w:tab w:leader="none" w:pos="948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Refer to Note (4). Please disclose the underlying favorable tax attributes acquired from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Blocker companies that form the basis for your calculation of the deferred tax asset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liabilities pursuant to the Tax Receivable Agreement.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8"/>
        <w:spacing w:after="0" w:line="235" w:lineRule="auto"/>
        <w:tabs>
          <w:tab w:leader="none" w:pos="948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Refer to Note (8). Please tell us the basis for your presentation of contingently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55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redeemable noncontrolling interest as permanent equity. In your response, please provide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us your analysis of the independence of the Board in relation to the Pre-IPO LLC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members. In this regard, we note that a majority of your Board members identified on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3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pages 124-126 currently serve in a capacity as Managing Director, Managing Partner, or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Managing Director of your Pre-IPO LLC members, which include Advent,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Spectrum</w:t>
      </w: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Equity, and 22C Capital.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33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Management's Discussion and Analysis of Financial Condition and Results of Operations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Key Metrics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Adjusted Gross Profit, page 87</w:t>
      </w:r>
    </w:p>
    <w:p>
      <w:pPr>
        <w:spacing w:after="0" w:line="207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239" w:firstLine="8"/>
        <w:spacing w:after="0" w:line="235" w:lineRule="auto"/>
        <w:tabs>
          <w:tab w:leader="none" w:pos="948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Regarding your disclosure of Adjusted Gross Margin, please present with equal or greater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prominence, the most directly comparable financial measure calculated and presented in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accordance with GAAP. Also provide a reconciliation of each non-GAAP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financial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97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measure used in its calculation or advise us. Refer to Item 10(e)(1)(i)(A)-(B) of</w:t>
      </w:r>
    </w:p>
    <w:p>
      <w:pPr>
        <w:ind w:left="960"/>
        <w:spacing w:after="0"/>
        <w:tabs>
          <w:tab w:leader="none" w:pos="556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Regulation S-K and footnote 27 of the SEC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s Adopting Release titled</w:t>
      </w:r>
    </w:p>
    <w:p>
      <w:pPr>
        <w:ind w:left="2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Conditions for Use</w:t>
      </w:r>
    </w:p>
    <w:p>
      <w:pPr>
        <w:ind w:left="960"/>
        <w:spacing w:after="0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 Non-GAAP Financial Measures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(Release No. 33-8176).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Adjusted EBITDA, page 88</w:t>
      </w: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ind w:right="2439" w:firstLine="8"/>
        <w:spacing w:after="0" w:line="235" w:lineRule="auto"/>
        <w:tabs>
          <w:tab w:leader="none" w:pos="948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Refer to footnote (d). For each period presented, please include examples of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such expenses that are typically one-time or non-operational in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nature.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601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Components of our Results of Operations Cost of Revenue, page 90</w:t>
      </w:r>
    </w:p>
    <w:p>
      <w:pPr>
        <w:spacing w:after="0" w:line="208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239" w:firstLine="8"/>
        <w:spacing w:after="0" w:line="235" w:lineRule="auto"/>
        <w:tabs>
          <w:tab w:leader="none" w:pos="948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disclose how you account for the costs of your use of third party subscription and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payment processing systems. We note your disclosure at the top of page</w:t>
      </w:r>
    </w:p>
    <w:p>
      <w:pPr>
        <w:spacing w:after="0" w:line="2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/>
        <w:tabs>
          <w:tab w:leader="none" w:pos="0" w:val="left"/>
        </w:tabs>
        <w:numPr>
          <w:ilvl w:val="0"/>
          <w:numId w:val="4"/>
        </w:numPr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12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Jason Krantz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6659"/>
        <w:spacing w:after="0" w:line="236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LastNameJason Definitive Healthcare Corp.Krantz Comapany</w:t>
      </w:r>
    </w:p>
    <w:p>
      <w:pPr>
        <w:spacing w:after="0"/>
        <w:tabs>
          <w:tab w:leader="none" w:pos="11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June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NameDefinitive Healthcare Corp.</w:t>
      </w:r>
    </w:p>
    <w:p>
      <w:pPr>
        <w:ind w:left="5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24, 2021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June 24,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3 2021 Page 3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Results of Operations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right="191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Year Ended December 31, 2020 Compared to Period from July 16, 2019 to December 31, 2019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(Successor) and Period..., page 93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2019" w:firstLine="8"/>
        <w:spacing w:after="0" w:line="235" w:lineRule="auto"/>
        <w:tabs>
          <w:tab w:leader="none" w:pos="948" w:val="left"/>
        </w:tabs>
        <w:numPr>
          <w:ilvl w:val="0"/>
          <w:numId w:val="5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disclose the number of your customers for each period and the percentage of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85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revenue increase that is attributable to new versus existing customers. Refer to Item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303(a)(3)(iii) of Regulation S-K and Section III.D of SEC No. Release No. 33-6835.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Contractual Obligations and Commitments, page 98</w:t>
      </w:r>
    </w:p>
    <w:p>
      <w:pPr>
        <w:spacing w:after="0" w:line="207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8"/>
        <w:spacing w:after="0" w:line="235" w:lineRule="auto"/>
        <w:tabs>
          <w:tab w:leader="none" w:pos="948" w:val="left"/>
        </w:tabs>
        <w:numPr>
          <w:ilvl w:val="0"/>
          <w:numId w:val="5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that you referred to your potential obligations pursuant to the Tax Receivable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Agreements upon the completion of this offering. Please also address the cash redemption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option of the Pre-IPO LLC members who appear to control the majority of the seats in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your Board of Directors.</w:t>
      </w:r>
    </w:p>
    <w:p>
      <w:pPr>
        <w:sectPr>
          <w:pgSz w:w="11900" w:h="16838" w:orient="portrait"/>
          <w:cols w:equalWidth="0" w:num="1">
            <w:col w:w="10139"/>
          </w:cols>
          <w:pgMar w:left="320" w:top="136" w:right="1440" w:bottom="0" w:gutter="0" w:footer="0" w:header="0"/>
        </w:sectPr>
      </w:pPr>
    </w:p>
    <w:bookmarkStart w:id="2" w:name="page3"/>
    <w:bookmarkEnd w:id="2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Management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Directors and Executive Officers, page 122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left="960" w:hanging="952"/>
        <w:spacing w:after="0"/>
        <w:tabs>
          <w:tab w:leader="none" w:pos="960" w:val="left"/>
        </w:tabs>
        <w:numPr>
          <w:ilvl w:val="0"/>
          <w:numId w:val="6"/>
        </w:numPr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Please disclose if any of your directors were nominated or serve based</w:t>
      </w:r>
    </w:p>
    <w:p>
      <w:pPr>
        <w:spacing w:after="0" w:line="16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on</w:t>
      </w:r>
    </w:p>
    <w:p>
      <w:pPr>
        <w:spacing w:after="0" w:line="4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right="2339" w:firstLine="948"/>
        <w:spacing w:after="0" w:line="235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any arrangement or understanding with major shareholders. In this regard, we note that</w:t>
      </w:r>
    </w:p>
    <w:p>
      <w:pPr>
        <w:spacing w:after="0" w:line="5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right="2019" w:firstLine="948"/>
        <w:spacing w:after="0" w:line="235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Ms. Younag and Messrs. Egan and Maldonado are affiliated with Advent International</w:t>
      </w:r>
    </w:p>
    <w:p>
      <w:pPr>
        <w:spacing w:after="0" w:line="5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right="1819" w:firstLine="948"/>
        <w:spacing w:after="0" w:line="235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Corporation, Messrs. Mitchell and Haywood are affiliated with Spectrum Equity, and Mr,</w:t>
      </w:r>
    </w:p>
    <w:p>
      <w:pPr>
        <w:spacing w:after="0" w:line="5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right="2859" w:firstLine="948"/>
        <w:spacing w:after="0" w:line="235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Winn is affiliated with 22C Capital. Refer to Item 401(a) of Regulation S-K.</w:t>
      </w:r>
    </w:p>
    <w:p>
      <w:pPr>
        <w:spacing w:after="0" w:line="1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Executive and Director Compensation</w:t>
      </w:r>
    </w:p>
    <w:p>
      <w:pPr>
        <w:spacing w:after="0" w:line="238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Narrative Discussion of the Summary Compensation Table, page 130</w:t>
      </w:r>
    </w:p>
    <w:p>
      <w:pPr>
        <w:spacing w:after="0" w:line="207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right="2119" w:firstLine="8"/>
        <w:spacing w:after="0" w:line="235" w:lineRule="auto"/>
        <w:tabs>
          <w:tab w:leader="none" w:pos="948" w:val="left"/>
        </w:tabs>
        <w:numPr>
          <w:ilvl w:val="0"/>
          <w:numId w:val="6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Per your disclosure, the Class B Units in AIDH Management Holdings, LLC correspond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on a one-for-one basis to Class B Units issued by Definitive OpCo to AIDH Management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Holdings, LLC. Please tell us, and disclose if so, whether the Class B Units issued by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Definitive OpCo to AIDH Management Holdings LLC and Class B units in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AIDH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75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Management Holdings LLC include continued service conditions. Description of Material Indebtedness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Financial Covenant, page 145</w:t>
      </w:r>
    </w:p>
    <w:p>
      <w:pPr>
        <w:spacing w:after="0" w:line="207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8"/>
        <w:spacing w:after="0" w:line="235" w:lineRule="auto"/>
        <w:tabs>
          <w:tab w:leader="none" w:pos="948" w:val="left"/>
        </w:tabs>
        <w:numPr>
          <w:ilvl w:val="0"/>
          <w:numId w:val="6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disclose the triggering event which will cause the springing covenant ("Total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leverage ratio") to become effective. We note elsewhere in the filing (page 50), you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indicated that the total leverage ratio is "tested as of the last day of any fiscal quarter."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97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Additionally, disclose the terms of the equity cure rights. Notes to the Consolidated Financial Statements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Note 3. Business Combinations, page F-25</w:t>
      </w:r>
    </w:p>
    <w:p>
      <w:pPr>
        <w:spacing w:after="0" w:line="207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239" w:firstLine="8"/>
        <w:spacing w:after="0" w:line="235" w:lineRule="auto"/>
        <w:tabs>
          <w:tab w:leader="none" w:pos="948" w:val="left"/>
        </w:tabs>
        <w:numPr>
          <w:ilvl w:val="0"/>
          <w:numId w:val="6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disclose the performance targets for the Monacl acquisition which trigger the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payment for contingent consideration with a potential value of up to $15 million.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12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Jason Krantz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727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Definitive Healthcare Corp. June 24, 2021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4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Include an estimate of the range of outcomes (undiscounted) or, if a range cannot be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estimated, that fact and the reasons why a range cannot be estimated. Refer to ASC 805-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30-50-1(c)(3).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Item 16. Exhibits and Financial Statement Schedules, page II-3</w:t>
      </w:r>
    </w:p>
    <w:p>
      <w:pPr>
        <w:spacing w:after="0" w:line="20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 w:hanging="952"/>
        <w:spacing w:after="0"/>
        <w:tabs>
          <w:tab w:leader="none" w:pos="960" w:val="left"/>
        </w:tabs>
        <w:numPr>
          <w:ilvl w:val="0"/>
          <w:numId w:val="6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file your material lease agreements and employment agreements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with your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executive officers as exhibits to the registration statement. Refer to Item 601(b)(10) of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Regulation S-K.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General</w:t>
      </w:r>
    </w:p>
    <w:p>
      <w:pPr>
        <w:spacing w:after="0" w:line="207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339" w:firstLine="8"/>
        <w:spacing w:after="0" w:line="235" w:lineRule="auto"/>
        <w:tabs>
          <w:tab w:leader="none" w:pos="948" w:val="left"/>
        </w:tabs>
        <w:numPr>
          <w:ilvl w:val="0"/>
          <w:numId w:val="6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update your filing to include financial statements for the interim period ended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March 31, 2021.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979" w:firstLine="8"/>
        <w:spacing w:after="0" w:line="235" w:lineRule="auto"/>
        <w:tabs>
          <w:tab w:leader="none" w:pos="948" w:val="left"/>
        </w:tabs>
        <w:numPr>
          <w:ilvl w:val="0"/>
          <w:numId w:val="6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supplementally provide us with copies of all written communications, as defined in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Rule 405 under the Securities Act, that you, or anyone authorized to do so on your behalf,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3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present to potential investors in reliance on Section 5(d) of the Securities Act, whether or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not they retain copies of the communications.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339" w:firstLine="737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may contact Kathryn Jacobson, Senior Staff Accountant, at (202) 551-3365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or Robert Littlepage, Accounting Branch Chief, at (202) 551-3361 if you have questions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33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regarding comments on the financial statements and related matters. Please contact Matthew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Crispino, Staff Attorney, at (202) 551-3456 or Larry Spirgel, Office Chief, at (202) 551-3815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with any other questions.</w:t>
      </w:r>
    </w:p>
    <w:p>
      <w:pPr>
        <w:sectPr>
          <w:pgSz w:w="11900" w:h="16838" w:orient="portrait"/>
          <w:cols w:equalWidth="0" w:num="1">
            <w:col w:w="10139"/>
          </w:cols>
          <w:pgMar w:left="320" w:top="136" w:right="1440" w:bottom="139" w:gutter="0" w:footer="0" w:header="0"/>
        </w:sectPr>
      </w:pPr>
    </w:p>
    <w:bookmarkStart w:id="3" w:name="page4"/>
    <w:bookmarkEnd w:id="3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LastNameJason Krantz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Comapany NameDefinitive Healthcare Corp.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jc w:val="center"/>
        <w:ind w:right="243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Sincerely,</w:t>
      </w:r>
    </w:p>
    <w:p>
      <w:pPr>
        <w:spacing w:after="0" w:line="223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5920" w:space="720"/>
            <w:col w:w="3499"/>
          </w:cols>
          <w:pgMar w:left="320" w:top="339" w:right="1440" w:bottom="1440" w:gutter="0" w:footer="0" w:header="0"/>
        </w:sectPr>
      </w:pPr>
    </w:p>
    <w:p>
      <w:pPr>
        <w:ind w:left="66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Division of</w:t>
      </w:r>
    </w:p>
    <w:p>
      <w:pPr>
        <w:sectPr>
          <w:pgSz w:w="11900" w:h="16838" w:orient="portrait"/>
          <w:cols w:equalWidth="0" w:num="1">
            <w:col w:w="10139"/>
          </w:cols>
          <w:pgMar w:left="320" w:top="339" w:right="1440" w:bottom="1440" w:gutter="0" w:footer="0" w:header="0"/>
          <w:type w:val="continuous"/>
        </w:sectPr>
      </w:pP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Corporation Finance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June 24, 2021 Page 4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Technology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Office of</w:t>
      </w:r>
    </w:p>
    <w:sectPr>
      <w:pgSz w:w="11900" w:h="16838" w:orient="portrait"/>
      <w:cols w:equalWidth="0" w:num="2">
        <w:col w:w="5920" w:space="720"/>
        <w:col w:w="3499"/>
      </w:cols>
      <w:pgMar w:left="320" w:top="339" w:right="1440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2AE8944A"/>
    <w:multiLevelType w:val="hybridMultilevel"/>
    <w:lvl w:ilvl="0">
      <w:lvlJc w:val="left"/>
      <w:lvlText w:val="%1."/>
      <w:numFmt w:val="decimal"/>
      <w:start w:val="3"/>
    </w:lvl>
  </w:abstractNum>
  <w:abstractNum w:abstractNumId="1">
    <w:nsid w:val="625558EC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238E1F29"/>
    <w:multiLevelType w:val="hybridMultilevel"/>
    <w:lvl w:ilvl="0">
      <w:lvlJc w:val="left"/>
      <w:lvlText w:val="%1."/>
      <w:numFmt w:val="decimal"/>
      <w:start w:val="8"/>
    </w:lvl>
  </w:abstractNum>
  <w:abstractNum w:abstractNumId="3">
    <w:nsid w:val="46E87CCD"/>
    <w:multiLevelType w:val="hybridMultilevel"/>
    <w:lvl w:ilvl="0">
      <w:lvlJc w:val="left"/>
      <w:lvlText w:val="%1."/>
      <w:numFmt w:val="decimal"/>
      <w:start w:val="36"/>
    </w:lvl>
  </w:abstractNum>
  <w:abstractNum w:abstractNumId="4">
    <w:nsid w:val="3D1B58BA"/>
    <w:multiLevelType w:val="hybridMultilevel"/>
    <w:lvl w:ilvl="0">
      <w:lvlJc w:val="left"/>
      <w:lvlText w:val="%1."/>
      <w:numFmt w:val="decimal"/>
      <w:start w:val="10"/>
    </w:lvl>
  </w:abstractNum>
  <w:abstractNum w:abstractNumId="5">
    <w:nsid w:val="507ED7AB"/>
    <w:multiLevelType w:val="hybridMultilevel"/>
    <w:lvl w:ilvl="0">
      <w:lvlJc w:val="left"/>
      <w:lvlText w:val="%1."/>
      <w:numFmt w:val="decimal"/>
      <w:start w:val="12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2022-03-08T21:35:48Z</dcterms:created>
  <dcterms:modified xsi:type="dcterms:W3CDTF">2022-03-08T21:35:48Z</dcterms:modified>
</cp:coreProperties>
</file>