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dh-20250605.htm"/>
      <w:bookmarkStart w:id="1" w:name="ksdh20250605"/>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4"/>
        </w:rPr>
      </w:pPr>
      <w:r>
        <w:rPr>
          <w:rFonts w:ascii="Times New Roman" w:hAnsi="Times New Roman"/>
          <w:b/>
          <w:color w:val="000000"/>
          <w:sz w:val="34"/>
        </w:rPr>
        <w:t>FORM 8-K</w:t>
      </w:r>
    </w:p>
    <w:p>
      <w:pPr>
        <w:pStyle w:val="TextBody"/>
        <w:pBdr>
          <w:bottom w:val="single" w:sz="6" w:space="1" w:color="000000"/>
        </w:pBdr>
        <w:bidi w:val="0"/>
        <w:jc w:val="center"/>
        <w:rPr/>
      </w:pPr>
      <w:r>
        <w:rPr/>
        <w:t> </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w:t>
      </w:r>
    </w:p>
    <w:p>
      <w:pPr>
        <w:pStyle w:val="TextBody"/>
        <w:bidi w:val="0"/>
        <w:jc w:val="center"/>
        <w:rPr>
          <w:rFonts w:ascii="Times New Roman" w:hAnsi="Times New Roman"/>
          <w:b/>
          <w:color w:val="000000"/>
          <w:sz w:val="24"/>
        </w:rPr>
      </w:pPr>
      <w:r>
        <w:rPr>
          <w:rFonts w:ascii="Times New Roman" w:hAnsi="Times New Roman"/>
          <w:b/>
          <w:color w:val="000000"/>
          <w:sz w:val="24"/>
        </w:rPr>
        <w:t>June 5, 2025</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Definitive Healthcare Corp.</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5703" w:type="dxa"/>
        <w:jc w:val="left"/>
        <w:tblInd w:w="0" w:type="dxa"/>
        <w:tblLayout w:type="fixed"/>
        <w:tblCellMar>
          <w:top w:w="28" w:type="dxa"/>
          <w:left w:w="28" w:type="dxa"/>
          <w:bottom w:w="28" w:type="dxa"/>
          <w:right w:w="28" w:type="dxa"/>
        </w:tblCellMar>
      </w:tblPr>
      <w:tblGrid>
        <w:gridCol w:w="1231"/>
        <w:gridCol w:w="3136"/>
        <w:gridCol w:w="1336"/>
      </w:tblGrid>
      <w:tr>
        <w:trPr/>
        <w:tc>
          <w:tcPr>
            <w:tcW w:w="1231" w:type="dxa"/>
            <w:tcBorders/>
            <w:vAlign w:val="center"/>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70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001-40815</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86-3988281</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w:t>
              <w:br/>
              <w:t>of Incorporation)</w:t>
            </w:r>
          </w:p>
        </w:tc>
        <w:tc>
          <w:tcPr>
            <w:tcW w:w="31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492 Old Connecticut Path, Suite 401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Framingham, Massachusetts</w:t>
            </w:r>
            <w:r>
              <w:rPr>
                <w:rFonts w:ascii="Times New Roman" w:hAnsi="Times New Roman"/>
                <w:color w:val="000000"/>
                <w:sz w:val="20"/>
              </w:rPr>
              <w:t xml:space="preserve"> </w:t>
            </w:r>
            <w:r>
              <w:rPr>
                <w:rFonts w:ascii="Times New Roman" w:hAnsi="Times New Roman"/>
                <w:b/>
                <w:color w:val="000000"/>
                <w:sz w:val="20"/>
              </w:rPr>
              <w:t>01701</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(Address of Principal Executive Offices)</w:t>
            </w:r>
            <w:r>
              <w:rPr>
                <w:rFonts w:ascii="Times New Roman" w:hAnsi="Times New Roman"/>
                <w:color w:val="000000"/>
                <w:sz w:val="20"/>
              </w:rPr>
              <w:t xml:space="preserve">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bl>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508</w:t>
            </w:r>
            <w:r>
              <w:rPr>
                <w:rFonts w:ascii="Times New Roman" w:hAnsi="Times New Roman"/>
                <w:color w:val="000000"/>
                <w:sz w:val="20"/>
              </w:rPr>
              <w:t xml:space="preserve"> </w:t>
            </w:r>
            <w:r>
              <w:rPr>
                <w:rFonts w:ascii="Times New Roman" w:hAnsi="Times New Roman"/>
                <w:b/>
                <w:color w:val="000000"/>
                <w:sz w:val="20"/>
              </w:rPr>
              <w:t>720-4224</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Registrant’s telephone number, including area code</w:t>
            </w:r>
          </w:p>
        </w:tc>
      </w:tr>
    </w:tbl>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6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spacing w:before="100" w:after="16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586" w:type="dxa"/>
        <w:jc w:val="left"/>
        <w:tblInd w:w="0" w:type="dxa"/>
        <w:tblLayout w:type="fixed"/>
        <w:tblCellMar>
          <w:top w:w="28" w:type="dxa"/>
          <w:left w:w="28" w:type="dxa"/>
          <w:bottom w:w="28" w:type="dxa"/>
          <w:right w:w="28" w:type="dxa"/>
        </w:tblCellMar>
      </w:tblPr>
      <w:tblGrid>
        <w:gridCol w:w="3601"/>
        <w:gridCol w:w="109"/>
        <w:gridCol w:w="646"/>
        <w:gridCol w:w="109"/>
        <w:gridCol w:w="3121"/>
      </w:tblGrid>
      <w:tr>
        <w:trPr/>
        <w:tc>
          <w:tcPr>
            <w:tcW w:w="3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w:t>
              <w:br/>
              <w:t>Symbol</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 A 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color w:val="000000"/>
          <w:sz w:val="2"/>
        </w:rPr>
        <w:br/>
      </w:r>
      <w:r>
        <w:rPr>
          <w:rFonts w:ascii="Times New Roman" w:hAnsi="Times New Roman"/>
          <w:color w:val="000000"/>
          <w:sz w:val="20"/>
        </w:rPr>
        <w:t> </w:t>
      </w:r>
    </w:p>
    <w:p>
      <w:pPr>
        <w:pStyle w:val="TextBody"/>
        <w:bidi w:val="0"/>
        <w:spacing w:before="360" w:after="240"/>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June 5, 2025, Definitive Healthcare Corp. (the “Company”) held its 2025 Annual Meeting of Stockholders (the “Annual Meeting”). At the close of business on April 14, 2025, the record date for determination of stockholders entitled to vote at the Annual Meeting, there were 107,962,771 shares of Class A common stock and 38,996,613 shares of Class B common stock of the Company issued and outstanding. At the Annual Meeting, the stockholders of the Company (i) elected each of the Company’s nominees for Class I directors to serve a three-year term expiring at the annual meeting in 2028, and until their successors have been duly elected and qualified; (ii) ratified the selection of Deloitte &amp; Touche LLP as the Company’s independent auditor for fiscal year 2025; and (iii) approved, on a non-binding, advisory basis, the compensation of the Company’s named executive officers. A more complete description of each proposal is set forth in the Company’s definitive proxy statement filed with the Securities and Exchange Commission on April 23, 2025 (the “Proxy Statement”). The final results are set forth below.</w:t>
      </w:r>
    </w:p>
    <w:p>
      <w:pPr>
        <w:pStyle w:val="TextBody"/>
        <w:bidi w:val="0"/>
        <w:spacing w:before="120" w:after="240"/>
        <w:jc w:val="both"/>
        <w:rPr>
          <w:rFonts w:ascii="Times New Roman" w:hAnsi="Times New Roman"/>
          <w:b/>
          <w:i/>
          <w:color w:val="000000"/>
          <w:sz w:val="20"/>
        </w:rPr>
      </w:pPr>
      <w:r>
        <w:rPr>
          <w:rFonts w:ascii="Times New Roman" w:hAnsi="Times New Roman"/>
          <w:b/>
          <w:i/>
          <w:color w:val="000000"/>
          <w:sz w:val="20"/>
        </w:rPr>
        <w:t>Proposal 1 – Election of Directors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stockholders elected each of the three nominees named below as Class I directors to serve until the 2028 annual meeting of stockholders and until their successors are duly elected and qualified. The results of such vote were:</w:t>
      </w:r>
    </w:p>
    <w:tbl>
      <w:tblPr>
        <w:tblW w:w="6426" w:type="dxa"/>
        <w:jc w:val="left"/>
        <w:tblInd w:w="0" w:type="dxa"/>
        <w:tblLayout w:type="fixed"/>
        <w:tblCellMar>
          <w:top w:w="28" w:type="dxa"/>
          <w:left w:w="28" w:type="dxa"/>
          <w:bottom w:w="28" w:type="dxa"/>
          <w:right w:w="28" w:type="dxa"/>
        </w:tblCellMar>
      </w:tblPr>
      <w:tblGrid>
        <w:gridCol w:w="1511"/>
        <w:gridCol w:w="246"/>
        <w:gridCol w:w="146"/>
        <w:gridCol w:w="1141"/>
        <w:gridCol w:w="146"/>
        <w:gridCol w:w="146"/>
        <w:gridCol w:w="146"/>
        <w:gridCol w:w="1036"/>
        <w:gridCol w:w="146"/>
        <w:gridCol w:w="146"/>
        <w:gridCol w:w="176"/>
        <w:gridCol w:w="1249"/>
        <w:gridCol w:w="191"/>
      </w:tblGrid>
      <w:tr>
        <w:trPr/>
        <w:tc>
          <w:tcPr>
            <w:tcW w:w="1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Director Nominee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Withheld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Kevin Coop</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118,235,389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10,917,987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Jason Krantz</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117,507,136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4,168,517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10,917,987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Lauren Young</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108,391,016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13,284,637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10,917,987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Proposal 2 – Ratification of Selection of Independent Public Registered Accounting Firm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stockholders ratified the appointment of Deloitte &amp; Touche LLP as the Company’s independent registered public accounting firm for the year ending December 31, 2025. The results of such vote were:</w:t>
      </w:r>
    </w:p>
    <w:tbl>
      <w:tblPr>
        <w:tblW w:w="4081" w:type="dxa"/>
        <w:jc w:val="left"/>
        <w:tblInd w:w="0" w:type="dxa"/>
        <w:tblLayout w:type="fixed"/>
        <w:tblCellMar>
          <w:top w:w="28" w:type="dxa"/>
          <w:left w:w="28" w:type="dxa"/>
          <w:bottom w:w="28" w:type="dxa"/>
          <w:right w:w="28" w:type="dxa"/>
        </w:tblCellMar>
      </w:tblPr>
      <w:tblGrid>
        <w:gridCol w:w="161"/>
        <w:gridCol w:w="1141"/>
        <w:gridCol w:w="146"/>
        <w:gridCol w:w="146"/>
        <w:gridCol w:w="146"/>
        <w:gridCol w:w="931"/>
        <w:gridCol w:w="146"/>
        <w:gridCol w:w="146"/>
        <w:gridCol w:w="146"/>
        <w:gridCol w:w="78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129,393,656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40"/>
        <w:jc w:val="both"/>
        <w:rPr>
          <w:rFonts w:ascii="Times New Roman" w:hAnsi="Times New Roman"/>
          <w:b/>
          <w:i/>
          <w:color w:val="000000"/>
          <w:sz w:val="20"/>
        </w:rPr>
      </w:pPr>
      <w:r>
        <w:rPr>
          <w:rFonts w:ascii="Times New Roman" w:hAnsi="Times New Roman"/>
          <w:b/>
          <w:i/>
          <w:color w:val="000000"/>
          <w:sz w:val="20"/>
        </w:rPr>
        <w:t>Proposal 3 – Advisory Vote on Executive Compensation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stockholders approved, on an advisory basis, the compensation of the Company’s named executive officers as disclosed in the Proxy Statement. The results of such vote were:</w:t>
      </w:r>
    </w:p>
    <w:tbl>
      <w:tblPr>
        <w:tblW w:w="5903" w:type="dxa"/>
        <w:jc w:val="left"/>
        <w:tblInd w:w="0" w:type="dxa"/>
        <w:tblLayout w:type="fixed"/>
        <w:tblCellMar>
          <w:top w:w="28" w:type="dxa"/>
          <w:left w:w="28" w:type="dxa"/>
          <w:bottom w:w="28" w:type="dxa"/>
          <w:right w:w="28" w:type="dxa"/>
        </w:tblCellMar>
      </w:tblPr>
      <w:tblGrid>
        <w:gridCol w:w="161"/>
        <w:gridCol w:w="1141"/>
        <w:gridCol w:w="146"/>
        <w:gridCol w:w="146"/>
        <w:gridCol w:w="146"/>
        <w:gridCol w:w="1036"/>
        <w:gridCol w:w="146"/>
        <w:gridCol w:w="146"/>
        <w:gridCol w:w="146"/>
        <w:gridCol w:w="781"/>
        <w:gridCol w:w="146"/>
        <w:gridCol w:w="146"/>
        <w:gridCol w:w="176"/>
        <w:gridCol w:w="1249"/>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108,597,111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10,917,987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771" w:type="dxa"/>
        <w:jc w:val="left"/>
        <w:tblInd w:w="0" w:type="dxa"/>
        <w:tblLayout w:type="fixed"/>
        <w:tblCellMar>
          <w:top w:w="28" w:type="dxa"/>
          <w:left w:w="28" w:type="dxa"/>
          <w:bottom w:w="28" w:type="dxa"/>
          <w:right w:w="28" w:type="dxa"/>
        </w:tblCellMar>
      </w:tblPr>
      <w:tblGrid>
        <w:gridCol w:w="1636"/>
        <w:gridCol w:w="748"/>
        <w:gridCol w:w="2387"/>
      </w:tblGrid>
      <w:tr>
        <w:trPr/>
        <w:tc>
          <w:tcPr>
            <w:tcW w:w="163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23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6, 2025</w:t>
            </w:r>
          </w:p>
        </w:tc>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8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3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Casey Heller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38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3850</Characters>
  <CharactersWithSpaces>4555</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