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August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Definitive Healthcare Corp.</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2324"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5560" w:type="dxa"/>
            <w:vAlign w:val="bottom"/>
          </w:tcPr>
          <w:p>
            <w:pPr>
              <w:jc w:val="center"/>
              <w:ind w:right="1138"/>
              <w:spacing w:after="0"/>
              <w:rPr>
                <w:sz w:val="20"/>
                <w:szCs w:val="20"/>
                <w:color w:val="auto"/>
              </w:rPr>
            </w:pPr>
            <w:r>
              <w:rPr>
                <w:rFonts w:ascii="Arial" w:cs="Arial" w:eastAsia="Arial" w:hAnsi="Arial"/>
                <w:sz w:val="18"/>
                <w:szCs w:val="18"/>
                <w:b w:val="1"/>
                <w:bCs w:val="1"/>
                <w:color w:val="auto"/>
                <w:w w:val="90"/>
              </w:rPr>
              <w:t>Commission file number 1-40815</w:t>
            </w:r>
          </w:p>
        </w:tc>
      </w:tr>
      <w:tr>
        <w:trPr>
          <w:trHeight w:val="436"/>
        </w:trPr>
        <w:tc>
          <w:tcPr>
            <w:tcW w:w="1020" w:type="dxa"/>
            <w:vAlign w:val="bottom"/>
          </w:tcPr>
          <w:p>
            <w:pPr>
              <w:jc w:val="center"/>
              <w:ind w:right="22"/>
              <w:spacing w:after="0"/>
              <w:rPr>
                <w:sz w:val="20"/>
                <w:szCs w:val="20"/>
                <w:color w:val="auto"/>
              </w:rPr>
            </w:pPr>
            <w:r>
              <w:rPr>
                <w:rFonts w:ascii="Arial" w:cs="Arial" w:eastAsia="Arial" w:hAnsi="Arial"/>
                <w:sz w:val="18"/>
                <w:szCs w:val="18"/>
                <w:b w:val="1"/>
                <w:bCs w:val="1"/>
                <w:color w:val="auto"/>
                <w:w w:val="91"/>
              </w:rPr>
              <w:t>Delaware</w:t>
            </w:r>
          </w:p>
        </w:tc>
        <w:tc>
          <w:tcPr>
            <w:tcW w:w="5560" w:type="dxa"/>
            <w:vAlign w:val="bottom"/>
          </w:tcPr>
          <w:p>
            <w:pPr>
              <w:jc w:val="center"/>
              <w:ind w:left="4358"/>
              <w:spacing w:after="0"/>
              <w:rPr>
                <w:sz w:val="20"/>
                <w:szCs w:val="20"/>
                <w:color w:val="auto"/>
              </w:rPr>
            </w:pPr>
            <w:r>
              <w:rPr>
                <w:rFonts w:ascii="Arial" w:cs="Arial" w:eastAsia="Arial" w:hAnsi="Arial"/>
                <w:sz w:val="18"/>
                <w:szCs w:val="18"/>
                <w:b w:val="1"/>
                <w:bCs w:val="1"/>
                <w:color w:val="auto"/>
                <w:w w:val="91"/>
              </w:rPr>
              <w:t>86-3988281</w:t>
            </w:r>
          </w:p>
        </w:tc>
      </w:tr>
      <w:tr>
        <w:trPr>
          <w:trHeight w:val="149"/>
        </w:trPr>
        <w:tc>
          <w:tcPr>
            <w:tcW w:w="10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(State of</w:t>
            </w:r>
          </w:p>
        </w:tc>
        <w:tc>
          <w:tcPr>
            <w:tcW w:w="5560" w:type="dxa"/>
            <w:vAlign w:val="bottom"/>
          </w:tcPr>
          <w:p>
            <w:pPr>
              <w:jc w:val="center"/>
              <w:ind w:left="435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02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incorporation)</w:t>
            </w:r>
          </w:p>
        </w:tc>
        <w:tc>
          <w:tcPr>
            <w:tcW w:w="5560" w:type="dxa"/>
            <w:vAlign w:val="bottom"/>
          </w:tcPr>
          <w:p>
            <w:pPr>
              <w:jc w:val="center"/>
              <w:ind w:left="4358"/>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Arial" w:cs="Arial" w:eastAsia="Arial" w:hAnsi="Arial"/>
                <w:sz w:val="18"/>
                <w:szCs w:val="18"/>
                <w:b w:val="1"/>
                <w:bCs w:val="1"/>
                <w:color w:val="auto"/>
                <w:w w:val="91"/>
              </w:rPr>
              <w:t>550 Cochituate Rd</w:t>
            </w:r>
          </w:p>
        </w:tc>
      </w:tr>
      <w:tr>
        <w:trPr>
          <w:trHeight w:val="212"/>
        </w:trPr>
        <w:tc>
          <w:tcPr>
            <w:tcW w:w="1020" w:type="dxa"/>
            <w:vAlign w:val="bottom"/>
          </w:tcPr>
          <w:p>
            <w:pPr>
              <w:spacing w:after="0"/>
              <w:rPr>
                <w:sz w:val="18"/>
                <w:szCs w:val="18"/>
                <w:color w:val="auto"/>
              </w:rPr>
            </w:pPr>
          </w:p>
        </w:tc>
        <w:tc>
          <w:tcPr>
            <w:tcW w:w="5560" w:type="dxa"/>
            <w:vAlign w:val="bottom"/>
          </w:tcPr>
          <w:p>
            <w:pPr>
              <w:jc w:val="center"/>
              <w:ind w:right="1138"/>
              <w:spacing w:after="0"/>
              <w:rPr>
                <w:sz w:val="20"/>
                <w:szCs w:val="20"/>
                <w:color w:val="auto"/>
              </w:rPr>
            </w:pPr>
            <w:r>
              <w:rPr>
                <w:rFonts w:ascii="Arial" w:cs="Arial" w:eastAsia="Arial" w:hAnsi="Arial"/>
                <w:sz w:val="18"/>
                <w:szCs w:val="18"/>
                <w:b w:val="1"/>
                <w:bCs w:val="1"/>
                <w:color w:val="auto"/>
                <w:w w:val="94"/>
              </w:rPr>
              <w:t>Framingham, MA 01701</w:t>
            </w:r>
          </w:p>
        </w:tc>
      </w:tr>
      <w:tr>
        <w:trPr>
          <w:trHeight w:val="186"/>
        </w:trPr>
        <w:tc>
          <w:tcPr>
            <w:tcW w:w="1020" w:type="dxa"/>
            <w:vAlign w:val="bottom"/>
          </w:tcPr>
          <w:p>
            <w:pPr>
              <w:spacing w:after="0"/>
              <w:rPr>
                <w:sz w:val="16"/>
                <w:szCs w:val="16"/>
                <w:color w:val="auto"/>
              </w:rPr>
            </w:pPr>
          </w:p>
        </w:tc>
        <w:tc>
          <w:tcPr>
            <w:tcW w:w="5560" w:type="dxa"/>
            <w:vAlign w:val="bottom"/>
          </w:tcPr>
          <w:p>
            <w:pPr>
              <w:jc w:val="center"/>
              <w:ind w:right="1138"/>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394"/>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Arial" w:cs="Arial" w:eastAsia="Arial" w:hAnsi="Arial"/>
                <w:sz w:val="18"/>
                <w:szCs w:val="18"/>
                <w:b w:val="1"/>
                <w:bCs w:val="1"/>
                <w:color w:val="auto"/>
                <w:w w:val="90"/>
              </w:rPr>
              <w:t>(508) 720-4224</w:t>
            </w:r>
          </w:p>
        </w:tc>
      </w:tr>
      <w:tr>
        <w:trPr>
          <w:trHeight w:val="186"/>
        </w:trPr>
        <w:tc>
          <w:tcPr>
            <w:tcW w:w="1020" w:type="dxa"/>
            <w:vAlign w:val="bottom"/>
          </w:tcPr>
          <w:p>
            <w:pPr>
              <w:spacing w:after="0"/>
              <w:rPr>
                <w:sz w:val="16"/>
                <w:szCs w:val="16"/>
                <w:color w:val="auto"/>
              </w:rPr>
            </w:pPr>
          </w:p>
        </w:tc>
        <w:tc>
          <w:tcPr>
            <w:tcW w:w="5560" w:type="dxa"/>
            <w:vAlign w:val="bottom"/>
          </w:tcPr>
          <w:p>
            <w:pPr>
              <w:jc w:val="center"/>
              <w:ind w:right="115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94"/>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1020" w:type="dxa"/>
            <w:vAlign w:val="bottom"/>
          </w:tcPr>
          <w:p>
            <w:pPr>
              <w:spacing w:after="0"/>
              <w:rPr>
                <w:sz w:val="16"/>
                <w:szCs w:val="16"/>
                <w:color w:val="auto"/>
              </w:rPr>
            </w:pPr>
          </w:p>
        </w:tc>
        <w:tc>
          <w:tcPr>
            <w:tcW w:w="5560" w:type="dxa"/>
            <w:vAlign w:val="bottom"/>
          </w:tcPr>
          <w:p>
            <w:pPr>
              <w:jc w:val="center"/>
              <w:ind w:right="113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Class A 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DH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left="4" w:right="220"/>
        <w:spacing w:after="0" w:line="342" w:lineRule="auto"/>
        <w:rPr>
          <w:sz w:val="20"/>
          <w:szCs w:val="20"/>
          <w:color w:val="auto"/>
        </w:rPr>
      </w:pPr>
      <w:r>
        <w:rPr>
          <w:rFonts w:ascii="Arial" w:cs="Arial" w:eastAsia="Arial" w:hAnsi="Arial"/>
          <w:sz w:val="16"/>
          <w:szCs w:val="16"/>
          <w:color w:val="auto"/>
        </w:rPr>
        <w:t>On August 4, 2022, Definitive Healthcare Corp. (the “Company”) issued a press release announcing its financial results for the second quarter ended June 30, 2022. A copy of the press release is furnished as Exhibit 99.1 to this Current Report on Form 8-K and is incorporated by reference herein.</w:t>
      </w:r>
    </w:p>
    <w:p>
      <w:pPr>
        <w:spacing w:after="0" w:line="124"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The information furnished in this Item 2.02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regardless of any general incorporation language in such filing.</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4" w:hanging="264"/>
        <w:spacing w:after="0"/>
        <w:tabs>
          <w:tab w:leader="none" w:pos="264"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52" w:lineRule="exact"/>
        <w:rPr>
          <w:sz w:val="20"/>
          <w:szCs w:val="20"/>
          <w:color w:val="auto"/>
        </w:rPr>
      </w:pPr>
    </w:p>
    <w:p>
      <w:pPr>
        <w:ind w:left="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August 4, 2022 (furnished herewith pursuant to Item 2.02)</w:t>
        </w:r>
      </w:hyperlink>
    </w:p>
    <w:p>
      <w:pPr>
        <w:spacing w:after="0" w:line="117"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24"/>
          </w:cols>
          <w:pgMar w:left="436" w:top="297" w:right="5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DEFINITIVE HEALTHCARE CORP.</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David Samuels</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Legal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Definitive Healthcare Reports Financial Results for Second Quarter Fiscal Year 2022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Second quarter revenue grew 37% year-over-year to $54.5 million</w:t>
      </w:r>
    </w:p>
    <w:p>
      <w:pPr>
        <w:spacing w:after="0" w:line="221"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b w:val="1"/>
          <w:bCs w:val="1"/>
          <w:color w:val="auto"/>
        </w:rPr>
        <w:t xml:space="preserve">Framingham, MA (August 4, 2022) </w:t>
      </w:r>
      <w:r>
        <w:rPr>
          <w:rFonts w:ascii="Arial" w:cs="Arial" w:eastAsia="Arial" w:hAnsi="Arial"/>
          <w:sz w:val="18"/>
          <w:szCs w:val="18"/>
          <w:color w:val="auto"/>
        </w:rPr>
        <w:t>– Definitive Healthcare Corp. (“Definitive Healthcare”) (Nasdaq: DH), an industry leader in healthcare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intelligence, today announced financial results for the quarter ended June 30,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2022 Financial and Other Recent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31"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was $54.5 million, an increase of 37% from $39.8 million in Q2 2021.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was ($9.6) million, or 18% of revenue, compared to ($15.0) million, or 38% of revenue in Q2 2021.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was $8.9 million, compared to $2.0 million in Q2 2021.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was $16.3 million, or 30% of revenue, compared to $14.4 million, or 36% of revenue in Q2 2021.</w:t>
      </w:r>
    </w:p>
    <w:p>
      <w:pPr>
        <w:spacing w:after="0" w:line="130" w:lineRule="exact"/>
        <w:rPr>
          <w:rFonts w:ascii="Arial" w:cs="Arial" w:eastAsia="Arial" w:hAnsi="Arial"/>
          <w:sz w:val="18"/>
          <w:szCs w:val="18"/>
          <w:color w:val="auto"/>
        </w:rPr>
      </w:pPr>
    </w:p>
    <w:p>
      <w:pPr>
        <w:ind w:left="960" w:right="400" w:hanging="424"/>
        <w:spacing w:after="0" w:line="282"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8"/>
          <w:szCs w:val="18"/>
          <w:color w:val="auto"/>
        </w:rPr>
        <w:t>was $15.5 million in the quarter or 28% of revenue. For the trailing twelve-month period, cash flow from</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was $32.4 million, or 17% of revenue.</w:t>
      </w:r>
    </w:p>
    <w:p>
      <w:pPr>
        <w:spacing w:after="0" w:line="67" w:lineRule="exact"/>
        <w:rPr>
          <w:rFonts w:ascii="Arial" w:cs="Arial" w:eastAsia="Arial" w:hAnsi="Arial"/>
          <w:sz w:val="18"/>
          <w:szCs w:val="18"/>
          <w:color w:val="auto"/>
        </w:rPr>
      </w:pPr>
    </w:p>
    <w:p>
      <w:pPr>
        <w:ind w:left="960" w:right="200" w:hanging="424"/>
        <w:spacing w:after="0" w:line="282"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Unlevered free cash flow </w:t>
      </w:r>
      <w:r>
        <w:rPr>
          <w:rFonts w:ascii="Arial" w:cs="Arial" w:eastAsia="Arial" w:hAnsi="Arial"/>
          <w:sz w:val="18"/>
          <w:szCs w:val="18"/>
          <w:color w:val="auto"/>
        </w:rPr>
        <w:t>was $19.1 million in the quarter, or 35% of revenue. For the trailing twelve-month period, unlevered free cash</w:t>
      </w:r>
      <w:r>
        <w:rPr>
          <w:rFonts w:ascii="Arial" w:cs="Arial" w:eastAsia="Arial" w:hAnsi="Arial"/>
          <w:sz w:val="18"/>
          <w:szCs w:val="18"/>
          <w:b w:val="1"/>
          <w:bCs w:val="1"/>
          <w:color w:val="auto"/>
        </w:rPr>
        <w:t xml:space="preserve"> </w:t>
      </w:r>
      <w:r>
        <w:rPr>
          <w:rFonts w:ascii="Arial" w:cs="Arial" w:eastAsia="Arial" w:hAnsi="Arial"/>
          <w:sz w:val="18"/>
          <w:szCs w:val="18"/>
          <w:color w:val="auto"/>
        </w:rPr>
        <w:t>flow was $63.4 million, or 33% of revenue.</w:t>
      </w:r>
    </w:p>
    <w:p>
      <w:pPr>
        <w:spacing w:after="0" w:line="16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are pleased with our second quarter 2022 financial results,” said Robert Musslewhite, CEO of Definitive Healthcare. “We continued to see strong revenue growth and delivered adjusted EBITDA that demonstrates the leverage of our business model. Demand generation remains healthy, and we are confident in Definitive Healthcare’s growth prospects.”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Recent Business and Operating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Wins</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 the second quarter, Definitive Healthcare continued to grow its enterprise client base, ending the quarter with 486 enterprise customers, defined as those customers with more than one hundred thousand dollars in annual recurring revenue. Significant customer wins included:</w:t>
      </w:r>
    </w:p>
    <w:p>
      <w:pPr>
        <w:spacing w:after="0" w:line="52" w:lineRule="exact"/>
        <w:rPr>
          <w:sz w:val="20"/>
          <w:szCs w:val="20"/>
          <w:color w:val="auto"/>
        </w:rPr>
      </w:pPr>
    </w:p>
    <w:p>
      <w:pPr>
        <w:ind w:left="960" w:right="6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multi-year enterprise new business deal at a medical device company manufacturing compression pumps for lymphedema patients. This customer will use Definitive Healthcare reference data, lab data, and account profiles to improve targeting, account profiles, and competitive analysis.</w:t>
      </w:r>
    </w:p>
    <w:p>
      <w:pPr>
        <w:spacing w:after="0" w:line="89" w:lineRule="exact"/>
        <w:rPr>
          <w:rFonts w:ascii="Arial" w:cs="Arial" w:eastAsia="Arial" w:hAnsi="Arial"/>
          <w:sz w:val="18"/>
          <w:szCs w:val="18"/>
          <w:color w:val="auto"/>
        </w:rPr>
      </w:pPr>
    </w:p>
    <w:p>
      <w:pPr>
        <w:ind w:left="960" w:right="12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multi-year upsell deal for Passport Promotional Mix at one of the world’s largest independent biotechnology companies. This customer is a long-time user of the Analytical Wizards product suite, and it significantly increased its investment in the second quarter by adding seats and functionality to enable quarterly reporting and analysis of its marketing investments.</w:t>
      </w:r>
    </w:p>
    <w:p>
      <w:pPr>
        <w:spacing w:after="0" w:line="89" w:lineRule="exact"/>
        <w:rPr>
          <w:rFonts w:ascii="Arial" w:cs="Arial" w:eastAsia="Arial" w:hAnsi="Arial"/>
          <w:sz w:val="18"/>
          <w:szCs w:val="18"/>
          <w:color w:val="auto"/>
        </w:rPr>
      </w:pPr>
    </w:p>
    <w:p>
      <w:pPr>
        <w:ind w:left="960" w:hanging="424"/>
        <w:spacing w:after="0" w:line="301"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Multiple wins at diversified companies that want to sell their goods and services into the healthcare market included healthcare staffing and recruiting firms, national and state-level insurance companies, and multiple provider organizations ranging from small physician groups to large IDNs. In addition, new customers included the world’s leader in electronic signatures and agreements, the largest specialty distributor of rehabilitation and sports medicine products in the United States, and one of the world’s largest coffee retailers.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Innovation</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second quarter of 2022, the company released Monocl ExpertInsight 2.0 and Expert GO. Monocl ExpertInsight 2.0 is the next generation of the company’s expert identification solution that significantly expands the capabilities of this product and provides customers access to nearly 13 million key opinion leaders. In this latest version, customers can use live filters that provide real-time updates of scientific activity by expert or therapeutic area and more granular search and key opinion leader mapping. ExpertGO is the new mobile app that enables users to access the Monocl platform from any location on any device.</w:t>
      </w:r>
    </w:p>
    <w:p>
      <w:pPr>
        <w:sectPr>
          <w:pgSz w:w="11900" w:h="16838" w:orient="portrait"/>
          <w:cols w:equalWidth="0" w:num="1">
            <w:col w:w="11000"/>
          </w:cols>
          <w:pgMar w:left="440" w:top="270" w:right="45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More recently, the company launched Passport Express – the first product that integrates the comprehensive analytics built by Analytical Wizards with proprietary data from Definitive Healthcare. Definitive Healthcare acquired Analytical Wizards in February 2022, and in less than six months, the combined product and engineering teams designed and released a new product that delivers off-the-shelf healthcare commercial intelligence for more than 20 different therapy areas.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Based on information as of August 4, 2022, the Company is issuing the following financial guidance.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w:t>
      </w:r>
    </w:p>
    <w:p>
      <w:pPr>
        <w:spacing w:after="0" w:line="131"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is expected to be in the range of $56.0 – $57.0 million, a 31% increase year over year.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8"/>
          <w:szCs w:val="18"/>
          <w:color w:val="auto"/>
        </w:rPr>
        <w:t>is expected to be in the range of $14.5– $15.5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is expected to be in the range of $15.5– $16.5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is expected to be $6.5 – $7.5 million.</w:t>
      </w:r>
    </w:p>
    <w:p>
      <w:pPr>
        <w:spacing w:after="0" w:line="130" w:lineRule="exact"/>
        <w:rPr>
          <w:rFonts w:ascii="Arial" w:cs="Arial" w:eastAsia="Arial" w:hAnsi="Arial"/>
          <w:sz w:val="18"/>
          <w:szCs w:val="18"/>
          <w:color w:val="auto"/>
        </w:rPr>
      </w:pPr>
    </w:p>
    <w:p>
      <w:pPr>
        <w:ind w:left="960" w:right="400" w:hanging="424"/>
        <w:spacing w:after="0" w:line="282"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Adjusted Net Income Per Diluted Share </w:t>
      </w:r>
      <w:r>
        <w:rPr>
          <w:rFonts w:ascii="Arial" w:cs="Arial" w:eastAsia="Arial" w:hAnsi="Arial"/>
          <w:sz w:val="18"/>
          <w:szCs w:val="18"/>
          <w:color w:val="auto"/>
        </w:rPr>
        <w:t>is expected to be $0.03 – $0.05 on approximately 155.4 million weighted-average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2022:</w:t>
      </w:r>
    </w:p>
    <w:p>
      <w:pPr>
        <w:spacing w:after="0" w:line="131" w:lineRule="exact"/>
        <w:rPr>
          <w:sz w:val="20"/>
          <w:szCs w:val="20"/>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is expected to be in the range of $220.5 – $224.5 million, an increase of 34% from prior year at the midpoint.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8"/>
          <w:szCs w:val="18"/>
          <w:color w:val="auto"/>
        </w:rPr>
        <w:t>is expected to be in the range of $58.5 – $61.5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is expected to be in the range of $63.0 – $66.0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is expected to be $29.0 – $32.0 million.</w:t>
      </w:r>
    </w:p>
    <w:p>
      <w:pPr>
        <w:spacing w:after="0" w:line="130" w:lineRule="exact"/>
        <w:rPr>
          <w:rFonts w:ascii="Arial" w:cs="Arial" w:eastAsia="Arial" w:hAnsi="Arial"/>
          <w:sz w:val="18"/>
          <w:szCs w:val="18"/>
          <w:color w:val="auto"/>
        </w:rPr>
      </w:pPr>
    </w:p>
    <w:p>
      <w:pPr>
        <w:ind w:left="960" w:right="440" w:hanging="424"/>
        <w:spacing w:after="0" w:line="282"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Adjusted Net Income Per Diluted Share </w:t>
      </w:r>
      <w:r>
        <w:rPr>
          <w:rFonts w:ascii="Arial" w:cs="Arial" w:eastAsia="Arial" w:hAnsi="Arial"/>
          <w:sz w:val="18"/>
          <w:szCs w:val="18"/>
          <w:color w:val="auto"/>
        </w:rPr>
        <w:t>is expected to be $0.18– $0.21 on approximately 155.1 million weighted-average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w:t>
      </w:r>
    </w:p>
    <w:p>
      <w:pPr>
        <w:sectPr>
          <w:pgSz w:w="11900" w:h="16838" w:orient="portrait"/>
          <w:cols w:equalWidth="0" w:num="1">
            <w:col w:w="10840"/>
          </w:cols>
          <w:pgMar w:left="440" w:top="274" w:right="6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Conference Call Information</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Definitive Healthcare will host a conference call today, August 4, 2022, at 5:00 p.m. (Eastern Time) to discuss the Company’s financial results and current business outlook. To access the call, dial (844) 826-3033 (domestic) or (412) 317-5185 (international). The conference ID number is 10168289. Shortly after the conclusion of the call, a replay of this conference call will be available through August 18, 2022 at (844) 512-2921 (domestic) or (412) 317-6671 (international). The replay passcode is 10168289. A live audio webcast of the event will be available on the Definitive Healthcare’s Investor Relations website at </w:t>
      </w:r>
      <w:r>
        <w:rPr>
          <w:rFonts w:ascii="Arial" w:cs="Arial" w:eastAsia="Arial" w:hAnsi="Arial"/>
          <w:sz w:val="18"/>
          <w:szCs w:val="18"/>
          <w:u w:val="single" w:color="auto"/>
          <w:color w:val="auto"/>
        </w:rPr>
        <w:t>https://ir.definitivehc.com/</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Definitive Healthcare</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At Definitive Healthcare, our passion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press release may include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“should,” “may,” “anticipates,” “intends,” “plans,” “seeks,” “believes,” “estimates,” “expects”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market, industry and macroeconomic environment, our business, growth strategies, product development efforts and future expenses, customer growth and statements reflecting our expectations about our ability to execute on our strategic plans, achieve future growth and profitability and achieve our financial goals.</w:t>
      </w:r>
    </w:p>
    <w:p>
      <w:pPr>
        <w:sectPr>
          <w:pgSz w:w="11900" w:h="16838" w:orient="portrait"/>
          <w:cols w:equalWidth="0" w:num="1">
            <w:col w:w="10980"/>
          </w:cols>
          <w:pgMar w:left="440" w:top="270" w:right="479" w:bottom="1440" w:gutter="0" w:footer="0" w:header="0"/>
        </w:sectPr>
      </w:pPr>
    </w:p>
    <w:bookmarkStart w:id="7" w:name="page8"/>
    <w:bookmarkEnd w:id="7"/>
    <w:p>
      <w:pPr>
        <w:spacing w:after="0" w:line="285"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an outbreak of disease, global or localized health pandemic or epidemic, or the fear of such an event (such as the COVID-19 global pandemic), including the global economic uncertainty and measures taken in response; the short- and long-term effects of the COVID-19 global pandemic, including the pace of recovery or any future resurgence; uncertainty regarding ongoing hostility between Russia and Ukraine and the related impact on macroeconomic conditions, actual or potential changes in international, national, regional and local economic, business and financial conditions, including recession, inflation and higher interest rates; our inability to generate substantially all of our revenue and cash flows from sales of subscriptions to our platform and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risk that our recent growth rates may not be indicative of our future growth; the inability to achieve or sustain profitability in the future compared to historical levels as we increase investments in our business; the loss of our access to our data providers, which could negatively impact our platform; the failure to respond to advances in healthcare commercial intelligence; an inability to attract new customers and expand subscriptions of current customers; the risk of cyber-attacks and security vulnerabilities; and if our security measures are breached or unauthorized access to data is otherwise obtained, our platform may be perceived as not being secure, customers may reduce the use of or stop using our platform, and we may incur significant liabilities.</w:t>
      </w:r>
    </w:p>
    <w:p>
      <w:pPr>
        <w:sectPr>
          <w:pgSz w:w="11900" w:h="16838" w:orient="portrait"/>
          <w:cols w:equalWidth="0" w:num="1">
            <w:col w:w="11000"/>
          </w:cols>
          <w:pgMar w:left="440" w:top="274" w:right="45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For additional discussion of factors that could impact our operational and financial results, refer to our Quarterly Report on Form 10-Q for the three months ended June 30, 2022 that will be filed following this earnings release and our Annual Report on Form 10-K for the fiscal year ended December 31, 2021, and our subsequent SEC filings, which are or will be available on the Investor Relations page of our website at ir.definitivehc.com and on the SEC website at www.sec.gov.</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Any forward-looking statement made by us speaks only as of the date on which it is made. We undertake no obligation to publicly update any forward-looking statement, whether as a result of new information, future developments or otherwise, except as may be required by law.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i w:val="1"/>
          <w:iCs w:val="1"/>
          <w:color w:val="auto"/>
        </w:rPr>
        <w:t xml:space="preserve">Definitive Healthcare intends to use its website as a distribution channel of material company information. Financial and other important information regarding the Company is routinely posted on and accessible through the Company’s website at </w:t>
      </w:r>
      <w:r>
        <w:rPr>
          <w:rFonts w:ascii="Arial" w:cs="Arial" w:eastAsia="Arial" w:hAnsi="Arial"/>
          <w:sz w:val="16"/>
          <w:szCs w:val="16"/>
          <w:i w:val="1"/>
          <w:iCs w:val="1"/>
          <w:u w:val="single" w:color="auto"/>
          <w:color w:val="auto"/>
        </w:rPr>
        <w:t>https://www.definitivehc.com/.</w:t>
      </w:r>
      <w:r>
        <w:rPr>
          <w:rFonts w:ascii="Arial" w:cs="Arial" w:eastAsia="Arial" w:hAnsi="Arial"/>
          <w:sz w:val="16"/>
          <w:szCs w:val="16"/>
          <w:i w:val="1"/>
          <w:iCs w:val="1"/>
          <w:color w:val="auto"/>
        </w:rPr>
        <w:t xml:space="preserve"> Accordingly, you should monitor the investor relations portion of our website at </w:t>
      </w:r>
      <w:r>
        <w:rPr>
          <w:rFonts w:ascii="Arial" w:cs="Arial" w:eastAsia="Arial" w:hAnsi="Arial"/>
          <w:sz w:val="16"/>
          <w:szCs w:val="16"/>
          <w:i w:val="1"/>
          <w:iCs w:val="1"/>
          <w:u w:val="single" w:color="auto"/>
          <w:color w:val="auto"/>
        </w:rPr>
        <w:t>https://ir.definitivehc.com/</w:t>
      </w:r>
      <w:r>
        <w:rPr>
          <w:rFonts w:ascii="Arial" w:cs="Arial" w:eastAsia="Arial" w:hAnsi="Arial"/>
          <w:sz w:val="16"/>
          <w:szCs w:val="16"/>
          <w:i w:val="1"/>
          <w:iCs w:val="1"/>
          <w:color w:val="auto"/>
        </w:rPr>
        <w:t xml:space="preserve">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w:t>
      </w:r>
      <w:r>
        <w:rPr>
          <w:rFonts w:ascii="Arial" w:cs="Arial" w:eastAsia="Arial" w:hAnsi="Arial"/>
          <w:sz w:val="16"/>
          <w:szCs w:val="16"/>
          <w:i w:val="1"/>
          <w:iCs w:val="1"/>
          <w:u w:val="single" w:color="auto"/>
          <w:color w:val="auto"/>
        </w:rPr>
        <w:t>https://ir.definitivehc.com/</w:t>
      </w:r>
      <w:r>
        <w:rPr>
          <w:rFonts w:ascii="Arial" w:cs="Arial" w:eastAsia="Arial" w:hAnsi="Arial"/>
          <w:sz w:val="16"/>
          <w:szCs w:val="16"/>
          <w:i w:val="1"/>
          <w:iCs w:val="1"/>
          <w:color w:val="auto"/>
        </w:rPr>
        <w: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i w:val="1"/>
          <w:iCs w:val="1"/>
          <w:color w:val="auto"/>
        </w:rPr>
        <w:t>We have presented supplemental non-GAAP financial measures as part of this earnings release. We believe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 A reconciliation of GAAP to Non-GAAP results has been provided in the financial statement tables included at the end of this press release.</w:t>
      </w:r>
    </w:p>
    <w:p>
      <w:pPr>
        <w:sectPr>
          <w:pgSz w:w="11900" w:h="16838" w:orient="portrait"/>
          <w:cols w:equalWidth="0" w:num="1">
            <w:col w:w="10960"/>
          </w:cols>
          <w:pgMar w:left="440" w:top="274" w:right="499" w:bottom="1440" w:gutter="0" w:footer="0" w:header="0"/>
        </w:sectPr>
      </w:pPr>
    </w:p>
    <w:bookmarkStart w:id="9" w:name="page10"/>
    <w:bookmarkEnd w:id="9"/>
    <w:p>
      <w:pPr>
        <w:ind w:right="100" w:firstLine="440"/>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refer to Unlevered Free Cash Flow, Adjusted EBITDA, Adjusted EBITDA Margin, Adjusted Gross Profit, Adjusted Gross Margin, Adjusted Operating Income, Adjusted Net Income and Adjusted Net Income Per Diluted Share as non-GAAP financial measures. These non-GAAP financial measures are not prepared in accordance with generally accepted accounting principles in the U.S., (“GAAP”). These are supplemental financial measures of our performance and should not be considered substitutes for net (loss) income, gross profit or any other measure derived in accordance with GAAP.</w:t>
      </w:r>
    </w:p>
    <w:p>
      <w:pPr>
        <w:spacing w:after="0" w:line="18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i w:val="1"/>
          <w:iCs w:val="1"/>
          <w:color w:val="auto"/>
        </w:rPr>
        <w:t>We define Unlevered Free Cash Flow as net cash provided from operating activities less purchases of property, equipment and other assets, plus cash interest expense and cash payments related to transaction and restructuring related expenses, earnouts and other non-recurring items. Unlevered Free Cash Flow does not represent residual cash flow available for discretionary expenditures since, among other things, we have mandatory debt service requirements.</w:t>
      </w:r>
    </w:p>
    <w:p>
      <w:pPr>
        <w:spacing w:after="0" w:line="187"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i w:val="1"/>
          <w:iCs w:val="1"/>
          <w:color w:val="auto"/>
        </w:rPr>
        <w:t>We define EBITDA as earnings before debt-related costs, including interest expense, net and loss on extinguishment of debt, income taxes and depreciation and amortization. Adjusted EBITDA is defined as EBITDA adjusted to exclude certain items of a significant or unusual nature, including other income and expense, equity-based compensation, transaction and restructuring expenses and other non-recurring expenses.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p>
    <w:p>
      <w:pPr>
        <w:sectPr>
          <w:pgSz w:w="11900" w:h="16838" w:orient="portrait"/>
          <w:cols w:equalWidth="0" w:num="1">
            <w:col w:w="10840"/>
          </w:cols>
          <w:pgMar w:left="440" w:top="274" w:right="619" w:bottom="1440" w:gutter="0" w:footer="0" w:header="0"/>
        </w:sectPr>
      </w:pPr>
    </w:p>
    <w:bookmarkStart w:id="10" w:name="page11"/>
    <w:bookmarkEnd w:id="10"/>
    <w:p>
      <w:pPr>
        <w:ind w:firstLine="440"/>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define Adjusted Gross Profit as revenue less cost of revenue (excluding acquisition-related depreciation and amortization and equity compensation costs) and Adjusted Gross Margin means Adjusted Gross Profit as a percentage of revenue. Adjusted Gross Profit differs from gross profit, in that gross profit includes acquisition-related depreciation and amortization expense and equity compensation costs. Adjusted Gross Profit and Adjusted Gross Margin are key metrics used by management and our board of directors to assess our operations. We exclude acquisition-related depreciation and amortization expenses as they have no direct correlation to the cost of operating our business on an ongoing basis. A small quantity of equity-based compensation is included in cost of revenue in accordance with GAAP but is excluded from our Adjusted Gross Profit calculations due to its non-cash nature.</w:t>
      </w:r>
    </w:p>
    <w:p>
      <w:pPr>
        <w:spacing w:after="0" w:line="19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i w:val="1"/>
          <w:iCs w:val="1"/>
          <w:color w:val="auto"/>
        </w:rPr>
        <w:t>We define Adjusted Operating Income as income (loss) from operations plus acquisition related amortization, equity-based compensation, transaction and restructuring expenses and other non-recurring expenses.</w:t>
      </w:r>
    </w:p>
    <w:p>
      <w:pPr>
        <w:spacing w:after="0" w:line="170"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i w:val="1"/>
          <w:iCs w:val="1"/>
          <w:color w:val="auto"/>
        </w:rPr>
        <w:t>We define Adjusted Net Income as Adjusted Operating Income less interest expense, net, other expense, net, excluding TRA liability remeasurement expense and recurring income tax expense including the incremental tax effects of adjustments to arrive at Adjusted Operating Income. We define Adjusted Net Income Per Diluted Share as Adjusted Net Income divided by diluted outstanding shares.</w:t>
      </w:r>
    </w:p>
    <w:p>
      <w:pPr>
        <w:spacing w:after="0" w:line="16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i w:val="1"/>
          <w:iCs w:val="1"/>
          <w:color w:val="auto"/>
        </w:rPr>
        <w:t>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(loss) income from operations, net (loss) income, gross profit, earnings per share or any other performance measures derived in accordance with GAAP, or as measures of operating cash flows or liquidity.</w:t>
      </w:r>
    </w:p>
    <w:p>
      <w:pPr>
        <w:spacing w:after="0" w:line="192"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i w:val="1"/>
          <w:iCs w:val="1"/>
          <w:color w:val="auto"/>
        </w:rPr>
        <w:t>We do not provide a quantitative reconciliation of the forward-looking non-GAAP financial measures included in this press release to the most directly comparable GAAP measures due to the high variability and difficulty to predict certain items excluded from these non-GAAP financial measures; in particular, the effects of stock-based compensation expense, taxes and amounts under the exchange tax receivable agreement, deferred tax assets and deferred tax liabilities, and restructuring and transaction expenses. We expect the variability of these excluded items may have a significant, and potentially unpredictable, impact on our future GAAP financial results.</w:t>
      </w:r>
    </w:p>
    <w:p>
      <w:pPr>
        <w:sectPr>
          <w:pgSz w:w="11900" w:h="16838" w:orient="portrait"/>
          <w:cols w:equalWidth="0" w:num="1">
            <w:col w:w="10940"/>
          </w:cols>
          <w:pgMar w:left="440" w:top="274" w:right="519" w:bottom="1440" w:gutter="0" w:footer="0" w:header="0"/>
        </w:sectPr>
      </w:pPr>
    </w:p>
    <w:bookmarkStart w:id="11" w:name="page12"/>
    <w:bookmarkEnd w:id="11"/>
    <w:p>
      <w:pPr>
        <w:ind w:firstLine="44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evaluating our non-GAAP financial measures, you should be aware that in the future we may incur expenses similar to those eliminated in these presentations.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Brian Denyeau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ICR for Definitive Healthcare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brian.denyeau@icrinc.com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646-277-1251</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Danielle Johns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djohns@definitivehc.com</w:t>
      </w:r>
    </w:p>
    <w:p>
      <w:pPr>
        <w:sectPr>
          <w:pgSz w:w="11900" w:h="16838" w:orient="portrait"/>
          <w:cols w:equalWidth="0" w:num="1">
            <w:col w:w="11020"/>
          </w:cols>
          <w:pgMar w:left="440" w:top="274" w:right="4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Definitive Healthcare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number of shares and par value)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June 30, 2022</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2021</w:t>
            </w:r>
          </w:p>
        </w:tc>
      </w:tr>
      <w:tr>
        <w:trPr>
          <w:trHeight w:val="142"/>
        </w:trPr>
        <w:tc>
          <w:tcPr>
            <w:tcW w:w="8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i w:val="1"/>
                <w:iCs w:val="1"/>
                <w:color w:val="auto"/>
              </w:rPr>
              <w:t>(unaudited)</w:t>
            </w:r>
          </w:p>
        </w:tc>
        <w:tc>
          <w:tcPr>
            <w:tcW w:w="4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228,202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387,498</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118,216</w:t>
            </w: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31,734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43,336</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9,591</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6,518</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deferred contract costs</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8,469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6,880</w:t>
            </w:r>
          </w:p>
        </w:tc>
      </w:tr>
      <w:tr>
        <w:trPr>
          <w:trHeight w:val="223"/>
        </w:trPr>
        <w:tc>
          <w:tcPr>
            <w:tcW w:w="814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396,212</w:t>
            </w:r>
          </w:p>
        </w:tc>
        <w:tc>
          <w:tcPr>
            <w:tcW w:w="4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444,232</w:t>
            </w:r>
          </w:p>
        </w:tc>
        <w:tc>
          <w:tcPr>
            <w:tcW w:w="120" w:type="dxa"/>
            <w:vAlign w:val="bottom"/>
          </w:tcPr>
          <w:p>
            <w:pPr>
              <w:spacing w:after="0"/>
              <w:rPr>
                <w:sz w:val="19"/>
                <w:szCs w:val="19"/>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4,760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5,069</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10,552</w:t>
            </w: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3,243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8,431</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Deferred contract costs, net of current portion</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12,933</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11,667</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equity securities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32,675</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372,196</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352,470</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1,322,959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1,261,444</w:t>
            </w:r>
          </w:p>
        </w:tc>
      </w:tr>
      <w:tr>
        <w:trPr>
          <w:trHeight w:val="223"/>
        </w:trPr>
        <w:tc>
          <w:tcPr>
            <w:tcW w:w="814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$ 2,122,855</w:t>
            </w:r>
          </w:p>
        </w:tc>
        <w:tc>
          <w:tcPr>
            <w:tcW w:w="4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2,115,988</w:t>
            </w:r>
          </w:p>
        </w:tc>
        <w:tc>
          <w:tcPr>
            <w:tcW w:w="12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6,692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4,651</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14,682</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22,658</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deferred revenue</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88,714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83,611</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Current portion of term loan</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6,875</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6,875</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2,225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119,188</w:t>
            </w:r>
          </w:p>
        </w:tc>
        <w:tc>
          <w:tcPr>
            <w:tcW w:w="4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117,795</w:t>
            </w:r>
          </w:p>
        </w:tc>
        <w:tc>
          <w:tcPr>
            <w:tcW w:w="120" w:type="dxa"/>
            <w:vAlign w:val="bottom"/>
          </w:tcPr>
          <w:p>
            <w:pPr>
              <w:spacing w:after="0"/>
              <w:rPr>
                <w:sz w:val="19"/>
                <w:szCs w:val="19"/>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278</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412</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loan, net of current portion</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260,646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263,808</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Operating lease liabilities, net of current portion</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10,596</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receivable agreements liability</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155,900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153,529</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Deferred tax liabilities</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85,596</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75,888</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1,951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1,294</w:t>
            </w:r>
          </w:p>
        </w:tc>
      </w:tr>
      <w:tr>
        <w:trPr>
          <w:trHeight w:val="230"/>
        </w:trPr>
        <w:tc>
          <w:tcPr>
            <w:tcW w:w="814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634,155</w:t>
            </w:r>
          </w:p>
        </w:tc>
        <w:tc>
          <w:tcPr>
            <w:tcW w:w="4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612,726</w:t>
            </w:r>
          </w:p>
        </w:tc>
        <w:tc>
          <w:tcPr>
            <w:tcW w:w="120" w:type="dxa"/>
            <w:vAlign w:val="bottom"/>
          </w:tcPr>
          <w:p>
            <w:pPr>
              <w:spacing w:after="0"/>
              <w:rPr>
                <w:sz w:val="20"/>
                <w:szCs w:val="20"/>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140" w:type="dxa"/>
            <w:vAlign w:val="bottom"/>
          </w:tcPr>
          <w:p>
            <w:pPr>
              <w:ind w:left="360"/>
              <w:spacing w:after="0" w:line="201" w:lineRule="exact"/>
              <w:rPr>
                <w:sz w:val="20"/>
                <w:szCs w:val="20"/>
                <w:color w:val="auto"/>
              </w:rPr>
            </w:pPr>
            <w:r>
              <w:rPr>
                <w:rFonts w:ascii="Arial" w:cs="Arial" w:eastAsia="Arial" w:hAnsi="Arial"/>
                <w:sz w:val="18"/>
                <w:szCs w:val="18"/>
                <w:color w:val="auto"/>
                <w:w w:val="93"/>
              </w:rPr>
              <w:t>Class A Common Stock, par value $0.001, 600,000,000 shares authorized, 100,484,715 and 97,030,095</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140" w:type="dxa"/>
            <w:vAlign w:val="bottom"/>
          </w:tcPr>
          <w:p>
            <w:pPr>
              <w:ind w:left="540"/>
              <w:spacing w:after="0"/>
              <w:rPr>
                <w:sz w:val="20"/>
                <w:szCs w:val="20"/>
                <w:color w:val="auto"/>
              </w:rPr>
            </w:pPr>
            <w:r>
              <w:rPr>
                <w:rFonts w:ascii="Arial" w:cs="Arial" w:eastAsia="Arial" w:hAnsi="Arial"/>
                <w:sz w:val="18"/>
                <w:szCs w:val="18"/>
                <w:color w:val="auto"/>
              </w:rPr>
              <w:t>shares issued and outstanding at June 30, 2022 and December 31, 2021, respectively</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r>
      <w:tr>
        <w:trPr>
          <w:trHeight w:val="202"/>
        </w:trPr>
        <w:tc>
          <w:tcPr>
            <w:tcW w:w="81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Class B Common Stock, par value $0.00001, 65,000,000 shares authorized, 54,745,380 and 52,196,192</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1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shares issued and outstanding, respectively, at June 30, 2022, and 58,244,627 and 55,488,221 shares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issued and outstanding, respectively at December 31, 2021</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929,842</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890,724</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1,994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600" w:type="dxa"/>
            <w:vAlign w:val="bottom"/>
            <w:gridSpan w:val="3"/>
          </w:tcPr>
          <w:p>
            <w:pPr>
              <w:jc w:val="right"/>
              <w:ind w:right="360"/>
              <w:spacing w:after="0"/>
              <w:rPr>
                <w:sz w:val="20"/>
                <w:szCs w:val="20"/>
                <w:color w:val="auto"/>
              </w:rPr>
            </w:pPr>
            <w:r>
              <w:rPr>
                <w:rFonts w:ascii="Arial" w:cs="Arial" w:eastAsia="Arial" w:hAnsi="Arial"/>
                <w:sz w:val="18"/>
                <w:szCs w:val="18"/>
                <w:color w:val="auto"/>
              </w:rPr>
              <w:t>(31,451)</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(17,677)</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588,215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630,056</w:t>
            </w:r>
          </w:p>
        </w:tc>
      </w:tr>
      <w:tr>
        <w:trPr>
          <w:trHeight w:val="230"/>
        </w:trPr>
        <w:tc>
          <w:tcPr>
            <w:tcW w:w="8140" w:type="dxa"/>
            <w:vAlign w:val="bottom"/>
          </w:tcPr>
          <w:p>
            <w:pPr>
              <w:ind w:left="720"/>
              <w:spacing w:after="0"/>
              <w:rPr>
                <w:sz w:val="20"/>
                <w:szCs w:val="20"/>
                <w:color w:val="auto"/>
              </w:rPr>
            </w:pPr>
            <w:r>
              <w:rPr>
                <w:rFonts w:ascii="Arial" w:cs="Arial" w:eastAsia="Arial" w:hAnsi="Arial"/>
                <w:sz w:val="18"/>
                <w:szCs w:val="18"/>
                <w:b w:val="1"/>
                <w:bCs w:val="1"/>
                <w:color w:val="auto"/>
              </w:rPr>
              <w:t>Total equity</w:t>
            </w:r>
          </w:p>
        </w:tc>
        <w:tc>
          <w:tcPr>
            <w:tcW w:w="3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1,488,700</w:t>
            </w:r>
          </w:p>
        </w:tc>
        <w:tc>
          <w:tcPr>
            <w:tcW w:w="4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1,503,262</w:t>
            </w:r>
          </w:p>
        </w:tc>
        <w:tc>
          <w:tcPr>
            <w:tcW w:w="120" w:type="dxa"/>
            <w:vAlign w:val="bottom"/>
          </w:tcPr>
          <w:p>
            <w:pPr>
              <w:spacing w:after="0"/>
              <w:rPr>
                <w:sz w:val="20"/>
                <w:szCs w:val="20"/>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$ 2,122,855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2,115,988</w:t>
            </w:r>
          </w:p>
        </w:tc>
      </w:tr>
      <w:tr>
        <w:trPr>
          <w:trHeight w:val="20"/>
        </w:trPr>
        <w:tc>
          <w:tcPr>
            <w:tcW w:w="8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Definitive Healthcare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amounts and per share data;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9"/>
          </w:tcPr>
          <w:p>
            <w:pPr>
              <w:jc w:val="right"/>
              <w:ind w:right="160"/>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Pr>
          <w:p>
            <w:pPr>
              <w:spacing w:after="0"/>
              <w:rPr>
                <w:sz w:val="14"/>
                <w:szCs w:val="14"/>
                <w:color w:val="auto"/>
              </w:rPr>
            </w:pPr>
          </w:p>
        </w:tc>
        <w:tc>
          <w:tcPr>
            <w:tcW w:w="184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260" w:type="dxa"/>
            <w:vAlign w:val="bottom"/>
            <w:tcBorders>
              <w:bottom w:val="single" w:sz="8" w:color="CCEEFF"/>
            </w:tcBorders>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39,821</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76"/>
              <w:spacing w:after="0"/>
              <w:rPr>
                <w:sz w:val="20"/>
                <w:szCs w:val="20"/>
                <w:color w:val="auto"/>
              </w:rPr>
            </w:pPr>
            <w:r>
              <w:rPr>
                <w:rFonts w:ascii="Arial" w:cs="Arial" w:eastAsia="Arial" w:hAnsi="Arial"/>
                <w:sz w:val="4"/>
                <w:szCs w:val="4"/>
                <w:color w:val="auto"/>
                <w:w w:val="8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104,672</w:t>
            </w: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76,757</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56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Cost of revenue exclusive of amortization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12,148</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5,580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10,958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10,540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5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42,770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29,952</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81,566</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57,451</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56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Sales and marketing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12,884</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44,878</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24,627</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560" w:type="dxa"/>
            <w:vAlign w:val="bottom"/>
          </w:tcPr>
          <w:p>
            <w:pPr>
              <w:ind w:left="100"/>
              <w:spacing w:after="0" w:line="216" w:lineRule="exact"/>
              <w:rPr>
                <w:sz w:val="20"/>
                <w:szCs w:val="20"/>
                <w:color w:val="auto"/>
              </w:rPr>
            </w:pPr>
            <w:r>
              <w:rPr>
                <w:rFonts w:ascii="Arial" w:cs="Arial" w:eastAsia="Arial" w:hAnsi="Arial"/>
                <w:sz w:val="17"/>
                <w:szCs w:val="17"/>
                <w:color w:val="auto"/>
              </w:rPr>
              <w:t xml:space="preserve">Product development </w:t>
            </w:r>
            <w:r>
              <w:rPr>
                <w:rFonts w:ascii="Arial" w:cs="Arial" w:eastAsia="Arial" w:hAnsi="Arial"/>
                <w:sz w:val="25"/>
                <w:szCs w:val="25"/>
                <w:color w:val="auto"/>
                <w:vertAlign w:val="superscript"/>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8,706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15,556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56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General and administrative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19,846</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11,011</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10,194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20,068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19,054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Transaction and restructuring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3,417</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656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53,984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103,765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66,232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5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(6,623)</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(22,199)</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(8,781)</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3,901</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(2,580)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(8,316)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(4,464)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(16,770)</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income (expense), net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(8,416)</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(563)</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(16,746)</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560" w:type="dxa"/>
            <w:vAlign w:val="bottom"/>
          </w:tcPr>
          <w:p>
            <w:pPr>
              <w:ind w:left="820"/>
              <w:spacing w:after="0"/>
              <w:rPr>
                <w:sz w:val="20"/>
                <w:szCs w:val="20"/>
                <w:color w:val="auto"/>
              </w:rPr>
            </w:pPr>
            <w:r>
              <w:rPr>
                <w:rFonts w:ascii="Arial" w:cs="Arial" w:eastAsia="Arial" w:hAnsi="Arial"/>
                <w:sz w:val="18"/>
                <w:szCs w:val="18"/>
                <w:color w:val="auto"/>
              </w:rPr>
              <w:t>Net loss before income taxes</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(9,792)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(15,039)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(22,762)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(25,527)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6560" w:type="dxa"/>
            <w:vAlign w:val="bottom"/>
          </w:tcPr>
          <w:p>
            <w:pPr>
              <w:ind w:left="82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(9,579)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(22,636)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(25,527)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Less: Net loss attributable to Definitive OpCo prior to the Reorganization Transactions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(15,039)</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(25,527)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Less: Net loss attributable to noncontrolling interests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(4,429)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(8,862)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5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loss attributable to Definitive Healthcare Corp.</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(5,150)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(13,774)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of Class A Common Stock:</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Basic and 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30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(0.14)</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Class A Common Stock outstanding:</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Basic and diluted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99,203,697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98,186,909</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3"/>
                <w:szCs w:val="13"/>
                <w:color w:val="auto"/>
              </w:rPr>
              <w:t>(1)</w:t>
            </w:r>
          </w:p>
        </w:tc>
        <w:tc>
          <w:tcPr>
            <w:tcW w:w="6560" w:type="dxa"/>
            <w:vAlign w:val="bottom"/>
            <w:vMerge w:val="restart"/>
          </w:tcPr>
          <w:p>
            <w:pPr>
              <w:ind w:left="160"/>
              <w:spacing w:after="0"/>
              <w:rPr>
                <w:sz w:val="20"/>
                <w:szCs w:val="20"/>
                <w:color w:val="auto"/>
              </w:rPr>
            </w:pPr>
            <w:r>
              <w:rPr>
                <w:rFonts w:ascii="Arial" w:cs="Arial" w:eastAsia="Arial" w:hAnsi="Arial"/>
                <w:sz w:val="18"/>
                <w:szCs w:val="18"/>
                <w:color w:val="auto"/>
              </w:rPr>
              <w:t>Amounts include equity-based compensation expense as follows:</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60" w:type="dxa"/>
            <w:vAlign w:val="bottom"/>
            <w:vMerge w:val="continue"/>
          </w:tcPr>
          <w:p>
            <w:pPr>
              <w:spacing w:after="0"/>
              <w:rPr>
                <w:sz w:val="24"/>
                <w:szCs w:val="24"/>
                <w:color w:val="auto"/>
              </w:rPr>
            </w:pPr>
          </w:p>
        </w:tc>
        <w:tc>
          <w:tcPr>
            <w:tcW w:w="6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9"/>
          </w:tcPr>
          <w:p>
            <w:pPr>
              <w:jc w:val="right"/>
              <w:ind w:right="140"/>
              <w:spacing w:after="0"/>
              <w:rPr>
                <w:sz w:val="20"/>
                <w:szCs w:val="20"/>
                <w:color w:val="auto"/>
              </w:rPr>
            </w:pPr>
            <w:r>
              <w:rPr>
                <w:rFonts w:ascii="Arial" w:cs="Arial" w:eastAsia="Arial" w:hAnsi="Arial"/>
                <w:sz w:val="14"/>
                <w:szCs w:val="14"/>
                <w:b w:val="1"/>
                <w:bCs w:val="1"/>
                <w:color w:val="auto"/>
                <w:w w:val="94"/>
              </w:rPr>
              <w:t>Three Months Ended June 30,</w:t>
            </w:r>
          </w:p>
        </w:tc>
        <w:tc>
          <w:tcPr>
            <w:tcW w:w="120" w:type="dxa"/>
            <w:vAlign w:val="bottom"/>
          </w:tcPr>
          <w:p>
            <w:pPr>
              <w:spacing w:after="0"/>
              <w:rPr>
                <w:sz w:val="24"/>
                <w:szCs w:val="24"/>
                <w:color w:val="auto"/>
              </w:rPr>
            </w:pPr>
          </w:p>
        </w:tc>
        <w:tc>
          <w:tcPr>
            <w:tcW w:w="184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60" w:type="dxa"/>
            <w:vAlign w:val="bottom"/>
            <w:tcBorders>
              <w:bottom w:val="single" w:sz="8" w:color="CCEEFF"/>
            </w:tcBorders>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60" w:type="dxa"/>
            <w:vAlign w:val="bottom"/>
            <w:shd w:val="clear" w:color="auto" w:fill="CCEEFF"/>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5,056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Product development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3,483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equity-based compensation expense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9,005</w:t>
            </w:r>
          </w:p>
        </w:tc>
        <w:tc>
          <w:tcPr>
            <w:tcW w:w="1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1,615</w:t>
            </w:r>
          </w:p>
        </w:tc>
        <w:tc>
          <w:tcPr>
            <w:tcW w:w="30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15,877</w:t>
            </w: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Definitive Healthcare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204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3"/>
              </w:rPr>
              <w:t>Three Months Ended June 30,</w:t>
            </w:r>
          </w:p>
        </w:tc>
        <w:tc>
          <w:tcPr>
            <w:tcW w:w="80" w:type="dxa"/>
            <w:vAlign w:val="bottom"/>
          </w:tcPr>
          <w:p>
            <w:pPr>
              <w:spacing w:after="0"/>
              <w:rPr>
                <w:sz w:val="14"/>
                <w:szCs w:val="14"/>
                <w:color w:val="auto"/>
              </w:rPr>
            </w:pPr>
          </w:p>
        </w:tc>
        <w:tc>
          <w:tcPr>
            <w:tcW w:w="186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70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0"/>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0"/>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(9,579)</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(15,039)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(22,636)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(25,527)</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741</w:t>
            </w: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28,853</w:t>
            </w:r>
          </w:p>
        </w:tc>
      </w:tr>
      <w:tr>
        <w:trPr>
          <w:trHeight w:val="216"/>
        </w:trPr>
        <w:tc>
          <w:tcPr>
            <w:tcW w:w="7040" w:type="dxa"/>
            <w:vAlign w:val="bottom"/>
          </w:tcPr>
          <w:p>
            <w:pPr>
              <w:ind w:left="720"/>
              <w:spacing w:after="0"/>
              <w:rPr>
                <w:sz w:val="20"/>
                <w:szCs w:val="20"/>
                <w:color w:val="auto"/>
              </w:rPr>
            </w:pPr>
            <w:r>
              <w:rPr>
                <w:rFonts w:ascii="Arial" w:cs="Arial" w:eastAsia="Arial" w:hAnsi="Arial"/>
                <w:sz w:val="18"/>
                <w:szCs w:val="18"/>
                <w:color w:val="auto"/>
              </w:rPr>
              <w:t>Amortization of deferred contract costs</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2,116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3,991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1,902</w:t>
            </w: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Equity-based compensation</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2,021</w:t>
            </w:r>
          </w:p>
        </w:tc>
      </w:tr>
      <w:tr>
        <w:trPr>
          <w:trHeight w:val="216"/>
        </w:trPr>
        <w:tc>
          <w:tcPr>
            <w:tcW w:w="704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1,047</w:t>
            </w: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r>
      <w:tr>
        <w:trPr>
          <w:trHeight w:val="216"/>
        </w:trPr>
        <w:tc>
          <w:tcPr>
            <w:tcW w:w="7040" w:type="dxa"/>
            <w:vAlign w:val="bottom"/>
          </w:tcPr>
          <w:p>
            <w:pPr>
              <w:ind w:left="720"/>
              <w:spacing w:after="0"/>
              <w:rPr>
                <w:sz w:val="20"/>
                <w:szCs w:val="20"/>
                <w:color w:val="auto"/>
              </w:rPr>
            </w:pPr>
            <w:r>
              <w:rPr>
                <w:rFonts w:ascii="Arial" w:cs="Arial" w:eastAsia="Arial" w:hAnsi="Arial"/>
                <w:sz w:val="18"/>
                <w:szCs w:val="18"/>
                <w:color w:val="auto"/>
              </w:rPr>
              <w:t>Non-cash restructuring charges related to office leases</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Tax receivable agreement remeasurement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tcPr>
          <w:p>
            <w:pPr>
              <w:ind w:left="720"/>
              <w:spacing w:after="0"/>
              <w:rPr>
                <w:sz w:val="20"/>
                <w:szCs w:val="20"/>
                <w:color w:val="auto"/>
              </w:rPr>
            </w:pPr>
            <w:r>
              <w:rPr>
                <w:rFonts w:ascii="Arial" w:cs="Arial" w:eastAsia="Arial" w:hAnsi="Arial"/>
                <w:sz w:val="18"/>
                <w:szCs w:val="18"/>
                <w:color w:val="auto"/>
              </w:rPr>
              <w:t>Changes in fair value of contingent consideration</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3,381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3,381</w:t>
            </w: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10,476</w:t>
            </w:r>
          </w:p>
        </w:tc>
      </w:tr>
      <w:tr>
        <w:trPr>
          <w:trHeight w:val="216"/>
        </w:trPr>
        <w:tc>
          <w:tcPr>
            <w:tcW w:w="70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1,319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(614)</w:t>
            </w: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contract costs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(6,042)</w:t>
            </w:r>
          </w:p>
        </w:tc>
      </w:tr>
      <w:tr>
        <w:trPr>
          <w:trHeight w:val="216"/>
        </w:trPr>
        <w:tc>
          <w:tcPr>
            <w:tcW w:w="7040" w:type="dxa"/>
            <w:vAlign w:val="bottom"/>
          </w:tcPr>
          <w:p>
            <w:pPr>
              <w:ind w:left="720"/>
              <w:spacing w:after="0"/>
              <w:rPr>
                <w:sz w:val="20"/>
                <w:szCs w:val="20"/>
                <w:color w:val="auto"/>
              </w:rPr>
            </w:pPr>
            <w:r>
              <w:rPr>
                <w:rFonts w:ascii="Arial" w:cs="Arial" w:eastAsia="Arial" w:hAnsi="Arial"/>
                <w:sz w:val="18"/>
                <w:szCs w:val="18"/>
                <w:color w:val="auto"/>
              </w:rPr>
              <w:t>Contingent consideration accrual</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(6,400)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 accrued expenses and other current liabilities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(2,119)</w:t>
            </w:r>
          </w:p>
        </w:tc>
      </w:tr>
      <w:tr>
        <w:trPr>
          <w:trHeight w:val="216"/>
        </w:trPr>
        <w:tc>
          <w:tcPr>
            <w:tcW w:w="704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(4,571)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(2,516)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1,678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7,927</w:t>
            </w:r>
          </w:p>
        </w:tc>
      </w:tr>
      <w:tr>
        <w:trPr>
          <w:trHeight w:val="27"/>
        </w:trPr>
        <w:tc>
          <w:tcPr>
            <w:tcW w:w="7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21,941</w:t>
            </w:r>
          </w:p>
        </w:tc>
      </w:tr>
      <w:tr>
        <w:trPr>
          <w:trHeight w:val="223"/>
        </w:trPr>
        <w:tc>
          <w:tcPr>
            <w:tcW w:w="70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equipment and other assets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(5,222)</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(53,398)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(162,957)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Maturities of short-term investments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Cash paid for acquisitions, net of cash acquired</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(56,499)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7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(177,033)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(5,222)</w:t>
            </w:r>
          </w:p>
        </w:tc>
      </w:tr>
      <w:tr>
        <w:trPr>
          <w:trHeight w:val="223"/>
        </w:trPr>
        <w:tc>
          <w:tcPr>
            <w:tcW w:w="70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term loans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(2,340)</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Payment of contingent consideration</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of equity offering issuance costs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(1,394)</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Member contributions</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5,500</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Member distributions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(3,328)</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(11,124)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(3,062)</w:t>
            </w:r>
          </w:p>
        </w:tc>
        <w:tc>
          <w:tcPr>
            <w:tcW w:w="120" w:type="dxa"/>
            <w:vAlign w:val="bottom"/>
          </w:tcPr>
          <w:p>
            <w:pPr>
              <w:spacing w:after="0"/>
              <w:rPr>
                <w:sz w:val="20"/>
                <w:szCs w:val="20"/>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(159,043)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13,657</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229,795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387,498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24,774</w:t>
            </w:r>
          </w:p>
        </w:tc>
      </w:tr>
      <w:tr>
        <w:trPr>
          <w:trHeight w:val="223"/>
        </w:trPr>
        <w:tc>
          <w:tcPr>
            <w:tcW w:w="7040" w:type="dxa"/>
            <w:vAlign w:val="bottom"/>
          </w:tcPr>
          <w:p>
            <w:pPr>
              <w:ind w:left="36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228,202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228,202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38,438</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disclosures: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ind w:left="720"/>
              <w:spacing w:after="0"/>
              <w:rPr>
                <w:sz w:val="20"/>
                <w:szCs w:val="20"/>
                <w:color w:val="auto"/>
              </w:rPr>
            </w:pPr>
            <w:r>
              <w:rPr>
                <w:rFonts w:ascii="Arial" w:cs="Arial" w:eastAsia="Arial" w:hAnsi="Arial"/>
                <w:sz w:val="18"/>
                <w:szCs w:val="18"/>
                <w:color w:val="auto"/>
              </w:rPr>
              <w:t>Cash paid during the period for:</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2,579</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15,972</w:t>
            </w:r>
          </w:p>
        </w:tc>
      </w:tr>
      <w:tr>
        <w:trPr>
          <w:trHeight w:val="216"/>
        </w:trPr>
        <w:tc>
          <w:tcPr>
            <w:tcW w:w="7040" w:type="dxa"/>
            <w:vAlign w:val="bottom"/>
          </w:tcPr>
          <w:p>
            <w:pPr>
              <w:ind w:left="1080"/>
              <w:spacing w:after="0"/>
              <w:rPr>
                <w:sz w:val="20"/>
                <w:szCs w:val="20"/>
                <w:color w:val="auto"/>
              </w:rPr>
            </w:pPr>
            <w:r>
              <w:rPr>
                <w:rFonts w:ascii="Arial" w:cs="Arial" w:eastAsia="Arial" w:hAnsi="Arial"/>
                <w:sz w:val="18"/>
                <w:szCs w:val="18"/>
                <w:color w:val="auto"/>
              </w:rPr>
              <w:t>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r>
      <w:tr>
        <w:trPr>
          <w:trHeight w:val="216"/>
        </w:trPr>
        <w:tc>
          <w:tcPr>
            <w:tcW w:w="70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Acquisitions: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ind w:left="1440"/>
              <w:spacing w:after="0"/>
              <w:rPr>
                <w:sz w:val="20"/>
                <w:szCs w:val="20"/>
                <w:color w:val="auto"/>
              </w:rPr>
            </w:pPr>
            <w:r>
              <w:rPr>
                <w:rFonts w:ascii="Arial" w:cs="Arial" w:eastAsia="Arial" w:hAnsi="Arial"/>
                <w:sz w:val="18"/>
                <w:szCs w:val="18"/>
                <w:color w:val="auto"/>
              </w:rPr>
              <w:t>Net assets acquired, net of cash acquired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97,499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Initial cash investment in prior year</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tcPr>
          <w:p>
            <w:pPr>
              <w:ind w:left="1440"/>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7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04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Net cash paid for acquisitions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0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activities: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Capital expenditures included in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Unpaid public offering costs included in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2,426</w:t>
            </w:r>
          </w:p>
        </w:tc>
      </w:tr>
    </w:tbl>
    <w:p>
      <w:pPr>
        <w:sectPr>
          <w:pgSz w:w="11900" w:h="16838" w:orient="portrait"/>
          <w:cols w:equalWidth="0" w:num="1">
            <w:col w:w="11020"/>
          </w:cols>
          <w:pgMar w:left="440" w:top="270" w:right="439" w:bottom="1440" w:gutter="0" w:footer="0" w:header="0"/>
        </w:sectPr>
      </w:pPr>
    </w:p>
    <w:bookmarkStart w:id="15" w:name="page16"/>
    <w:bookmarkEnd w:id="1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Definitive Healthcare Corp.</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Reconciliations of Non-GAAP Financial Measures to Closest GAAP Equivalent</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Reconciliation of GAAP Operating Cash Flow to Unlevered Free Cash Flow</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(in thousands; unaudited)</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Three Months Ended June 30,</w:t>
            </w:r>
          </w:p>
        </w:tc>
        <w:tc>
          <w:tcPr>
            <w:tcW w:w="184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42"/>
        </w:trPr>
        <w:tc>
          <w:tcPr>
            <w:tcW w:w="566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29,114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21,941</w:t>
            </w:r>
          </w:p>
        </w:tc>
        <w:tc>
          <w:tcPr>
            <w:tcW w:w="120" w:type="dxa"/>
            <w:vAlign w:val="bottom"/>
            <w:shd w:val="clear" w:color="auto" w:fill="CCEEFF"/>
          </w:tcPr>
          <w:p>
            <w:pPr>
              <w:spacing w:after="0"/>
              <w:rPr>
                <w:sz w:val="18"/>
                <w:szCs w:val="18"/>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Purchases of property, equipment and other assets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(783)</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(1,380)</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(1,577)</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(5,222)</w:t>
            </w: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 in cash</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4,350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15,972</w:t>
            </w:r>
          </w:p>
        </w:tc>
      </w:tr>
      <w:tr>
        <w:trPr>
          <w:trHeight w:val="216"/>
        </w:trPr>
        <w:tc>
          <w:tcPr>
            <w:tcW w:w="566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Transaction and restructuring expenses paid in cash </w:t>
            </w:r>
            <w:r>
              <w:rPr>
                <w:rFonts w:ascii="Arial" w:cs="Arial" w:eastAsia="Arial" w:hAnsi="Arial"/>
                <w:sz w:val="25"/>
                <w:szCs w:val="25"/>
                <w:color w:val="auto"/>
                <w:vertAlign w:val="superscript"/>
              </w:rPr>
              <w:t>(a)</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1,185</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2,495</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r>
      <w:tr>
        <w:trPr>
          <w:trHeight w:val="216"/>
        </w:trPr>
        <w:tc>
          <w:tcPr>
            <w:tcW w:w="566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Earnout payment </w:t>
            </w:r>
            <w:r>
              <w:rPr>
                <w:rFonts w:ascii="Arial" w:cs="Arial" w:eastAsia="Arial" w:hAnsi="Arial"/>
                <w:sz w:val="25"/>
                <w:szCs w:val="25"/>
                <w:color w:val="auto"/>
                <w:vertAlign w:val="superscript"/>
              </w:rPr>
              <w:t>(b)</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Other non-recurring items </w:t>
            </w:r>
            <w:r>
              <w:rPr>
                <w:rFonts w:ascii="Arial" w:cs="Arial" w:eastAsia="Arial" w:hAnsi="Arial"/>
                <w:sz w:val="25"/>
                <w:szCs w:val="25"/>
                <w:color w:val="auto"/>
                <w:vertAlign w:val="superscript"/>
              </w:rPr>
              <w:t>(c)</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595</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1,069</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2,191</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2,164</w:t>
            </w:r>
          </w:p>
        </w:tc>
      </w:tr>
      <w:tr>
        <w:trPr>
          <w:trHeight w:val="27"/>
        </w:trPr>
        <w:tc>
          <w:tcPr>
            <w:tcW w:w="5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Unlevered Free Cash Flow</w:t>
            </w:r>
          </w:p>
        </w:tc>
        <w:tc>
          <w:tcPr>
            <w:tcW w:w="15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16,086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42,973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34,943</w:t>
            </w:r>
          </w:p>
        </w:tc>
      </w:tr>
      <w:tr>
        <w:trPr>
          <w:trHeight w:val="20"/>
        </w:trPr>
        <w:tc>
          <w:tcPr>
            <w:tcW w:w="5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680" w:hanging="424"/>
        <w:spacing w:after="0" w:line="258"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 expenses paid in cash primarily represent legal, accounting and consulting expenses related to our acquisitions. Restructuring expenses paid in cash primarily represent rent and exit costs related to office relocations.</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Earnout payment represents final settlement of contingent consideration included in cash flow from operations.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Reconciliation of GAAP Net Loss to Adjusted Net Income and</w:t>
      </w:r>
    </w:p>
    <w:p>
      <w:pPr>
        <w:spacing w:after="0" w:line="23" w:lineRule="exact"/>
        <w:rPr>
          <w:sz w:val="20"/>
          <w:szCs w:val="20"/>
          <w:color w:val="auto"/>
        </w:rPr>
      </w:pPr>
    </w:p>
    <w:p>
      <w:pPr>
        <w:ind w:left="3664"/>
        <w:spacing w:after="0"/>
        <w:rPr>
          <w:sz w:val="20"/>
          <w:szCs w:val="20"/>
          <w:color w:val="auto"/>
        </w:rPr>
      </w:pPr>
      <w:r>
        <w:rPr>
          <w:rFonts w:ascii="Arial" w:cs="Arial" w:eastAsia="Arial" w:hAnsi="Arial"/>
          <w:sz w:val="18"/>
          <w:szCs w:val="18"/>
          <w:color w:val="auto"/>
        </w:rPr>
        <w:t>GAAP Operating Loss to Adjusted Operating Loss</w:t>
      </w:r>
    </w:p>
    <w:p>
      <w:pPr>
        <w:spacing w:after="0" w:line="9" w:lineRule="exact"/>
        <w:rPr>
          <w:sz w:val="20"/>
          <w:szCs w:val="20"/>
          <w:color w:val="auto"/>
        </w:rPr>
      </w:pPr>
    </w:p>
    <w:p>
      <w:pPr>
        <w:ind w:left="3644"/>
        <w:spacing w:after="0"/>
        <w:rPr>
          <w:sz w:val="20"/>
          <w:szCs w:val="20"/>
          <w:color w:val="auto"/>
        </w:rPr>
      </w:pPr>
      <w:r>
        <w:rPr>
          <w:rFonts w:ascii="Arial" w:cs="Arial" w:eastAsia="Arial" w:hAnsi="Arial"/>
          <w:sz w:val="18"/>
          <w:szCs w:val="18"/>
          <w:color w:val="auto"/>
        </w:rPr>
        <w:t>(in thousands, except per share amounts; unaudited)</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6"/>
              </w:rPr>
              <w:t>Three Months Ended June 30,</w:t>
            </w:r>
          </w:p>
        </w:tc>
        <w:tc>
          <w:tcPr>
            <w:tcW w:w="100" w:type="dxa"/>
            <w:vAlign w:val="bottom"/>
          </w:tcPr>
          <w:p>
            <w:pPr>
              <w:spacing w:after="0"/>
              <w:rPr>
                <w:sz w:val="14"/>
                <w:szCs w:val="14"/>
                <w:color w:val="auto"/>
              </w:rPr>
            </w:pPr>
          </w:p>
        </w:tc>
        <w:tc>
          <w:tcPr>
            <w:tcW w:w="20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63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09"/>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(25,527)</w:t>
            </w:r>
          </w:p>
        </w:tc>
        <w:tc>
          <w:tcPr>
            <w:tcW w:w="120" w:type="dxa"/>
            <w:vAlign w:val="bottom"/>
            <w:shd w:val="clear" w:color="auto" w:fill="CCEEFF"/>
          </w:tcPr>
          <w:p>
            <w:pPr>
              <w:spacing w:after="0"/>
              <w:rPr>
                <w:sz w:val="18"/>
                <w:szCs w:val="18"/>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Add: Income tax provision (benefit)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Interest expense, net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8,316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16,770</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Add: Other expense (income),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(4,002)</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(11,214)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(8,781)</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w w:val="95"/>
              </w:rPr>
              <w:t>Add: Amortization of intangible assets acquired through business combinations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14,769</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14,250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29,220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28,342</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Equity-based compensation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2,021</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Add: Transaction and restructuring expenses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2,107</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3,469</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Other non-recurring items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2,164</w:t>
            </w:r>
          </w:p>
        </w:tc>
      </w:tr>
      <w:tr>
        <w:trPr>
          <w:trHeight w:val="223"/>
        </w:trPr>
        <w:tc>
          <w:tcPr>
            <w:tcW w:w="6360" w:type="dxa"/>
            <w:vAlign w:val="bottom"/>
          </w:tcPr>
          <w:p>
            <w:pPr>
              <w:ind w:left="720"/>
              <w:spacing w:after="0"/>
              <w:rPr>
                <w:sz w:val="20"/>
                <w:szCs w:val="20"/>
                <w:color w:val="auto"/>
              </w:rPr>
            </w:pPr>
            <w:r>
              <w:rPr>
                <w:rFonts w:ascii="Arial" w:cs="Arial" w:eastAsia="Arial" w:hAnsi="Arial"/>
                <w:sz w:val="18"/>
                <w:szCs w:val="18"/>
                <w:b w:val="1"/>
                <w:bCs w:val="1"/>
                <w:color w:val="auto"/>
              </w:rPr>
              <w:t>Adjusted Operating Income</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15,262</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13,742</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27,215</w:t>
            </w:r>
          </w:p>
        </w:tc>
        <w:tc>
          <w:tcPr>
            <w:tcW w:w="120" w:type="dxa"/>
            <w:vAlign w:val="bottom"/>
          </w:tcPr>
          <w:p>
            <w:pPr>
              <w:spacing w:after="0"/>
              <w:rPr>
                <w:sz w:val="19"/>
                <w:szCs w:val="19"/>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Interest expense, net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(16,770)</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Less: Recurring income tax benefit (provision)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Foreign currency gain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Less: Tax impacts of adjustments to net income (loss)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(4,587)</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(3,299)</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(8,748)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(5,832)</w:t>
            </w: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Adjusted Net Income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8,919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4,637</w:t>
            </w:r>
          </w:p>
        </w:tc>
      </w:tr>
      <w:tr>
        <w:trPr>
          <w:trHeight w:val="223"/>
        </w:trPr>
        <w:tc>
          <w:tcPr>
            <w:tcW w:w="6360" w:type="dxa"/>
            <w:vAlign w:val="bottom"/>
          </w:tcPr>
          <w:p>
            <w:pPr>
              <w:spacing w:after="0" w:line="223" w:lineRule="exact"/>
              <w:rPr>
                <w:sz w:val="20"/>
                <w:szCs w:val="20"/>
                <w:color w:val="auto"/>
              </w:rPr>
            </w:pPr>
            <w:r>
              <w:rPr>
                <w:rFonts w:ascii="Arial" w:cs="Arial" w:eastAsia="Arial" w:hAnsi="Arial"/>
                <w:sz w:val="17"/>
                <w:szCs w:val="17"/>
                <w:color w:val="auto"/>
              </w:rPr>
              <w:t xml:space="preserve">Shares for Adjusted Net Income Per Diluted Share </w:t>
            </w:r>
            <w:r>
              <w:rPr>
                <w:rFonts w:ascii="Arial" w:cs="Arial" w:eastAsia="Arial" w:hAnsi="Arial"/>
                <w:sz w:val="25"/>
                <w:szCs w:val="25"/>
                <w:color w:val="auto"/>
                <w:vertAlign w:val="superscript"/>
              </w:rPr>
              <w:t>(a)</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154,658,469</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154,422,508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Share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424" w:right="200" w:hanging="424"/>
        <w:spacing w:after="0" w:line="279"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Diluted Adjusted Net Income Per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158,992,716 as of June 30, 2022.</w:t>
      </w:r>
    </w:p>
    <w:p>
      <w:pPr>
        <w:spacing w:after="0" w:line="1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Reconciliation of Adjusted EBITDA to GAAP Net Loss</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(in thousands; unaudited)</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212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3"/>
              </w:rPr>
              <w:t>Three Months Ended June 30,</w:t>
            </w:r>
          </w:p>
        </w:tc>
        <w:tc>
          <w:tcPr>
            <w:tcW w:w="80" w:type="dxa"/>
            <w:vAlign w:val="bottom"/>
          </w:tcPr>
          <w:p>
            <w:pPr>
              <w:spacing w:after="0"/>
              <w:rPr>
                <w:sz w:val="14"/>
                <w:szCs w:val="14"/>
                <w:color w:val="auto"/>
              </w:rPr>
            </w:pPr>
          </w:p>
        </w:tc>
        <w:tc>
          <w:tcPr>
            <w:tcW w:w="19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42"/>
        </w:trPr>
        <w:tc>
          <w:tcPr>
            <w:tcW w:w="68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r>
      <w:tr>
        <w:trPr>
          <w:trHeight w:val="209"/>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(9,579)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(22,636)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(25,527)</w:t>
            </w:r>
          </w:p>
        </w:tc>
        <w:tc>
          <w:tcPr>
            <w:tcW w:w="2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8,316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4,464</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16,770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15,774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14,907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31,026</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29,594</w:t>
            </w:r>
          </w:p>
        </w:tc>
      </w:tr>
      <w:tr>
        <w:trPr>
          <w:trHeight w:val="27"/>
        </w:trPr>
        <w:tc>
          <w:tcPr>
            <w:tcW w:w="6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12,728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20,837</w:t>
            </w:r>
          </w:p>
        </w:tc>
      </w:tr>
      <w:tr>
        <w:trPr>
          <w:trHeight w:val="216"/>
        </w:trPr>
        <w:tc>
          <w:tcPr>
            <w:tcW w:w="6880" w:type="dxa"/>
            <w:vAlign w:val="bottom"/>
          </w:tcPr>
          <w:p>
            <w:pPr>
              <w:spacing w:after="0" w:line="216" w:lineRule="exact"/>
              <w:rPr>
                <w:sz w:val="20"/>
                <w:szCs w:val="20"/>
                <w:color w:val="auto"/>
              </w:rPr>
            </w:pPr>
            <w:r>
              <w:rPr>
                <w:rFonts w:ascii="Arial" w:cs="Arial" w:eastAsia="Arial" w:hAnsi="Arial"/>
                <w:sz w:val="17"/>
                <w:szCs w:val="17"/>
                <w:color w:val="auto"/>
              </w:rPr>
              <w:t xml:space="preserve">Other (income) expense, net </w:t>
            </w:r>
            <w:r>
              <w:rPr>
                <w:rFonts w:ascii="Arial" w:cs="Arial" w:eastAsia="Arial" w:hAnsi="Arial"/>
                <w:sz w:val="25"/>
                <w:szCs w:val="25"/>
                <w:color w:val="auto"/>
                <w:vertAlign w:val="superscript"/>
              </w:rPr>
              <w:t>(a)</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(4,002)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(3,901)</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r>
      <w:tr>
        <w:trPr>
          <w:trHeight w:val="216"/>
        </w:trPr>
        <w:tc>
          <w:tcPr>
            <w:tcW w:w="68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Equity-based compensation </w:t>
            </w:r>
            <w:r>
              <w:rPr>
                <w:rFonts w:ascii="Arial" w:cs="Arial" w:eastAsia="Arial" w:hAnsi="Arial"/>
                <w:sz w:val="25"/>
                <w:szCs w:val="25"/>
                <w:color w:val="auto"/>
                <w:vertAlign w:val="superscript"/>
              </w:rPr>
              <w:t>(b)</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15,877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2,021</w:t>
            </w:r>
          </w:p>
        </w:tc>
      </w:tr>
      <w:tr>
        <w:trPr>
          <w:trHeight w:val="216"/>
        </w:trPr>
        <w:tc>
          <w:tcPr>
            <w:tcW w:w="6880" w:type="dxa"/>
            <w:vAlign w:val="bottom"/>
          </w:tcPr>
          <w:p>
            <w:pPr>
              <w:spacing w:after="0" w:line="216" w:lineRule="exact"/>
              <w:rPr>
                <w:sz w:val="20"/>
                <w:szCs w:val="20"/>
                <w:color w:val="auto"/>
              </w:rPr>
            </w:pPr>
            <w:r>
              <w:rPr>
                <w:rFonts w:ascii="Arial" w:cs="Arial" w:eastAsia="Arial" w:hAnsi="Arial"/>
                <w:sz w:val="17"/>
                <w:szCs w:val="17"/>
                <w:color w:val="auto"/>
              </w:rPr>
              <w:t xml:space="preserve">Transaction and restructuring expenses </w:t>
            </w:r>
            <w:r>
              <w:rPr>
                <w:rFonts w:ascii="Arial" w:cs="Arial" w:eastAsia="Arial" w:hAnsi="Arial"/>
                <w:sz w:val="25"/>
                <w:szCs w:val="25"/>
                <w:color w:val="auto"/>
                <w:vertAlign w:val="superscript"/>
              </w:rPr>
              <w:t>(c )</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3,431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3,417</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3,469</w:t>
            </w:r>
          </w:p>
        </w:tc>
      </w:tr>
      <w:tr>
        <w:trPr>
          <w:trHeight w:val="216"/>
        </w:trPr>
        <w:tc>
          <w:tcPr>
            <w:tcW w:w="68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Other non-recurring items </w:t>
            </w:r>
            <w:r>
              <w:rPr>
                <w:rFonts w:ascii="Arial" w:cs="Arial" w:eastAsia="Arial" w:hAnsi="Arial"/>
                <w:sz w:val="25"/>
                <w:szCs w:val="25"/>
                <w:color w:val="auto"/>
                <w:vertAlign w:val="superscript"/>
              </w:rPr>
              <w:t>(d)</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2,164</w:t>
            </w:r>
          </w:p>
        </w:tc>
      </w:tr>
      <w:tr>
        <w:trPr>
          <w:trHeight w:val="223"/>
        </w:trPr>
        <w:tc>
          <w:tcPr>
            <w:tcW w:w="68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16,267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30,312</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28,467</w:t>
            </w:r>
          </w:p>
        </w:tc>
        <w:tc>
          <w:tcPr>
            <w:tcW w:w="220" w:type="dxa"/>
            <w:vAlign w:val="bottom"/>
          </w:tcPr>
          <w:p>
            <w:pPr>
              <w:spacing w:after="0"/>
              <w:rPr>
                <w:sz w:val="19"/>
                <w:szCs w:val="19"/>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54,548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104,672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76,757</w:t>
            </w:r>
          </w:p>
        </w:tc>
      </w:tr>
      <w:tr>
        <w:trPr>
          <w:trHeight w:val="216"/>
        </w:trPr>
        <w:tc>
          <w:tcPr>
            <w:tcW w:w="6880" w:type="dxa"/>
            <w:vAlign w:val="bottom"/>
          </w:tcPr>
          <w:p>
            <w:pPr>
              <w:spacing w:after="0"/>
              <w:rPr>
                <w:sz w:val="20"/>
                <w:szCs w:val="20"/>
                <w:color w:val="auto"/>
              </w:rPr>
            </w:pPr>
            <w:r>
              <w:rPr>
                <w:rFonts w:ascii="Arial" w:cs="Arial" w:eastAsia="Arial" w:hAnsi="Arial"/>
                <w:sz w:val="18"/>
                <w:szCs w:val="18"/>
                <w:b w:val="1"/>
                <w:bCs w:val="1"/>
                <w:color w:val="auto"/>
              </w:rPr>
              <w:t>Adjusted EBITDA margin</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r>
        <w:trPr>
          <w:trHeight w:val="20"/>
        </w:trPr>
        <w:tc>
          <w:tcPr>
            <w:tcW w:w="6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Primarily represents foreign exchange and TRA liability remeasurement gains and losses.</w:t>
      </w:r>
    </w:p>
    <w:p>
      <w:pPr>
        <w:spacing w:after="0" w:line="23" w:lineRule="exact"/>
        <w:rPr>
          <w:rFonts w:ascii="Arial" w:cs="Arial" w:eastAsia="Arial" w:hAnsi="Arial"/>
          <w:sz w:val="18"/>
          <w:szCs w:val="18"/>
          <w:color w:val="auto"/>
        </w:rPr>
      </w:pPr>
    </w:p>
    <w:p>
      <w:pPr>
        <w:ind w:left="424" w:right="440" w:hanging="424"/>
        <w:spacing w:after="0" w:line="250"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Equity-based compensation represents non-cash compensation expense recognized in association with equity awards made to employees and directors.</w:t>
      </w:r>
    </w:p>
    <w:p>
      <w:pPr>
        <w:ind w:left="424" w:right="20" w:hanging="424"/>
        <w:spacing w:after="0" w:line="265"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Transaction expenses primarily represent legal, accounting and consulting expenses and fair value adjustments for contingent consideration related to our acquisitions. Restructuring expenses relate to impairment and restructuring charges related to office relocations.</w:t>
      </w: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w:t>
      </w:r>
    </w:p>
    <w:p>
      <w:pPr>
        <w:sectPr>
          <w:pgSz w:w="11900" w:h="16838" w:orient="portrait"/>
          <w:cols w:equalWidth="0" w:num="1">
            <w:col w:w="11024"/>
          </w:cols>
          <w:pgMar w:left="436" w:top="270" w:right="439" w:bottom="0" w:gutter="0" w:footer="0" w:header="0"/>
        </w:sectPr>
      </w:pPr>
    </w:p>
    <w:bookmarkStart w:id="16" w:name="page17"/>
    <w:bookmarkEnd w:id="16"/>
    <w:p>
      <w:pPr>
        <w:jc w:val="center"/>
        <w:ind w:right="-3"/>
        <w:spacing w:after="0"/>
        <w:rPr>
          <w:sz w:val="20"/>
          <w:szCs w:val="20"/>
          <w:color w:val="auto"/>
        </w:rPr>
      </w:pPr>
      <w:r>
        <w:rPr>
          <w:rFonts w:ascii="Arial" w:cs="Arial" w:eastAsia="Arial" w:hAnsi="Arial"/>
          <w:sz w:val="18"/>
          <w:szCs w:val="18"/>
          <w:color w:val="auto"/>
        </w:rPr>
        <w:t>Reconciliation of Adjusted Gross Profit to GAAP Gross Profit</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(in thousands; unaudited)</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212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3"/>
              </w:rPr>
              <w:t>Three Months Ended June 30,</w:t>
            </w:r>
          </w:p>
        </w:tc>
        <w:tc>
          <w:tcPr>
            <w:tcW w:w="80" w:type="dxa"/>
            <w:vAlign w:val="bottom"/>
          </w:tcPr>
          <w:p>
            <w:pPr>
              <w:spacing w:after="0"/>
              <w:rPr>
                <w:sz w:val="14"/>
                <w:szCs w:val="14"/>
                <w:color w:val="auto"/>
              </w:rPr>
            </w:pPr>
          </w:p>
        </w:tc>
        <w:tc>
          <w:tcPr>
            <w:tcW w:w="1940" w:type="dxa"/>
            <w:vAlign w:val="bottom"/>
            <w:gridSpan w:val="7"/>
          </w:tcPr>
          <w:p>
            <w:pPr>
              <w:ind w:left="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8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r>
      <w:tr>
        <w:trPr>
          <w:trHeight w:val="209"/>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Reported gross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57,451</w:t>
            </w:r>
          </w:p>
        </w:tc>
        <w:tc>
          <w:tcPr>
            <w:tcW w:w="220" w:type="dxa"/>
            <w:vAlign w:val="bottom"/>
            <w:shd w:val="clear" w:color="auto" w:fill="CCEEFF"/>
          </w:tcPr>
          <w:p>
            <w:pPr>
              <w:spacing w:after="0"/>
              <w:rPr>
                <w:sz w:val="18"/>
                <w:szCs w:val="18"/>
                <w:color w:val="auto"/>
              </w:rPr>
            </w:pP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8"/>
              </w:rPr>
              <w:t>Amortization of intangible assets resulting from acquisition-related purchase accounting</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68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6"/>
                <w:szCs w:val="26"/>
                <w:color w:val="auto"/>
                <w:vertAlign w:val="superscript"/>
              </w:rPr>
              <w:t>(a)</w:t>
            </w:r>
          </w:p>
        </w:tc>
        <w:tc>
          <w:tcPr>
            <w:tcW w:w="16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5,302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5,042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10,404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10,029</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Equity-based compensation</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31</w:t>
            </w:r>
          </w:p>
        </w:tc>
      </w:tr>
      <w:tr>
        <w:trPr>
          <w:trHeight w:val="223"/>
        </w:trPr>
        <w:tc>
          <w:tcPr>
            <w:tcW w:w="6880" w:type="dxa"/>
            <w:vAlign w:val="bottom"/>
          </w:tcPr>
          <w:p>
            <w:pPr>
              <w:spacing w:after="0"/>
              <w:rPr>
                <w:sz w:val="20"/>
                <w:szCs w:val="20"/>
                <w:color w:val="auto"/>
              </w:rPr>
            </w:pPr>
            <w:r>
              <w:rPr>
                <w:rFonts w:ascii="Arial" w:cs="Arial" w:eastAsia="Arial" w:hAnsi="Arial"/>
                <w:sz w:val="18"/>
                <w:szCs w:val="18"/>
                <w:b w:val="1"/>
                <w:bCs w:val="1"/>
                <w:color w:val="auto"/>
              </w:rPr>
              <w:t>Adjusted Gross Profit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48,302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92,432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3"/>
              </w:rPr>
              <w:t>67,511</w:t>
            </w:r>
          </w:p>
        </w:tc>
        <w:tc>
          <w:tcPr>
            <w:tcW w:w="220" w:type="dxa"/>
            <w:vAlign w:val="bottom"/>
          </w:tcPr>
          <w:p>
            <w:pPr>
              <w:spacing w:after="0"/>
              <w:rPr>
                <w:sz w:val="19"/>
                <w:szCs w:val="19"/>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54,548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104,672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76,757</w:t>
            </w:r>
          </w:p>
        </w:tc>
      </w:tr>
      <w:tr>
        <w:trPr>
          <w:trHeight w:val="216"/>
        </w:trPr>
        <w:tc>
          <w:tcPr>
            <w:tcW w:w="6880" w:type="dxa"/>
            <w:vAlign w:val="bottom"/>
          </w:tcPr>
          <w:p>
            <w:pPr>
              <w:spacing w:after="0"/>
              <w:rPr>
                <w:sz w:val="20"/>
                <w:szCs w:val="20"/>
                <w:color w:val="auto"/>
              </w:rPr>
            </w:pPr>
            <w:r>
              <w:rPr>
                <w:rFonts w:ascii="Arial" w:cs="Arial" w:eastAsia="Arial" w:hAnsi="Arial"/>
                <w:sz w:val="18"/>
                <w:szCs w:val="18"/>
                <w:b w:val="1"/>
                <w:bCs w:val="1"/>
                <w:color w:val="auto"/>
              </w:rPr>
              <w:t>Adjusted Gross Margin</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88%</w:t>
            </w:r>
          </w:p>
        </w:tc>
      </w:tr>
      <w:tr>
        <w:trPr>
          <w:trHeight w:val="20"/>
        </w:trPr>
        <w:tc>
          <w:tcPr>
            <w:tcW w:w="6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560" w:hanging="424"/>
        <w:spacing w:after="0" w:line="277"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sectPr>
      <w:pgSz w:w="11900" w:h="16838" w:orient="portrait"/>
      <w:cols w:equalWidth="0" w:num="1">
        <w:col w:w="11024"/>
      </w:cols>
      <w:pgMar w:left="436"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2022-08-04T15:49:33Z</dcterms:created>
  <dcterms:modified xsi:type="dcterms:W3CDTF">2022-08-04T15:49:33Z</dcterms:modified>
</cp:coreProperties>
</file>