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8"/>
          <w:szCs w:val="18"/>
          <w:b w:val="1"/>
          <w:bCs w:val="1"/>
          <w:color w:val="auto"/>
        </w:rPr>
        <w:t>As filed with the Securities and Exchange Commission on February 27, 2023</w:t>
      </w:r>
    </w:p>
    <w:p>
      <w:pPr>
        <w:spacing w:after="0" w:line="27" w:lineRule="exact"/>
        <w:rPr>
          <w:sz w:val="24"/>
          <w:szCs w:val="24"/>
          <w:color w:val="auto"/>
        </w:rPr>
      </w:pPr>
    </w:p>
    <w:p>
      <w:pPr>
        <w:ind w:left="884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4"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S–8</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REGISTRATION STATEMENT</w:t>
      </w:r>
    </w:p>
    <w:p>
      <w:pPr>
        <w:jc w:val="center"/>
        <w:ind w:right="-39"/>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Definitive Healthcare Corp.</w:t>
      </w:r>
    </w:p>
    <w:p>
      <w:pPr>
        <w:spacing w:after="0" w:line="5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380" w:type="dxa"/>
        <w:tblCellMar>
          <w:top w:w="0" w:type="dxa"/>
          <w:left w:w="0" w:type="dxa"/>
          <w:bottom w:w="0" w:type="dxa"/>
          <w:right w:w="0" w:type="dxa"/>
        </w:tblCellMar>
      </w:tblPr>
      <w:tr>
        <w:trPr>
          <w:trHeight w:val="212"/>
        </w:trPr>
        <w:tc>
          <w:tcPr>
            <w:tcW w:w="4600" w:type="dxa"/>
            <w:vAlign w:val="bottom"/>
          </w:tcPr>
          <w:p>
            <w:pPr>
              <w:jc w:val="center"/>
              <w:ind w:right="1719"/>
              <w:spacing w:after="0"/>
              <w:rPr>
                <w:sz w:val="20"/>
                <w:szCs w:val="20"/>
                <w:color w:val="auto"/>
              </w:rPr>
            </w:pPr>
            <w:r>
              <w:rPr>
                <w:rFonts w:ascii="Arial" w:cs="Arial" w:eastAsia="Arial" w:hAnsi="Arial"/>
                <w:sz w:val="18"/>
                <w:szCs w:val="18"/>
                <w:b w:val="1"/>
                <w:bCs w:val="1"/>
                <w:color w:val="auto"/>
                <w:w w:val="91"/>
              </w:rPr>
              <w:t>Delaware</w:t>
            </w:r>
          </w:p>
        </w:tc>
        <w:tc>
          <w:tcPr>
            <w:tcW w:w="2920" w:type="dxa"/>
            <w:vAlign w:val="bottom"/>
          </w:tcPr>
          <w:p>
            <w:pPr>
              <w:jc w:val="right"/>
              <w:ind w:right="41"/>
              <w:spacing w:after="0"/>
              <w:rPr>
                <w:sz w:val="20"/>
                <w:szCs w:val="20"/>
                <w:color w:val="auto"/>
              </w:rPr>
            </w:pPr>
            <w:r>
              <w:rPr>
                <w:rFonts w:ascii="Arial" w:cs="Arial" w:eastAsia="Arial" w:hAnsi="Arial"/>
                <w:sz w:val="18"/>
                <w:szCs w:val="18"/>
                <w:b w:val="1"/>
                <w:bCs w:val="1"/>
                <w:color w:val="auto"/>
              </w:rPr>
              <w:t>81-3988281</w:t>
            </w:r>
          </w:p>
        </w:tc>
      </w:tr>
      <w:tr>
        <w:trPr>
          <w:trHeight w:val="148"/>
        </w:trPr>
        <w:tc>
          <w:tcPr>
            <w:tcW w:w="4600" w:type="dxa"/>
            <w:vAlign w:val="bottom"/>
          </w:tcPr>
          <w:p>
            <w:pPr>
              <w:jc w:val="center"/>
              <w:ind w:right="171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2920" w:type="dxa"/>
            <w:vAlign w:val="bottom"/>
          </w:tcPr>
          <w:p>
            <w:pPr>
              <w:jc w:val="center"/>
              <w:ind w:left="172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600" w:type="dxa"/>
            <w:vAlign w:val="bottom"/>
          </w:tcPr>
          <w:p>
            <w:pPr>
              <w:jc w:val="center"/>
              <w:ind w:right="1719"/>
              <w:spacing w:after="0"/>
              <w:rPr>
                <w:sz w:val="20"/>
                <w:szCs w:val="20"/>
                <w:color w:val="auto"/>
              </w:rPr>
            </w:pPr>
            <w:r>
              <w:rPr>
                <w:rFonts w:ascii="Arial" w:cs="Arial" w:eastAsia="Arial" w:hAnsi="Arial"/>
                <w:sz w:val="14"/>
                <w:szCs w:val="14"/>
                <w:b w:val="1"/>
                <w:bCs w:val="1"/>
                <w:color w:val="auto"/>
                <w:w w:val="94"/>
              </w:rPr>
              <w:t>incorporation or organization)</w:t>
            </w:r>
          </w:p>
        </w:tc>
        <w:tc>
          <w:tcPr>
            <w:tcW w:w="2920" w:type="dxa"/>
            <w:vAlign w:val="bottom"/>
          </w:tcPr>
          <w:p>
            <w:pPr>
              <w:jc w:val="center"/>
              <w:ind w:left="1721"/>
              <w:spacing w:after="0"/>
              <w:rPr>
                <w:sz w:val="20"/>
                <w:szCs w:val="20"/>
                <w:color w:val="auto"/>
              </w:rPr>
            </w:pPr>
            <w:r>
              <w:rPr>
                <w:rFonts w:ascii="Arial" w:cs="Arial" w:eastAsia="Arial" w:hAnsi="Arial"/>
                <w:sz w:val="14"/>
                <w:szCs w:val="14"/>
                <w:b w:val="1"/>
                <w:bCs w:val="1"/>
                <w:color w:val="auto"/>
                <w:w w:val="94"/>
              </w:rPr>
              <w:t>Identification No.)</w:t>
            </w:r>
          </w:p>
        </w:tc>
      </w:tr>
      <w:tr>
        <w:trPr>
          <w:trHeight w:val="412"/>
        </w:trPr>
        <w:tc>
          <w:tcPr>
            <w:tcW w:w="4600" w:type="dxa"/>
            <w:vAlign w:val="bottom"/>
          </w:tcPr>
          <w:p>
            <w:pPr>
              <w:jc w:val="center"/>
              <w:ind w:right="1739"/>
              <w:spacing w:after="0"/>
              <w:rPr>
                <w:sz w:val="20"/>
                <w:szCs w:val="20"/>
                <w:color w:val="auto"/>
              </w:rPr>
            </w:pPr>
            <w:r>
              <w:rPr>
                <w:rFonts w:ascii="Arial" w:cs="Arial" w:eastAsia="Arial" w:hAnsi="Arial"/>
                <w:sz w:val="18"/>
                <w:szCs w:val="18"/>
                <w:b w:val="1"/>
                <w:bCs w:val="1"/>
                <w:color w:val="auto"/>
                <w:w w:val="90"/>
              </w:rPr>
              <w:t>492 Old Connecticut Path, Suite 401</w:t>
            </w:r>
          </w:p>
        </w:tc>
        <w:tc>
          <w:tcPr>
            <w:tcW w:w="2920" w:type="dxa"/>
            <w:vAlign w:val="bottom"/>
          </w:tcPr>
          <w:p>
            <w:pPr>
              <w:spacing w:after="0"/>
              <w:rPr>
                <w:sz w:val="24"/>
                <w:szCs w:val="24"/>
                <w:color w:val="auto"/>
              </w:rPr>
            </w:pPr>
          </w:p>
        </w:tc>
      </w:tr>
      <w:tr>
        <w:trPr>
          <w:trHeight w:val="225"/>
        </w:trPr>
        <w:tc>
          <w:tcPr>
            <w:tcW w:w="4600" w:type="dxa"/>
            <w:vAlign w:val="bottom"/>
          </w:tcPr>
          <w:p>
            <w:pPr>
              <w:jc w:val="center"/>
              <w:ind w:right="1719"/>
              <w:spacing w:after="0"/>
              <w:rPr>
                <w:sz w:val="20"/>
                <w:szCs w:val="20"/>
                <w:color w:val="auto"/>
              </w:rPr>
            </w:pPr>
            <w:r>
              <w:rPr>
                <w:rFonts w:ascii="Arial" w:cs="Arial" w:eastAsia="Arial" w:hAnsi="Arial"/>
                <w:sz w:val="18"/>
                <w:szCs w:val="18"/>
                <w:b w:val="1"/>
                <w:bCs w:val="1"/>
                <w:color w:val="auto"/>
                <w:w w:val="95"/>
              </w:rPr>
              <w:t>Framingham, MA</w:t>
            </w:r>
          </w:p>
        </w:tc>
        <w:tc>
          <w:tcPr>
            <w:tcW w:w="2920" w:type="dxa"/>
            <w:vAlign w:val="bottom"/>
          </w:tcPr>
          <w:p>
            <w:pPr>
              <w:jc w:val="right"/>
              <w:ind w:right="261"/>
              <w:spacing w:after="0"/>
              <w:rPr>
                <w:sz w:val="20"/>
                <w:szCs w:val="20"/>
                <w:color w:val="auto"/>
              </w:rPr>
            </w:pPr>
            <w:r>
              <w:rPr>
                <w:rFonts w:ascii="Arial" w:cs="Arial" w:eastAsia="Arial" w:hAnsi="Arial"/>
                <w:sz w:val="18"/>
                <w:szCs w:val="18"/>
                <w:b w:val="1"/>
                <w:bCs w:val="1"/>
                <w:color w:val="auto"/>
              </w:rPr>
              <w:t>01701</w:t>
            </w:r>
          </w:p>
        </w:tc>
      </w:tr>
      <w:tr>
        <w:trPr>
          <w:trHeight w:val="186"/>
        </w:trPr>
        <w:tc>
          <w:tcPr>
            <w:tcW w:w="4600" w:type="dxa"/>
            <w:vAlign w:val="bottom"/>
          </w:tcPr>
          <w:p>
            <w:pPr>
              <w:jc w:val="center"/>
              <w:ind w:right="173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920" w:type="dxa"/>
            <w:vAlign w:val="bottom"/>
          </w:tcPr>
          <w:p>
            <w:pPr>
              <w:jc w:val="center"/>
              <w:ind w:left="1721"/>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Definitive Healthcare Corp. 2021 Equity Incentive Plan</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(Full Title of Plans)</w:t>
      </w:r>
    </w:p>
    <w:p>
      <w:pPr>
        <w:spacing w:after="0" w:line="19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Matthew W. Ruderman</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Acting Chief Legal Officer</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492 Old Connecticut Path, Suite 401</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Framingham, MA 01701</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(508) 720-4224</w:t>
      </w:r>
    </w:p>
    <w:p>
      <w:pPr>
        <w:spacing w:after="0" w:line="2"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19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Copies to:</w:t>
      </w:r>
    </w:p>
    <w:p>
      <w:pPr>
        <w:spacing w:after="0" w:line="11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Jason Kent</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Jean Park</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Shari Ness</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Cooley LLP</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55 Hudson Yards</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New York, NY 10001</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(212) 479-6000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237490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69" w:lineRule="exact"/>
        <w:rPr>
          <w:sz w:val="24"/>
          <w:szCs w:val="24"/>
          <w:color w:val="auto"/>
        </w:rPr>
      </w:pPr>
    </w:p>
    <w:p>
      <w:pPr>
        <w:ind w:right="8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8"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800" w:type="dxa"/>
            <w:vAlign w:val="bottom"/>
          </w:tcPr>
          <w:p>
            <w:pPr>
              <w:spacing w:after="0"/>
              <w:rPr>
                <w:sz w:val="20"/>
                <w:szCs w:val="20"/>
                <w:color w:val="auto"/>
              </w:rPr>
            </w:pPr>
            <w:r>
              <w:rPr>
                <w:rFonts w:ascii="Arial" w:cs="Arial" w:eastAsia="Arial" w:hAnsi="Arial"/>
                <w:sz w:val="18"/>
                <w:szCs w:val="18"/>
                <w:color w:val="auto"/>
                <w:w w:val="99"/>
              </w:rPr>
              <w:t>Large 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Arial" w:cs="Arial" w:eastAsia="Arial" w:hAnsi="Arial"/>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Arial" w:cs="Arial" w:eastAsia="Arial" w:hAnsi="Arial"/>
                <w:sz w:val="18"/>
                <w:szCs w:val="18"/>
                <w:color w:val="auto"/>
              </w:rPr>
              <w:t>Non-accelerated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Arial" w:cs="Arial" w:eastAsia="Arial" w:hAnsi="Arial"/>
                <w:sz w:val="18"/>
                <w:szCs w:val="18"/>
                <w:color w:val="auto"/>
                <w:w w:val="98"/>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300" w:type="dxa"/>
            <w:vAlign w:val="bottom"/>
          </w:tcPr>
          <w:p>
            <w:pPr>
              <w:ind w:left="3160"/>
              <w:spacing w:after="0"/>
              <w:rPr>
                <w:sz w:val="20"/>
                <w:szCs w:val="20"/>
                <w:color w:val="auto"/>
              </w:rPr>
            </w:pPr>
            <w:r>
              <w:rPr>
                <w:rFonts w:ascii="Arial" w:cs="Arial" w:eastAsia="Arial" w:hAnsi="Arial"/>
                <w:sz w:val="18"/>
                <w:szCs w:val="18"/>
                <w:color w:val="auto"/>
                <w:w w:val="99"/>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ind w:right="2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133350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176530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60"/>
          </w:cols>
          <w:pgMar w:left="440" w:top="229" w:right="499" w:bottom="1440" w:gutter="0" w:footer="0" w:header="0"/>
        </w:sectPr>
      </w:pPr>
    </w:p>
    <w:bookmarkStart w:id="1" w:name="page2"/>
    <w:bookmarkEnd w:id="1"/>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EXPLANATORY NOTE</w:t>
      </w:r>
    </w:p>
    <w:p>
      <w:pPr>
        <w:spacing w:after="0" w:line="229" w:lineRule="exact"/>
        <w:rPr>
          <w:sz w:val="20"/>
          <w:szCs w:val="20"/>
          <w:color w:val="auto"/>
        </w:rPr>
      </w:pPr>
    </w:p>
    <w:p>
      <w:pPr>
        <w:ind w:left="4" w:right="80"/>
        <w:spacing w:after="0" w:line="288" w:lineRule="auto"/>
        <w:rPr>
          <w:sz w:val="20"/>
          <w:szCs w:val="20"/>
          <w:color w:val="auto"/>
        </w:rPr>
      </w:pPr>
      <w:r>
        <w:rPr>
          <w:rFonts w:ascii="Arial" w:cs="Arial" w:eastAsia="Arial" w:hAnsi="Arial"/>
          <w:sz w:val="16"/>
          <w:szCs w:val="16"/>
          <w:color w:val="auto"/>
        </w:rPr>
        <w:t>The Definitive Healthcare Corp. 2021 Equity Incentive Plan (the “</w:t>
      </w:r>
      <w:r>
        <w:rPr>
          <w:rFonts w:ascii="Arial" w:cs="Arial" w:eastAsia="Arial" w:hAnsi="Arial"/>
          <w:sz w:val="16"/>
          <w:szCs w:val="16"/>
          <w:b w:val="1"/>
          <w:bCs w:val="1"/>
          <w:i w:val="1"/>
          <w:iCs w:val="1"/>
          <w:color w:val="auto"/>
        </w:rPr>
        <w:t>2021 Plan</w:t>
      </w:r>
      <w:r>
        <w:rPr>
          <w:rFonts w:ascii="Arial" w:cs="Arial" w:eastAsia="Arial" w:hAnsi="Arial"/>
          <w:sz w:val="16"/>
          <w:szCs w:val="16"/>
          <w:color w:val="auto"/>
        </w:rPr>
        <w:t>) provides that the total number of shares reserved for issuance under the 2021 Plan will automatically increase on the first day of each fiscal year of the Company during the term of the Plan, commencing on January 1, 2023 and ending on (and including) January 1, 2032 by a number equal to the least of (i) 5% of the total number of shares of Definitive Healthcare Corp. (the “</w:t>
      </w:r>
      <w:r>
        <w:rPr>
          <w:rFonts w:ascii="Arial" w:cs="Arial" w:eastAsia="Arial" w:hAnsi="Arial"/>
          <w:sz w:val="16"/>
          <w:szCs w:val="16"/>
          <w:b w:val="1"/>
          <w:bCs w:val="1"/>
          <w:i w:val="1"/>
          <w:iCs w:val="1"/>
          <w:color w:val="auto"/>
        </w:rPr>
        <w:t>Registrant</w:t>
      </w:r>
      <w:r>
        <w:rPr>
          <w:rFonts w:ascii="Arial" w:cs="Arial" w:eastAsia="Arial" w:hAnsi="Arial"/>
          <w:sz w:val="16"/>
          <w:szCs w:val="16"/>
          <w:color w:val="auto"/>
        </w:rPr>
        <w:t>”) Class A Common Stock (“</w:t>
      </w:r>
      <w:r>
        <w:rPr>
          <w:rFonts w:ascii="Arial" w:cs="Arial" w:eastAsia="Arial" w:hAnsi="Arial"/>
          <w:sz w:val="16"/>
          <w:szCs w:val="16"/>
          <w:b w:val="1"/>
          <w:bCs w:val="1"/>
          <w:i w:val="1"/>
          <w:iCs w:val="1"/>
          <w:color w:val="auto"/>
        </w:rPr>
        <w:t>Common Stock</w:t>
      </w:r>
      <w:r>
        <w:rPr>
          <w:rFonts w:ascii="Arial" w:cs="Arial" w:eastAsia="Arial" w:hAnsi="Arial"/>
          <w:sz w:val="16"/>
          <w:szCs w:val="16"/>
          <w:color w:val="auto"/>
        </w:rPr>
        <w:t>”) actually issued and outstanding on the last day of the preceding fiscal year, (ii) a number of shares of Common Stock determined by the Registrant’s board of directors, and (iii) 8,989,039 shares of Common Stock. Accordingly, on January 1, 2023, the number of shares of the Registrant’s Common Stock that may be issued under the 2021 Plan increased by an additional 5,256,914 shares (or, 5% of the outstanding shares of the Registrant’s Common Stock as of December 31, 2022). This Registration Statement on Form S-8 is being filed for the purpose of registering these additional shares reserved for issuance under the 2021 Plan. These additional shares of Common Stock are securities of the same class as other securities for which a Registration Statement on Form S-8 (File No. 333-259535) (the “</w:t>
      </w:r>
      <w:r>
        <w:rPr>
          <w:rFonts w:ascii="Arial" w:cs="Arial" w:eastAsia="Arial" w:hAnsi="Arial"/>
          <w:sz w:val="16"/>
          <w:szCs w:val="16"/>
          <w:b w:val="1"/>
          <w:bCs w:val="1"/>
          <w:i w:val="1"/>
          <w:iCs w:val="1"/>
          <w:color w:val="auto"/>
        </w:rPr>
        <w:t>Prior Form S-8</w:t>
      </w:r>
      <w:r>
        <w:rPr>
          <w:rFonts w:ascii="Arial" w:cs="Arial" w:eastAsia="Arial" w:hAnsi="Arial"/>
          <w:sz w:val="16"/>
          <w:szCs w:val="16"/>
          <w:color w:val="auto"/>
        </w:rPr>
        <w:t>”) was filed with the Securities and Exchange Commission (the “</w:t>
      </w:r>
      <w:r>
        <w:rPr>
          <w:rFonts w:ascii="Arial" w:cs="Arial" w:eastAsia="Arial" w:hAnsi="Arial"/>
          <w:sz w:val="16"/>
          <w:szCs w:val="16"/>
          <w:b w:val="1"/>
          <w:bCs w:val="1"/>
          <w:i w:val="1"/>
          <w:iCs w:val="1"/>
          <w:color w:val="auto"/>
        </w:rPr>
        <w:t>SEC</w:t>
      </w:r>
      <w:r>
        <w:rPr>
          <w:rFonts w:ascii="Arial" w:cs="Arial" w:eastAsia="Arial" w:hAnsi="Arial"/>
          <w:sz w:val="16"/>
          <w:szCs w:val="16"/>
          <w:color w:val="auto"/>
        </w:rPr>
        <w:t>”) on September 15, 2021.</w:t>
      </w:r>
    </w:p>
    <w:p>
      <w:pPr>
        <w:spacing w:after="0" w:line="168" w:lineRule="exact"/>
        <w:rPr>
          <w:sz w:val="20"/>
          <w:szCs w:val="20"/>
          <w:color w:val="auto"/>
        </w:rPr>
      </w:pPr>
    </w:p>
    <w:p>
      <w:pPr>
        <w:ind w:left="4" w:right="160"/>
        <w:spacing w:after="0" w:line="342" w:lineRule="auto"/>
        <w:rPr>
          <w:rFonts w:ascii="Arial" w:cs="Arial" w:eastAsia="Arial" w:hAnsi="Arial"/>
          <w:sz w:val="16"/>
          <w:szCs w:val="16"/>
          <w:color w:val="auto"/>
        </w:rPr>
      </w:pPr>
      <w:r>
        <w:rPr>
          <w:rFonts w:ascii="Arial" w:cs="Arial" w:eastAsia="Arial" w:hAnsi="Arial"/>
          <w:sz w:val="16"/>
          <w:szCs w:val="16"/>
          <w:color w:val="auto"/>
        </w:rPr>
        <w:t xml:space="preserve">Pursuant to General Instruction E of Form S-8, the contents of the </w:t>
      </w:r>
      <w:hyperlink r:id="rId17">
        <w:r>
          <w:rPr>
            <w:rFonts w:ascii="Arial" w:cs="Arial" w:eastAsia="Arial" w:hAnsi="Arial"/>
            <w:sz w:val="16"/>
            <w:szCs w:val="16"/>
            <w:u w:val="single" w:color="auto"/>
            <w:color w:val="0000EE"/>
          </w:rPr>
          <w:t>Prior Form S-8</w:t>
        </w:r>
      </w:hyperlink>
      <w:r>
        <w:rPr>
          <w:rFonts w:ascii="Arial" w:cs="Arial" w:eastAsia="Arial" w:hAnsi="Arial"/>
          <w:sz w:val="16"/>
          <w:szCs w:val="16"/>
          <w:color w:val="auto"/>
        </w:rPr>
        <w:t>, to the extent relating to the registration of the Registrant’s Common Stock issuable under the 2021 Plan, are incorporated herein by reference and made part of this Registration Statement, except as modified hereby.</w:t>
      </w:r>
    </w:p>
    <w:p>
      <w:pPr>
        <w:spacing w:after="0" w:line="336"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2704"/>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52" w:lineRule="exact"/>
        <w:rPr>
          <w:sz w:val="20"/>
          <w:szCs w:val="20"/>
          <w:color w:val="auto"/>
        </w:rPr>
      </w:pPr>
    </w:p>
    <w:p>
      <w:pPr>
        <w:ind w:left="4"/>
        <w:spacing w:after="0"/>
        <w:tabs>
          <w:tab w:leader="none" w:pos="1064"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Incorporation of Documents by Reference.</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following documents we filed with the SEC are incorporated by reference into this Registration Statement:</w:t>
      </w:r>
    </w:p>
    <w:p>
      <w:pPr>
        <w:spacing w:after="0" w:line="117" w:lineRule="exact"/>
        <w:rPr>
          <w:sz w:val="20"/>
          <w:szCs w:val="20"/>
          <w:color w:val="auto"/>
        </w:rPr>
      </w:pPr>
    </w:p>
    <w:p>
      <w:pPr>
        <w:ind w:left="4" w:right="400" w:hanging="4"/>
        <w:spacing w:after="0" w:line="277" w:lineRule="auto"/>
        <w:tabs>
          <w:tab w:leader="none" w:pos="259"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The Registrant’s Annual Report on </w:t>
      </w:r>
      <w:hyperlink r:id="rId18">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fiscal year ended December 31, 2022, which includes audited financial statements for the Registrant’s latest fiscal year, filed with the SEC on February 27, 2023.</w:t>
      </w:r>
    </w:p>
    <w:p>
      <w:pPr>
        <w:spacing w:after="0" w:line="170" w:lineRule="exact"/>
        <w:rPr>
          <w:rFonts w:ascii="Arial" w:cs="Arial" w:eastAsia="Arial" w:hAnsi="Arial"/>
          <w:sz w:val="18"/>
          <w:szCs w:val="18"/>
          <w:color w:val="auto"/>
        </w:rPr>
      </w:pPr>
    </w:p>
    <w:p>
      <w:pPr>
        <w:ind w:left="4" w:right="220" w:hanging="4"/>
        <w:spacing w:after="0" w:line="263" w:lineRule="auto"/>
        <w:tabs>
          <w:tab w:leader="none" w:pos="269"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The description of the Registrant’s Class A common stock contained in </w:t>
      </w:r>
      <w:hyperlink r:id="rId19">
        <w:r>
          <w:rPr>
            <w:rFonts w:ascii="Arial" w:cs="Arial" w:eastAsia="Arial" w:hAnsi="Arial"/>
            <w:sz w:val="18"/>
            <w:szCs w:val="18"/>
            <w:u w:val="single" w:color="auto"/>
            <w:color w:val="0000EE"/>
          </w:rPr>
          <w:t>Exhibit 4.1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the Registrant’s Annual Report on Form 10-K for the fiscal year ended December 31, 2021, filed with the SEC on March 15, 2022, including any amendment or report filed for the purpose of updating such description.</w:t>
      </w:r>
    </w:p>
    <w:p>
      <w:pPr>
        <w:spacing w:after="0" w:line="183" w:lineRule="exact"/>
        <w:rPr>
          <w:rFonts w:ascii="Arial" w:cs="Arial" w:eastAsia="Arial" w:hAnsi="Arial"/>
          <w:sz w:val="18"/>
          <w:szCs w:val="18"/>
          <w:color w:val="auto"/>
        </w:rPr>
      </w:pPr>
    </w:p>
    <w:p>
      <w:pPr>
        <w:ind w:left="4" w:hanging="4"/>
        <w:spacing w:after="0" w:line="270" w:lineRule="auto"/>
        <w:tabs>
          <w:tab w:leader="none" w:pos="249" w:val="left"/>
        </w:tabs>
        <w:numPr>
          <w:ilvl w:val="0"/>
          <w:numId w:val="1"/>
        </w:numPr>
        <w:rPr>
          <w:rFonts w:ascii="Arial" w:cs="Arial" w:eastAsia="Arial" w:hAnsi="Arial"/>
          <w:sz w:val="17"/>
          <w:szCs w:val="17"/>
          <w:b w:val="1"/>
          <w:bCs w:val="1"/>
          <w:color w:val="auto"/>
        </w:rPr>
      </w:pPr>
      <w:r>
        <w:rPr>
          <w:rFonts w:ascii="Arial" w:cs="Arial" w:eastAsia="Arial" w:hAnsi="Arial"/>
          <w:sz w:val="17"/>
          <w:szCs w:val="17"/>
          <w:color w:val="auto"/>
        </w:rPr>
        <w:t>All other reports and documents subsequently filed by the Registrant pursuant to Sections 13(a), 13(c), 14 and 15(d) of the Exchange Act (other than Current Reports furnished under Item 2.02 or Item 7.01 of Form 8-K and exhibits furnished on such form that relate to such items) on or after the date of this Registration Statement and prior to the filing of a post-effective amendment to this Registration Statement which indicates that all securities offered have been sold or which deregisters all securities then remaining unsold, shall be deemed to be incorporated by reference herein and to be a part of this Registration Statement from the date of the filing of such reports and documents. Any statement contained in a document incorporated or deemed to be incorporated by reference herein shall be deemed to be modified or superseded for purposes of this Registration Statement to the extent that a statement contained herein or in any subsequently filed document that also is deemed to be incorporated by reference herein modifies or supersedes such statement. Any such statement so modified or superseded shall not be deemed, except as so modified or superseded, to constitute a part of this Registration Statement.</w:t>
      </w:r>
    </w:p>
    <w:p>
      <w:pPr>
        <w:sectPr>
          <w:pgSz w:w="11900" w:h="16838" w:orient="portrait"/>
          <w:cols w:equalWidth="0" w:num="1">
            <w:col w:w="11004"/>
          </w:cols>
          <w:pgMar w:left="436" w:top="270" w:right="4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10300" w:type="dxa"/>
            <w:vAlign w:val="bottom"/>
            <w:gridSpan w:val="15"/>
          </w:tcPr>
          <w:p>
            <w:pPr>
              <w:ind w:left="360"/>
              <w:spacing w:after="0"/>
              <w:rPr>
                <w:sz w:val="20"/>
                <w:szCs w:val="20"/>
                <w:color w:val="auto"/>
              </w:rPr>
            </w:pPr>
            <w:r>
              <w:rPr>
                <w:rFonts w:ascii="Arial" w:cs="Arial" w:eastAsia="Arial" w:hAnsi="Arial"/>
                <w:sz w:val="18"/>
                <w:szCs w:val="18"/>
                <w:b w:val="1"/>
                <w:bCs w:val="1"/>
                <w:color w:val="auto"/>
              </w:rPr>
              <w:t>Exhibits.</w:t>
            </w:r>
          </w:p>
        </w:tc>
      </w:tr>
      <w:tr>
        <w:trPr>
          <w:trHeight w:val="392"/>
        </w:trPr>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500" w:type="dxa"/>
            <w:vAlign w:val="bottom"/>
            <w:gridSpan w:val="12"/>
          </w:tcPr>
          <w:p>
            <w:pPr>
              <w:ind w:left="1460"/>
              <w:spacing w:after="0"/>
              <w:rPr>
                <w:sz w:val="20"/>
                <w:szCs w:val="20"/>
                <w:color w:val="auto"/>
              </w:rPr>
            </w:pPr>
            <w:r>
              <w:rPr>
                <w:rFonts w:ascii="Arial" w:cs="Arial" w:eastAsia="Arial" w:hAnsi="Arial"/>
                <w:sz w:val="18"/>
                <w:szCs w:val="18"/>
                <w:b w:val="1"/>
                <w:bCs w:val="1"/>
                <w:color w:val="auto"/>
              </w:rPr>
              <w:t>Exhibit Index</w:t>
            </w:r>
          </w:p>
        </w:tc>
      </w:tr>
      <w:tr>
        <w:trPr>
          <w:trHeight w:val="20"/>
        </w:trPr>
        <w:tc>
          <w:tcPr>
            <w:tcW w:w="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25"/>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Exhibit No.</w:t>
            </w:r>
          </w:p>
        </w:tc>
        <w:tc>
          <w:tcPr>
            <w:tcW w:w="62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800" w:type="dxa"/>
            <w:vAlign w:val="bottom"/>
            <w:tcBorders>
              <w:bottom w:val="single" w:sz="8" w:color="auto"/>
            </w:tcBorders>
            <w:gridSpan w:val="10"/>
          </w:tcPr>
          <w:p>
            <w:pPr>
              <w:ind w:left="600"/>
              <w:spacing w:after="0"/>
              <w:rPr>
                <w:sz w:val="20"/>
                <w:szCs w:val="20"/>
                <w:color w:val="auto"/>
              </w:rPr>
            </w:pPr>
            <w:r>
              <w:rPr>
                <w:rFonts w:ascii="Arial" w:cs="Arial" w:eastAsia="Arial" w:hAnsi="Arial"/>
                <w:sz w:val="14"/>
                <w:szCs w:val="14"/>
                <w:b w:val="1"/>
                <w:bCs w:val="1"/>
                <w:color w:val="auto"/>
              </w:rPr>
              <w:t>Description</w:t>
            </w:r>
          </w:p>
        </w:tc>
      </w:tr>
      <w:tr>
        <w:trPr>
          <w:trHeight w:val="263"/>
        </w:trPr>
        <w:tc>
          <w:tcPr>
            <w:tcW w:w="720" w:type="dxa"/>
            <w:vAlign w:val="bottom"/>
          </w:tcPr>
          <w:p>
            <w:pPr>
              <w:jc w:val="right"/>
              <w:ind w:right="232"/>
              <w:spacing w:after="0"/>
              <w:rPr>
                <w:sz w:val="20"/>
                <w:szCs w:val="20"/>
                <w:color w:val="auto"/>
              </w:rPr>
            </w:pPr>
            <w:r>
              <w:rPr>
                <w:rFonts w:ascii="Arial" w:cs="Arial" w:eastAsia="Arial" w:hAnsi="Arial"/>
                <w:sz w:val="18"/>
                <w:szCs w:val="18"/>
                <w:color w:val="auto"/>
              </w:rPr>
              <w:t>4.1</w:t>
            </w:r>
          </w:p>
        </w:tc>
        <w:tc>
          <w:tcPr>
            <w:tcW w:w="620" w:type="dxa"/>
            <w:vAlign w:val="bottom"/>
          </w:tcPr>
          <w:p>
            <w:pPr>
              <w:spacing w:after="0"/>
              <w:rPr>
                <w:sz w:val="22"/>
                <w:szCs w:val="22"/>
                <w:color w:val="auto"/>
              </w:rPr>
            </w:pPr>
          </w:p>
        </w:tc>
        <w:tc>
          <w:tcPr>
            <w:tcW w:w="9680" w:type="dxa"/>
            <w:vAlign w:val="bottom"/>
            <w:gridSpan w:val="14"/>
          </w:tcPr>
          <w:p>
            <w:pPr>
              <w:spacing w:after="0"/>
              <w:rPr>
                <w:rFonts w:ascii="Arial" w:cs="Arial" w:eastAsia="Arial" w:hAnsi="Arial"/>
                <w:sz w:val="18"/>
                <w:szCs w:val="18"/>
                <w:color w:val="0000EE"/>
                <w:w w:val="94"/>
              </w:rPr>
            </w:pPr>
            <w:hyperlink r:id="rId20">
              <w:r>
                <w:rPr>
                  <w:rFonts w:ascii="Arial" w:cs="Arial" w:eastAsia="Arial" w:hAnsi="Arial"/>
                  <w:sz w:val="18"/>
                  <w:szCs w:val="18"/>
                  <w:color w:val="0000EE"/>
                  <w:w w:val="94"/>
                </w:rPr>
                <w:t>Amended and Restated Certificate of Incorporation of Definitive Healthcare Corp. (incorporated by reference to Exhibit 3.1 to the</w:t>
              </w:r>
            </w:hyperlink>
          </w:p>
        </w:tc>
      </w:tr>
      <w:tr>
        <w:trPr>
          <w:trHeight w:val="196"/>
        </w:trPr>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84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1"/>
              </w:rPr>
            </w:pPr>
            <w:hyperlink r:id="rId20">
              <w:r>
                <w:rPr>
                  <w:rFonts w:ascii="Arial" w:cs="Arial" w:eastAsia="Arial" w:hAnsi="Arial"/>
                  <w:sz w:val="18"/>
                  <w:szCs w:val="18"/>
                  <w:color w:val="0000EE"/>
                  <w:w w:val="91"/>
                </w:rPr>
                <w:t>Company’s Quarterly Report on Form 10-Q (File No. 001-40815) filed with the SEC on November 8, 2021).</w:t>
              </w:r>
            </w:hyperlink>
          </w:p>
        </w:tc>
        <w:tc>
          <w:tcPr>
            <w:tcW w:w="1520" w:type="dxa"/>
            <w:vAlign w:val="bottom"/>
            <w:tcBorders>
              <w:top w:val="single" w:sz="8" w:color="0000EE"/>
            </w:tcBorders>
            <w:gridSpan w:val="2"/>
          </w:tcPr>
          <w:p>
            <w:pPr>
              <w:spacing w:after="0"/>
              <w:rPr>
                <w:sz w:val="17"/>
                <w:szCs w:val="17"/>
                <w:color w:val="auto"/>
              </w:rPr>
            </w:pPr>
          </w:p>
        </w:tc>
        <w:tc>
          <w:tcPr>
            <w:tcW w:w="320" w:type="dxa"/>
            <w:vAlign w:val="bottom"/>
            <w:gridSpan w:val="3"/>
          </w:tcPr>
          <w:p>
            <w:pPr>
              <w:spacing w:after="0"/>
              <w:rPr>
                <w:sz w:val="17"/>
                <w:szCs w:val="17"/>
                <w:color w:val="auto"/>
              </w:rPr>
            </w:pPr>
          </w:p>
        </w:tc>
      </w:tr>
      <w:tr>
        <w:trPr>
          <w:trHeight w:val="304"/>
        </w:trPr>
        <w:tc>
          <w:tcPr>
            <w:tcW w:w="720" w:type="dxa"/>
            <w:vAlign w:val="bottom"/>
          </w:tcPr>
          <w:p>
            <w:pPr>
              <w:jc w:val="right"/>
              <w:ind w:right="232"/>
              <w:spacing w:after="0"/>
              <w:rPr>
                <w:sz w:val="20"/>
                <w:szCs w:val="20"/>
                <w:color w:val="auto"/>
              </w:rPr>
            </w:pPr>
            <w:r>
              <w:rPr>
                <w:rFonts w:ascii="Arial" w:cs="Arial" w:eastAsia="Arial" w:hAnsi="Arial"/>
                <w:sz w:val="18"/>
                <w:szCs w:val="18"/>
                <w:color w:val="auto"/>
              </w:rPr>
              <w:t>4.2</w:t>
            </w:r>
          </w:p>
        </w:tc>
        <w:tc>
          <w:tcPr>
            <w:tcW w:w="620" w:type="dxa"/>
            <w:vAlign w:val="bottom"/>
          </w:tcPr>
          <w:p>
            <w:pPr>
              <w:spacing w:after="0"/>
              <w:rPr>
                <w:sz w:val="24"/>
                <w:szCs w:val="24"/>
                <w:color w:val="auto"/>
              </w:rPr>
            </w:pPr>
          </w:p>
        </w:tc>
        <w:tc>
          <w:tcPr>
            <w:tcW w:w="9680" w:type="dxa"/>
            <w:vAlign w:val="bottom"/>
            <w:gridSpan w:val="14"/>
          </w:tcPr>
          <w:p>
            <w:pPr>
              <w:spacing w:after="0"/>
              <w:rPr>
                <w:rFonts w:ascii="Arial" w:cs="Arial" w:eastAsia="Arial" w:hAnsi="Arial"/>
                <w:sz w:val="18"/>
                <w:szCs w:val="18"/>
                <w:color w:val="0000EE"/>
                <w:w w:val="92"/>
              </w:rPr>
            </w:pPr>
            <w:hyperlink r:id="rId21">
              <w:r>
                <w:rPr>
                  <w:rFonts w:ascii="Arial" w:cs="Arial" w:eastAsia="Arial" w:hAnsi="Arial"/>
                  <w:sz w:val="18"/>
                  <w:szCs w:val="18"/>
                  <w:color w:val="0000EE"/>
                  <w:w w:val="92"/>
                </w:rPr>
                <w:t>Amended and Restated Bylaws of Definitive Healthcare Corp. (incorporated by reference to Exhibit 3.2 to the Company’s Quarterly</w:t>
              </w:r>
            </w:hyperlink>
          </w:p>
        </w:tc>
      </w:tr>
      <w:tr>
        <w:trPr>
          <w:trHeight w:val="196"/>
        </w:trPr>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24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1"/>
              </w:rPr>
            </w:pPr>
            <w:hyperlink r:id="rId21">
              <w:r>
                <w:rPr>
                  <w:rFonts w:ascii="Arial" w:cs="Arial" w:eastAsia="Arial" w:hAnsi="Arial"/>
                  <w:sz w:val="18"/>
                  <w:szCs w:val="18"/>
                  <w:color w:val="0000EE"/>
                  <w:w w:val="91"/>
                </w:rPr>
                <w:t>Report on Form 10-Q (File No. 001-40815) filed with the SEC on November 8, 2021).</w:t>
              </w:r>
            </w:hyperlink>
          </w:p>
        </w:tc>
        <w:tc>
          <w:tcPr>
            <w:tcW w:w="3280" w:type="dxa"/>
            <w:vAlign w:val="bottom"/>
            <w:tcBorders>
              <w:top w:val="single" w:sz="8" w:color="0000EE"/>
            </w:tcBorders>
            <w:gridSpan w:val="5"/>
          </w:tcPr>
          <w:p>
            <w:pPr>
              <w:spacing w:after="0"/>
              <w:rPr>
                <w:sz w:val="17"/>
                <w:szCs w:val="17"/>
                <w:color w:val="auto"/>
              </w:rPr>
            </w:pPr>
          </w:p>
        </w:tc>
        <w:tc>
          <w:tcPr>
            <w:tcW w:w="160" w:type="dxa"/>
            <w:vAlign w:val="bottom"/>
          </w:tcPr>
          <w:p>
            <w:pPr>
              <w:spacing w:after="0"/>
              <w:rPr>
                <w:sz w:val="17"/>
                <w:szCs w:val="17"/>
                <w:color w:val="auto"/>
              </w:rPr>
            </w:pPr>
          </w:p>
        </w:tc>
      </w:tr>
      <w:tr>
        <w:trPr>
          <w:trHeight w:val="304"/>
        </w:trPr>
        <w:tc>
          <w:tcPr>
            <w:tcW w:w="720" w:type="dxa"/>
            <w:vAlign w:val="bottom"/>
          </w:tcPr>
          <w:p>
            <w:pPr>
              <w:jc w:val="right"/>
              <w:ind w:right="232"/>
              <w:spacing w:after="0"/>
              <w:rPr>
                <w:sz w:val="20"/>
                <w:szCs w:val="20"/>
                <w:color w:val="auto"/>
              </w:rPr>
            </w:pPr>
            <w:r>
              <w:rPr>
                <w:rFonts w:ascii="Arial" w:cs="Arial" w:eastAsia="Arial" w:hAnsi="Arial"/>
                <w:sz w:val="18"/>
                <w:szCs w:val="18"/>
                <w:color w:val="auto"/>
              </w:rPr>
              <w:t>4.3</w:t>
            </w:r>
          </w:p>
        </w:tc>
        <w:tc>
          <w:tcPr>
            <w:tcW w:w="620" w:type="dxa"/>
            <w:vAlign w:val="bottom"/>
          </w:tcPr>
          <w:p>
            <w:pPr>
              <w:spacing w:after="0"/>
              <w:rPr>
                <w:sz w:val="24"/>
                <w:szCs w:val="24"/>
                <w:color w:val="auto"/>
              </w:rPr>
            </w:pPr>
          </w:p>
        </w:tc>
        <w:tc>
          <w:tcPr>
            <w:tcW w:w="9440" w:type="dxa"/>
            <w:vAlign w:val="bottom"/>
            <w:tcBorders>
              <w:bottom w:val="single" w:sz="8" w:color="0000EE"/>
            </w:tcBorders>
            <w:gridSpan w:val="12"/>
          </w:tcPr>
          <w:p>
            <w:pPr>
              <w:spacing w:after="0"/>
              <w:rPr>
                <w:rFonts w:ascii="Arial" w:cs="Arial" w:eastAsia="Arial" w:hAnsi="Arial"/>
                <w:sz w:val="18"/>
                <w:szCs w:val="18"/>
                <w:color w:val="0000EE"/>
                <w:w w:val="91"/>
              </w:rPr>
            </w:pPr>
            <w:hyperlink r:id="rId22">
              <w:r>
                <w:rPr>
                  <w:rFonts w:ascii="Arial" w:cs="Arial" w:eastAsia="Arial" w:hAnsi="Arial"/>
                  <w:sz w:val="18"/>
                  <w:szCs w:val="18"/>
                  <w:color w:val="0000EE"/>
                  <w:w w:val="91"/>
                </w:rPr>
                <w:t>The Definitive Healthcare Corp. 2021 Equity Incentive Plan (incorporated by reference to Exhibit 10.12 of the Registrant’s Annual</w:t>
              </w:r>
            </w:hyperlink>
          </w:p>
        </w:tc>
        <w:tc>
          <w:tcPr>
            <w:tcW w:w="240" w:type="dxa"/>
            <w:vAlign w:val="bottom"/>
            <w:gridSpan w:val="2"/>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80" w:type="dxa"/>
            <w:vAlign w:val="bottom"/>
            <w:tcBorders>
              <w:bottom w:val="single" w:sz="8" w:color="0000EE"/>
            </w:tcBorders>
            <w:gridSpan w:val="7"/>
          </w:tcPr>
          <w:p>
            <w:pPr>
              <w:spacing w:after="0" w:line="196" w:lineRule="exact"/>
              <w:rPr>
                <w:rFonts w:ascii="Arial" w:cs="Arial" w:eastAsia="Arial" w:hAnsi="Arial"/>
                <w:sz w:val="18"/>
                <w:szCs w:val="18"/>
                <w:color w:val="0000EE"/>
                <w:w w:val="92"/>
              </w:rPr>
            </w:pPr>
            <w:hyperlink r:id="rId22">
              <w:r>
                <w:rPr>
                  <w:rFonts w:ascii="Arial" w:cs="Arial" w:eastAsia="Arial" w:hAnsi="Arial"/>
                  <w:sz w:val="18"/>
                  <w:szCs w:val="18"/>
                  <w:color w:val="0000EE"/>
                  <w:w w:val="92"/>
                </w:rPr>
                <w:t>Report on Form 10-K (File. No. 001-40815) filed with the SEC on March 15, 2022).</w:t>
              </w:r>
            </w:hyperlink>
          </w:p>
        </w:tc>
        <w:tc>
          <w:tcPr>
            <w:tcW w:w="3600" w:type="dxa"/>
            <w:vAlign w:val="bottom"/>
            <w:gridSpan w:val="7"/>
          </w:tcPr>
          <w:p>
            <w:pPr>
              <w:spacing w:after="0"/>
              <w:rPr>
                <w:sz w:val="17"/>
                <w:szCs w:val="17"/>
                <w:color w:val="auto"/>
              </w:rPr>
            </w:pPr>
          </w:p>
        </w:tc>
      </w:tr>
      <w:tr>
        <w:trPr>
          <w:trHeight w:val="304"/>
        </w:trPr>
        <w:tc>
          <w:tcPr>
            <w:tcW w:w="720" w:type="dxa"/>
            <w:vAlign w:val="bottom"/>
          </w:tcPr>
          <w:p>
            <w:pPr>
              <w:jc w:val="right"/>
              <w:ind w:right="132"/>
              <w:spacing w:after="0"/>
              <w:rPr>
                <w:sz w:val="20"/>
                <w:szCs w:val="20"/>
                <w:color w:val="auto"/>
              </w:rPr>
            </w:pPr>
            <w:r>
              <w:rPr>
                <w:rFonts w:ascii="Arial" w:cs="Arial" w:eastAsia="Arial" w:hAnsi="Arial"/>
                <w:sz w:val="18"/>
                <w:szCs w:val="18"/>
                <w:color w:val="auto"/>
              </w:rPr>
              <w:t>5.1*</w:t>
            </w:r>
          </w:p>
        </w:tc>
        <w:tc>
          <w:tcPr>
            <w:tcW w:w="620" w:type="dxa"/>
            <w:vAlign w:val="bottom"/>
          </w:tcPr>
          <w:p>
            <w:pPr>
              <w:spacing w:after="0"/>
              <w:rPr>
                <w:sz w:val="24"/>
                <w:szCs w:val="24"/>
                <w:color w:val="auto"/>
              </w:rPr>
            </w:pPr>
          </w:p>
        </w:tc>
        <w:tc>
          <w:tcPr>
            <w:tcW w:w="9680" w:type="dxa"/>
            <w:vAlign w:val="bottom"/>
            <w:gridSpan w:val="14"/>
          </w:tcPr>
          <w:p>
            <w:pPr>
              <w:spacing w:after="0"/>
              <w:rPr>
                <w:sz w:val="20"/>
                <w:szCs w:val="20"/>
                <w:color w:val="auto"/>
              </w:rPr>
            </w:pPr>
            <w:r>
              <w:rPr>
                <w:rFonts w:ascii="Arial" w:cs="Arial" w:eastAsia="Arial" w:hAnsi="Arial"/>
                <w:sz w:val="18"/>
                <w:szCs w:val="18"/>
                <w:color w:val="0000EE"/>
              </w:rPr>
              <w:t>Legal Opinion of Cooley LLP.</w:t>
            </w:r>
          </w:p>
        </w:tc>
      </w:tr>
      <w:tr>
        <w:trPr>
          <w:trHeight w:val="20"/>
        </w:trPr>
        <w:tc>
          <w:tcPr>
            <w:tcW w:w="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2900" w:type="dxa"/>
            <w:vAlign w:val="bottom"/>
            <w:gridSpan w:val="4"/>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r>
      <w:tr>
        <w:trPr>
          <w:trHeight w:val="304"/>
        </w:trPr>
        <w:tc>
          <w:tcPr>
            <w:tcW w:w="720" w:type="dxa"/>
            <w:vAlign w:val="bottom"/>
          </w:tcPr>
          <w:p>
            <w:pPr>
              <w:jc w:val="right"/>
              <w:ind w:right="132"/>
              <w:spacing w:after="0"/>
              <w:rPr>
                <w:sz w:val="20"/>
                <w:szCs w:val="20"/>
                <w:color w:val="auto"/>
              </w:rPr>
            </w:pPr>
            <w:r>
              <w:rPr>
                <w:rFonts w:ascii="Arial" w:cs="Arial" w:eastAsia="Arial" w:hAnsi="Arial"/>
                <w:sz w:val="18"/>
                <w:szCs w:val="18"/>
                <w:color w:val="auto"/>
              </w:rPr>
              <w:t>23.1*</w:t>
            </w:r>
          </w:p>
        </w:tc>
        <w:tc>
          <w:tcPr>
            <w:tcW w:w="620" w:type="dxa"/>
            <w:vAlign w:val="bottom"/>
          </w:tcPr>
          <w:p>
            <w:pPr>
              <w:spacing w:after="0"/>
              <w:rPr>
                <w:sz w:val="24"/>
                <w:szCs w:val="24"/>
                <w:color w:val="auto"/>
              </w:rPr>
            </w:pPr>
          </w:p>
        </w:tc>
        <w:tc>
          <w:tcPr>
            <w:tcW w:w="8560" w:type="dxa"/>
            <w:vAlign w:val="bottom"/>
            <w:tcBorders>
              <w:bottom w:val="single" w:sz="8" w:color="0000EE"/>
            </w:tcBorders>
            <w:gridSpan w:val="10"/>
          </w:tcPr>
          <w:p>
            <w:pPr>
              <w:spacing w:after="0"/>
              <w:rPr>
                <w:sz w:val="20"/>
                <w:szCs w:val="20"/>
                <w:color w:val="auto"/>
              </w:rPr>
            </w:pPr>
            <w:r>
              <w:rPr>
                <w:rFonts w:ascii="Arial" w:cs="Arial" w:eastAsia="Arial" w:hAnsi="Arial"/>
                <w:sz w:val="18"/>
                <w:szCs w:val="18"/>
                <w:color w:val="0000EE"/>
                <w:w w:val="91"/>
              </w:rPr>
              <w:t>Consent of Deloitte &amp; Touche LLP, Independent Registered Public Accounting Firm, as to Definitive Healthcare Corp.</w:t>
            </w:r>
          </w:p>
        </w:tc>
        <w:tc>
          <w:tcPr>
            <w:tcW w:w="1120" w:type="dxa"/>
            <w:vAlign w:val="bottom"/>
            <w:gridSpan w:val="4"/>
          </w:tcPr>
          <w:p>
            <w:pPr>
              <w:spacing w:after="0"/>
              <w:rPr>
                <w:sz w:val="24"/>
                <w:szCs w:val="24"/>
                <w:color w:val="auto"/>
              </w:rPr>
            </w:pPr>
          </w:p>
        </w:tc>
      </w:tr>
      <w:tr>
        <w:trPr>
          <w:trHeight w:val="304"/>
        </w:trPr>
        <w:tc>
          <w:tcPr>
            <w:tcW w:w="720" w:type="dxa"/>
            <w:vAlign w:val="bottom"/>
          </w:tcPr>
          <w:p>
            <w:pPr>
              <w:jc w:val="right"/>
              <w:ind w:right="132"/>
              <w:spacing w:after="0"/>
              <w:rPr>
                <w:sz w:val="20"/>
                <w:szCs w:val="20"/>
                <w:color w:val="auto"/>
              </w:rPr>
            </w:pPr>
            <w:r>
              <w:rPr>
                <w:rFonts w:ascii="Arial" w:cs="Arial" w:eastAsia="Arial" w:hAnsi="Arial"/>
                <w:sz w:val="18"/>
                <w:szCs w:val="18"/>
                <w:color w:val="auto"/>
              </w:rPr>
              <w:t>23.2*</w:t>
            </w:r>
          </w:p>
        </w:tc>
        <w:tc>
          <w:tcPr>
            <w:tcW w:w="620" w:type="dxa"/>
            <w:vAlign w:val="bottom"/>
          </w:tcPr>
          <w:p>
            <w:pPr>
              <w:spacing w:after="0"/>
              <w:rPr>
                <w:sz w:val="24"/>
                <w:szCs w:val="24"/>
                <w:color w:val="auto"/>
              </w:rPr>
            </w:pPr>
          </w:p>
        </w:tc>
        <w:tc>
          <w:tcPr>
            <w:tcW w:w="388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92"/>
              </w:rPr>
              <w:t>Consent of Cooley LLP (included in Exhibit No. 5.1).</w:t>
            </w:r>
          </w:p>
        </w:tc>
        <w:tc>
          <w:tcPr>
            <w:tcW w:w="5800" w:type="dxa"/>
            <w:vAlign w:val="bottom"/>
            <w:gridSpan w:val="10"/>
          </w:tcPr>
          <w:p>
            <w:pPr>
              <w:spacing w:after="0"/>
              <w:rPr>
                <w:sz w:val="24"/>
                <w:szCs w:val="24"/>
                <w:color w:val="auto"/>
              </w:rPr>
            </w:pPr>
          </w:p>
        </w:tc>
      </w:tr>
      <w:tr>
        <w:trPr>
          <w:trHeight w:val="304"/>
        </w:trPr>
        <w:tc>
          <w:tcPr>
            <w:tcW w:w="720" w:type="dxa"/>
            <w:vAlign w:val="bottom"/>
          </w:tcPr>
          <w:p>
            <w:pPr>
              <w:jc w:val="right"/>
              <w:ind w:right="132"/>
              <w:spacing w:after="0"/>
              <w:rPr>
                <w:sz w:val="20"/>
                <w:szCs w:val="20"/>
                <w:color w:val="auto"/>
              </w:rPr>
            </w:pPr>
            <w:r>
              <w:rPr>
                <w:rFonts w:ascii="Arial" w:cs="Arial" w:eastAsia="Arial" w:hAnsi="Arial"/>
                <w:sz w:val="18"/>
                <w:szCs w:val="18"/>
                <w:color w:val="auto"/>
              </w:rPr>
              <w:t>24.1*</w:t>
            </w:r>
          </w:p>
        </w:tc>
        <w:tc>
          <w:tcPr>
            <w:tcW w:w="620" w:type="dxa"/>
            <w:vAlign w:val="bottom"/>
          </w:tcPr>
          <w:p>
            <w:pPr>
              <w:spacing w:after="0"/>
              <w:rPr>
                <w:sz w:val="24"/>
                <w:szCs w:val="24"/>
                <w:color w:val="auto"/>
              </w:rPr>
            </w:pPr>
          </w:p>
        </w:tc>
        <w:tc>
          <w:tcPr>
            <w:tcW w:w="566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0000EE"/>
                <w:w w:val="90"/>
              </w:rPr>
              <w:t>Power of Attorney (included on signature page to this Registration Statement).</w:t>
            </w:r>
          </w:p>
        </w:tc>
        <w:tc>
          <w:tcPr>
            <w:tcW w:w="4020" w:type="dxa"/>
            <w:vAlign w:val="bottom"/>
            <w:gridSpan w:val="8"/>
          </w:tcPr>
          <w:p>
            <w:pPr>
              <w:spacing w:after="0"/>
              <w:rPr>
                <w:sz w:val="24"/>
                <w:szCs w:val="24"/>
                <w:color w:val="auto"/>
              </w:rPr>
            </w:pPr>
          </w:p>
        </w:tc>
      </w:tr>
      <w:tr>
        <w:trPr>
          <w:trHeight w:val="304"/>
        </w:trPr>
        <w:tc>
          <w:tcPr>
            <w:tcW w:w="720" w:type="dxa"/>
            <w:vAlign w:val="bottom"/>
          </w:tcPr>
          <w:p>
            <w:pPr>
              <w:jc w:val="right"/>
              <w:ind w:right="132"/>
              <w:spacing w:after="0"/>
              <w:rPr>
                <w:sz w:val="20"/>
                <w:szCs w:val="20"/>
                <w:color w:val="auto"/>
              </w:rPr>
            </w:pPr>
            <w:r>
              <w:rPr>
                <w:rFonts w:ascii="Arial" w:cs="Arial" w:eastAsia="Arial" w:hAnsi="Arial"/>
                <w:sz w:val="18"/>
                <w:szCs w:val="18"/>
                <w:color w:val="auto"/>
                <w:w w:val="92"/>
              </w:rPr>
              <w:t>107.1*</w:t>
            </w:r>
          </w:p>
        </w:tc>
        <w:tc>
          <w:tcPr>
            <w:tcW w:w="620" w:type="dxa"/>
            <w:vAlign w:val="bottom"/>
          </w:tcPr>
          <w:p>
            <w:pPr>
              <w:spacing w:after="0"/>
              <w:rPr>
                <w:sz w:val="24"/>
                <w:szCs w:val="24"/>
                <w:color w:val="auto"/>
              </w:rPr>
            </w:pPr>
          </w:p>
        </w:tc>
        <w:tc>
          <w:tcPr>
            <w:tcW w:w="9680" w:type="dxa"/>
            <w:vAlign w:val="bottom"/>
            <w:gridSpan w:val="14"/>
          </w:tcPr>
          <w:p>
            <w:pPr>
              <w:spacing w:after="0"/>
              <w:rPr>
                <w:sz w:val="20"/>
                <w:szCs w:val="20"/>
                <w:color w:val="auto"/>
              </w:rPr>
            </w:pPr>
            <w:r>
              <w:rPr>
                <w:rFonts w:ascii="Arial" w:cs="Arial" w:eastAsia="Arial" w:hAnsi="Arial"/>
                <w:sz w:val="18"/>
                <w:szCs w:val="18"/>
                <w:color w:val="0000EE"/>
              </w:rPr>
              <w:t>Filing Fee Table</w:t>
            </w:r>
          </w:p>
        </w:tc>
      </w:tr>
      <w:tr>
        <w:trPr>
          <w:trHeight w:val="20"/>
        </w:trPr>
        <w:tc>
          <w:tcPr>
            <w:tcW w:w="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  Filed herewith</w:t>
      </w:r>
    </w:p>
    <w:p>
      <w:pPr>
        <w:sectPr>
          <w:pgSz w:w="11900" w:h="16838" w:orient="portrait"/>
          <w:cols w:equalWidth="0" w:num="1">
            <w:col w:w="11020"/>
          </w:cols>
          <w:pgMar w:left="440" w:top="270" w:right="4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jc w:val="both"/>
        <w:ind w:right="540"/>
        <w:spacing w:after="0" w:line="263"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Framingham, State of Massachusetts, on February 27, 2023.</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DEFINITIVE HEALTHCARE CORP.</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RICHARD BOOTH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4531995</wp:posOffset>
            </wp:positionH>
            <wp:positionV relativeFrom="paragraph">
              <wp:posOffset>14605</wp:posOffset>
            </wp:positionV>
            <wp:extent cx="24599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Richard Booth</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Chief Financial Officer</w:t>
      </w:r>
    </w:p>
    <w:p>
      <w:pPr>
        <w:spacing w:after="0" w:line="21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KNOW ALL PERSONS BY THESE PRESENTS, that each of the undersigned constitutes and appoints each of Robert Musslewhite or Richard Booth, or any of them, each acting alone, his or her true and lawful attorney-in-fact and agent, with full power of substitution and resubstitution, for such person and in his or her name, place and stead, in any and all capacities, to sign this Registration Statement on Form S-8 (including all pre-effective and post-effective amendments and registration statements filed pursuant to Rule 462(b) under the Securities Act of 1933), and to file the same, with all exhibits thereto, and other documents in connection therewith, with the Securities and Exchange Commission, granting unto said attorneys-in-fact and agents, each acting alone, full power and authority to do and perform each and every act and thing requisite and necessary to be done in and about the premises, as fully to all intents and purposes as he or she might or could do in person, hereby ratifying and confirming that any such attorney-in-fact and agent, or his substitute or substitutes, may lawfully do or cause to be done by virtue hereof.</w:t>
      </w:r>
    </w:p>
    <w:p>
      <w:pPr>
        <w:spacing w:after="0" w:line="17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80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Signature</w:t>
            </w:r>
          </w:p>
        </w:tc>
        <w:tc>
          <w:tcPr>
            <w:tcW w:w="17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2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520" w:type="dxa"/>
            <w:vAlign w:val="bottom"/>
          </w:tcPr>
          <w:p>
            <w:pPr>
              <w:spacing w:after="0"/>
              <w:rPr>
                <w:sz w:val="14"/>
                <w:szCs w:val="14"/>
                <w:color w:val="auto"/>
              </w:rPr>
            </w:pPr>
          </w:p>
        </w:tc>
      </w:tr>
      <w:tr>
        <w:trPr>
          <w:trHeight w:val="426"/>
        </w:trPr>
        <w:tc>
          <w:tcPr>
            <w:tcW w:w="41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5"/>
              </w:rPr>
              <w:t>/s/ ROBERT MUSSLEWHITE</w:t>
            </w:r>
          </w:p>
        </w:tc>
        <w:tc>
          <w:tcPr>
            <w:tcW w:w="5040" w:type="dxa"/>
            <w:vAlign w:val="bottom"/>
            <w:gridSpan w:val="3"/>
          </w:tcPr>
          <w:p>
            <w:pPr>
              <w:jc w:val="center"/>
              <w:spacing w:after="0"/>
              <w:rPr>
                <w:sz w:val="20"/>
                <w:szCs w:val="20"/>
                <w:color w:val="auto"/>
              </w:rPr>
            </w:pPr>
            <w:r>
              <w:rPr>
                <w:rFonts w:ascii="Arial" w:cs="Arial" w:eastAsia="Arial" w:hAnsi="Arial"/>
                <w:sz w:val="18"/>
                <w:szCs w:val="18"/>
                <w:color w:val="auto"/>
                <w:w w:val="93"/>
              </w:rPr>
              <w:t>Chief Executive Officer and Director</w:t>
            </w:r>
          </w:p>
        </w:tc>
        <w:tc>
          <w:tcPr>
            <w:tcW w:w="1580" w:type="dxa"/>
            <w:vAlign w:val="bottom"/>
            <w:gridSpan w:val="3"/>
          </w:tcPr>
          <w:p>
            <w:pPr>
              <w:jc w:val="center"/>
              <w:ind w:left="170"/>
              <w:spacing w:after="0"/>
              <w:rPr>
                <w:sz w:val="20"/>
                <w:szCs w:val="20"/>
                <w:color w:val="auto"/>
              </w:rPr>
            </w:pPr>
            <w:r>
              <w:rPr>
                <w:rFonts w:ascii="Arial" w:cs="Arial" w:eastAsia="Arial" w:hAnsi="Arial"/>
                <w:sz w:val="18"/>
                <w:szCs w:val="18"/>
                <w:color w:val="auto"/>
                <w:w w:val="89"/>
              </w:rPr>
              <w:t>February 27, 2023</w:t>
            </w:r>
          </w:p>
        </w:tc>
      </w:tr>
      <w:tr>
        <w:trPr>
          <w:trHeight w:val="224"/>
        </w:trPr>
        <w:tc>
          <w:tcPr>
            <w:tcW w:w="4180" w:type="dxa"/>
            <w:vAlign w:val="bottom"/>
            <w:gridSpan w:val="3"/>
          </w:tcPr>
          <w:p>
            <w:pPr>
              <w:jc w:val="center"/>
              <w:spacing w:after="0"/>
              <w:rPr>
                <w:sz w:val="20"/>
                <w:szCs w:val="20"/>
                <w:color w:val="auto"/>
              </w:rPr>
            </w:pPr>
            <w:r>
              <w:rPr>
                <w:rFonts w:ascii="Arial" w:cs="Arial" w:eastAsia="Arial" w:hAnsi="Arial"/>
                <w:sz w:val="18"/>
                <w:szCs w:val="18"/>
                <w:color w:val="auto"/>
                <w:w w:val="92"/>
              </w:rPr>
              <w:t>Robert Musslewhite</w:t>
            </w:r>
          </w:p>
        </w:tc>
        <w:tc>
          <w:tcPr>
            <w:tcW w:w="5040" w:type="dxa"/>
            <w:vAlign w:val="bottom"/>
            <w:gridSpan w:val="3"/>
          </w:tcPr>
          <w:p>
            <w:pPr>
              <w:jc w:val="center"/>
              <w:spacing w:after="0"/>
              <w:rPr>
                <w:sz w:val="20"/>
                <w:szCs w:val="20"/>
                <w:color w:val="auto"/>
              </w:rPr>
            </w:pPr>
            <w:r>
              <w:rPr>
                <w:rFonts w:ascii="Arial" w:cs="Arial" w:eastAsia="Arial" w:hAnsi="Arial"/>
                <w:sz w:val="18"/>
                <w:szCs w:val="18"/>
                <w:color w:val="auto"/>
                <w:w w:val="94"/>
              </w:rPr>
              <w:t>(Principal Executive Officer)</w:t>
            </w: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31"/>
        </w:trPr>
        <w:tc>
          <w:tcPr>
            <w:tcW w:w="41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5"/>
              </w:rPr>
              <w:t>/s/ JASON KRANTZ</w:t>
            </w:r>
          </w:p>
        </w:tc>
        <w:tc>
          <w:tcPr>
            <w:tcW w:w="5040" w:type="dxa"/>
            <w:vAlign w:val="bottom"/>
            <w:gridSpan w:val="3"/>
          </w:tcPr>
          <w:p>
            <w:pPr>
              <w:jc w:val="center"/>
              <w:spacing w:after="0"/>
              <w:rPr>
                <w:sz w:val="20"/>
                <w:szCs w:val="20"/>
                <w:color w:val="auto"/>
              </w:rPr>
            </w:pPr>
            <w:r>
              <w:rPr>
                <w:rFonts w:ascii="Arial" w:cs="Arial" w:eastAsia="Arial" w:hAnsi="Arial"/>
                <w:sz w:val="18"/>
                <w:szCs w:val="18"/>
                <w:color w:val="auto"/>
                <w:w w:val="91"/>
              </w:rPr>
              <w:t>Executive Chairman and Director</w:t>
            </w:r>
          </w:p>
        </w:tc>
        <w:tc>
          <w:tcPr>
            <w:tcW w:w="1580" w:type="dxa"/>
            <w:vAlign w:val="bottom"/>
            <w:gridSpan w:val="3"/>
          </w:tcPr>
          <w:p>
            <w:pPr>
              <w:jc w:val="center"/>
              <w:ind w:left="170"/>
              <w:spacing w:after="0"/>
              <w:rPr>
                <w:sz w:val="20"/>
                <w:szCs w:val="20"/>
                <w:color w:val="auto"/>
              </w:rPr>
            </w:pPr>
            <w:r>
              <w:rPr>
                <w:rFonts w:ascii="Arial" w:cs="Arial" w:eastAsia="Arial" w:hAnsi="Arial"/>
                <w:sz w:val="18"/>
                <w:szCs w:val="18"/>
                <w:color w:val="auto"/>
                <w:w w:val="89"/>
              </w:rPr>
              <w:t>February 27, 2023</w:t>
            </w:r>
          </w:p>
        </w:tc>
      </w:tr>
      <w:tr>
        <w:trPr>
          <w:trHeight w:val="224"/>
        </w:trPr>
        <w:tc>
          <w:tcPr>
            <w:tcW w:w="4180" w:type="dxa"/>
            <w:vAlign w:val="bottom"/>
            <w:gridSpan w:val="3"/>
          </w:tcPr>
          <w:p>
            <w:pPr>
              <w:jc w:val="center"/>
              <w:spacing w:after="0"/>
              <w:rPr>
                <w:sz w:val="20"/>
                <w:szCs w:val="20"/>
                <w:color w:val="auto"/>
              </w:rPr>
            </w:pPr>
            <w:r>
              <w:rPr>
                <w:rFonts w:ascii="Arial" w:cs="Arial" w:eastAsia="Arial" w:hAnsi="Arial"/>
                <w:sz w:val="18"/>
                <w:szCs w:val="18"/>
                <w:color w:val="auto"/>
                <w:w w:val="89"/>
              </w:rPr>
              <w:t>Jason Krantz</w:t>
            </w:r>
          </w:p>
        </w:tc>
        <w:tc>
          <w:tcPr>
            <w:tcW w:w="2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31"/>
        </w:trPr>
        <w:tc>
          <w:tcPr>
            <w:tcW w:w="41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7"/>
              </w:rPr>
              <w:t>/s/ RICHARD BOOTH</w:t>
            </w:r>
          </w:p>
        </w:tc>
        <w:tc>
          <w:tcPr>
            <w:tcW w:w="5040" w:type="dxa"/>
            <w:vAlign w:val="bottom"/>
            <w:gridSpan w:val="3"/>
          </w:tcPr>
          <w:p>
            <w:pPr>
              <w:jc w:val="center"/>
              <w:spacing w:after="0"/>
              <w:rPr>
                <w:sz w:val="20"/>
                <w:szCs w:val="20"/>
                <w:color w:val="auto"/>
              </w:rPr>
            </w:pPr>
            <w:r>
              <w:rPr>
                <w:rFonts w:ascii="Arial" w:cs="Arial" w:eastAsia="Arial" w:hAnsi="Arial"/>
                <w:sz w:val="18"/>
                <w:szCs w:val="18"/>
                <w:color w:val="auto"/>
                <w:w w:val="94"/>
              </w:rPr>
              <w:t>Chief Financial Officer</w:t>
            </w:r>
          </w:p>
        </w:tc>
        <w:tc>
          <w:tcPr>
            <w:tcW w:w="1580" w:type="dxa"/>
            <w:vAlign w:val="bottom"/>
            <w:gridSpan w:val="3"/>
          </w:tcPr>
          <w:p>
            <w:pPr>
              <w:jc w:val="center"/>
              <w:ind w:left="170"/>
              <w:spacing w:after="0"/>
              <w:rPr>
                <w:sz w:val="20"/>
                <w:szCs w:val="20"/>
                <w:color w:val="auto"/>
              </w:rPr>
            </w:pPr>
            <w:r>
              <w:rPr>
                <w:rFonts w:ascii="Arial" w:cs="Arial" w:eastAsia="Arial" w:hAnsi="Arial"/>
                <w:sz w:val="18"/>
                <w:szCs w:val="18"/>
                <w:color w:val="auto"/>
                <w:w w:val="89"/>
              </w:rPr>
              <w:t>February 27, 2023</w:t>
            </w:r>
          </w:p>
        </w:tc>
      </w:tr>
      <w:tr>
        <w:trPr>
          <w:trHeight w:val="224"/>
        </w:trPr>
        <w:tc>
          <w:tcPr>
            <w:tcW w:w="4180" w:type="dxa"/>
            <w:vAlign w:val="bottom"/>
            <w:gridSpan w:val="3"/>
          </w:tcPr>
          <w:p>
            <w:pPr>
              <w:jc w:val="center"/>
              <w:spacing w:after="0"/>
              <w:rPr>
                <w:sz w:val="20"/>
                <w:szCs w:val="20"/>
                <w:color w:val="auto"/>
              </w:rPr>
            </w:pPr>
            <w:r>
              <w:rPr>
                <w:rFonts w:ascii="Arial" w:cs="Arial" w:eastAsia="Arial" w:hAnsi="Arial"/>
                <w:sz w:val="18"/>
                <w:szCs w:val="18"/>
                <w:color w:val="auto"/>
                <w:w w:val="92"/>
              </w:rPr>
              <w:t>Richard Booth</w:t>
            </w:r>
          </w:p>
        </w:tc>
        <w:tc>
          <w:tcPr>
            <w:tcW w:w="5040" w:type="dxa"/>
            <w:vAlign w:val="bottom"/>
            <w:gridSpan w:val="3"/>
          </w:tcPr>
          <w:p>
            <w:pPr>
              <w:jc w:val="center"/>
              <w:spacing w:after="0"/>
              <w:rPr>
                <w:sz w:val="20"/>
                <w:szCs w:val="20"/>
                <w:color w:val="auto"/>
              </w:rPr>
            </w:pPr>
            <w:r>
              <w:rPr>
                <w:rFonts w:ascii="Arial" w:cs="Arial" w:eastAsia="Arial" w:hAnsi="Arial"/>
                <w:sz w:val="18"/>
                <w:szCs w:val="18"/>
                <w:color w:val="auto"/>
                <w:w w:val="94"/>
              </w:rPr>
              <w:t>(Principal Financial Officer and Principal Accounting Officer)</w:t>
            </w: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31"/>
        </w:trPr>
        <w:tc>
          <w:tcPr>
            <w:tcW w:w="41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7"/>
              </w:rPr>
              <w:t>/s/ SASTRY CHILUKURI</w:t>
            </w:r>
          </w:p>
        </w:tc>
        <w:tc>
          <w:tcPr>
            <w:tcW w:w="5040" w:type="dxa"/>
            <w:vAlign w:val="bottom"/>
            <w:gridSpan w:val="3"/>
          </w:tcPr>
          <w:p>
            <w:pPr>
              <w:jc w:val="center"/>
              <w:spacing w:after="0"/>
              <w:rPr>
                <w:sz w:val="20"/>
                <w:szCs w:val="20"/>
                <w:color w:val="auto"/>
              </w:rPr>
            </w:pPr>
            <w:r>
              <w:rPr>
                <w:rFonts w:ascii="Arial" w:cs="Arial" w:eastAsia="Arial" w:hAnsi="Arial"/>
                <w:sz w:val="18"/>
                <w:szCs w:val="18"/>
                <w:color w:val="auto"/>
                <w:w w:val="95"/>
              </w:rPr>
              <w:t>Director</w:t>
            </w:r>
          </w:p>
        </w:tc>
        <w:tc>
          <w:tcPr>
            <w:tcW w:w="1580" w:type="dxa"/>
            <w:vAlign w:val="bottom"/>
            <w:gridSpan w:val="3"/>
          </w:tcPr>
          <w:p>
            <w:pPr>
              <w:jc w:val="center"/>
              <w:ind w:left="170"/>
              <w:spacing w:after="0"/>
              <w:rPr>
                <w:sz w:val="20"/>
                <w:szCs w:val="20"/>
                <w:color w:val="auto"/>
              </w:rPr>
            </w:pPr>
            <w:r>
              <w:rPr>
                <w:rFonts w:ascii="Arial" w:cs="Arial" w:eastAsia="Arial" w:hAnsi="Arial"/>
                <w:sz w:val="18"/>
                <w:szCs w:val="18"/>
                <w:color w:val="auto"/>
                <w:w w:val="89"/>
              </w:rPr>
              <w:t>February 27, 2023</w:t>
            </w:r>
          </w:p>
        </w:tc>
      </w:tr>
      <w:tr>
        <w:trPr>
          <w:trHeight w:val="224"/>
        </w:trPr>
        <w:tc>
          <w:tcPr>
            <w:tcW w:w="4180" w:type="dxa"/>
            <w:vAlign w:val="bottom"/>
            <w:gridSpan w:val="3"/>
          </w:tcPr>
          <w:p>
            <w:pPr>
              <w:jc w:val="center"/>
              <w:spacing w:after="0"/>
              <w:rPr>
                <w:sz w:val="20"/>
                <w:szCs w:val="20"/>
                <w:color w:val="auto"/>
              </w:rPr>
            </w:pPr>
            <w:r>
              <w:rPr>
                <w:rFonts w:ascii="Arial" w:cs="Arial" w:eastAsia="Arial" w:hAnsi="Arial"/>
                <w:sz w:val="18"/>
                <w:szCs w:val="18"/>
                <w:color w:val="auto"/>
                <w:w w:val="93"/>
              </w:rPr>
              <w:t>Sastry Chilukuri</w:t>
            </w:r>
          </w:p>
        </w:tc>
        <w:tc>
          <w:tcPr>
            <w:tcW w:w="2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31"/>
        </w:trPr>
        <w:tc>
          <w:tcPr>
            <w:tcW w:w="41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5"/>
              </w:rPr>
              <w:t>/s/ CHRIS EGAN</w:t>
            </w:r>
          </w:p>
        </w:tc>
        <w:tc>
          <w:tcPr>
            <w:tcW w:w="5040" w:type="dxa"/>
            <w:vAlign w:val="bottom"/>
            <w:gridSpan w:val="3"/>
          </w:tcPr>
          <w:p>
            <w:pPr>
              <w:jc w:val="center"/>
              <w:spacing w:after="0"/>
              <w:rPr>
                <w:sz w:val="20"/>
                <w:szCs w:val="20"/>
                <w:color w:val="auto"/>
              </w:rPr>
            </w:pPr>
            <w:r>
              <w:rPr>
                <w:rFonts w:ascii="Arial" w:cs="Arial" w:eastAsia="Arial" w:hAnsi="Arial"/>
                <w:sz w:val="18"/>
                <w:szCs w:val="18"/>
                <w:color w:val="auto"/>
                <w:w w:val="95"/>
              </w:rPr>
              <w:t>Director</w:t>
            </w:r>
          </w:p>
        </w:tc>
        <w:tc>
          <w:tcPr>
            <w:tcW w:w="1580" w:type="dxa"/>
            <w:vAlign w:val="bottom"/>
            <w:gridSpan w:val="3"/>
          </w:tcPr>
          <w:p>
            <w:pPr>
              <w:jc w:val="center"/>
              <w:ind w:left="170"/>
              <w:spacing w:after="0"/>
              <w:rPr>
                <w:sz w:val="20"/>
                <w:szCs w:val="20"/>
                <w:color w:val="auto"/>
              </w:rPr>
            </w:pPr>
            <w:r>
              <w:rPr>
                <w:rFonts w:ascii="Arial" w:cs="Arial" w:eastAsia="Arial" w:hAnsi="Arial"/>
                <w:sz w:val="18"/>
                <w:szCs w:val="18"/>
                <w:color w:val="auto"/>
                <w:w w:val="89"/>
              </w:rPr>
              <w:t>February 27, 2023</w:t>
            </w:r>
          </w:p>
        </w:tc>
      </w:tr>
      <w:tr>
        <w:trPr>
          <w:trHeight w:val="224"/>
        </w:trPr>
        <w:tc>
          <w:tcPr>
            <w:tcW w:w="4180" w:type="dxa"/>
            <w:vAlign w:val="bottom"/>
            <w:gridSpan w:val="3"/>
          </w:tcPr>
          <w:p>
            <w:pPr>
              <w:jc w:val="center"/>
              <w:spacing w:after="0"/>
              <w:rPr>
                <w:sz w:val="20"/>
                <w:szCs w:val="20"/>
                <w:color w:val="auto"/>
              </w:rPr>
            </w:pPr>
            <w:r>
              <w:rPr>
                <w:rFonts w:ascii="Arial" w:cs="Arial" w:eastAsia="Arial" w:hAnsi="Arial"/>
                <w:sz w:val="18"/>
                <w:szCs w:val="18"/>
                <w:color w:val="auto"/>
                <w:w w:val="92"/>
              </w:rPr>
              <w:t>Chris Egan</w:t>
            </w:r>
          </w:p>
        </w:tc>
        <w:tc>
          <w:tcPr>
            <w:tcW w:w="2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31"/>
        </w:trPr>
        <w:tc>
          <w:tcPr>
            <w:tcW w:w="41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9"/>
              </w:rPr>
              <w:t>/s/ SAMUEL ALLEN HAMOOD</w:t>
            </w:r>
          </w:p>
        </w:tc>
        <w:tc>
          <w:tcPr>
            <w:tcW w:w="5040" w:type="dxa"/>
            <w:vAlign w:val="bottom"/>
            <w:gridSpan w:val="3"/>
          </w:tcPr>
          <w:p>
            <w:pPr>
              <w:jc w:val="center"/>
              <w:spacing w:after="0"/>
              <w:rPr>
                <w:sz w:val="20"/>
                <w:szCs w:val="20"/>
                <w:color w:val="auto"/>
              </w:rPr>
            </w:pPr>
            <w:r>
              <w:rPr>
                <w:rFonts w:ascii="Arial" w:cs="Arial" w:eastAsia="Arial" w:hAnsi="Arial"/>
                <w:sz w:val="18"/>
                <w:szCs w:val="18"/>
                <w:color w:val="auto"/>
                <w:w w:val="95"/>
              </w:rPr>
              <w:t>Director</w:t>
            </w:r>
          </w:p>
        </w:tc>
        <w:tc>
          <w:tcPr>
            <w:tcW w:w="1580" w:type="dxa"/>
            <w:vAlign w:val="bottom"/>
            <w:gridSpan w:val="3"/>
          </w:tcPr>
          <w:p>
            <w:pPr>
              <w:jc w:val="center"/>
              <w:ind w:left="170"/>
              <w:spacing w:after="0"/>
              <w:rPr>
                <w:sz w:val="20"/>
                <w:szCs w:val="20"/>
                <w:color w:val="auto"/>
              </w:rPr>
            </w:pPr>
            <w:r>
              <w:rPr>
                <w:rFonts w:ascii="Arial" w:cs="Arial" w:eastAsia="Arial" w:hAnsi="Arial"/>
                <w:sz w:val="18"/>
                <w:szCs w:val="18"/>
                <w:color w:val="auto"/>
                <w:w w:val="89"/>
              </w:rPr>
              <w:t>February 27, 2023</w:t>
            </w:r>
          </w:p>
        </w:tc>
      </w:tr>
      <w:tr>
        <w:trPr>
          <w:trHeight w:val="224"/>
        </w:trPr>
        <w:tc>
          <w:tcPr>
            <w:tcW w:w="4180" w:type="dxa"/>
            <w:vAlign w:val="bottom"/>
            <w:gridSpan w:val="3"/>
          </w:tcPr>
          <w:p>
            <w:pPr>
              <w:jc w:val="center"/>
              <w:spacing w:after="0"/>
              <w:rPr>
                <w:sz w:val="20"/>
                <w:szCs w:val="20"/>
                <w:color w:val="auto"/>
              </w:rPr>
            </w:pPr>
            <w:r>
              <w:rPr>
                <w:rFonts w:ascii="Arial" w:cs="Arial" w:eastAsia="Arial" w:hAnsi="Arial"/>
                <w:sz w:val="18"/>
                <w:szCs w:val="18"/>
                <w:color w:val="auto"/>
                <w:w w:val="92"/>
              </w:rPr>
              <w:t>Samuel Allen Hamood</w:t>
            </w:r>
          </w:p>
        </w:tc>
        <w:tc>
          <w:tcPr>
            <w:tcW w:w="2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31"/>
        </w:trPr>
        <w:tc>
          <w:tcPr>
            <w:tcW w:w="41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4"/>
              </w:rPr>
              <w:t>/s/ JEFF HAYWOOD</w:t>
            </w:r>
          </w:p>
        </w:tc>
        <w:tc>
          <w:tcPr>
            <w:tcW w:w="5040" w:type="dxa"/>
            <w:vAlign w:val="bottom"/>
            <w:gridSpan w:val="3"/>
          </w:tcPr>
          <w:p>
            <w:pPr>
              <w:jc w:val="center"/>
              <w:spacing w:after="0"/>
              <w:rPr>
                <w:sz w:val="20"/>
                <w:szCs w:val="20"/>
                <w:color w:val="auto"/>
              </w:rPr>
            </w:pPr>
            <w:r>
              <w:rPr>
                <w:rFonts w:ascii="Arial" w:cs="Arial" w:eastAsia="Arial" w:hAnsi="Arial"/>
                <w:sz w:val="18"/>
                <w:szCs w:val="18"/>
                <w:color w:val="auto"/>
                <w:w w:val="95"/>
              </w:rPr>
              <w:t>Director</w:t>
            </w:r>
          </w:p>
        </w:tc>
        <w:tc>
          <w:tcPr>
            <w:tcW w:w="1580" w:type="dxa"/>
            <w:vAlign w:val="bottom"/>
            <w:gridSpan w:val="3"/>
          </w:tcPr>
          <w:p>
            <w:pPr>
              <w:jc w:val="center"/>
              <w:ind w:left="170"/>
              <w:spacing w:after="0"/>
              <w:rPr>
                <w:sz w:val="20"/>
                <w:szCs w:val="20"/>
                <w:color w:val="auto"/>
              </w:rPr>
            </w:pPr>
            <w:r>
              <w:rPr>
                <w:rFonts w:ascii="Arial" w:cs="Arial" w:eastAsia="Arial" w:hAnsi="Arial"/>
                <w:sz w:val="18"/>
                <w:szCs w:val="18"/>
                <w:color w:val="auto"/>
                <w:w w:val="89"/>
              </w:rPr>
              <w:t>February 27, 2023</w:t>
            </w:r>
          </w:p>
        </w:tc>
      </w:tr>
      <w:tr>
        <w:trPr>
          <w:trHeight w:val="224"/>
        </w:trPr>
        <w:tc>
          <w:tcPr>
            <w:tcW w:w="4180" w:type="dxa"/>
            <w:vAlign w:val="bottom"/>
            <w:gridSpan w:val="3"/>
          </w:tcPr>
          <w:p>
            <w:pPr>
              <w:jc w:val="center"/>
              <w:spacing w:after="0"/>
              <w:rPr>
                <w:sz w:val="20"/>
                <w:szCs w:val="20"/>
                <w:color w:val="auto"/>
              </w:rPr>
            </w:pPr>
            <w:r>
              <w:rPr>
                <w:rFonts w:ascii="Arial" w:cs="Arial" w:eastAsia="Arial" w:hAnsi="Arial"/>
                <w:sz w:val="18"/>
                <w:szCs w:val="18"/>
                <w:color w:val="auto"/>
                <w:w w:val="93"/>
              </w:rPr>
              <w:t>Jeff Haywood</w:t>
            </w:r>
          </w:p>
        </w:tc>
        <w:tc>
          <w:tcPr>
            <w:tcW w:w="2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31"/>
        </w:trPr>
        <w:tc>
          <w:tcPr>
            <w:tcW w:w="41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6"/>
              </w:rPr>
              <w:t>/s/ JILL LARSEN</w:t>
            </w:r>
          </w:p>
        </w:tc>
        <w:tc>
          <w:tcPr>
            <w:tcW w:w="5040" w:type="dxa"/>
            <w:vAlign w:val="bottom"/>
            <w:gridSpan w:val="3"/>
          </w:tcPr>
          <w:p>
            <w:pPr>
              <w:jc w:val="center"/>
              <w:spacing w:after="0"/>
              <w:rPr>
                <w:sz w:val="20"/>
                <w:szCs w:val="20"/>
                <w:color w:val="auto"/>
              </w:rPr>
            </w:pPr>
            <w:r>
              <w:rPr>
                <w:rFonts w:ascii="Arial" w:cs="Arial" w:eastAsia="Arial" w:hAnsi="Arial"/>
                <w:sz w:val="18"/>
                <w:szCs w:val="18"/>
                <w:color w:val="auto"/>
                <w:w w:val="95"/>
              </w:rPr>
              <w:t>Director</w:t>
            </w:r>
          </w:p>
        </w:tc>
        <w:tc>
          <w:tcPr>
            <w:tcW w:w="1580" w:type="dxa"/>
            <w:vAlign w:val="bottom"/>
            <w:gridSpan w:val="3"/>
          </w:tcPr>
          <w:p>
            <w:pPr>
              <w:jc w:val="center"/>
              <w:ind w:left="170"/>
              <w:spacing w:after="0"/>
              <w:rPr>
                <w:sz w:val="20"/>
                <w:szCs w:val="20"/>
                <w:color w:val="auto"/>
              </w:rPr>
            </w:pPr>
            <w:r>
              <w:rPr>
                <w:rFonts w:ascii="Arial" w:cs="Arial" w:eastAsia="Arial" w:hAnsi="Arial"/>
                <w:sz w:val="18"/>
                <w:szCs w:val="18"/>
                <w:color w:val="auto"/>
                <w:w w:val="89"/>
              </w:rPr>
              <w:t>February 27, 2023</w:t>
            </w:r>
          </w:p>
        </w:tc>
      </w:tr>
      <w:tr>
        <w:trPr>
          <w:trHeight w:val="224"/>
        </w:trPr>
        <w:tc>
          <w:tcPr>
            <w:tcW w:w="4180" w:type="dxa"/>
            <w:vAlign w:val="bottom"/>
            <w:gridSpan w:val="3"/>
          </w:tcPr>
          <w:p>
            <w:pPr>
              <w:jc w:val="center"/>
              <w:spacing w:after="0"/>
              <w:rPr>
                <w:sz w:val="20"/>
                <w:szCs w:val="20"/>
                <w:color w:val="auto"/>
              </w:rPr>
            </w:pPr>
            <w:r>
              <w:rPr>
                <w:rFonts w:ascii="Arial" w:cs="Arial" w:eastAsia="Arial" w:hAnsi="Arial"/>
                <w:sz w:val="18"/>
                <w:szCs w:val="18"/>
                <w:color w:val="auto"/>
                <w:w w:val="91"/>
              </w:rPr>
              <w:t>Jill Larsen</w:t>
            </w:r>
          </w:p>
        </w:tc>
        <w:tc>
          <w:tcPr>
            <w:tcW w:w="2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31"/>
        </w:trPr>
        <w:tc>
          <w:tcPr>
            <w:tcW w:w="41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7"/>
              </w:rPr>
              <w:t>/s/ CHRIS MITCHELL</w:t>
            </w:r>
          </w:p>
        </w:tc>
        <w:tc>
          <w:tcPr>
            <w:tcW w:w="5040" w:type="dxa"/>
            <w:vAlign w:val="bottom"/>
            <w:gridSpan w:val="3"/>
          </w:tcPr>
          <w:p>
            <w:pPr>
              <w:jc w:val="center"/>
              <w:spacing w:after="0"/>
              <w:rPr>
                <w:sz w:val="20"/>
                <w:szCs w:val="20"/>
                <w:color w:val="auto"/>
              </w:rPr>
            </w:pPr>
            <w:r>
              <w:rPr>
                <w:rFonts w:ascii="Arial" w:cs="Arial" w:eastAsia="Arial" w:hAnsi="Arial"/>
                <w:sz w:val="18"/>
                <w:szCs w:val="18"/>
                <w:color w:val="auto"/>
                <w:w w:val="95"/>
              </w:rPr>
              <w:t>Director</w:t>
            </w:r>
          </w:p>
        </w:tc>
        <w:tc>
          <w:tcPr>
            <w:tcW w:w="1580" w:type="dxa"/>
            <w:vAlign w:val="bottom"/>
            <w:gridSpan w:val="3"/>
          </w:tcPr>
          <w:p>
            <w:pPr>
              <w:jc w:val="center"/>
              <w:ind w:left="170"/>
              <w:spacing w:after="0"/>
              <w:rPr>
                <w:sz w:val="20"/>
                <w:szCs w:val="20"/>
                <w:color w:val="auto"/>
              </w:rPr>
            </w:pPr>
            <w:r>
              <w:rPr>
                <w:rFonts w:ascii="Arial" w:cs="Arial" w:eastAsia="Arial" w:hAnsi="Arial"/>
                <w:sz w:val="18"/>
                <w:szCs w:val="18"/>
                <w:color w:val="auto"/>
                <w:w w:val="89"/>
              </w:rPr>
              <w:t>February 27, 2023</w:t>
            </w:r>
          </w:p>
        </w:tc>
      </w:tr>
      <w:tr>
        <w:trPr>
          <w:trHeight w:val="224"/>
        </w:trPr>
        <w:tc>
          <w:tcPr>
            <w:tcW w:w="4180" w:type="dxa"/>
            <w:vAlign w:val="bottom"/>
            <w:gridSpan w:val="3"/>
          </w:tcPr>
          <w:p>
            <w:pPr>
              <w:jc w:val="center"/>
              <w:spacing w:after="0"/>
              <w:rPr>
                <w:sz w:val="20"/>
                <w:szCs w:val="20"/>
                <w:color w:val="auto"/>
              </w:rPr>
            </w:pPr>
            <w:r>
              <w:rPr>
                <w:rFonts w:ascii="Arial" w:cs="Arial" w:eastAsia="Arial" w:hAnsi="Arial"/>
                <w:sz w:val="18"/>
                <w:szCs w:val="18"/>
                <w:color w:val="auto"/>
                <w:w w:val="98"/>
              </w:rPr>
              <w:t>Chris Mitchell</w:t>
            </w:r>
          </w:p>
        </w:tc>
        <w:tc>
          <w:tcPr>
            <w:tcW w:w="2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31"/>
        </w:trPr>
        <w:tc>
          <w:tcPr>
            <w:tcW w:w="41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6"/>
              </w:rPr>
              <w:t>/s/ KATHLEEN A. WINTERS</w:t>
            </w:r>
          </w:p>
        </w:tc>
        <w:tc>
          <w:tcPr>
            <w:tcW w:w="5040" w:type="dxa"/>
            <w:vAlign w:val="bottom"/>
            <w:gridSpan w:val="3"/>
          </w:tcPr>
          <w:p>
            <w:pPr>
              <w:jc w:val="center"/>
              <w:spacing w:after="0"/>
              <w:rPr>
                <w:sz w:val="20"/>
                <w:szCs w:val="20"/>
                <w:color w:val="auto"/>
              </w:rPr>
            </w:pPr>
            <w:r>
              <w:rPr>
                <w:rFonts w:ascii="Arial" w:cs="Arial" w:eastAsia="Arial" w:hAnsi="Arial"/>
                <w:sz w:val="18"/>
                <w:szCs w:val="18"/>
                <w:color w:val="auto"/>
                <w:w w:val="95"/>
              </w:rPr>
              <w:t>Director</w:t>
            </w:r>
          </w:p>
        </w:tc>
        <w:tc>
          <w:tcPr>
            <w:tcW w:w="1580" w:type="dxa"/>
            <w:vAlign w:val="bottom"/>
            <w:gridSpan w:val="3"/>
          </w:tcPr>
          <w:p>
            <w:pPr>
              <w:jc w:val="center"/>
              <w:ind w:left="170"/>
              <w:spacing w:after="0"/>
              <w:rPr>
                <w:sz w:val="20"/>
                <w:szCs w:val="20"/>
                <w:color w:val="auto"/>
              </w:rPr>
            </w:pPr>
            <w:r>
              <w:rPr>
                <w:rFonts w:ascii="Arial" w:cs="Arial" w:eastAsia="Arial" w:hAnsi="Arial"/>
                <w:sz w:val="18"/>
                <w:szCs w:val="18"/>
                <w:color w:val="auto"/>
                <w:w w:val="89"/>
              </w:rPr>
              <w:t>February 27, 2023</w:t>
            </w:r>
          </w:p>
        </w:tc>
      </w:tr>
      <w:tr>
        <w:trPr>
          <w:trHeight w:val="224"/>
        </w:trPr>
        <w:tc>
          <w:tcPr>
            <w:tcW w:w="4180" w:type="dxa"/>
            <w:vAlign w:val="bottom"/>
            <w:gridSpan w:val="3"/>
          </w:tcPr>
          <w:p>
            <w:pPr>
              <w:jc w:val="center"/>
              <w:spacing w:after="0"/>
              <w:rPr>
                <w:sz w:val="20"/>
                <w:szCs w:val="20"/>
                <w:color w:val="auto"/>
              </w:rPr>
            </w:pPr>
            <w:r>
              <w:rPr>
                <w:rFonts w:ascii="Arial" w:cs="Arial" w:eastAsia="Arial" w:hAnsi="Arial"/>
                <w:sz w:val="18"/>
                <w:szCs w:val="18"/>
                <w:color w:val="auto"/>
                <w:w w:val="91"/>
              </w:rPr>
              <w:t>Kathleen A. Winters</w:t>
            </w:r>
          </w:p>
        </w:tc>
        <w:tc>
          <w:tcPr>
            <w:tcW w:w="2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31"/>
        </w:trPr>
        <w:tc>
          <w:tcPr>
            <w:tcW w:w="418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7"/>
              </w:rPr>
              <w:t>/s/ LAUREN YOUNG</w:t>
            </w:r>
          </w:p>
        </w:tc>
        <w:tc>
          <w:tcPr>
            <w:tcW w:w="5040" w:type="dxa"/>
            <w:vAlign w:val="bottom"/>
            <w:gridSpan w:val="3"/>
          </w:tcPr>
          <w:p>
            <w:pPr>
              <w:jc w:val="center"/>
              <w:spacing w:after="0"/>
              <w:rPr>
                <w:sz w:val="20"/>
                <w:szCs w:val="20"/>
                <w:color w:val="auto"/>
              </w:rPr>
            </w:pPr>
            <w:r>
              <w:rPr>
                <w:rFonts w:ascii="Arial" w:cs="Arial" w:eastAsia="Arial" w:hAnsi="Arial"/>
                <w:sz w:val="18"/>
                <w:szCs w:val="18"/>
                <w:color w:val="auto"/>
                <w:w w:val="95"/>
              </w:rPr>
              <w:t>Director</w:t>
            </w:r>
          </w:p>
        </w:tc>
        <w:tc>
          <w:tcPr>
            <w:tcW w:w="1580" w:type="dxa"/>
            <w:vAlign w:val="bottom"/>
            <w:gridSpan w:val="3"/>
          </w:tcPr>
          <w:p>
            <w:pPr>
              <w:jc w:val="center"/>
              <w:ind w:left="170"/>
              <w:spacing w:after="0"/>
              <w:rPr>
                <w:sz w:val="20"/>
                <w:szCs w:val="20"/>
                <w:color w:val="auto"/>
              </w:rPr>
            </w:pPr>
            <w:r>
              <w:rPr>
                <w:rFonts w:ascii="Arial" w:cs="Arial" w:eastAsia="Arial" w:hAnsi="Arial"/>
                <w:sz w:val="18"/>
                <w:szCs w:val="18"/>
                <w:color w:val="auto"/>
                <w:w w:val="89"/>
              </w:rPr>
              <w:t>February 27, 2023</w:t>
            </w:r>
          </w:p>
        </w:tc>
      </w:tr>
      <w:tr>
        <w:trPr>
          <w:trHeight w:val="224"/>
        </w:trPr>
        <w:tc>
          <w:tcPr>
            <w:tcW w:w="4180" w:type="dxa"/>
            <w:vAlign w:val="bottom"/>
            <w:gridSpan w:val="3"/>
          </w:tcPr>
          <w:p>
            <w:pPr>
              <w:jc w:val="center"/>
              <w:spacing w:after="0"/>
              <w:rPr>
                <w:sz w:val="20"/>
                <w:szCs w:val="20"/>
                <w:color w:val="auto"/>
              </w:rPr>
            </w:pPr>
            <w:r>
              <w:rPr>
                <w:rFonts w:ascii="Arial" w:cs="Arial" w:eastAsia="Arial" w:hAnsi="Arial"/>
                <w:sz w:val="18"/>
                <w:szCs w:val="18"/>
                <w:color w:val="auto"/>
                <w:w w:val="90"/>
              </w:rPr>
              <w:t>Lauren Young</w:t>
            </w:r>
          </w:p>
        </w:tc>
        <w:tc>
          <w:tcPr>
            <w:tcW w:w="2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bl>
    <w:p>
      <w:pPr>
        <w:sectPr>
          <w:pgSz w:w="11900" w:h="16838" w:orient="portrait"/>
          <w:cols w:equalWidth="0" w:num="1">
            <w:col w:w="11000"/>
          </w:cols>
          <w:pgMar w:left="440" w:top="270" w:right="45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5.1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4"/>
        <w:spacing w:after="0"/>
        <w:rPr>
          <w:sz w:val="20"/>
          <w:szCs w:val="20"/>
          <w:color w:val="auto"/>
        </w:rPr>
      </w:pPr>
      <w:r>
        <w:rPr>
          <w:rFonts w:ascii="Arial" w:cs="Arial" w:eastAsia="Arial" w:hAnsi="Arial"/>
          <w:sz w:val="18"/>
          <w:szCs w:val="18"/>
          <w:color w:val="auto"/>
        </w:rPr>
        <w:t>Jason Kent</w:t>
      </w:r>
    </w:p>
    <w:p>
      <w:pPr>
        <w:spacing w:after="0" w:line="23" w:lineRule="exact"/>
        <w:rPr>
          <w:sz w:val="20"/>
          <w:szCs w:val="20"/>
          <w:color w:val="auto"/>
        </w:rPr>
      </w:pPr>
    </w:p>
    <w:p>
      <w:pPr>
        <w:ind w:left="4" w:right="9600" w:hanging="4"/>
        <w:spacing w:after="0" w:line="323" w:lineRule="auto"/>
        <w:tabs>
          <w:tab w:leader="none" w:pos="200" w:val="left"/>
        </w:tabs>
        <w:numPr>
          <w:ilvl w:val="0"/>
          <w:numId w:val="2"/>
        </w:numPr>
        <w:rPr>
          <w:rFonts w:ascii="Arial" w:cs="Arial" w:eastAsia="Arial" w:hAnsi="Arial"/>
          <w:sz w:val="16"/>
          <w:szCs w:val="16"/>
          <w:color w:val="auto"/>
        </w:rPr>
      </w:pPr>
      <w:r>
        <w:rPr>
          <w:rFonts w:ascii="Arial" w:cs="Arial" w:eastAsia="Arial" w:hAnsi="Arial"/>
          <w:sz w:val="16"/>
          <w:szCs w:val="16"/>
          <w:color w:val="auto"/>
        </w:rPr>
        <w:t>+1 212 479 6044 jkent@cooley.com</w:t>
      </w:r>
    </w:p>
    <w:p>
      <w:pPr>
        <w:spacing w:after="0" w:line="138" w:lineRule="exact"/>
        <w:rPr>
          <w:sz w:val="20"/>
          <w:szCs w:val="20"/>
          <w:color w:val="auto"/>
        </w:rPr>
      </w:pPr>
    </w:p>
    <w:p>
      <w:pPr>
        <w:ind w:left="4"/>
        <w:spacing w:after="0"/>
        <w:rPr>
          <w:sz w:val="20"/>
          <w:szCs w:val="20"/>
          <w:color w:val="auto"/>
        </w:rPr>
      </w:pPr>
      <w:r>
        <w:rPr>
          <w:rFonts w:ascii="Arial" w:cs="Arial" w:eastAsia="Arial" w:hAnsi="Arial"/>
          <w:sz w:val="18"/>
          <w:szCs w:val="18"/>
          <w:color w:val="auto"/>
        </w:rPr>
        <w:t>February 27, 2023</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Definitive Healthcare Corp.</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550 Cochituate Road</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Framingham, Massachusetts 01701</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6"/>
          <w:szCs w:val="16"/>
          <w:color w:val="auto"/>
        </w:rPr>
        <w:t>We have acted as counsel to Definitive Healthcare Corp., a Delaware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and you have requested our opinion in connection</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8"/>
          <w:szCs w:val="18"/>
          <w:color w:val="auto"/>
        </w:rPr>
        <w:t>with the filing of a registration statement on Form S-8 (the “</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 with the Securities and Exchange Commission (the</w:t>
      </w:r>
    </w:p>
    <w:p>
      <w:pPr>
        <w:spacing w:after="0" w:line="9" w:lineRule="exact"/>
        <w:rPr>
          <w:sz w:val="20"/>
          <w:szCs w:val="20"/>
          <w:color w:val="auto"/>
        </w:rPr>
      </w:pPr>
    </w:p>
    <w:p>
      <w:pPr>
        <w:ind w:left="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Commission</w:t>
      </w:r>
      <w:r>
        <w:rPr>
          <w:rFonts w:ascii="Arial" w:cs="Arial" w:eastAsia="Arial" w:hAnsi="Arial"/>
          <w:sz w:val="16"/>
          <w:szCs w:val="16"/>
          <w:color w:val="auto"/>
        </w:rPr>
        <w:t xml:space="preserve">”), covering the offering of up to 5,256,914 shares (the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Shares</w:t>
      </w:r>
      <w:r>
        <w:rPr>
          <w:rFonts w:ascii="Arial" w:cs="Arial" w:eastAsia="Arial" w:hAnsi="Arial"/>
          <w:sz w:val="16"/>
          <w:szCs w:val="16"/>
          <w:i w:val="1"/>
          <w:iCs w:val="1"/>
          <w:color w:val="auto"/>
        </w:rPr>
        <w:t>”</w:t>
      </w:r>
      <w:r>
        <w:rPr>
          <w:rFonts w:ascii="Arial" w:cs="Arial" w:eastAsia="Arial" w:hAnsi="Arial"/>
          <w:sz w:val="16"/>
          <w:szCs w:val="16"/>
          <w:color w:val="auto"/>
        </w:rPr>
        <w:t>) of the Company’s Class A Common Stock, $0.001 par value per share</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Common Stock</w:t>
      </w:r>
      <w:r>
        <w:rPr>
          <w:rFonts w:ascii="Arial" w:cs="Arial" w:eastAsia="Arial" w:hAnsi="Arial"/>
          <w:sz w:val="18"/>
          <w:szCs w:val="18"/>
          <w:i w:val="1"/>
          <w:iCs w:val="1"/>
          <w:color w:val="auto"/>
        </w:rPr>
        <w:t>”</w:t>
      </w:r>
      <w:r>
        <w:rPr>
          <w:rFonts w:ascii="Arial" w:cs="Arial" w:eastAsia="Arial" w:hAnsi="Arial"/>
          <w:sz w:val="18"/>
          <w:szCs w:val="18"/>
          <w:color w:val="auto"/>
        </w:rPr>
        <w:t>) reserved for issuance pursuant to the Company’s 2021 Equity Incentive Plan (the “</w:t>
      </w:r>
      <w:r>
        <w:rPr>
          <w:rFonts w:ascii="Arial" w:cs="Arial" w:eastAsia="Arial" w:hAnsi="Arial"/>
          <w:sz w:val="18"/>
          <w:szCs w:val="18"/>
          <w:b w:val="1"/>
          <w:bCs w:val="1"/>
          <w:i w:val="1"/>
          <w:iCs w:val="1"/>
          <w:color w:val="auto"/>
        </w:rPr>
        <w:t>2021 Plan</w:t>
      </w:r>
      <w:r>
        <w:rPr>
          <w:rFonts w:ascii="Arial" w:cs="Arial" w:eastAsia="Arial" w:hAnsi="Arial"/>
          <w:sz w:val="18"/>
          <w:szCs w:val="18"/>
          <w:color w:val="auto"/>
        </w:rPr>
        <w:t>”).</w:t>
      </w:r>
    </w:p>
    <w:p>
      <w:pPr>
        <w:spacing w:after="0" w:line="211" w:lineRule="exact"/>
        <w:rPr>
          <w:sz w:val="20"/>
          <w:szCs w:val="20"/>
          <w:color w:val="auto"/>
        </w:rPr>
      </w:pPr>
    </w:p>
    <w:p>
      <w:pPr>
        <w:ind w:left="4" w:right="40"/>
        <w:spacing w:after="0" w:line="291" w:lineRule="auto"/>
        <w:rPr>
          <w:sz w:val="20"/>
          <w:szCs w:val="20"/>
          <w:color w:val="auto"/>
        </w:rPr>
      </w:pPr>
      <w:r>
        <w:rPr>
          <w:rFonts w:ascii="Arial" w:cs="Arial" w:eastAsia="Arial" w:hAnsi="Arial"/>
          <w:sz w:val="16"/>
          <w:szCs w:val="16"/>
          <w:color w:val="auto"/>
        </w:rPr>
        <w:t>In connection with this opinion, we have examined and relied upon (a) the Registration Statement and the related prospectuses, (b) the Company’s certificate of incorporation and bylaws, each as currently in effect, (c) the Plan and (d) such other documents, records, certificates, memoranda and other instruments as in our judgment are necessary or appropriate to enable us to render the opinion expressed below. We have assumed the genuineness of all signatures, the authenticity of all documents submitted to us as originals, the conformity to originals of all documents submitted to us as copies, the accuracy, completeness and authenticity of certificates of public officials, and the due authorization, execution and delivery of all documents by all persons other than the Company where authorization, execution and delivery are prerequisites to the effectiveness thereof. As to certain factual matters, we have relied upon a certificate of an officer of the Company and have not independently verified such matters.</w:t>
      </w:r>
    </w:p>
    <w:p>
      <w:pPr>
        <w:spacing w:after="0" w:line="166" w:lineRule="exact"/>
        <w:rPr>
          <w:sz w:val="20"/>
          <w:szCs w:val="20"/>
          <w:color w:val="auto"/>
        </w:rPr>
      </w:pPr>
    </w:p>
    <w:p>
      <w:pPr>
        <w:ind w:left="4" w:right="120"/>
        <w:spacing w:after="0" w:line="263" w:lineRule="auto"/>
        <w:rPr>
          <w:sz w:val="20"/>
          <w:szCs w:val="20"/>
          <w:color w:val="auto"/>
        </w:rPr>
      </w:pPr>
      <w:r>
        <w:rPr>
          <w:rFonts w:ascii="Arial" w:cs="Arial" w:eastAsia="Arial" w:hAnsi="Arial"/>
          <w:sz w:val="18"/>
          <w:szCs w:val="18"/>
          <w:color w:val="auto"/>
        </w:rPr>
        <w:t>Our opinion is expressed only with respect to the General Corporation Law of the State of Delaware. We express no opinion to the extent that any other laws are applicable to the subject matter hereof and express no opinion and provide no assurance as to compliance with any federal or state securities law, rule or regulation.</w:t>
      </w:r>
    </w:p>
    <w:p>
      <w:pPr>
        <w:spacing w:after="0" w:line="184" w:lineRule="exact"/>
        <w:rPr>
          <w:sz w:val="20"/>
          <w:szCs w:val="20"/>
          <w:color w:val="auto"/>
        </w:rPr>
      </w:pPr>
    </w:p>
    <w:p>
      <w:pPr>
        <w:ind w:left="4" w:right="220"/>
        <w:spacing w:after="0" w:line="311" w:lineRule="auto"/>
        <w:rPr>
          <w:sz w:val="20"/>
          <w:szCs w:val="20"/>
          <w:color w:val="auto"/>
        </w:rPr>
      </w:pPr>
      <w:r>
        <w:rPr>
          <w:rFonts w:ascii="Arial" w:cs="Arial" w:eastAsia="Arial" w:hAnsi="Arial"/>
          <w:sz w:val="16"/>
          <w:szCs w:val="16"/>
          <w:color w:val="auto"/>
        </w:rPr>
        <w:t>On the basis of the foregoing, and in reliance thereon, we are of the opinion that the Shares, when sold and issued in accordance with the Plan, the Registration Statement and the related prospectuses, will be validly issued, fully paid and nonassessable (except as to shares issued pursuant to certain deferred payment arrangements, which will be fully paid and nonassessable when such deferred payments are made in full).</w:t>
      </w:r>
    </w:p>
    <w:p>
      <w:pPr>
        <w:spacing w:after="0" w:line="149" w:lineRule="exact"/>
        <w:rPr>
          <w:sz w:val="20"/>
          <w:szCs w:val="20"/>
          <w:color w:val="auto"/>
        </w:rPr>
      </w:pPr>
    </w:p>
    <w:p>
      <w:pPr>
        <w:ind w:left="4" w:right="120"/>
        <w:spacing w:after="0" w:line="263" w:lineRule="auto"/>
        <w:rPr>
          <w:sz w:val="20"/>
          <w:szCs w:val="20"/>
          <w:color w:val="auto"/>
        </w:rPr>
      </w:pPr>
      <w:r>
        <w:rPr>
          <w:rFonts w:ascii="Arial" w:cs="Arial" w:eastAsia="Arial" w:hAnsi="Arial"/>
          <w:sz w:val="18"/>
          <w:szCs w:val="18"/>
          <w:color w:val="auto"/>
        </w:rPr>
        <w:t>Our opinion is limited to the matters stated herein and no opinion is implied or may be inferred beyond the matters expressly stated and is based on those laws as in effect on the date hereof, and we disclaim any obligation to advise you of facts, circumstances, events or developments which hereafter may be brought to our attention and which may alter, affect or modify the opinion expressed herein.</w:t>
      </w:r>
    </w:p>
    <w:p>
      <w:pPr>
        <w:spacing w:after="0" w:line="184" w:lineRule="exact"/>
        <w:rPr>
          <w:sz w:val="20"/>
          <w:szCs w:val="20"/>
          <w:color w:val="auto"/>
        </w:rPr>
      </w:pPr>
    </w:p>
    <w:p>
      <w:pPr>
        <w:ind w:left="4" w:right="20"/>
        <w:spacing w:after="0" w:line="263" w:lineRule="auto"/>
        <w:rPr>
          <w:sz w:val="20"/>
          <w:szCs w:val="20"/>
          <w:color w:val="auto"/>
        </w:rPr>
      </w:pPr>
      <w:r>
        <w:rPr>
          <w:rFonts w:ascii="Arial" w:cs="Arial" w:eastAsia="Arial" w:hAnsi="Arial"/>
          <w:sz w:val="18"/>
          <w:szCs w:val="18"/>
          <w:color w:val="auto"/>
        </w:rPr>
        <w:t>We consent to the filing of this opinion as an exhibit to the Registration Statement. In giving such consent, we do not thereby admit that we are in the category of persons whose consent is required under Section 7 of the Securities Act of 1933, as amended, or the rules and regulations of the Commission thereunder.</w:t>
      </w:r>
    </w:p>
    <w:p>
      <w:pPr>
        <w:spacing w:after="0" w:line="18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Cooley LLP 55 Hudson Yards New York, NY 10001-2157</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t: (212) 479-6000 f: (212) 479-6275 cooley.com</w:t>
      </w:r>
    </w:p>
    <w:p>
      <w:pPr>
        <w:sectPr>
          <w:pgSz w:w="11900" w:h="16838" w:orient="portrait"/>
          <w:cols w:equalWidth="0" w:num="1">
            <w:col w:w="11024"/>
          </w:cols>
          <w:pgMar w:left="436" w:top="121" w:right="4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OOLEY</w:t>
      </w:r>
      <w:r>
        <w:rPr>
          <w:rFonts w:ascii="Arial" w:cs="Arial" w:eastAsia="Arial" w:hAnsi="Arial"/>
          <w:sz w:val="18"/>
          <w:szCs w:val="18"/>
          <w:color w:val="auto"/>
        </w:rPr>
        <w:t xml:space="preserv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JASON KENT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Jason Kent, Partner</w:t>
      </w:r>
    </w:p>
    <w:p>
      <w:pPr>
        <w:spacing w:after="0" w:line="158" w:lineRule="exact"/>
        <w:rPr>
          <w:sz w:val="20"/>
          <w:szCs w:val="20"/>
          <w:color w:val="auto"/>
        </w:rPr>
      </w:pPr>
    </w:p>
    <w:p>
      <w:pPr>
        <w:jc w:val="center"/>
        <w:ind w:right="-1000"/>
        <w:spacing w:after="0"/>
        <w:rPr>
          <w:sz w:val="20"/>
          <w:szCs w:val="20"/>
          <w:color w:val="auto"/>
        </w:rPr>
      </w:pPr>
      <w:r>
        <w:rPr>
          <w:rFonts w:ascii="Arial" w:cs="Arial" w:eastAsia="Arial" w:hAnsi="Arial"/>
          <w:sz w:val="17"/>
          <w:szCs w:val="17"/>
          <w:color w:val="auto"/>
        </w:rPr>
        <w:t>Cooley LLP 55 Hudson Yards New York, NY 10001-2157</w:t>
      </w:r>
    </w:p>
    <w:p>
      <w:pPr>
        <w:spacing w:after="0" w:line="35"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t: (212) 479-6000 f: (212) 479-6275 cooley.com</w:t>
      </w:r>
    </w:p>
    <w:p>
      <w:pPr>
        <w:sectPr>
          <w:pgSz w:w="11900" w:h="16838" w:orient="portrait"/>
          <w:cols w:equalWidth="0" w:num="1">
            <w:col w:w="10019"/>
          </w:cols>
          <w:pgMar w:left="440" w:top="1016" w:right="1440"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We consent to the incorporation by reference in this Registration Statement on Form S-8 our reports dated February 27, 2023 relating to the financial statements of Definitive Healthcare Corp. and the effectiveness of Definitive Healthcare Corp.’s internal control over financial reporting, appearing in the Annual Report on Form 10-K of Definitive Healthcare Corp. for the year ended December 31, 2022.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February 27, 2023</w:t>
      </w:r>
    </w:p>
    <w:p>
      <w:pPr>
        <w:sectPr>
          <w:pgSz w:w="11900" w:h="16838" w:orient="portrait"/>
          <w:cols w:equalWidth="0" w:num="1">
            <w:col w:w="11020"/>
          </w:cols>
          <w:pgMar w:left="440" w:top="121" w:right="4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107.1</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Calculation of Filing Fee Tables</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Form S-8</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(Form Type)</w:t>
      </w:r>
    </w:p>
    <w:p>
      <w:pPr>
        <w:spacing w:after="0" w:line="20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Definitive Healthcare Corp.</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(Exact Name of Registrant as Specified in its Charter)</w:t>
      </w:r>
    </w:p>
    <w:p>
      <w:pPr>
        <w:spacing w:after="0" w:line="211" w:lineRule="exact"/>
        <w:rPr>
          <w:sz w:val="20"/>
          <w:szCs w:val="20"/>
          <w:color w:val="auto"/>
        </w:rPr>
      </w:pPr>
    </w:p>
    <w:p>
      <w:pPr>
        <w:jc w:val="center"/>
        <w:ind w:right="-3"/>
        <w:spacing w:after="0"/>
        <w:rPr>
          <w:sz w:val="20"/>
          <w:szCs w:val="20"/>
          <w:color w:val="auto"/>
        </w:rPr>
      </w:pPr>
      <w:r>
        <w:rPr>
          <w:rFonts w:ascii="Arial" w:cs="Arial" w:eastAsia="Arial" w:hAnsi="Arial"/>
          <w:sz w:val="18"/>
          <w:szCs w:val="18"/>
          <w:u w:val="single" w:color="auto"/>
          <w:color w:val="auto"/>
        </w:rPr>
        <w:t>Table 1: Newly Registered Securities</w:t>
      </w:r>
    </w:p>
    <w:p>
      <w:pPr>
        <w:spacing w:after="0" w:line="246" w:lineRule="exact"/>
        <w:rPr>
          <w:sz w:val="20"/>
          <w:szCs w:val="20"/>
          <w:color w:val="auto"/>
        </w:rPr>
      </w:pPr>
    </w:p>
    <w:tbl>
      <w:tblPr>
        <w:tblLayout w:type="fixed"/>
        <w:tblInd w:w="1334" w:type="dxa"/>
        <w:tblCellMar>
          <w:top w:w="0" w:type="dxa"/>
          <w:left w:w="0" w:type="dxa"/>
          <w:bottom w:w="0" w:type="dxa"/>
          <w:right w:w="0" w:type="dxa"/>
        </w:tblCellMar>
      </w:tblPr>
      <w:tr>
        <w:trPr>
          <w:trHeight w:val="144"/>
        </w:trPr>
        <w:tc>
          <w:tcPr>
            <w:tcW w:w="1180" w:type="dxa"/>
            <w:vAlign w:val="bottom"/>
            <w:tcBorders>
              <w:top w:val="single" w:sz="8" w:color="auto"/>
              <w:left w:val="single" w:sz="8" w:color="auto"/>
              <w:right w:val="single" w:sz="8" w:color="auto"/>
            </w:tcBorders>
          </w:tcPr>
          <w:p>
            <w:pPr>
              <w:spacing w:after="0"/>
              <w:rPr>
                <w:sz w:val="12"/>
                <w:szCs w:val="12"/>
                <w:color w:val="auto"/>
              </w:rPr>
            </w:pPr>
          </w:p>
        </w:tc>
        <w:tc>
          <w:tcPr>
            <w:tcW w:w="1220" w:type="dxa"/>
            <w:vAlign w:val="bottom"/>
            <w:tcBorders>
              <w:top w:val="single" w:sz="8" w:color="auto"/>
              <w:right w:val="single" w:sz="8" w:color="auto"/>
            </w:tcBorders>
          </w:tcPr>
          <w:p>
            <w:pPr>
              <w:spacing w:after="0"/>
              <w:rPr>
                <w:sz w:val="12"/>
                <w:szCs w:val="12"/>
                <w:color w:val="auto"/>
              </w:rPr>
            </w:pPr>
          </w:p>
        </w:tc>
        <w:tc>
          <w:tcPr>
            <w:tcW w:w="880" w:type="dxa"/>
            <w:vAlign w:val="bottom"/>
            <w:tcBorders>
              <w:top w:val="single" w:sz="8" w:color="auto"/>
              <w:right w:val="single" w:sz="8" w:color="auto"/>
            </w:tcBorders>
          </w:tcPr>
          <w:p>
            <w:pPr>
              <w:spacing w:after="0"/>
              <w:rPr>
                <w:sz w:val="12"/>
                <w:szCs w:val="12"/>
                <w:color w:val="auto"/>
              </w:rPr>
            </w:pPr>
          </w:p>
        </w:tc>
        <w:tc>
          <w:tcPr>
            <w:tcW w:w="1060" w:type="dxa"/>
            <w:vAlign w:val="bottom"/>
            <w:tcBorders>
              <w:top w:val="single" w:sz="8" w:color="auto"/>
              <w:right w:val="single" w:sz="8" w:color="auto"/>
            </w:tcBorders>
          </w:tcPr>
          <w:p>
            <w:pPr>
              <w:spacing w:after="0"/>
              <w:rPr>
                <w:sz w:val="12"/>
                <w:szCs w:val="12"/>
                <w:color w:val="auto"/>
              </w:rPr>
            </w:pPr>
          </w:p>
        </w:tc>
        <w:tc>
          <w:tcPr>
            <w:tcW w:w="840" w:type="dxa"/>
            <w:vAlign w:val="bottom"/>
            <w:tcBorders>
              <w:top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w w:val="83"/>
              </w:rPr>
              <w:t>Proposed</w:t>
            </w:r>
          </w:p>
        </w:tc>
        <w:tc>
          <w:tcPr>
            <w:tcW w:w="1320" w:type="dxa"/>
            <w:vAlign w:val="bottom"/>
            <w:tcBorders>
              <w:top w:val="single" w:sz="8" w:color="auto"/>
              <w:right w:val="single" w:sz="8" w:color="auto"/>
            </w:tcBorders>
          </w:tcPr>
          <w:p>
            <w:pPr>
              <w:spacing w:after="0"/>
              <w:rPr>
                <w:sz w:val="12"/>
                <w:szCs w:val="12"/>
                <w:color w:val="auto"/>
              </w:rPr>
            </w:pPr>
          </w:p>
        </w:tc>
        <w:tc>
          <w:tcPr>
            <w:tcW w:w="980" w:type="dxa"/>
            <w:vAlign w:val="bottom"/>
            <w:tcBorders>
              <w:top w:val="single" w:sz="8" w:color="auto"/>
              <w:right w:val="single" w:sz="8" w:color="auto"/>
            </w:tcBorders>
          </w:tcPr>
          <w:p>
            <w:pPr>
              <w:spacing w:after="0"/>
              <w:rPr>
                <w:sz w:val="12"/>
                <w:szCs w:val="12"/>
                <w:color w:val="auto"/>
              </w:rPr>
            </w:pPr>
          </w:p>
        </w:tc>
        <w:tc>
          <w:tcPr>
            <w:tcW w:w="90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180" w:type="dxa"/>
            <w:vAlign w:val="bottom"/>
            <w:tcBorders>
              <w:left w:val="single" w:sz="8" w:color="auto"/>
              <w:right w:val="single" w:sz="8" w:color="auto"/>
            </w:tcBorders>
          </w:tcPr>
          <w:p>
            <w:pPr>
              <w:spacing w:after="0"/>
              <w:rPr>
                <w:sz w:val="11"/>
                <w:szCs w:val="11"/>
                <w:color w:val="auto"/>
              </w:rPr>
            </w:pPr>
          </w:p>
        </w:tc>
        <w:tc>
          <w:tcPr>
            <w:tcW w:w="122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106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3"/>
              </w:rPr>
              <w:t>Maximum</w:t>
            </w:r>
          </w:p>
        </w:tc>
        <w:tc>
          <w:tcPr>
            <w:tcW w:w="1320" w:type="dxa"/>
            <w:vAlign w:val="bottom"/>
            <w:tcBorders>
              <w:right w:val="single" w:sz="8" w:color="auto"/>
            </w:tcBorders>
          </w:tcPr>
          <w:p>
            <w:pPr>
              <w:spacing w:after="0"/>
              <w:rPr>
                <w:sz w:val="11"/>
                <w:szCs w:val="11"/>
                <w:color w:val="auto"/>
              </w:rPr>
            </w:pPr>
          </w:p>
        </w:tc>
        <w:tc>
          <w:tcPr>
            <w:tcW w:w="98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80" w:type="dxa"/>
            <w:vAlign w:val="bottom"/>
            <w:tcBorders>
              <w:left w:val="single" w:sz="8" w:color="auto"/>
              <w:right w:val="single" w:sz="8" w:color="auto"/>
            </w:tcBorders>
            <w:vMerge w:val="restart"/>
          </w:tcPr>
          <w:p>
            <w:pPr>
              <w:jc w:val="center"/>
              <w:ind w:left="68"/>
              <w:spacing w:after="0"/>
              <w:rPr>
                <w:sz w:val="20"/>
                <w:szCs w:val="20"/>
                <w:color w:val="auto"/>
              </w:rPr>
            </w:pPr>
            <w:r>
              <w:rPr>
                <w:rFonts w:ascii="Arial" w:cs="Arial" w:eastAsia="Arial" w:hAnsi="Arial"/>
                <w:sz w:val="13"/>
                <w:szCs w:val="13"/>
                <w:b w:val="1"/>
                <w:bCs w:val="1"/>
                <w:color w:val="auto"/>
                <w:w w:val="85"/>
              </w:rPr>
              <w:t>Security</w:t>
            </w:r>
          </w:p>
        </w:tc>
        <w:tc>
          <w:tcPr>
            <w:tcW w:w="122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9"/>
              </w:rPr>
              <w:t>Fee</w:t>
            </w:r>
          </w:p>
        </w:tc>
        <w:tc>
          <w:tcPr>
            <w:tcW w:w="106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0"/>
              </w:rPr>
              <w:t>Offering</w:t>
            </w:r>
          </w:p>
        </w:tc>
        <w:tc>
          <w:tcPr>
            <w:tcW w:w="13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3"/>
              </w:rPr>
              <w:t>Maximum</w:t>
            </w:r>
          </w:p>
        </w:tc>
        <w:tc>
          <w:tcPr>
            <w:tcW w:w="98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6"/>
              </w:rPr>
              <w:t>Amount of</w:t>
            </w:r>
          </w:p>
        </w:tc>
        <w:tc>
          <w:tcPr>
            <w:tcW w:w="0" w:type="dxa"/>
            <w:vAlign w:val="bottom"/>
          </w:tcPr>
          <w:p>
            <w:pPr>
              <w:spacing w:after="0"/>
              <w:rPr>
                <w:sz w:val="1"/>
                <w:szCs w:val="1"/>
                <w:color w:val="auto"/>
              </w:rPr>
            </w:pPr>
          </w:p>
        </w:tc>
      </w:tr>
      <w:tr>
        <w:trPr>
          <w:trHeight w:val="126"/>
        </w:trPr>
        <w:tc>
          <w:tcPr>
            <w:tcW w:w="1180" w:type="dxa"/>
            <w:vAlign w:val="bottom"/>
            <w:tcBorders>
              <w:left w:val="single" w:sz="8" w:color="auto"/>
              <w:right w:val="single" w:sz="8" w:color="auto"/>
            </w:tcBorders>
            <w:vMerge w:val="continue"/>
          </w:tcPr>
          <w:p>
            <w:pPr>
              <w:spacing w:after="0"/>
              <w:rPr>
                <w:sz w:val="10"/>
                <w:szCs w:val="10"/>
                <w:color w:val="auto"/>
              </w:rPr>
            </w:pPr>
          </w:p>
        </w:tc>
        <w:tc>
          <w:tcPr>
            <w:tcW w:w="1220" w:type="dxa"/>
            <w:vAlign w:val="bottom"/>
            <w:tcBorders>
              <w:right w:val="single" w:sz="8" w:color="auto"/>
            </w:tcBorders>
          </w:tcPr>
          <w:p>
            <w:pPr>
              <w:spacing w:after="0"/>
              <w:rPr>
                <w:sz w:val="10"/>
                <w:szCs w:val="10"/>
                <w:color w:val="auto"/>
              </w:rPr>
            </w:pPr>
          </w:p>
        </w:tc>
        <w:tc>
          <w:tcPr>
            <w:tcW w:w="880" w:type="dxa"/>
            <w:vAlign w:val="bottom"/>
            <w:tcBorders>
              <w:right w:val="single" w:sz="8" w:color="auto"/>
            </w:tcBorders>
          </w:tcPr>
          <w:p>
            <w:pPr>
              <w:jc w:val="center"/>
              <w:spacing w:after="0" w:line="126" w:lineRule="exact"/>
              <w:rPr>
                <w:sz w:val="20"/>
                <w:szCs w:val="20"/>
                <w:color w:val="auto"/>
              </w:rPr>
            </w:pPr>
            <w:r>
              <w:rPr>
                <w:rFonts w:ascii="Arial" w:cs="Arial" w:eastAsia="Arial" w:hAnsi="Arial"/>
                <w:sz w:val="13"/>
                <w:szCs w:val="13"/>
                <w:b w:val="1"/>
                <w:bCs w:val="1"/>
                <w:color w:val="auto"/>
                <w:w w:val="91"/>
              </w:rPr>
              <w:t>Calculation</w:t>
            </w:r>
          </w:p>
        </w:tc>
        <w:tc>
          <w:tcPr>
            <w:tcW w:w="1060" w:type="dxa"/>
            <w:vAlign w:val="bottom"/>
            <w:tcBorders>
              <w:right w:val="single" w:sz="8" w:color="auto"/>
            </w:tcBorders>
          </w:tcPr>
          <w:p>
            <w:pPr>
              <w:jc w:val="center"/>
              <w:spacing w:after="0" w:line="126" w:lineRule="exact"/>
              <w:rPr>
                <w:sz w:val="20"/>
                <w:szCs w:val="20"/>
                <w:color w:val="auto"/>
              </w:rPr>
            </w:pPr>
            <w:r>
              <w:rPr>
                <w:rFonts w:ascii="Arial" w:cs="Arial" w:eastAsia="Arial" w:hAnsi="Arial"/>
                <w:sz w:val="13"/>
                <w:szCs w:val="13"/>
                <w:b w:val="1"/>
                <w:bCs w:val="1"/>
                <w:color w:val="auto"/>
                <w:w w:val="89"/>
              </w:rPr>
              <w:t>Amount</w:t>
            </w:r>
          </w:p>
        </w:tc>
        <w:tc>
          <w:tcPr>
            <w:tcW w:w="840" w:type="dxa"/>
            <w:vAlign w:val="bottom"/>
            <w:tcBorders>
              <w:right w:val="single" w:sz="8" w:color="auto"/>
            </w:tcBorders>
          </w:tcPr>
          <w:p>
            <w:pPr>
              <w:jc w:val="center"/>
              <w:spacing w:after="0" w:line="126" w:lineRule="exact"/>
              <w:rPr>
                <w:sz w:val="20"/>
                <w:szCs w:val="20"/>
                <w:color w:val="auto"/>
              </w:rPr>
            </w:pPr>
            <w:r>
              <w:rPr>
                <w:rFonts w:ascii="Arial" w:cs="Arial" w:eastAsia="Arial" w:hAnsi="Arial"/>
                <w:sz w:val="13"/>
                <w:szCs w:val="13"/>
                <w:b w:val="1"/>
                <w:bCs w:val="1"/>
                <w:color w:val="auto"/>
                <w:w w:val="88"/>
              </w:rPr>
              <w:t>Price Per</w:t>
            </w:r>
          </w:p>
        </w:tc>
        <w:tc>
          <w:tcPr>
            <w:tcW w:w="1320" w:type="dxa"/>
            <w:vAlign w:val="bottom"/>
            <w:tcBorders>
              <w:right w:val="single" w:sz="8" w:color="auto"/>
            </w:tcBorders>
          </w:tcPr>
          <w:p>
            <w:pPr>
              <w:jc w:val="center"/>
              <w:spacing w:after="0" w:line="126" w:lineRule="exact"/>
              <w:rPr>
                <w:sz w:val="20"/>
                <w:szCs w:val="20"/>
                <w:color w:val="auto"/>
              </w:rPr>
            </w:pPr>
            <w:r>
              <w:rPr>
                <w:rFonts w:ascii="Arial" w:cs="Arial" w:eastAsia="Arial" w:hAnsi="Arial"/>
                <w:sz w:val="13"/>
                <w:szCs w:val="13"/>
                <w:b w:val="1"/>
                <w:bCs w:val="1"/>
                <w:color w:val="auto"/>
                <w:w w:val="87"/>
              </w:rPr>
              <w:t>Aggregate Offering</w:t>
            </w:r>
          </w:p>
        </w:tc>
        <w:tc>
          <w:tcPr>
            <w:tcW w:w="98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tcPr>
          <w:p>
            <w:pPr>
              <w:jc w:val="center"/>
              <w:spacing w:after="0" w:line="126" w:lineRule="exact"/>
              <w:rPr>
                <w:sz w:val="20"/>
                <w:szCs w:val="20"/>
                <w:color w:val="auto"/>
              </w:rPr>
            </w:pPr>
            <w:r>
              <w:rPr>
                <w:rFonts w:ascii="Arial" w:cs="Arial" w:eastAsia="Arial" w:hAnsi="Arial"/>
                <w:sz w:val="13"/>
                <w:szCs w:val="13"/>
                <w:b w:val="1"/>
                <w:bCs w:val="1"/>
                <w:color w:val="auto"/>
                <w:w w:val="89"/>
              </w:rPr>
              <w:t>Registration</w:t>
            </w:r>
          </w:p>
        </w:tc>
        <w:tc>
          <w:tcPr>
            <w:tcW w:w="0" w:type="dxa"/>
            <w:vAlign w:val="bottom"/>
          </w:tcPr>
          <w:p>
            <w:pPr>
              <w:spacing w:after="0"/>
              <w:rPr>
                <w:sz w:val="1"/>
                <w:szCs w:val="1"/>
                <w:color w:val="auto"/>
              </w:rPr>
            </w:pPr>
          </w:p>
        </w:tc>
      </w:tr>
      <w:tr>
        <w:trPr>
          <w:trHeight w:val="174"/>
        </w:trPr>
        <w:tc>
          <w:tcPr>
            <w:tcW w:w="1180" w:type="dxa"/>
            <w:vAlign w:val="bottom"/>
            <w:tcBorders>
              <w:left w:val="single" w:sz="8" w:color="auto"/>
              <w:bottom w:val="single" w:sz="8" w:color="auto"/>
              <w:right w:val="single" w:sz="8" w:color="auto"/>
            </w:tcBorders>
          </w:tcPr>
          <w:p>
            <w:pPr>
              <w:jc w:val="center"/>
              <w:ind w:left="68"/>
              <w:spacing w:after="0"/>
              <w:rPr>
                <w:sz w:val="20"/>
                <w:szCs w:val="20"/>
                <w:color w:val="auto"/>
              </w:rPr>
            </w:pPr>
            <w:r>
              <w:rPr>
                <w:rFonts w:ascii="Arial" w:cs="Arial" w:eastAsia="Arial" w:hAnsi="Arial"/>
                <w:sz w:val="13"/>
                <w:szCs w:val="13"/>
                <w:b w:val="1"/>
                <w:bCs w:val="1"/>
                <w:color w:val="auto"/>
                <w:w w:val="92"/>
              </w:rPr>
              <w:t>Type</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Security Class Title</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Rule</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Registered (1)</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Unit</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Price</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4"/>
              </w:rPr>
              <w:t>Fee Rate</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Fee</w:t>
            </w:r>
          </w:p>
        </w:tc>
        <w:tc>
          <w:tcPr>
            <w:tcW w:w="0" w:type="dxa"/>
            <w:vAlign w:val="bottom"/>
          </w:tcPr>
          <w:p>
            <w:pPr>
              <w:spacing w:after="0"/>
              <w:rPr>
                <w:sz w:val="1"/>
                <w:szCs w:val="1"/>
                <w:color w:val="auto"/>
              </w:rPr>
            </w:pPr>
          </w:p>
        </w:tc>
      </w:tr>
      <w:tr>
        <w:trPr>
          <w:trHeight w:val="210"/>
        </w:trPr>
        <w:tc>
          <w:tcPr>
            <w:tcW w:w="1180" w:type="dxa"/>
            <w:vAlign w:val="bottom"/>
            <w:tcBorders>
              <w:left w:val="single" w:sz="8" w:color="auto"/>
              <w:right w:val="single" w:sz="8" w:color="auto"/>
            </w:tcBorders>
          </w:tcPr>
          <w:p>
            <w:pPr>
              <w:jc w:val="center"/>
              <w:ind w:left="68"/>
              <w:spacing w:after="0"/>
              <w:rPr>
                <w:sz w:val="20"/>
                <w:szCs w:val="20"/>
                <w:color w:val="auto"/>
              </w:rPr>
            </w:pPr>
            <w:r>
              <w:rPr>
                <w:rFonts w:ascii="Arial" w:cs="Arial" w:eastAsia="Arial" w:hAnsi="Arial"/>
                <w:sz w:val="18"/>
                <w:szCs w:val="18"/>
                <w:color w:val="auto"/>
                <w:w w:val="95"/>
              </w:rPr>
              <w:t>Equity</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Class A</w:t>
            </w:r>
          </w:p>
        </w:tc>
        <w:tc>
          <w:tcPr>
            <w:tcW w:w="88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Borders>
              <w:left w:val="single" w:sz="8" w:color="auto"/>
              <w:right w:val="single" w:sz="8" w:color="auto"/>
            </w:tcBorders>
          </w:tcPr>
          <w:p>
            <w:pPr>
              <w:spacing w:after="0"/>
              <w:rPr>
                <w:sz w:val="18"/>
                <w:szCs w:val="18"/>
                <w:color w:val="auto"/>
              </w:rPr>
            </w:pP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Common</w:t>
            </w:r>
          </w:p>
        </w:tc>
        <w:tc>
          <w:tcPr>
            <w:tcW w:w="88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Borders>
              <w:left w:val="single" w:sz="8" w:color="auto"/>
              <w:right w:val="single" w:sz="8" w:color="auto"/>
            </w:tcBorders>
          </w:tcPr>
          <w:p>
            <w:pPr>
              <w:spacing w:after="0"/>
              <w:rPr>
                <w:sz w:val="18"/>
                <w:szCs w:val="18"/>
                <w:color w:val="auto"/>
              </w:rPr>
            </w:pP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Stock, $0.001</w:t>
            </w:r>
          </w:p>
        </w:tc>
        <w:tc>
          <w:tcPr>
            <w:tcW w:w="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457(c) and</w:t>
            </w:r>
          </w:p>
        </w:tc>
        <w:tc>
          <w:tcPr>
            <w:tcW w:w="106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180" w:type="dxa"/>
            <w:vAlign w:val="bottom"/>
            <w:tcBorders>
              <w:left w:val="single" w:sz="8" w:color="auto"/>
              <w:right w:val="single" w:sz="8" w:color="auto"/>
            </w:tcBorders>
          </w:tcPr>
          <w:p>
            <w:pPr>
              <w:spacing w:after="0"/>
              <w:rPr>
                <w:sz w:val="17"/>
                <w:szCs w:val="17"/>
                <w:color w:val="auto"/>
              </w:rPr>
            </w:pPr>
          </w:p>
        </w:tc>
        <w:tc>
          <w:tcPr>
            <w:tcW w:w="122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89"/>
              </w:rPr>
              <w:t>par value per</w:t>
            </w:r>
          </w:p>
        </w:tc>
        <w:tc>
          <w:tcPr>
            <w:tcW w:w="880" w:type="dxa"/>
            <w:vAlign w:val="bottom"/>
            <w:tcBorders>
              <w:right w:val="single" w:sz="8" w:color="auto"/>
            </w:tcBorders>
            <w:vMerge w:val="continue"/>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132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1180" w:type="dxa"/>
            <w:vAlign w:val="bottom"/>
            <w:tcBorders>
              <w:left w:val="single" w:sz="8" w:color="auto"/>
              <w:bottom w:val="single" w:sz="8" w:color="auto"/>
              <w:right w:val="single" w:sz="8" w:color="auto"/>
            </w:tcBorders>
          </w:tcPr>
          <w:p>
            <w:pPr>
              <w:spacing w:after="0"/>
              <w:rPr>
                <w:sz w:val="21"/>
                <w:szCs w:val="21"/>
                <w:color w:val="auto"/>
              </w:rPr>
            </w:pP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4"/>
              </w:rPr>
              <w:t>share</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457(h)</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5,256,914 (2)</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$11.71 (3)</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$61,558,462.94</w:t>
            </w:r>
          </w:p>
        </w:tc>
        <w:tc>
          <w:tcPr>
            <w:tcW w:w="9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w w:val="96"/>
              </w:rPr>
              <w:t>0.00011020</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$6,783.75</w:t>
            </w:r>
          </w:p>
        </w:tc>
        <w:tc>
          <w:tcPr>
            <w:tcW w:w="0" w:type="dxa"/>
            <w:vAlign w:val="bottom"/>
          </w:tcPr>
          <w:p>
            <w:pPr>
              <w:spacing w:after="0"/>
              <w:rPr>
                <w:sz w:val="1"/>
                <w:szCs w:val="1"/>
                <w:color w:val="auto"/>
              </w:rPr>
            </w:pPr>
          </w:p>
        </w:tc>
      </w:tr>
      <w:tr>
        <w:trPr>
          <w:trHeight w:val="239"/>
        </w:trPr>
        <w:tc>
          <w:tcPr>
            <w:tcW w:w="1180" w:type="dxa"/>
            <w:vAlign w:val="bottom"/>
            <w:tcBorders>
              <w:left w:val="single" w:sz="8" w:color="auto"/>
              <w:bottom w:val="single" w:sz="8" w:color="auto"/>
            </w:tcBorders>
          </w:tcPr>
          <w:p>
            <w:pPr>
              <w:spacing w:after="0"/>
              <w:rPr>
                <w:sz w:val="20"/>
                <w:szCs w:val="20"/>
                <w:color w:val="auto"/>
              </w:rPr>
            </w:pPr>
          </w:p>
        </w:tc>
        <w:tc>
          <w:tcPr>
            <w:tcW w:w="21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1"/>
              </w:rPr>
              <w:t>Total Offering Amounts</w:t>
            </w:r>
          </w:p>
        </w:tc>
        <w:tc>
          <w:tcPr>
            <w:tcW w:w="106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$6,783.75</w:t>
            </w:r>
          </w:p>
        </w:tc>
        <w:tc>
          <w:tcPr>
            <w:tcW w:w="0" w:type="dxa"/>
            <w:vAlign w:val="bottom"/>
          </w:tcPr>
          <w:p>
            <w:pPr>
              <w:spacing w:after="0"/>
              <w:rPr>
                <w:sz w:val="1"/>
                <w:szCs w:val="1"/>
                <w:color w:val="auto"/>
              </w:rPr>
            </w:pPr>
          </w:p>
        </w:tc>
      </w:tr>
      <w:tr>
        <w:trPr>
          <w:trHeight w:val="237"/>
        </w:trPr>
        <w:tc>
          <w:tcPr>
            <w:tcW w:w="1180" w:type="dxa"/>
            <w:vAlign w:val="bottom"/>
            <w:tcBorders>
              <w:left w:val="single" w:sz="8" w:color="auto"/>
              <w:bottom w:val="single" w:sz="8" w:color="auto"/>
            </w:tcBorders>
          </w:tcPr>
          <w:p>
            <w:pPr>
              <w:spacing w:after="0"/>
              <w:rPr>
                <w:sz w:val="20"/>
                <w:szCs w:val="20"/>
                <w:color w:val="auto"/>
              </w:rPr>
            </w:pPr>
          </w:p>
        </w:tc>
        <w:tc>
          <w:tcPr>
            <w:tcW w:w="21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Total Fee Offsets(4)</w:t>
            </w:r>
          </w:p>
        </w:tc>
        <w:tc>
          <w:tcPr>
            <w:tcW w:w="106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1180" w:type="dxa"/>
            <w:vAlign w:val="bottom"/>
            <w:tcBorders>
              <w:left w:val="single" w:sz="8" w:color="auto"/>
              <w:bottom w:val="single" w:sz="8" w:color="auto"/>
            </w:tcBorders>
          </w:tcPr>
          <w:p>
            <w:pPr>
              <w:spacing w:after="0"/>
              <w:rPr>
                <w:sz w:val="20"/>
                <w:szCs w:val="20"/>
                <w:color w:val="auto"/>
              </w:rPr>
            </w:pPr>
          </w:p>
        </w:tc>
        <w:tc>
          <w:tcPr>
            <w:tcW w:w="21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0"/>
              </w:rPr>
              <w:t>Net Fee Due</w:t>
            </w:r>
          </w:p>
        </w:tc>
        <w:tc>
          <w:tcPr>
            <w:tcW w:w="106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$6,783.75</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24" w:right="260" w:hanging="424"/>
        <w:spacing w:after="0" w:line="286" w:lineRule="auto"/>
        <w:tabs>
          <w:tab w:leader="none" w:pos="424" w:val="left"/>
        </w:tabs>
        <w:numPr>
          <w:ilvl w:val="0"/>
          <w:numId w:val="3"/>
        </w:numPr>
        <w:rPr>
          <w:rFonts w:ascii="Arial" w:cs="Arial" w:eastAsia="Arial" w:hAnsi="Arial"/>
          <w:sz w:val="16"/>
          <w:szCs w:val="16"/>
          <w:color w:val="auto"/>
        </w:rPr>
      </w:pPr>
      <w:r>
        <w:rPr>
          <w:rFonts w:ascii="Arial" w:cs="Arial" w:eastAsia="Arial" w:hAnsi="Arial"/>
          <w:sz w:val="16"/>
          <w:szCs w:val="16"/>
          <w:color w:val="auto"/>
        </w:rPr>
        <w:t>Pursuant to Rule 416(a) promulgated under the Securities Act of 1933, as amended, this Registration Statement shall also cover any additional shares of Class A Common Stock of Definitive Healthcare Corp. (the “</w:t>
      </w:r>
      <w:r>
        <w:rPr>
          <w:rFonts w:ascii="Arial" w:cs="Arial" w:eastAsia="Arial" w:hAnsi="Arial"/>
          <w:sz w:val="16"/>
          <w:szCs w:val="16"/>
          <w:b w:val="1"/>
          <w:bCs w:val="1"/>
          <w:i w:val="1"/>
          <w:iCs w:val="1"/>
          <w:color w:val="auto"/>
        </w:rPr>
        <w:t>Registrant</w:t>
      </w:r>
      <w:r>
        <w:rPr>
          <w:rFonts w:ascii="Arial" w:cs="Arial" w:eastAsia="Arial" w:hAnsi="Arial"/>
          <w:sz w:val="16"/>
          <w:szCs w:val="16"/>
          <w:color w:val="auto"/>
        </w:rPr>
        <w:t>”) that become issuable under the Definitive Healthcare Corp. 2021 Equity Incentive Plan (the “</w:t>
      </w:r>
      <w:r>
        <w:rPr>
          <w:rFonts w:ascii="Arial" w:cs="Arial" w:eastAsia="Arial" w:hAnsi="Arial"/>
          <w:sz w:val="16"/>
          <w:szCs w:val="16"/>
          <w:b w:val="1"/>
          <w:bCs w:val="1"/>
          <w:i w:val="1"/>
          <w:iCs w:val="1"/>
          <w:color w:val="auto"/>
        </w:rPr>
        <w:t>2021 Plan</w:t>
      </w:r>
      <w:r>
        <w:rPr>
          <w:rFonts w:ascii="Arial" w:cs="Arial" w:eastAsia="Arial" w:hAnsi="Arial"/>
          <w:sz w:val="16"/>
          <w:szCs w:val="16"/>
          <w:color w:val="auto"/>
        </w:rPr>
        <w:t>”) set forth herein by reason of any stock dividend, stock split, recapitalization, or other similar transaction effected that results in an increase to the number of outstanding shares of the Registrant’s Class A common stock, as applicable.</w:t>
      </w:r>
    </w:p>
    <w:p>
      <w:pPr>
        <w:spacing w:after="0" w:line="1" w:lineRule="exact"/>
        <w:rPr>
          <w:rFonts w:ascii="Arial" w:cs="Arial" w:eastAsia="Arial" w:hAnsi="Arial"/>
          <w:sz w:val="16"/>
          <w:szCs w:val="16"/>
          <w:color w:val="auto"/>
        </w:rPr>
      </w:pPr>
    </w:p>
    <w:p>
      <w:pPr>
        <w:ind w:left="424" w:right="540" w:hanging="424"/>
        <w:spacing w:after="0" w:line="250" w:lineRule="auto"/>
        <w:tabs>
          <w:tab w:leader="none" w:pos="424"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5,256,914 additional shares of the Registrant’s Class A Common Stock available for issuance as a result of the annual evergreen increase on January 1, 2023 under the 2021 Plan.</w:t>
      </w:r>
    </w:p>
    <w:p>
      <w:pPr>
        <w:ind w:left="424" w:right="180" w:hanging="424"/>
        <w:spacing w:after="0" w:line="265" w:lineRule="auto"/>
        <w:tabs>
          <w:tab w:leader="none" w:pos="424" w:val="left"/>
        </w:tabs>
        <w:numPr>
          <w:ilvl w:val="0"/>
          <w:numId w:val="3"/>
        </w:numPr>
        <w:rPr>
          <w:rFonts w:ascii="Arial" w:cs="Arial" w:eastAsia="Arial" w:hAnsi="Arial"/>
          <w:sz w:val="17"/>
          <w:szCs w:val="17"/>
          <w:color w:val="auto"/>
        </w:rPr>
      </w:pPr>
      <w:r>
        <w:rPr>
          <w:rFonts w:ascii="Arial" w:cs="Arial" w:eastAsia="Arial" w:hAnsi="Arial"/>
          <w:sz w:val="17"/>
          <w:szCs w:val="17"/>
          <w:color w:val="auto"/>
        </w:rPr>
        <w:t>Estimated in accordance with Rule 457(c) and 457(h) solely for purposes of calculating the registration fee on the basis of $11.71, the average of the high and low prices of the Registrant’s common stock as reported on the Nasdaq Stock Market on February 22, 2023.</w:t>
      </w:r>
    </w:p>
    <w:p>
      <w:pPr>
        <w:ind w:left="424" w:hanging="424"/>
        <w:spacing w:after="0"/>
        <w:tabs>
          <w:tab w:leader="none" w:pos="424"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Registrant does not have any fee offsets.</w:t>
      </w:r>
    </w:p>
    <w:sectPr>
      <w:pgSz w:w="11900" w:h="16838" w:orient="portrait"/>
      <w:cols w:equalWidth="0" w:num="1">
        <w:col w:w="11024"/>
      </w:cols>
      <w:pgMar w:left="436"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Letter"/>
      <w:start w:val="1"/>
    </w:lvl>
  </w:abstractNum>
  <w:abstractNum w:abstractNumId="1">
    <w:nsid w:val="74B0DC51"/>
    <w:multiLevelType w:val="hybridMultilevel"/>
    <w:lvl w:ilvl="0">
      <w:lvlJc w:val="left"/>
      <w:lvlText w:val="%1:"/>
      <w:numFmt w:val="upperLetter"/>
      <w:start w:val="20"/>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17" Type="http://schemas.openxmlformats.org/officeDocument/2006/relationships/hyperlink" Target="http://www.sec.gov/Archives/edgar/data/1861795/000119312521273190/d204559ds8.htm" TargetMode="External"/><Relationship Id="rId18" Type="http://schemas.openxmlformats.org/officeDocument/2006/relationships/hyperlink" Target="http://www.sec.gov/ix?doc=/Archives/edgar/data/1861795/000095017023004643/dh-20221231.htm" TargetMode="External"/><Relationship Id="rId19" Type="http://schemas.openxmlformats.org/officeDocument/2006/relationships/hyperlink" Target="http://www.sec.gov/Archives/edgar/data/1861795/000095017022003770/dh-ex4_1.htm" TargetMode="External"/><Relationship Id="rId20" Type="http://schemas.openxmlformats.org/officeDocument/2006/relationships/hyperlink" Target="http://www.sec.gov/Archives/edgar/data/1861795/000095017021003484/dh-ex3_1.htm" TargetMode="External"/><Relationship Id="rId21" Type="http://schemas.openxmlformats.org/officeDocument/2006/relationships/hyperlink" Target="http://www.sec.gov/Archives/edgar/data/1861795/000095017021003484/dh-ex3_2.htm" TargetMode="External"/><Relationship Id="rId22" Type="http://schemas.openxmlformats.org/officeDocument/2006/relationships/hyperlink" Target="http://www.sec.gov/Archives/edgar/data/1861795/000095017022003770/dh-ex10_1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2023-02-28T01:12:01Z</dcterms:created>
  <dcterms:modified xsi:type="dcterms:W3CDTF">2023-02-28T01:12:01Z</dcterms:modified>
</cp:coreProperties>
</file>