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Mirisola Joseph Gianni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Revenue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136,640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188,363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40" w:right="34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$0.001. The RSUs vest over a four-year period, with 25% of the RSUs vesting on February 1, 2024, followed by quarterly vesting of 6.25% every three months thereafter over the subsequent three years, in each case subject to the Reporting Person's continued service with the Issuer through each such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Matthew Ruderman,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 in fact</w:t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9228" TargetMode="External"/><Relationship Id="rId13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2023-02-21T19:03:48Z</dcterms:created>
  <dcterms:modified xsi:type="dcterms:W3CDTF">2023-02-21T19:03:48Z</dcterms:modified>
</cp:coreProperties>
</file>