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Heller Casey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18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06/02/2025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Definitive Healthcare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DH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57"/>
        <w:spacing w:after="0" w:line="275" w:lineRule="auto"/>
        <w:rPr>
          <w:sz w:val="20"/>
          <w:szCs w:val="20"/>
          <w:color w:val="auto"/>
        </w:rPr>
      </w:pPr>
      <w:r>
        <w:rPr>
          <w:rFonts w:ascii="Times New Roman" w:cs="Times New Roman" w:eastAsia="Times New Roman" w:hAnsi="Times New Roman"/>
          <w:sz w:val="20"/>
          <w:szCs w:val="20"/>
          <w:color w:val="0000FF"/>
        </w:rPr>
        <w:t>C/O DEFINITIVE HEALTHCARE CORP.</w:t>
      </w:r>
    </w:p>
    <w:p>
      <w:pPr>
        <w:spacing w:after="0" w:line="13" w:lineRule="exact"/>
        <w:rPr>
          <w:sz w:val="24"/>
          <w:szCs w:val="24"/>
          <w:color w:val="auto"/>
        </w:rPr>
      </w:pPr>
    </w:p>
    <w:p>
      <w:pPr>
        <w:ind w:left="140" w:right="1397"/>
        <w:spacing w:after="0" w:line="275" w:lineRule="auto"/>
        <w:rPr>
          <w:sz w:val="20"/>
          <w:szCs w:val="20"/>
          <w:color w:val="auto"/>
        </w:rPr>
      </w:pPr>
      <w:r>
        <w:rPr>
          <w:rFonts w:ascii="Times New Roman" w:cs="Times New Roman" w:eastAsia="Times New Roman" w:hAnsi="Times New Roman"/>
          <w:sz w:val="20"/>
          <w:szCs w:val="20"/>
          <w:color w:val="0000FF"/>
        </w:rPr>
        <w:t>492 OLD CONNECTICUT PATH, SUITE 401</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202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7"/>
                <w:szCs w:val="17"/>
                <w:color w:val="auto"/>
              </w:rPr>
            </w:pPr>
          </w:p>
        </w:tc>
      </w:tr>
      <w:tr>
        <w:trPr>
          <w:trHeight w:val="265"/>
        </w:trPr>
        <w:tc>
          <w:tcPr>
            <w:tcW w:w="20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FRAMINGHAM MA</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01701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106,745</w:t>
            </w:r>
            <w:r>
              <w:rPr>
                <w:rFonts w:ascii="Times New Roman" w:cs="Times New Roman" w:eastAsia="Times New Roman" w:hAnsi="Times New Roman"/>
                <w:sz w:val="25"/>
                <w:szCs w:val="25"/>
                <w:color w:val="008000"/>
                <w:vertAlign w:val="superscript"/>
              </w:rPr>
              <w:t>(1)</w:t>
            </w:r>
          </w:p>
        </w:tc>
        <w:tc>
          <w:tcPr>
            <w:tcW w:w="10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4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restricted stock units ("RSUs"), each representing a contingent right to receive one share of the Issuer's Class A Common Stock, par value $0.001, consisting of (i) 22,108 RSUs that vest in 11 equal quarterly installments beginning on August 1, 2025, (ii) 15,632 RSUs that vest in 7 equal quarterly installments beginning on August 1, 2025, and (iii) 56,562 RSUs with 50% vesting on each of October 1, 2025 and October 1, 2026, in each case subject to the Reporting Person's continued service with the Issuer through each such vesting date.</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Matthew Ruderman,</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06/04/2025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Executing Form ID and Forms 3, 4 and 5)</w:t>
      </w:r>
    </w:p>
    <w:p>
      <w:pPr>
        <w:spacing w:after="0" w:line="272" w:lineRule="exact"/>
        <w:rPr>
          <w:sz w:val="20"/>
          <w:szCs w:val="20"/>
          <w:color w:val="auto"/>
        </w:rPr>
      </w:pPr>
    </w:p>
    <w:p>
      <w:pPr>
        <w:jc w:val="both"/>
        <w:ind w:firstLine="916"/>
        <w:spacing w:after="0" w:line="252"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Jean Park, Julia Boesch, Nikki Chang, Charlotte Yin, Albert Gelin and Jason Minio of Cooley LLP, and Matthew Ruderman, Christina Kelleher, and Maria Borda of Definitive Healthcare Corp.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signing individually, the undersigned’s true and lawful attorneys-in fact and agents to:</w:t>
      </w:r>
    </w:p>
    <w:p>
      <w:pPr>
        <w:spacing w:after="0" w:line="228" w:lineRule="exact"/>
        <w:rPr>
          <w:sz w:val="20"/>
          <w:szCs w:val="20"/>
          <w:color w:val="auto"/>
        </w:rPr>
      </w:pPr>
    </w:p>
    <w:p>
      <w:pPr>
        <w:jc w:val="both"/>
        <w:ind w:firstLine="916"/>
        <w:spacing w:after="0" w:line="249" w:lineRule="auto"/>
        <w:tabs>
          <w:tab w:leader="none" w:pos="180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a Form ID and Forms 3, 4 and 5 (including amendments thereto and joint filing agreements in connection therewith) in accordance with Section 16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in the undersigned’s capacity as an officer, director or beneficial owner of more than 10% of a registered class of securities of the Company;</w:t>
      </w:r>
    </w:p>
    <w:p>
      <w:pPr>
        <w:spacing w:after="0" w:line="233" w:lineRule="exact"/>
        <w:rPr>
          <w:rFonts w:ascii="Times New Roman" w:cs="Times New Roman" w:eastAsia="Times New Roman" w:hAnsi="Times New Roman"/>
          <w:sz w:val="22"/>
          <w:szCs w:val="22"/>
          <w:color w:val="auto"/>
        </w:rPr>
      </w:pPr>
    </w:p>
    <w:p>
      <w:pPr>
        <w:jc w:val="both"/>
        <w:ind w:firstLine="916"/>
        <w:spacing w:after="0" w:line="252" w:lineRule="auto"/>
        <w:tabs>
          <w:tab w:leader="none" w:pos="180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28" w:lineRule="exact"/>
        <w:rPr>
          <w:rFonts w:ascii="Times New Roman" w:cs="Times New Roman" w:eastAsia="Times New Roman" w:hAnsi="Times New Roman"/>
          <w:sz w:val="22"/>
          <w:szCs w:val="22"/>
          <w:color w:val="auto"/>
        </w:rPr>
      </w:pPr>
    </w:p>
    <w:p>
      <w:pPr>
        <w:jc w:val="both"/>
        <w:ind w:firstLine="916"/>
        <w:spacing w:after="0" w:line="249" w:lineRule="auto"/>
        <w:tabs>
          <w:tab w:leader="none" w:pos="180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3" w:lineRule="exact"/>
        <w:rPr>
          <w:sz w:val="20"/>
          <w:szCs w:val="20"/>
          <w:color w:val="auto"/>
        </w:rPr>
      </w:pPr>
    </w:p>
    <w:p>
      <w:pPr>
        <w:jc w:val="both"/>
        <w:ind w:firstLine="916"/>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7" w:lineRule="exact"/>
        <w:rPr>
          <w:sz w:val="20"/>
          <w:szCs w:val="20"/>
          <w:color w:val="auto"/>
        </w:rPr>
      </w:pPr>
    </w:p>
    <w:p>
      <w:pPr>
        <w:jc w:val="both"/>
        <w:ind w:firstLine="916"/>
        <w:spacing w:after="0" w:line="249"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33" w:lineRule="exact"/>
        <w:rPr>
          <w:sz w:val="20"/>
          <w:szCs w:val="20"/>
          <w:color w:val="auto"/>
        </w:rPr>
      </w:pPr>
    </w:p>
    <w:p>
      <w:pPr>
        <w:jc w:val="both"/>
        <w:ind w:firstLine="916"/>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Date: December 31, 2024</w:t>
            </w:r>
          </w:p>
        </w:tc>
        <w:tc>
          <w:tcPr>
            <w:tcW w:w="2520" w:type="dxa"/>
            <w:vAlign w:val="bottom"/>
            <w:gridSpan w:val="2"/>
          </w:tcPr>
          <w:p>
            <w:pPr>
              <w:ind w:left="1120"/>
              <w:spacing w:after="0"/>
              <w:rPr>
                <w:sz w:val="20"/>
                <w:szCs w:val="20"/>
                <w:color w:val="auto"/>
              </w:rPr>
            </w:pPr>
            <w:r>
              <w:rPr>
                <w:rFonts w:ascii="Times New Roman" w:cs="Times New Roman" w:eastAsia="Times New Roman" w:hAnsi="Times New Roman"/>
                <w:sz w:val="22"/>
                <w:szCs w:val="22"/>
                <w:color w:val="auto"/>
                <w:w w:val="98"/>
              </w:rPr>
              <w:t>/s/ Casey Heller</w:t>
            </w:r>
          </w:p>
        </w:tc>
      </w:tr>
      <w:tr>
        <w:trPr>
          <w:trHeight w:val="286"/>
        </w:trPr>
        <w:tc>
          <w:tcPr>
            <w:tcW w:w="3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Casey Heller</w:t>
            </w:r>
          </w:p>
        </w:tc>
      </w:tr>
    </w:tbl>
    <w:p>
      <w:pPr>
        <w:spacing w:after="0" w:line="1" w:lineRule="exact"/>
        <w:rPr>
          <w:sz w:val="20"/>
          <w:szCs w:val="20"/>
          <w:color w:val="auto"/>
        </w:rPr>
      </w:pP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52043" TargetMode="External"/><Relationship Id="rId11"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2025-06-04T15:22:52Z</dcterms:created>
  <dcterms:modified xsi:type="dcterms:W3CDTF">2025-06-04T15:22:52Z</dcterms:modified>
</cp:coreProperties>
</file>