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4"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56"/>
        </w:trPr>
        <w:tc>
          <w:tcPr>
            <w:tcW w:w="2000" w:type="dxa"/>
            <w:vAlign w:val="bottom"/>
          </w:tcPr>
          <w:p>
            <w:pPr>
              <w:spacing w:after="0"/>
              <w:rPr>
                <w:sz w:val="4"/>
                <w:szCs w:val="4"/>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tcPr>
          <w:p>
            <w:pPr>
              <w:spacing w:after="0"/>
              <w:rPr>
                <w:sz w:val="8"/>
                <w:szCs w:val="8"/>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65" w:lineRule="exact"/>
              <w:rPr>
                <w:sz w:val="20"/>
                <w:szCs w:val="20"/>
                <w:color w:val="auto"/>
              </w:rPr>
            </w:pPr>
            <w:r>
              <w:rPr>
                <w:rFonts w:ascii="Arial" w:cs="Arial" w:eastAsia="Arial" w:hAnsi="Arial"/>
                <w:sz w:val="7"/>
                <w:szCs w:val="7"/>
                <w:color w:val="auto"/>
              </w:rPr>
              <w:t>response:</w:t>
            </w: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0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-758825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9"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060" w:type="dxa"/>
            <w:vAlign w:val="bottom"/>
            <w:gridSpan w:val="2"/>
            <w:vMerge w:val="restart"/>
          </w:tcPr>
          <w:p>
            <w:pPr>
              <w:spacing w:after="0"/>
              <w:rPr>
                <w:rFonts w:ascii="Arial" w:cs="Arial" w:eastAsia="Arial" w:hAnsi="Arial"/>
                <w:sz w:val="24"/>
                <w:szCs w:val="24"/>
                <w:color w:val="0000EE"/>
              </w:rPr>
            </w:pPr>
            <w:hyperlink r:id="rId10">
              <w:r>
                <w:rPr>
                  <w:rFonts w:ascii="Arial" w:cs="Arial" w:eastAsia="Arial" w:hAnsi="Arial"/>
                  <w:sz w:val="24"/>
                  <w:szCs w:val="24"/>
                  <w:color w:val="0000EE"/>
                </w:rPr>
                <w:t>Stephenson Scott G</w:t>
              </w:r>
            </w:hyperlink>
          </w:p>
        </w:tc>
        <w:tc>
          <w:tcPr>
            <w:tcW w:w="1520" w:type="dxa"/>
            <w:vAlign w:val="bottom"/>
          </w:tcPr>
          <w:p>
            <w:pPr>
              <w:ind w:left="160"/>
              <w:spacing w:after="0" w:line="139"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3060" w:type="dxa"/>
            <w:vAlign w:val="bottom"/>
            <w:gridSpan w:val="2"/>
            <w:vMerge w:val="continue"/>
          </w:tcPr>
          <w:p>
            <w:pPr>
              <w:spacing w:after="0"/>
              <w:rPr>
                <w:sz w:val="13"/>
                <w:szCs w:val="13"/>
                <w:color w:val="auto"/>
              </w:rPr>
            </w:pPr>
          </w:p>
        </w:tc>
        <w:tc>
          <w:tcPr>
            <w:tcW w:w="1520" w:type="dxa"/>
            <w:vAlign w:val="bottom"/>
          </w:tcPr>
          <w:p>
            <w:pPr>
              <w:ind w:left="160"/>
              <w:spacing w:after="0" w:line="16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80" w:type="dxa"/>
            <w:vAlign w:val="bottom"/>
            <w:tcBorders>
              <w:top w:val="single" w:sz="8" w:color="0000EE"/>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09/06/2023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Definitive Healthcare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DH</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60"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4" w:lineRule="exact"/>
        <w:rPr>
          <w:sz w:val="24"/>
          <w:szCs w:val="24"/>
          <w:color w:val="auto"/>
        </w:rPr>
      </w:pPr>
    </w:p>
    <w:p>
      <w:pPr>
        <w:ind w:left="140" w:right="1357"/>
        <w:spacing w:after="0" w:line="269" w:lineRule="auto"/>
        <w:rPr>
          <w:sz w:val="20"/>
          <w:szCs w:val="20"/>
          <w:color w:val="auto"/>
        </w:rPr>
      </w:pPr>
      <w:r>
        <w:rPr>
          <w:rFonts w:ascii="Arial" w:cs="Arial" w:eastAsia="Arial" w:hAnsi="Arial"/>
          <w:sz w:val="20"/>
          <w:szCs w:val="20"/>
          <w:color w:val="0000FF"/>
        </w:rPr>
        <w:t>C/O DEFINITIVE HEALTHCARE CORP.</w:t>
      </w:r>
    </w:p>
    <w:p>
      <w:pPr>
        <w:spacing w:after="0" w:line="25" w:lineRule="exact"/>
        <w:rPr>
          <w:sz w:val="24"/>
          <w:szCs w:val="24"/>
          <w:color w:val="auto"/>
        </w:rPr>
      </w:pPr>
    </w:p>
    <w:p>
      <w:pPr>
        <w:ind w:left="140" w:right="1397"/>
        <w:spacing w:after="0" w:line="269" w:lineRule="auto"/>
        <w:rPr>
          <w:sz w:val="20"/>
          <w:szCs w:val="20"/>
          <w:color w:val="auto"/>
        </w:rPr>
      </w:pPr>
      <w:r>
        <w:rPr>
          <w:rFonts w:ascii="Arial" w:cs="Arial" w:eastAsia="Arial" w:hAnsi="Arial"/>
          <w:sz w:val="20"/>
          <w:szCs w:val="20"/>
          <w:color w:val="0000FF"/>
        </w:rPr>
        <w:t>492 OLD CONNECTICUT PATH, SUITE 401</w:t>
      </w:r>
    </w:p>
    <w:p>
      <w:pPr>
        <w:spacing w:after="0" w:line="279" w:lineRule="exact"/>
        <w:rPr>
          <w:sz w:val="24"/>
          <w:szCs w:val="24"/>
          <w:color w:val="auto"/>
        </w:rPr>
      </w:pPr>
    </w:p>
    <w:tbl>
      <w:tblPr>
        <w:tblLayout w:type="fixed"/>
        <w:tblInd w:w="100" w:type="dxa"/>
        <w:tblCellMar>
          <w:top w:w="0" w:type="dxa"/>
          <w:left w:w="0" w:type="dxa"/>
          <w:bottom w:w="0" w:type="dxa"/>
          <w:right w:w="0" w:type="dxa"/>
        </w:tblCellMar>
      </w:tblPr>
      <w:tr>
        <w:trPr>
          <w:trHeight w:val="190"/>
        </w:trPr>
        <w:tc>
          <w:tcPr>
            <w:tcW w:w="2020" w:type="dxa"/>
            <w:vAlign w:val="bottom"/>
          </w:tcPr>
          <w:p>
            <w:pPr>
              <w:spacing w:after="0"/>
              <w:rPr>
                <w:sz w:val="20"/>
                <w:szCs w:val="20"/>
                <w:color w:val="auto"/>
              </w:rPr>
            </w:pPr>
            <w:r>
              <w:rPr>
                <w:rFonts w:ascii="Arial" w:cs="Arial" w:eastAsia="Arial" w:hAnsi="Arial"/>
                <w:sz w:val="15"/>
                <w:szCs w:val="15"/>
                <w:color w:val="auto"/>
              </w:rPr>
              <w:t>(Street)</w:t>
            </w:r>
          </w:p>
        </w:tc>
        <w:tc>
          <w:tcPr>
            <w:tcW w:w="720" w:type="dxa"/>
            <w:vAlign w:val="bottom"/>
          </w:tcPr>
          <w:p>
            <w:pPr>
              <w:spacing w:after="0"/>
              <w:rPr>
                <w:sz w:val="16"/>
                <w:szCs w:val="16"/>
                <w:color w:val="auto"/>
              </w:rPr>
            </w:pPr>
          </w:p>
        </w:tc>
      </w:tr>
      <w:tr>
        <w:trPr>
          <w:trHeight w:val="269"/>
        </w:trPr>
        <w:tc>
          <w:tcPr>
            <w:tcW w:w="2020" w:type="dxa"/>
            <w:vAlign w:val="bottom"/>
          </w:tcPr>
          <w:p>
            <w:pPr>
              <w:ind w:left="40"/>
              <w:spacing w:after="0"/>
              <w:rPr>
                <w:sz w:val="20"/>
                <w:szCs w:val="20"/>
                <w:color w:val="auto"/>
              </w:rPr>
            </w:pPr>
            <w:r>
              <w:rPr>
                <w:rFonts w:ascii="Arial" w:cs="Arial" w:eastAsia="Arial" w:hAnsi="Arial"/>
                <w:sz w:val="20"/>
                <w:szCs w:val="20"/>
                <w:color w:val="0000FF"/>
              </w:rPr>
              <w:t>FRAMINGHAM MA</w:t>
            </w:r>
          </w:p>
        </w:tc>
        <w:tc>
          <w:tcPr>
            <w:tcW w:w="720" w:type="dxa"/>
            <w:vAlign w:val="bottom"/>
          </w:tcPr>
          <w:p>
            <w:pPr>
              <w:jc w:val="right"/>
              <w:spacing w:after="0"/>
              <w:rPr>
                <w:sz w:val="20"/>
                <w:szCs w:val="20"/>
                <w:color w:val="auto"/>
              </w:rPr>
            </w:pPr>
            <w:r>
              <w:rPr>
                <w:rFonts w:ascii="Arial" w:cs="Arial" w:eastAsia="Arial" w:hAnsi="Arial"/>
                <w:sz w:val="20"/>
                <w:szCs w:val="20"/>
                <w:color w:val="0000FF"/>
              </w:rPr>
              <w:t>01701</w:t>
            </w:r>
          </w:p>
        </w:tc>
      </w:tr>
    </w:tbl>
    <w:p>
      <w:pPr>
        <w:spacing w:after="0" w:line="20" w:lineRule="exact"/>
        <w:rPr>
          <w:sz w:val="24"/>
          <w:szCs w:val="24"/>
          <w:color w:val="auto"/>
        </w:rPr>
      </w:pPr>
      <w:r>
        <w:rPr>
          <w:sz w:val="24"/>
          <w:szCs w:val="24"/>
          <w:color w:val="auto"/>
        </w:rPr>
        <w:br w:type="column"/>
      </w:r>
    </w:p>
    <w:p>
      <w:pPr>
        <w:ind w:left="3" w:right="300" w:hanging="3"/>
        <w:spacing w:after="0" w:line="236"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10"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3"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53"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71" w:lineRule="exact"/>
        <w:rPr>
          <w:rFonts w:ascii="Arial" w:cs="Arial" w:eastAsia="Arial" w:hAnsi="Arial"/>
          <w:sz w:val="15"/>
          <w:szCs w:val="15"/>
          <w:color w:val="auto"/>
        </w:rPr>
      </w:pPr>
    </w:p>
    <w:p>
      <w:pPr>
        <w:ind w:left="-9" w:right="480" w:firstLine="9"/>
        <w:spacing w:after="0" w:line="246"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22" w:lineRule="exact"/>
        <w:rPr>
          <w:sz w:val="24"/>
          <w:szCs w:val="24"/>
          <w:color w:val="auto"/>
        </w:rPr>
      </w:pPr>
    </w:p>
    <w:p>
      <w:pPr>
        <w:ind w:left="451" w:right="340" w:hanging="304"/>
        <w:spacing w:after="0" w:line="185" w:lineRule="auto"/>
        <w:tabs>
          <w:tab w:leader="none" w:pos="451" w:val="left"/>
        </w:tabs>
        <w:numPr>
          <w:ilvl w:val="0"/>
          <w:numId w:val="3"/>
        </w:numPr>
        <w:rPr>
          <w:rFonts w:ascii="Arial" w:cs="Arial" w:eastAsia="Arial" w:hAnsi="Arial"/>
          <w:sz w:val="28"/>
          <w:szCs w:val="28"/>
          <w:color w:val="0000FF"/>
          <w:vertAlign w:val="subscript"/>
        </w:rPr>
      </w:pPr>
      <w:r>
        <w:rPr>
          <w:rFonts w:ascii="Arial" w:cs="Arial" w:eastAsia="Arial" w:hAnsi="Arial"/>
          <w:sz w:val="12"/>
          <w:szCs w:val="12"/>
          <w:color w:val="auto"/>
        </w:rPr>
        <w:t>Form filed by One Reporting Person</w:t>
      </w:r>
    </w:p>
    <w:p>
      <w:pPr>
        <w:spacing w:after="0" w:line="35" w:lineRule="exact"/>
        <w:rPr>
          <w:rFonts w:ascii="Arial" w:cs="Arial" w:eastAsia="Arial" w:hAnsi="Arial"/>
          <w:sz w:val="28"/>
          <w:szCs w:val="28"/>
          <w:color w:val="0000FF"/>
          <w:vertAlign w:val="subscript"/>
        </w:rPr>
      </w:pPr>
    </w:p>
    <w:p>
      <w:pPr>
        <w:ind w:left="451" w:right="320"/>
        <w:spacing w:after="0" w:line="253" w:lineRule="auto"/>
        <w:rPr>
          <w:rFonts w:ascii="Arial" w:cs="Arial" w:eastAsia="Arial" w:hAnsi="Arial"/>
          <w:sz w:val="28"/>
          <w:szCs w:val="28"/>
          <w:color w:val="0000FF"/>
          <w:vertAlign w:val="subscript"/>
        </w:rPr>
      </w:pPr>
      <w:r>
        <w:rPr>
          <w:rFonts w:ascii="Arial" w:cs="Arial" w:eastAsia="Arial" w:hAnsi="Arial"/>
          <w:sz w:val="15"/>
          <w:szCs w:val="15"/>
          <w:color w:val="auto"/>
        </w:rPr>
        <w:t>Form filed by More than One Reporting Person</w:t>
      </w:r>
    </w:p>
    <w:p>
      <w:pPr>
        <w:spacing w:after="0" w:line="37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5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2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vMerge w:val="continue"/>
          </w:tcPr>
          <w:p>
            <w:pPr>
              <w:spacing w:after="0"/>
              <w:rPr>
                <w:sz w:val="18"/>
                <w:szCs w:val="18"/>
                <w:color w:val="auto"/>
              </w:rPr>
            </w:pP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No securities are beneficially owned. Exhibit 24 -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90"/>
              </w:rPr>
              <w:t>By: /s/ Matthew</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3080" w:type="dxa"/>
            <w:vAlign w:val="bottom"/>
            <w:gridSpan w:val="5"/>
          </w:tcPr>
          <w:p>
            <w:pPr>
              <w:spacing w:after="0" w:line="220" w:lineRule="exact"/>
              <w:rPr>
                <w:sz w:val="20"/>
                <w:szCs w:val="20"/>
                <w:color w:val="auto"/>
              </w:rPr>
            </w:pPr>
            <w:r>
              <w:rPr>
                <w:rFonts w:ascii="Arial" w:cs="Arial" w:eastAsia="Arial" w:hAnsi="Arial"/>
                <w:sz w:val="20"/>
                <w:szCs w:val="20"/>
                <w:color w:val="0000FF"/>
                <w:w w:val="89"/>
              </w:rPr>
              <w:t>Ruderman, as attorney-in-  09/08/2023</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040" w:type="dxa"/>
            <w:vAlign w:val="bottom"/>
            <w:tcBorders>
              <w:top w:val="single" w:sz="8" w:color="auto"/>
            </w:tcBorders>
            <w:gridSpan w:val="3"/>
          </w:tcPr>
          <w:p>
            <w:pPr>
              <w:spacing w:after="0" w:line="220" w:lineRule="exact"/>
              <w:rPr>
                <w:sz w:val="20"/>
                <w:szCs w:val="20"/>
                <w:color w:val="auto"/>
              </w:rPr>
            </w:pPr>
            <w:r>
              <w:rPr>
                <w:rFonts w:ascii="Arial" w:cs="Arial" w:eastAsia="Arial" w:hAnsi="Arial"/>
                <w:sz w:val="20"/>
                <w:szCs w:val="20"/>
                <w:color w:val="0000FF"/>
              </w:rPr>
              <w:t>fact</w:t>
            </w:r>
          </w:p>
        </w:tc>
        <w:tc>
          <w:tcPr>
            <w:tcW w:w="14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54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140" w:type="dxa"/>
            <w:vAlign w:val="bottom"/>
          </w:tcPr>
          <w:p>
            <w:pPr>
              <w:spacing w:after="0"/>
              <w:rPr>
                <w:sz w:val="20"/>
                <w:szCs w:val="20"/>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04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14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04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58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58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1"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POWER OF ATTORNEY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(For Executing Form ID and Forms 3, 4 and 5)</w:t>
      </w:r>
    </w:p>
    <w:p>
      <w:pPr>
        <w:spacing w:after="0" w:line="202" w:lineRule="exact"/>
        <w:rPr>
          <w:sz w:val="20"/>
          <w:szCs w:val="20"/>
          <w:color w:val="auto"/>
        </w:rPr>
      </w:pPr>
    </w:p>
    <w:p>
      <w:pPr>
        <w:ind w:right="619"/>
        <w:spacing w:after="0" w:line="244"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Jason Kent, Jean Park, Julia Boesch, Natasha Patel, Albert Gelin and Jason Minio of Cooley LLP, and Matthew Ruderman and Maria Borda of Definitive Healthcare Corp. (the "Company"), signing individually, the undersigned's true and lawful attorneys-in fact and agents to:</w:t>
      </w:r>
    </w:p>
    <w:p>
      <w:pPr>
        <w:spacing w:after="0" w:line="199" w:lineRule="exact"/>
        <w:rPr>
          <w:sz w:val="20"/>
          <w:szCs w:val="20"/>
          <w:color w:val="auto"/>
        </w:rPr>
      </w:pPr>
    </w:p>
    <w:p>
      <w:pPr>
        <w:ind w:right="739"/>
        <w:spacing w:after="0" w:line="273" w:lineRule="auto"/>
        <w:tabs>
          <w:tab w:leader="none" w:pos="46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Securities and Exchange Commission (the "SEC"), a Form ID and Forms 3, 4 and 5 (including amendments thereto and joint filing agreements in connection therewith) in accordance with Section 16 of the Securities Exchange Act of 1934, as amended (the "Exchange Act"), and the rules thereunder, in the undersigned's capacity as an officer, director or beneficial owner of more than 10% of a registered class of securities of the Company;</w:t>
      </w:r>
    </w:p>
    <w:p>
      <w:pPr>
        <w:spacing w:after="0" w:line="177" w:lineRule="exact"/>
        <w:rPr>
          <w:rFonts w:ascii="Courier New" w:cs="Courier New" w:eastAsia="Courier New" w:hAnsi="Courier New"/>
          <w:sz w:val="18"/>
          <w:szCs w:val="18"/>
          <w:color w:val="auto"/>
        </w:rPr>
      </w:pPr>
    </w:p>
    <w:p>
      <w:pPr>
        <w:ind w:right="739"/>
        <w:spacing w:after="0" w:line="244"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prepare and execute any such Form ID and Forms 3, 4 or 5 (including amendments thereto and joint filing agreements in connection therewith) and file such forms with the SEC and any stock exchange, self-regulatory association or any similar authority; and</w:t>
      </w:r>
    </w:p>
    <w:p>
      <w:pPr>
        <w:spacing w:after="0" w:line="198" w:lineRule="exact"/>
        <w:rPr>
          <w:rFonts w:ascii="Courier New" w:cs="Courier New" w:eastAsia="Courier New" w:hAnsi="Courier New"/>
          <w:sz w:val="20"/>
          <w:szCs w:val="20"/>
          <w:color w:val="auto"/>
        </w:rPr>
      </w:pPr>
    </w:p>
    <w:p>
      <w:pPr>
        <w:ind w:right="739"/>
        <w:spacing w:after="0" w:line="242"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02" w:lineRule="exact"/>
        <w:rPr>
          <w:sz w:val="20"/>
          <w:szCs w:val="20"/>
          <w:color w:val="auto"/>
        </w:rPr>
      </w:pPr>
    </w:p>
    <w:p>
      <w:pPr>
        <w:ind w:right="619"/>
        <w:spacing w:after="0" w:line="269"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00" w:lineRule="exact"/>
        <w:rPr>
          <w:sz w:val="20"/>
          <w:szCs w:val="20"/>
          <w:color w:val="auto"/>
        </w:rPr>
      </w:pPr>
    </w:p>
    <w:p>
      <w:pPr>
        <w:spacing w:after="0" w:line="212" w:lineRule="exact"/>
        <w:rPr>
          <w:sz w:val="20"/>
          <w:szCs w:val="20"/>
          <w:color w:val="auto"/>
        </w:rPr>
      </w:pPr>
    </w:p>
    <w:p>
      <w:pPr>
        <w:ind w:right="619"/>
        <w:spacing w:after="0" w:line="241" w:lineRule="auto"/>
        <w:rPr>
          <w:sz w:val="20"/>
          <w:szCs w:val="20"/>
          <w:color w:val="auto"/>
        </w:rPr>
      </w:pPr>
      <w:r>
        <w:rPr>
          <w:rFonts w:ascii="Courier New" w:cs="Courier New" w:eastAsia="Courier New" w:hAnsi="Courier New"/>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or employed by or a partner at Cooley LLP or another law firm representing the Company, as applicable.</w:t>
      </w:r>
    </w:p>
    <w:p>
      <w:pPr>
        <w:spacing w:after="0" w:line="206" w:lineRule="exact"/>
        <w:rPr>
          <w:sz w:val="20"/>
          <w:szCs w:val="20"/>
          <w:color w:val="auto"/>
        </w:rPr>
      </w:pPr>
    </w:p>
    <w:p>
      <w:pPr>
        <w:ind w:right="1199"/>
        <w:spacing w:after="0" w:line="261"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written below.</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By: /s/ Scott Stephenson</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Name: Scott Stephenson</w:t>
      </w:r>
    </w:p>
    <w:p>
      <w:pPr>
        <w:spacing w:after="0" w:line="238" w:lineRule="auto"/>
        <w:rPr>
          <w:sz w:val="20"/>
          <w:szCs w:val="20"/>
          <w:color w:val="auto"/>
        </w:rPr>
      </w:pPr>
      <w:r>
        <w:rPr>
          <w:rFonts w:ascii="Courier New" w:cs="Courier New" w:eastAsia="Courier New" w:hAnsi="Courier New"/>
          <w:sz w:val="20"/>
          <w:szCs w:val="20"/>
          <w:color w:val="auto"/>
        </w:rPr>
        <w:t>Date: August 15, 2023</w:t>
      </w:r>
    </w:p>
    <w:sectPr>
      <w:pgSz w:w="11900" w:h="16838" w:orient="portrait"/>
      <w:cols w:equalWidth="0" w:num="1">
        <w:col w:w="9979"/>
      </w:cols>
      <w:pgMar w:left="480" w:top="1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472708" TargetMode="External"/><Relationship Id="rId11"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2023-09-08T16:13:55Z</dcterms:created>
  <dcterms:modified xsi:type="dcterms:W3CDTF">2023-09-08T16:13:55Z</dcterms:modified>
</cp:coreProperties>
</file>