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October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Definitive Healthcare Corp.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324"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5560" w:type="dxa"/>
            <w:vAlign w:val="bottom"/>
          </w:tcPr>
          <w:p>
            <w:pPr>
              <w:jc w:val="center"/>
              <w:ind w:right="1138"/>
              <w:spacing w:after="0"/>
              <w:rPr>
                <w:sz w:val="20"/>
                <w:szCs w:val="20"/>
                <w:color w:val="auto"/>
              </w:rPr>
            </w:pPr>
            <w:r>
              <w:rPr>
                <w:rFonts w:ascii="Arial" w:cs="Arial" w:eastAsia="Arial" w:hAnsi="Arial"/>
                <w:sz w:val="18"/>
                <w:szCs w:val="18"/>
                <w:b w:val="1"/>
                <w:bCs w:val="1"/>
                <w:color w:val="auto"/>
                <w:w w:val="90"/>
              </w:rPr>
              <w:t>Commission file number 1-40815</w:t>
            </w:r>
          </w:p>
        </w:tc>
      </w:tr>
      <w:tr>
        <w:trPr>
          <w:trHeight w:val="436"/>
        </w:trPr>
        <w:tc>
          <w:tcPr>
            <w:tcW w:w="1020" w:type="dxa"/>
            <w:vAlign w:val="bottom"/>
          </w:tcPr>
          <w:p>
            <w:pPr>
              <w:jc w:val="center"/>
              <w:ind w:right="22"/>
              <w:spacing w:after="0"/>
              <w:rPr>
                <w:sz w:val="20"/>
                <w:szCs w:val="20"/>
                <w:color w:val="auto"/>
              </w:rPr>
            </w:pPr>
            <w:r>
              <w:rPr>
                <w:rFonts w:ascii="Arial" w:cs="Arial" w:eastAsia="Arial" w:hAnsi="Arial"/>
                <w:sz w:val="18"/>
                <w:szCs w:val="18"/>
                <w:b w:val="1"/>
                <w:bCs w:val="1"/>
                <w:color w:val="auto"/>
                <w:w w:val="91"/>
              </w:rPr>
              <w:t>Delaware</w:t>
            </w:r>
          </w:p>
        </w:tc>
        <w:tc>
          <w:tcPr>
            <w:tcW w:w="5560" w:type="dxa"/>
            <w:vAlign w:val="bottom"/>
          </w:tcPr>
          <w:p>
            <w:pPr>
              <w:jc w:val="center"/>
              <w:ind w:left="4358"/>
              <w:spacing w:after="0"/>
              <w:rPr>
                <w:sz w:val="20"/>
                <w:szCs w:val="20"/>
                <w:color w:val="auto"/>
              </w:rPr>
            </w:pPr>
            <w:r>
              <w:rPr>
                <w:rFonts w:ascii="Arial" w:cs="Arial" w:eastAsia="Arial" w:hAnsi="Arial"/>
                <w:sz w:val="18"/>
                <w:szCs w:val="18"/>
                <w:b w:val="1"/>
                <w:bCs w:val="1"/>
                <w:color w:val="auto"/>
                <w:w w:val="91"/>
              </w:rPr>
              <w:t>86-3988281</w:t>
            </w:r>
          </w:p>
        </w:tc>
      </w:tr>
      <w:tr>
        <w:trPr>
          <w:trHeight w:val="148"/>
        </w:trPr>
        <w:tc>
          <w:tcPr>
            <w:tcW w:w="10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(State of</w:t>
            </w:r>
          </w:p>
        </w:tc>
        <w:tc>
          <w:tcPr>
            <w:tcW w:w="5560" w:type="dxa"/>
            <w:vAlign w:val="bottom"/>
          </w:tcPr>
          <w:p>
            <w:pPr>
              <w:jc w:val="center"/>
              <w:ind w:left="435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0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incorporation)</w:t>
            </w:r>
          </w:p>
        </w:tc>
        <w:tc>
          <w:tcPr>
            <w:tcW w:w="5560" w:type="dxa"/>
            <w:vAlign w:val="bottom"/>
          </w:tcPr>
          <w:p>
            <w:pPr>
              <w:jc w:val="center"/>
              <w:ind w:left="4358"/>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Arial" w:cs="Arial" w:eastAsia="Arial" w:hAnsi="Arial"/>
                <w:sz w:val="18"/>
                <w:szCs w:val="18"/>
                <w:b w:val="1"/>
                <w:bCs w:val="1"/>
                <w:color w:val="auto"/>
                <w:w w:val="91"/>
              </w:rPr>
              <w:t>550 Cochituate Rd</w:t>
            </w:r>
          </w:p>
        </w:tc>
      </w:tr>
      <w:tr>
        <w:trPr>
          <w:trHeight w:val="225"/>
        </w:trPr>
        <w:tc>
          <w:tcPr>
            <w:tcW w:w="1020" w:type="dxa"/>
            <w:vAlign w:val="bottom"/>
          </w:tcPr>
          <w:p>
            <w:pPr>
              <w:spacing w:after="0"/>
              <w:rPr>
                <w:sz w:val="19"/>
                <w:szCs w:val="19"/>
                <w:color w:val="auto"/>
              </w:rPr>
            </w:pPr>
          </w:p>
        </w:tc>
        <w:tc>
          <w:tcPr>
            <w:tcW w:w="5560" w:type="dxa"/>
            <w:vAlign w:val="bottom"/>
          </w:tcPr>
          <w:p>
            <w:pPr>
              <w:jc w:val="center"/>
              <w:ind w:right="1138"/>
              <w:spacing w:after="0"/>
              <w:rPr>
                <w:sz w:val="20"/>
                <w:szCs w:val="20"/>
                <w:color w:val="auto"/>
              </w:rPr>
            </w:pPr>
            <w:r>
              <w:rPr>
                <w:rFonts w:ascii="Arial" w:cs="Arial" w:eastAsia="Arial" w:hAnsi="Arial"/>
                <w:sz w:val="18"/>
                <w:szCs w:val="18"/>
                <w:b w:val="1"/>
                <w:bCs w:val="1"/>
                <w:color w:val="auto"/>
                <w:w w:val="94"/>
              </w:rPr>
              <w:t>Framingham, MA 01701</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38"/>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394"/>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Arial" w:cs="Arial" w:eastAsia="Arial" w:hAnsi="Arial"/>
                <w:sz w:val="18"/>
                <w:szCs w:val="18"/>
                <w:b w:val="1"/>
                <w:bCs w:val="1"/>
                <w:color w:val="auto"/>
                <w:w w:val="90"/>
              </w:rPr>
              <w:t>(508) 720-4224</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5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94"/>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3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222250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Class A 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DH</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right="1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Effective on October 7, 2021, the Board of Directors (the “Board”) of Definitive Healthcare Corp. (the “Company”) appointed Robert Musslewhite as President of the Company. Mr. Musslewhite, age 51, has served as a member of the Board since June 2021.</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Mr. Musslewhite has held the position of Chief Executive Officer in various businesses at Optum, Inc., (“Optum”), a pharmacy benefit manager and healthcare provider, including OptumInsight, the health services business of Optum from August 2019 through August 2021, Optum360, Optum’s medical billing and coding business from March 2019 to August 2019, and Optum Analytics and Advisory Board Research, which provides research on healthcare strategy, care delivery, and operations from 2017 to March 2019. Mr. Musslewhite also served as Chief Executive Officer of The Advisory Board Company from 2008 until 2017 and Chairman from 2013 to 2017, at which time the Company was acquired by Optum. Prior to that, he was an Associate Principal with McKinsey &amp; Company. Mr. Musslewhite currently serves on the boards of directors of CoStar Group (Nasdaq: CSGP) and Ascend Learning, and is a member of the Economics Club of Washington D.C. Mr. Musslewhite received a J.D. from Harvard Law School and an A.B. in Economics from Princeton University.</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connection with his appointment as President, Mr. Musslewhite entered into an employment agreement with the Company, effective October 7, 2021, setting forth the terms of Mr. Musslewhite’s employment and compensation arrangement. Pursuant to his employment agreement, Mr. Musslewhite will be paid an annual base salary of $429,000. For 2021, Mr. Musslewhite’s annual bonus will equal 68% of Mr. Musslewhite’s pro-rated base salary, calculated from the effective date of Mr. Musslewhite’s employment agreement. In future years, Mr. Musslewhite will be eligible to receive an annual bonus of up to 68% of his base salary, determined in the sole discretion of the Board. Mr. Musslewhite will be able to participate in the Company’s executive incentive plan on the same terms as similarly situated executives. Mr. Musslewhite will further be eligible to participate in such other benefit programs as made available to senior executive employees of the Company.</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pursuant to his employment agreement, the Board approved that Mr. Musslewhite be granted a restricted stock unit award of 433,550 shares of the Company’s Class A common stock, which will vest 25% on the one year anniversary of the grant, followed by quarterly vesting of 6.25% per quarter until fully vested, over the subsequent three years. Further, Mr. Musslewhite will be granted a second restricted stock unit award in the amount of 216,450 shares of Class A common stock, 33% of which will vest on the one year anniversary of the grant followed by quarterly vesting of 8.33% per quarter until fully vested over the subsequent two years. Vesting of the restricted stock awards is also subject to the restricted stock award agreement between Mr. Musslewhite and the Company.</w:t>
      </w:r>
    </w:p>
    <w:p>
      <w:pPr>
        <w:spacing w:after="0" w:line="19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Mr. Musslewhite’s employment agreement also provides that if his employment is terminated without cause or good reason, he will receive: (i) his base salary accrued and not yet paid, (ii) continuation of regular payments of his base salary (at the rate in effect on the date of termination) for a period of twelve months from the date of termination, (iii) within thirty days following the date of termination, his annual bonus to be earned during the twelve month period following the date of termination at a level equal to (x) the greater of the bonus for the current year at target or (y) the average of the bonus paid in the last two calendar years and (iv) acceleration of the vesting of all stock options, restricted stock shares and restricted stock awards, profit interests, or other forms of equity, awarded to the by the Company at any time, that would otherwise have vested during the twelve-month period following the termination date. Further, his employment agreement includes non-compete, non-solicitation and non-disclosure provisions. The foregoing summary of Mr. Musslewhite’s employment agreement does not purport to be complete and is subject to, and qualified in its entirety by, the full text of such employment agreement, a copy of which is filed as Exhibit 10.1 to this Current Report on form 8-K.</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Mr. Musslewhite has no family relationships that are required to be disclosed under Item 401(d) of Regulation S-K and is not a party to any transaction requiring disclosure under Item 404(a) of Regulation 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issued by the Company in connection with this report under Item 5.02(b) and (c) is attached as Exhibit 99.1.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Employment Agreement dated October 7, 2021 by and between Definitive Healthcare Corp. and Robert Musslewhite, effective October 7,</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2021.</w:t>
        </w:r>
      </w:hyperlink>
    </w:p>
    <w:p>
      <w:pPr>
        <w:spacing w:after="0" w:line="103"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18">
        <w:r>
          <w:rPr>
            <w:rFonts w:ascii="Arial" w:cs="Arial" w:eastAsia="Arial" w:hAnsi="Arial"/>
            <w:sz w:val="15"/>
            <w:szCs w:val="15"/>
            <w:u w:val="single" w:color="auto"/>
            <w:color w:val="0000EE"/>
          </w:rPr>
          <w:t>Press Release, dated October 7, 2021.</w:t>
        </w:r>
      </w:hyperlink>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20"/>
          </w:cols>
          <w:pgMar w:left="440" w:top="297" w:right="4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DEFINITIVE HEALTHCARE CORP.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Samuels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Legal Officer</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8, 2021</w:t>
      </w:r>
    </w:p>
    <w:p>
      <w:pPr>
        <w:sectPr>
          <w:pgSz w:w="11900" w:h="16838" w:orient="portrait"/>
          <w:cols w:equalWidth="0" w:num="1">
            <w:col w:w="10780"/>
          </w:cols>
          <w:pgMar w:left="440" w:top="29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700" w:firstLine="440"/>
        <w:spacing w:after="0" w:line="312" w:lineRule="auto"/>
        <w:rPr>
          <w:sz w:val="20"/>
          <w:szCs w:val="20"/>
          <w:color w:val="auto"/>
        </w:rPr>
      </w:pPr>
      <w:r>
        <w:rPr>
          <w:rFonts w:ascii="Arial" w:cs="Arial" w:eastAsia="Arial" w:hAnsi="Arial"/>
          <w:sz w:val="17"/>
          <w:szCs w:val="17"/>
          <w:color w:val="auto"/>
        </w:rPr>
        <w:t>This Agreement (the “</w:t>
      </w:r>
      <w:r>
        <w:rPr>
          <w:rFonts w:ascii="Arial" w:cs="Arial" w:eastAsia="Arial" w:hAnsi="Arial"/>
          <w:sz w:val="17"/>
          <w:szCs w:val="17"/>
          <w:b w:val="1"/>
          <w:bCs w:val="1"/>
          <w:color w:val="auto"/>
        </w:rPr>
        <w:t>Agreement</w:t>
      </w:r>
      <w:r>
        <w:rPr>
          <w:rFonts w:ascii="Arial" w:cs="Arial" w:eastAsia="Arial" w:hAnsi="Arial"/>
          <w:sz w:val="17"/>
          <w:szCs w:val="17"/>
          <w:color w:val="auto"/>
        </w:rPr>
        <w:t>”), dated as of October 7, 2021 (“</w:t>
      </w:r>
      <w:r>
        <w:rPr>
          <w:rFonts w:ascii="Arial" w:cs="Arial" w:eastAsia="Arial" w:hAnsi="Arial"/>
          <w:sz w:val="17"/>
          <w:szCs w:val="17"/>
          <w:b w:val="1"/>
          <w:bCs w:val="1"/>
          <w:color w:val="auto"/>
        </w:rPr>
        <w:t>Effective Date</w:t>
      </w:r>
      <w:r>
        <w:rPr>
          <w:rFonts w:ascii="Arial" w:cs="Arial" w:eastAsia="Arial" w:hAnsi="Arial"/>
          <w:sz w:val="17"/>
          <w:szCs w:val="17"/>
          <w:color w:val="auto"/>
        </w:rPr>
        <w:t>”), is made and entered into by and between Definitive Healthcare, LLC, a Massachusetts limited liability company (the “</w:t>
      </w:r>
      <w:r>
        <w:rPr>
          <w:rFonts w:ascii="Arial" w:cs="Arial" w:eastAsia="Arial" w:hAnsi="Arial"/>
          <w:sz w:val="17"/>
          <w:szCs w:val="17"/>
          <w:b w:val="1"/>
          <w:bCs w:val="1"/>
          <w:color w:val="auto"/>
        </w:rPr>
        <w:t>Company</w:t>
      </w:r>
      <w:r>
        <w:rPr>
          <w:rFonts w:ascii="Arial" w:cs="Arial" w:eastAsia="Arial" w:hAnsi="Arial"/>
          <w:sz w:val="17"/>
          <w:szCs w:val="17"/>
          <w:color w:val="auto"/>
        </w:rPr>
        <w:t>”), and Robert Musslewhite (the “</w:t>
      </w:r>
      <w:r>
        <w:rPr>
          <w:rFonts w:ascii="Arial" w:cs="Arial" w:eastAsia="Arial" w:hAnsi="Arial"/>
          <w:sz w:val="17"/>
          <w:szCs w:val="17"/>
          <w:b w:val="1"/>
          <w:bCs w:val="1"/>
          <w:color w:val="auto"/>
        </w:rPr>
        <w:t>Executive</w:t>
      </w:r>
      <w:r>
        <w:rPr>
          <w:rFonts w:ascii="Arial" w:cs="Arial" w:eastAsia="Arial" w:hAnsi="Arial"/>
          <w:sz w:val="17"/>
          <w:szCs w:val="17"/>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The Company desires to retain the services of the Executive pursuant to the terms and conditions set forth herein and the Executive wishes to be employed by the Company on such terms and conditions. The Executive will be a senior executive of the Company, with significant access to information concerning the Company and its business. The disclosure or misuse of such information or the engaging in competitive activities would cause substantial harm to the Company.</w:t>
      </w:r>
    </w:p>
    <w:p>
      <w:pPr>
        <w:spacing w:after="0" w:line="18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agree as follows:</w:t>
      </w:r>
    </w:p>
    <w:p>
      <w:pPr>
        <w:spacing w:after="0" w:line="166" w:lineRule="exact"/>
        <w:rPr>
          <w:sz w:val="20"/>
          <w:szCs w:val="20"/>
          <w:color w:val="auto"/>
        </w:rPr>
      </w:pPr>
    </w:p>
    <w:p>
      <w:pPr>
        <w:ind w:right="40" w:firstLine="436"/>
        <w:spacing w:after="0" w:line="298" w:lineRule="auto"/>
        <w:tabs>
          <w:tab w:leader="none" w:pos="75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Term</w:t>
      </w:r>
      <w:r>
        <w:rPr>
          <w:rFonts w:ascii="Arial" w:cs="Arial" w:eastAsia="Arial" w:hAnsi="Arial"/>
          <w:sz w:val="16"/>
          <w:szCs w:val="16"/>
          <w:color w:val="auto"/>
        </w:rPr>
        <w:t>.</w:t>
      </w:r>
      <w:r>
        <w:rPr>
          <w:rFonts w:ascii="Arial" w:cs="Arial" w:eastAsia="Arial" w:hAnsi="Arial"/>
          <w:sz w:val="16"/>
          <w:szCs w:val="16"/>
          <w:b w:val="1"/>
          <w:bCs w:val="1"/>
          <w:color w:val="auto"/>
        </w:rPr>
        <w:t xml:space="preserve"> Effective Date; Term. </w:t>
      </w:r>
      <w:r>
        <w:rPr>
          <w:rFonts w:ascii="Arial" w:cs="Arial" w:eastAsia="Arial" w:hAnsi="Arial"/>
          <w:sz w:val="16"/>
          <w:szCs w:val="16"/>
          <w:color w:val="auto"/>
        </w:rPr>
        <w:t>All provisions of this Agreement, other than Section 7 hereof (the</w:t>
      </w:r>
      <w:r>
        <w:rPr>
          <w:rFonts w:ascii="Arial" w:cs="Arial" w:eastAsia="Arial" w:hAnsi="Arial"/>
          <w:sz w:val="16"/>
          <w:szCs w:val="16"/>
          <w:b w:val="1"/>
          <w:bCs w:val="1"/>
          <w:color w:val="auto"/>
        </w:rPr>
        <w:t xml:space="preserve"> “Non-Competition Covenant”</w:t>
      </w:r>
      <w:r>
        <w:rPr>
          <w:rFonts w:ascii="Arial" w:cs="Arial" w:eastAsia="Arial" w:hAnsi="Arial"/>
          <w:sz w:val="16"/>
          <w:szCs w:val="16"/>
          <w:color w:val="auto"/>
        </w:rPr>
        <w:t>),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become effective as of the Effective Date. The Non-Competition Covenant shall become effective on the tenth business day after the Executive has been provided by the Company with notice of the Non-Competition Covenant (the </w:t>
      </w:r>
      <w:r>
        <w:rPr>
          <w:rFonts w:ascii="Arial" w:cs="Arial" w:eastAsia="Arial" w:hAnsi="Arial"/>
          <w:sz w:val="16"/>
          <w:szCs w:val="16"/>
          <w:b w:val="1"/>
          <w:bCs w:val="1"/>
          <w:color w:val="auto"/>
        </w:rPr>
        <w:t>“Non-Competition Covenant Effective Date”</w:t>
      </w:r>
      <w:r>
        <w:rPr>
          <w:rFonts w:ascii="Arial" w:cs="Arial" w:eastAsia="Arial" w:hAnsi="Arial"/>
          <w:sz w:val="16"/>
          <w:szCs w:val="16"/>
          <w:color w:val="auto"/>
        </w:rPr>
        <w:t>). The Company shall employ the Executive hereunder until the Executive’s employment with the Company is terminated pursuant to Section 11. The Executive shall be employed on an “at will” basis. The Executive’s start date with the Company, as an employee under this Agreement, shall be October 7, 2021.</w:t>
      </w:r>
    </w:p>
    <w:p>
      <w:pPr>
        <w:spacing w:after="0" w:line="153" w:lineRule="exact"/>
        <w:rPr>
          <w:rFonts w:ascii="Arial" w:cs="Arial" w:eastAsia="Arial" w:hAnsi="Arial"/>
          <w:sz w:val="16"/>
          <w:szCs w:val="16"/>
          <w:b w:val="1"/>
          <w:bCs w:val="1"/>
          <w:color w:val="auto"/>
        </w:rPr>
      </w:pPr>
    </w:p>
    <w:p>
      <w:pPr>
        <w:ind w:right="580" w:firstLine="436"/>
        <w:spacing w:after="0" w:line="282" w:lineRule="auto"/>
        <w:tabs>
          <w:tab w:leader="none" w:pos="7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Duties</w:t>
      </w:r>
      <w:r>
        <w:rPr>
          <w:rFonts w:ascii="Arial" w:cs="Arial" w:eastAsia="Arial" w:hAnsi="Arial"/>
          <w:sz w:val="18"/>
          <w:szCs w:val="18"/>
          <w:color w:val="auto"/>
        </w:rPr>
        <w:t>. The Executive will serve as the President of the Company and shall have such authority, duties and responsibilities assigned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by the Chief Executive Officer. The Executive will report to the Chief Executive Officer.</w:t>
      </w:r>
    </w:p>
    <w:p>
      <w:pPr>
        <w:spacing w:after="0" w:line="161" w:lineRule="exact"/>
        <w:rPr>
          <w:rFonts w:ascii="Arial" w:cs="Arial" w:eastAsia="Arial" w:hAnsi="Arial"/>
          <w:sz w:val="18"/>
          <w:szCs w:val="18"/>
          <w:b w:val="1"/>
          <w:bCs w:val="1"/>
          <w:color w:val="auto"/>
        </w:rPr>
      </w:pPr>
    </w:p>
    <w:p>
      <w:pPr>
        <w:ind w:right="160" w:firstLine="436"/>
        <w:spacing w:after="0" w:line="273" w:lineRule="auto"/>
        <w:tabs>
          <w:tab w:leader="none" w:pos="75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Full Time; Best Efforts</w:t>
      </w:r>
      <w:r>
        <w:rPr>
          <w:rFonts w:ascii="Arial" w:cs="Arial" w:eastAsia="Arial" w:hAnsi="Arial"/>
          <w:sz w:val="17"/>
          <w:szCs w:val="17"/>
          <w:color w:val="auto"/>
        </w:rPr>
        <w:t>. The Executive shall use the Executive’s best efforts to promote the interests of the Company and shall devote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Executive’s full business time and efforts to its business and affairs. The Executive shall not engage in any other activity that could reasonably be expected to interfere with the performance of the Executive’s duties, services and responsibilities hereunder. Nothing in this Agreement shall preclude the Executive from engaging in civic, charitable, and volunteer activities and/or his service on the Boards of CoStar Group and Ascend Learning , and, in the future, other Boards with the prior approval of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xml:space="preserve"> provided that such activities do not materially interfere with the Executive’s proper performance of his duties and responsibilities on behalf of the Company. None of the above is meant to preclude Executive’s ongoing work as an Operating Partner of Advent International.</w:t>
      </w:r>
    </w:p>
    <w:p>
      <w:pPr>
        <w:spacing w:after="0" w:line="171" w:lineRule="exact"/>
        <w:rPr>
          <w:rFonts w:ascii="Arial" w:cs="Arial" w:eastAsia="Arial" w:hAnsi="Arial"/>
          <w:sz w:val="17"/>
          <w:szCs w:val="17"/>
          <w:b w:val="1"/>
          <w:bCs w:val="1"/>
          <w:color w:val="auto"/>
        </w:rPr>
      </w:pPr>
    </w:p>
    <w:p>
      <w:pPr>
        <w:ind w:left="760" w:hanging="324"/>
        <w:spacing w:after="0"/>
        <w:tabs>
          <w:tab w:leader="none" w:pos="7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and Benefits</w:t>
      </w:r>
      <w:r>
        <w:rPr>
          <w:rFonts w:ascii="Arial" w:cs="Arial" w:eastAsia="Arial" w:hAnsi="Arial"/>
          <w:sz w:val="16"/>
          <w:szCs w:val="16"/>
          <w:color w:val="auto"/>
        </w:rPr>
        <w:t>. During the term of this Agreement, the Executive shall be entitled to compensation and benefits as follows:</w:t>
      </w:r>
    </w:p>
    <w:p>
      <w:pPr>
        <w:sectPr>
          <w:pgSz w:w="11900" w:h="16838" w:orient="portrait"/>
          <w:cols w:equalWidth="0" w:num="1">
            <w:col w:w="11020"/>
          </w:cols>
          <w:pgMar w:left="440" w:top="121" w:right="439" w:bottom="1440" w:gutter="0" w:footer="0" w:header="0"/>
        </w:sectPr>
      </w:pPr>
    </w:p>
    <w:bookmarkStart w:id="4" w:name="page5"/>
    <w:bookmarkEnd w:id="4"/>
    <w:p>
      <w:pPr>
        <w:ind w:firstLine="987"/>
        <w:spacing w:after="0" w:line="314" w:lineRule="auto"/>
        <w:tabs>
          <w:tab w:leader="none" w:pos="1381"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 Salary</w:t>
      </w:r>
      <w:r>
        <w:rPr>
          <w:rFonts w:ascii="Arial" w:cs="Arial" w:eastAsia="Arial" w:hAnsi="Arial"/>
          <w:sz w:val="16"/>
          <w:szCs w:val="16"/>
          <w:color w:val="auto"/>
        </w:rPr>
        <w:t>. The Executive will receive a salary at the rate of $429,000 annually (the “</w:t>
      </w:r>
      <w:r>
        <w:rPr>
          <w:rFonts w:ascii="Arial" w:cs="Arial" w:eastAsia="Arial" w:hAnsi="Arial"/>
          <w:sz w:val="16"/>
          <w:szCs w:val="16"/>
          <w:b w:val="1"/>
          <w:bCs w:val="1"/>
          <w:color w:val="auto"/>
        </w:rPr>
        <w:t>Base Salary</w:t>
      </w:r>
      <w:r>
        <w:rPr>
          <w:rFonts w:ascii="Arial" w:cs="Arial" w:eastAsia="Arial" w:hAnsi="Arial"/>
          <w:sz w:val="16"/>
          <w:szCs w:val="16"/>
          <w:color w:val="auto"/>
        </w:rPr>
        <w:t>”), payable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standard payroll practices. The Compensation Committee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of Definitive Healthcare Corp. (“</w:t>
      </w:r>
      <w:r>
        <w:rPr>
          <w:rFonts w:ascii="Arial" w:cs="Arial" w:eastAsia="Arial" w:hAnsi="Arial"/>
          <w:sz w:val="16"/>
          <w:szCs w:val="16"/>
          <w:b w:val="1"/>
          <w:bCs w:val="1"/>
          <w:color w:val="auto"/>
        </w:rPr>
        <w:t>Parent</w:t>
      </w:r>
      <w:r>
        <w:rPr>
          <w:rFonts w:ascii="Arial" w:cs="Arial" w:eastAsia="Arial" w:hAnsi="Arial"/>
          <w:sz w:val="16"/>
          <w:szCs w:val="16"/>
          <w:color w:val="auto"/>
        </w:rPr>
        <w:t>”) shall determine, on an annual basis and in its sole good faith discretion, whether to increase or otherwise modify the Executive’s Base Salary.</w:t>
      </w:r>
    </w:p>
    <w:p>
      <w:pPr>
        <w:spacing w:after="0" w:line="141" w:lineRule="exact"/>
        <w:rPr>
          <w:rFonts w:ascii="Arial" w:cs="Arial" w:eastAsia="Arial" w:hAnsi="Arial"/>
          <w:sz w:val="16"/>
          <w:szCs w:val="16"/>
          <w:b w:val="1"/>
          <w:bCs w:val="1"/>
          <w:color w:val="auto"/>
        </w:rPr>
      </w:pPr>
    </w:p>
    <w:p>
      <w:pPr>
        <w:ind w:firstLine="987"/>
        <w:spacing w:after="0" w:line="273" w:lineRule="auto"/>
        <w:tabs>
          <w:tab w:leader="none" w:pos="1391"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Bonus</w:t>
      </w:r>
      <w:r>
        <w:rPr>
          <w:rFonts w:ascii="Arial" w:cs="Arial" w:eastAsia="Arial" w:hAnsi="Arial"/>
          <w:sz w:val="17"/>
          <w:szCs w:val="17"/>
          <w:color w:val="auto"/>
        </w:rPr>
        <w:t>. The Executive shall be eligible to receive an annual cash bonus (“</w:t>
      </w:r>
      <w:r>
        <w:rPr>
          <w:rFonts w:ascii="Arial" w:cs="Arial" w:eastAsia="Arial" w:hAnsi="Arial"/>
          <w:sz w:val="17"/>
          <w:szCs w:val="17"/>
          <w:b w:val="1"/>
          <w:bCs w:val="1"/>
          <w:color w:val="auto"/>
        </w:rPr>
        <w:t>Annual Bonus</w:t>
      </w:r>
      <w:r>
        <w:rPr>
          <w:rFonts w:ascii="Arial" w:cs="Arial" w:eastAsia="Arial" w:hAnsi="Arial"/>
          <w:sz w:val="17"/>
          <w:szCs w:val="17"/>
          <w:color w:val="auto"/>
        </w:rPr>
        <w:t>”), based on the Company achieving</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revenue targets and other requirements which will be determined reasonably and in good faith on an annual basis for the corresponding year by the CEO and the Board. For 2021, the Annual Bonus will be guaranteed at a pro-rated amount equal to 68% of Executive’s Base Salary calculated from the Effective Date hereof through the end of the year. For future years, Executive will be eligible for an Annual Bonus of up to 68% of Executive’s Base Salary, which shall be determined in the sole discretion of the Board. The Executive must be actively employed by the Company through and including the date on which the Annual Bonus, if any, is paid to be eligible to receive it. All earned Annual Bonus amounts unpaid as of the end of a calendar year shall be paid no later than March 15 of the following calendar year.</w:t>
      </w:r>
    </w:p>
    <w:p>
      <w:pPr>
        <w:spacing w:after="0" w:line="171" w:lineRule="exact"/>
        <w:rPr>
          <w:rFonts w:ascii="Arial" w:cs="Arial" w:eastAsia="Arial" w:hAnsi="Arial"/>
          <w:sz w:val="17"/>
          <w:szCs w:val="17"/>
          <w:b w:val="1"/>
          <w:bCs w:val="1"/>
          <w:color w:val="auto"/>
        </w:rPr>
      </w:pPr>
    </w:p>
    <w:p>
      <w:pPr>
        <w:ind w:left="1360" w:hanging="373"/>
        <w:spacing w:after="0"/>
        <w:tabs>
          <w:tab w:leader="none" w:pos="13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Shares</w:t>
      </w:r>
      <w:r>
        <w:rPr>
          <w:rFonts w:ascii="Arial" w:cs="Arial" w:eastAsia="Arial" w:hAnsi="Arial"/>
          <w:sz w:val="17"/>
          <w:szCs w:val="17"/>
          <w:color w:val="auto"/>
        </w:rPr>
        <w:t>. The CEO agrees to recommend to the Board that the Executive receive 2 grants of restricted stock units in Parent (the</w:t>
      </w:r>
    </w:p>
    <w:p>
      <w:pPr>
        <w:spacing w:after="0" w:line="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RSUs</w:t>
      </w:r>
      <w:r>
        <w:rPr>
          <w:rFonts w:ascii="Arial" w:cs="Arial" w:eastAsia="Arial" w:hAnsi="Arial"/>
          <w:sz w:val="18"/>
          <w:szCs w:val="18"/>
          <w:color w:val="auto"/>
        </w:rPr>
        <w:t>”) The first grant will be in the amount of 433,550 shares and will vest as follows: 25% of the RSUs will vest on the one year anniversary of the grant followed by quarterly vesting of 6.25% per quarter until fully vested, over the subsequent three (3) years. The second grant will be in the amount of 216,450 shares and will vest as follows: 33% of the RSUs will vest on the one-year anniversary of the grant followed by quarterly vesting of 8.33% per quarter until full vested over the subsequent two (2) years. Vesting of RSU’s also shall be subject to the terms of the applicable grant agreement (the “</w:t>
      </w:r>
      <w:r>
        <w:rPr>
          <w:rFonts w:ascii="Arial" w:cs="Arial" w:eastAsia="Arial" w:hAnsi="Arial"/>
          <w:sz w:val="18"/>
          <w:szCs w:val="18"/>
          <w:b w:val="1"/>
          <w:bCs w:val="1"/>
          <w:color w:val="auto"/>
        </w:rPr>
        <w:t>RSU Grant Agreement</w:t>
      </w:r>
      <w:r>
        <w:rPr>
          <w:rFonts w:ascii="Arial" w:cs="Arial" w:eastAsia="Arial" w:hAnsi="Arial"/>
          <w:sz w:val="18"/>
          <w:szCs w:val="18"/>
          <w:color w:val="auto"/>
        </w:rPr>
        <w:t>”).</w:t>
      </w:r>
    </w:p>
    <w:p>
      <w:pPr>
        <w:spacing w:after="0" w:line="187" w:lineRule="exact"/>
        <w:rPr>
          <w:sz w:val="20"/>
          <w:szCs w:val="20"/>
          <w:color w:val="auto"/>
        </w:rPr>
      </w:pPr>
    </w:p>
    <w:p>
      <w:pPr>
        <w:ind w:right="60" w:firstLine="987"/>
        <w:spacing w:after="0" w:line="281" w:lineRule="auto"/>
        <w:tabs>
          <w:tab w:leader="none" w:pos="1391"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Benefits</w:t>
      </w:r>
      <w:r>
        <w:rPr>
          <w:rFonts w:ascii="Arial" w:cs="Arial" w:eastAsia="Arial" w:hAnsi="Arial"/>
          <w:sz w:val="17"/>
          <w:szCs w:val="17"/>
          <w:color w:val="auto"/>
        </w:rPr>
        <w:t>. In addition to the Base Salary and the compensation set forth above, the Executive shall be entitled to participate in</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benefit plans that are generally available to the Company’s executive employees in accordance with and subject to the then existing terms and conditions of such plans. If the Executive chooses to participate in the Company health plan, the Company will reimburse 100% of the costs of the premiums of the policy. The Company may modify or terminate such benefit programs at any time in its sole discretion.</w:t>
      </w:r>
    </w:p>
    <w:p>
      <w:pPr>
        <w:spacing w:after="0" w:line="164" w:lineRule="exact"/>
        <w:rPr>
          <w:rFonts w:ascii="Arial" w:cs="Arial" w:eastAsia="Arial" w:hAnsi="Arial"/>
          <w:sz w:val="17"/>
          <w:szCs w:val="17"/>
          <w:b w:val="1"/>
          <w:bCs w:val="1"/>
          <w:color w:val="auto"/>
        </w:rPr>
      </w:pPr>
    </w:p>
    <w:p>
      <w:pPr>
        <w:ind w:right="360" w:firstLine="987"/>
        <w:spacing w:after="0" w:line="266" w:lineRule="auto"/>
        <w:tabs>
          <w:tab w:leader="none" w:pos="1371"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Paid Time Off. </w:t>
      </w:r>
      <w:r>
        <w:rPr>
          <w:rFonts w:ascii="Arial" w:cs="Arial" w:eastAsia="Arial" w:hAnsi="Arial"/>
          <w:sz w:val="18"/>
          <w:szCs w:val="18"/>
          <w:color w:val="auto"/>
        </w:rPr>
        <w:t>The Executive shall be entitled to five (5) weeks of paid time off (PTO) per year, in addition to paid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holidays; provided, however, unless approved in advance, no more than two (2) weeks of PTO may be taken consecutively. No paid time off will be carried over across calendar years.</w:t>
      </w:r>
    </w:p>
    <w:p>
      <w:pPr>
        <w:spacing w:after="0" w:line="175" w:lineRule="exact"/>
        <w:rPr>
          <w:rFonts w:ascii="Arial" w:cs="Arial" w:eastAsia="Arial" w:hAnsi="Arial"/>
          <w:sz w:val="18"/>
          <w:szCs w:val="18"/>
          <w:b w:val="1"/>
          <w:bCs w:val="1"/>
          <w:color w:val="auto"/>
        </w:rPr>
      </w:pPr>
    </w:p>
    <w:p>
      <w:pPr>
        <w:ind w:right="160" w:firstLine="987"/>
        <w:spacing w:after="0" w:line="277" w:lineRule="auto"/>
        <w:tabs>
          <w:tab w:leader="none" w:pos="1351"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Reimbursement of Documented Business Expenses</w:t>
      </w:r>
      <w:r>
        <w:rPr>
          <w:rFonts w:ascii="Arial" w:cs="Arial" w:eastAsia="Arial" w:hAnsi="Arial"/>
          <w:sz w:val="17"/>
          <w:szCs w:val="17"/>
          <w:color w:val="auto"/>
        </w:rPr>
        <w:t>. The Executive will be entitled to reimbursement of all reasonable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incurred in the ordinary course of business on behalf of the Company, subject to the presentation of appropriate documentation and approved by, or in accordance with the Company’s policies as approved by the Board. If any reimbursement provided by the Company pursuant to this Agreement would constitute deferred compensation for purposes of Section 409A of the Internal Revenue Code of 1986, as amended (together with the regulations and guidance thereunder, “</w:t>
      </w:r>
      <w:r>
        <w:rPr>
          <w:rFonts w:ascii="Arial" w:cs="Arial" w:eastAsia="Arial" w:hAnsi="Arial"/>
          <w:sz w:val="17"/>
          <w:szCs w:val="17"/>
          <w:b w:val="1"/>
          <w:bCs w:val="1"/>
          <w:color w:val="auto"/>
        </w:rPr>
        <w:t>Section 409A</w:t>
      </w:r>
      <w:r>
        <w:rPr>
          <w:rFonts w:ascii="Arial" w:cs="Arial" w:eastAsia="Arial" w:hAnsi="Arial"/>
          <w:sz w:val="17"/>
          <w:szCs w:val="17"/>
          <w:color w:val="auto"/>
        </w:rPr>
        <w:t>”), such reimbursement shall be subject to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rules: (i) the amounts to be reimbursed shall be determined pursuant to the terms of the applicable benefit plan, policy or agreement; (ii) the amounts eligible for reimbursement during any calendar year may not affect the expenses eligible for reimbursement in any other calendar year; (iii) any reimbursement of an eligible expense shall be made on or before the last day of the calendar year following the calendar year in which the expense was incurred; and (iv) the Executive’s right to reimbursement is not subject to liquidation or exchange for cash or another benefit. For the sake of clarity, the Executive will be entitled to reimbursement of all reasonable expenses incurred traveling between Washington, DC and Boston/Framingham. In addition, in the event that the Executive elects to move to the Boston area in order to be near the corporate office, the Company agrees to cover relocation expenses of up to $100,000.</w:t>
      </w:r>
    </w:p>
    <w:p>
      <w:pPr>
        <w:spacing w:after="0" w:line="191" w:lineRule="exact"/>
        <w:rPr>
          <w:sz w:val="20"/>
          <w:szCs w:val="20"/>
          <w:color w:val="auto"/>
        </w:rPr>
      </w:pPr>
    </w:p>
    <w:p>
      <w:pPr>
        <w:ind w:right="540" w:firstLine="987"/>
        <w:spacing w:after="0" w:line="282" w:lineRule="auto"/>
        <w:tabs>
          <w:tab w:leader="none" w:pos="1381"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The Company shall withhold from compensation payable to the Executive all applicable federal, state and local</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taxes required to be withheld by the Company under applicable law</w:t>
      </w:r>
    </w:p>
    <w:p>
      <w:pPr>
        <w:spacing w:after="0" w:line="161" w:lineRule="exact"/>
        <w:rPr>
          <w:rFonts w:ascii="Arial" w:cs="Arial" w:eastAsia="Arial" w:hAnsi="Arial"/>
          <w:sz w:val="18"/>
          <w:szCs w:val="18"/>
          <w:b w:val="1"/>
          <w:bCs w:val="1"/>
          <w:color w:val="auto"/>
        </w:rPr>
      </w:pPr>
    </w:p>
    <w:p>
      <w:pPr>
        <w:ind w:right="80" w:firstLine="987"/>
        <w:spacing w:after="0" w:line="282" w:lineRule="auto"/>
        <w:tabs>
          <w:tab w:leader="none" w:pos="1391"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D&amp;O Insurance</w:t>
      </w:r>
      <w:r>
        <w:rPr>
          <w:rFonts w:ascii="Arial" w:cs="Arial" w:eastAsia="Arial" w:hAnsi="Arial"/>
          <w:sz w:val="18"/>
          <w:szCs w:val="18"/>
          <w:color w:val="auto"/>
        </w:rPr>
        <w:t>. The Company will maintain a directors and officers liability policy covering Executive with coverage comparable</w:t>
      </w:r>
      <w:r>
        <w:rPr>
          <w:rFonts w:ascii="Arial" w:cs="Arial" w:eastAsia="Arial" w:hAnsi="Arial"/>
          <w:sz w:val="18"/>
          <w:szCs w:val="18"/>
          <w:b w:val="1"/>
          <w:bCs w:val="1"/>
          <w:color w:val="auto"/>
        </w:rPr>
        <w:t xml:space="preserve"> </w:t>
      </w:r>
      <w:r>
        <w:rPr>
          <w:rFonts w:ascii="Arial" w:cs="Arial" w:eastAsia="Arial" w:hAnsi="Arial"/>
          <w:sz w:val="18"/>
          <w:szCs w:val="18"/>
          <w:color w:val="auto"/>
        </w:rPr>
        <w:t>or equal to that provided to other senior executives of the Company.</w:t>
      </w:r>
    </w:p>
    <w:p>
      <w:pPr>
        <w:spacing w:after="0" w:line="161" w:lineRule="exact"/>
        <w:rPr>
          <w:rFonts w:ascii="Arial" w:cs="Arial" w:eastAsia="Arial" w:hAnsi="Arial"/>
          <w:sz w:val="18"/>
          <w:szCs w:val="18"/>
          <w:b w:val="1"/>
          <w:bCs w:val="1"/>
          <w:color w:val="auto"/>
        </w:rPr>
      </w:pPr>
    </w:p>
    <w:p>
      <w:pPr>
        <w:ind w:right="40" w:firstLine="436"/>
        <w:spacing w:after="0" w:line="282" w:lineRule="auto"/>
        <w:tabs>
          <w:tab w:leader="none" w:pos="75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Intellectual Property</w:t>
      </w:r>
      <w:r>
        <w:rPr>
          <w:rFonts w:ascii="Arial" w:cs="Arial" w:eastAsia="Arial" w:hAnsi="Arial"/>
          <w:sz w:val="18"/>
          <w:szCs w:val="18"/>
          <w:color w:val="auto"/>
        </w:rPr>
        <w:t>. The Executive agrees that during the Executive’s employment or other business relationship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whether or not under this Agreement, and at all times thereafter:</w:t>
      </w:r>
    </w:p>
    <w:p>
      <w:pPr>
        <w:spacing w:after="0" w:line="165" w:lineRule="exact"/>
        <w:rPr>
          <w:rFonts w:ascii="Arial" w:cs="Arial" w:eastAsia="Arial" w:hAnsi="Arial"/>
          <w:sz w:val="18"/>
          <w:szCs w:val="18"/>
          <w:b w:val="1"/>
          <w:bCs w:val="1"/>
          <w:color w:val="auto"/>
        </w:rPr>
      </w:pPr>
    </w:p>
    <w:p>
      <w:pPr>
        <w:ind w:right="100" w:firstLine="987"/>
        <w:spacing w:after="0" w:line="270" w:lineRule="auto"/>
        <w:tabs>
          <w:tab w:leader="none" w:pos="1378" w:val="left"/>
        </w:tabs>
        <w:numPr>
          <w:ilvl w:val="1"/>
          <w:numId w:val="6"/>
        </w:numPr>
        <w:rPr>
          <w:rFonts w:ascii="Arial" w:cs="Arial" w:eastAsia="Arial" w:hAnsi="Arial"/>
          <w:sz w:val="17"/>
          <w:szCs w:val="17"/>
          <w:b w:val="1"/>
          <w:bCs w:val="1"/>
          <w:color w:val="auto"/>
        </w:rPr>
      </w:pPr>
      <w:r>
        <w:rPr>
          <w:rFonts w:ascii="Arial" w:cs="Arial" w:eastAsia="Arial" w:hAnsi="Arial"/>
          <w:sz w:val="17"/>
          <w:szCs w:val="17"/>
          <w:color w:val="auto"/>
        </w:rPr>
        <w:t>The Executive will not at any time, directly or indirectly, disclose or divulge any Confidential Information, except as required in connection with the performance of the Executive’s duties for the Company, and except to the extent required by law (but only after the Executive has provided the Company with reasonable notice and opportunity to take action against any legally required disclosure). As used herein, “</w:t>
      </w:r>
      <w:r>
        <w:rPr>
          <w:rFonts w:ascii="Arial" w:cs="Arial" w:eastAsia="Arial" w:hAnsi="Arial"/>
          <w:sz w:val="17"/>
          <w:szCs w:val="17"/>
          <w:b w:val="1"/>
          <w:bCs w:val="1"/>
          <w:color w:val="auto"/>
        </w:rPr>
        <w:t>Confidential</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 means all trade secrets and all other information of a business, financial, marketing, technical or other nature relating to the business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Company including, without limitation, any customer or vendor lists, prospective customer names, financial statements and projections, know-how, pricing policies, operational methods, methods of doing business, technical processes, formulae, designs and design projects, inventions, computer hardware, software programs, business plans and projects pertaining to the Company and including any information of others that the Company has agreed to keep confidential; </w:t>
      </w:r>
      <w:r>
        <w:rPr>
          <w:rFonts w:ascii="Arial" w:cs="Arial" w:eastAsia="Arial" w:hAnsi="Arial"/>
          <w:sz w:val="17"/>
          <w:szCs w:val="17"/>
          <w:i w:val="1"/>
          <w:iCs w:val="1"/>
          <w:color w:val="auto"/>
        </w:rPr>
        <w:t>provided</w:t>
      </w:r>
      <w:r>
        <w:rPr>
          <w:rFonts w:ascii="Arial" w:cs="Arial" w:eastAsia="Arial" w:hAnsi="Arial"/>
          <w:sz w:val="17"/>
          <w:szCs w:val="17"/>
          <w:color w:val="auto"/>
        </w:rPr>
        <w:t>, that Confidential Information shall not include any information that has entered or enters the public domain through no fault of the Executive.</w:t>
      </w:r>
    </w:p>
    <w:p>
      <w:pPr>
        <w:spacing w:after="0" w:line="180" w:lineRule="exact"/>
        <w:rPr>
          <w:rFonts w:ascii="Arial" w:cs="Arial" w:eastAsia="Arial" w:hAnsi="Arial"/>
          <w:sz w:val="17"/>
          <w:szCs w:val="17"/>
          <w:b w:val="1"/>
          <w:bCs w:val="1"/>
          <w:color w:val="auto"/>
        </w:rPr>
      </w:pPr>
    </w:p>
    <w:p>
      <w:pPr>
        <w:ind w:firstLine="987"/>
        <w:spacing w:after="0" w:line="277" w:lineRule="auto"/>
        <w:tabs>
          <w:tab w:leader="none" w:pos="1388"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The Executive shall make no use whatsoever, directly or indirectly, of any Confidential Information at any time, except as required in connection with the performance of the Executive’s duties for the Company.</w:t>
      </w:r>
    </w:p>
    <w:p>
      <w:pPr>
        <w:spacing w:after="0" w:line="170" w:lineRule="exact"/>
        <w:rPr>
          <w:rFonts w:ascii="Arial" w:cs="Arial" w:eastAsia="Arial" w:hAnsi="Arial"/>
          <w:sz w:val="18"/>
          <w:szCs w:val="18"/>
          <w:b w:val="1"/>
          <w:bCs w:val="1"/>
          <w:color w:val="auto"/>
        </w:rPr>
      </w:pPr>
    </w:p>
    <w:p>
      <w:pPr>
        <w:ind w:right="420" w:firstLine="987"/>
        <w:spacing w:after="0" w:line="342" w:lineRule="auto"/>
        <w:tabs>
          <w:tab w:leader="none" w:pos="1371" w:val="left"/>
        </w:tabs>
        <w:numPr>
          <w:ilvl w:val="1"/>
          <w:numId w:val="6"/>
        </w:numPr>
        <w:rPr>
          <w:rFonts w:ascii="Arial" w:cs="Arial" w:eastAsia="Arial" w:hAnsi="Arial"/>
          <w:sz w:val="16"/>
          <w:szCs w:val="16"/>
          <w:b w:val="1"/>
          <w:bCs w:val="1"/>
          <w:color w:val="auto"/>
        </w:rPr>
      </w:pPr>
      <w:r>
        <w:rPr>
          <w:rFonts w:ascii="Arial" w:cs="Arial" w:eastAsia="Arial" w:hAnsi="Arial"/>
          <w:sz w:val="16"/>
          <w:szCs w:val="16"/>
          <w:color w:val="auto"/>
        </w:rPr>
        <w:t>Upon the Company’s request following termination of employment, the Executive shall immediately deliver to the Company all materials (including all soft and hard copies) in the Executive’s possession or control which contain or relate to Confidential Information.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right="20" w:firstLine="987"/>
        <w:spacing w:after="0" w:line="253" w:lineRule="auto"/>
        <w:tabs>
          <w:tab w:leader="none" w:pos="1381"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inventions, modifications, discoveries, designs, developments, improvements, processes, software programs, works of authorship, documentation, formulae, data, techniques, know-how, secrets or intellectual property rights or any interest therein (collectively, “</w:t>
      </w:r>
      <w:r>
        <w:rPr>
          <w:rFonts w:ascii="Arial" w:cs="Arial" w:eastAsia="Arial" w:hAnsi="Arial"/>
          <w:sz w:val="18"/>
          <w:szCs w:val="18"/>
          <w:b w:val="1"/>
          <w:bCs w:val="1"/>
          <w:color w:val="auto"/>
        </w:rPr>
        <w:t>Developments</w:t>
      </w:r>
      <w:r>
        <w:rPr>
          <w:rFonts w:ascii="Arial" w:cs="Arial" w:eastAsia="Arial" w:hAnsi="Arial"/>
          <w:sz w:val="18"/>
          <w:szCs w:val="18"/>
          <w:color w:val="auto"/>
        </w:rPr>
        <w:t>”) made by the Executive in connection with his employment with the Company, either alone or in conjunction with others, at any time or at any place during the Executive’s employment or other business relationship with the Company, whether or not under this Agreement and whether or not reduced to writing or practice during such period of employment, which relate to the business in which the Company is engaged or any actual or demonstrably anticipated research or development of the Company, shall be and hereby are the exclusive property of the Company without any further compensation to the Executive. In addition, without limiting the generality of the prior sentence, all Developments which are copyrightable work by the Executive are intended to be “work made for hire” as defined in Section 101 of the Copyright Act of 1976, as amended, and shall be and hereby are the property of the Company.</w:t>
      </w:r>
    </w:p>
    <w:p>
      <w:pPr>
        <w:spacing w:after="0" w:line="196" w:lineRule="exact"/>
        <w:rPr>
          <w:rFonts w:ascii="Arial" w:cs="Arial" w:eastAsia="Arial" w:hAnsi="Arial"/>
          <w:sz w:val="18"/>
          <w:szCs w:val="18"/>
          <w:b w:val="1"/>
          <w:bCs w:val="1"/>
          <w:color w:val="auto"/>
        </w:rPr>
      </w:pPr>
    </w:p>
    <w:p>
      <w:pPr>
        <w:ind w:firstLine="987"/>
        <w:spacing w:after="0" w:line="288" w:lineRule="auto"/>
        <w:tabs>
          <w:tab w:leader="none" w:pos="1368"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Executive shall promptly disclose any Developments to the Company. If any Development is not the property of the Company by operation of law, this Agreement or otherwise, the Executive will, and hereby does, assign to the Company all right, title and interest in such Development, without further consideration, and will assist the Company and its nominees in every way, at the Company’s expense, to secure, maintain and defend the Company’s rights in such Development. The Executive shall sign all instruments reasonably necessary for the filing and prosecution of any applications for, or extension or renewals of, letters patent (or other intellectual property registrations or filings) of the United States or any foreign country which the Company desires to file and relates to any Development. The Executive hereby irrevocably designates and appoints the Company and its duly authorized officers and agents as the Executive’s agent and attorney-in-fact (which designation and appointment shall be deemed coupled with an interest and shall survive the Executive’s death or incapacity), to act for and in the Executive’s behalf to execute and file any such applications, extensions or renewals and to do all other lawfully permitted acts to further the prosecution and issuance of such letters patent, other intellectual property registrations or filings or such other similar documents with the same legal force and effect as if executed by the Executive.</w:t>
      </w:r>
    </w:p>
    <w:p>
      <w:pPr>
        <w:spacing w:after="0" w:line="168" w:lineRule="exact"/>
        <w:rPr>
          <w:rFonts w:ascii="Arial" w:cs="Arial" w:eastAsia="Arial" w:hAnsi="Arial"/>
          <w:sz w:val="16"/>
          <w:szCs w:val="16"/>
          <w:b w:val="1"/>
          <w:bCs w:val="1"/>
          <w:color w:val="auto"/>
        </w:rPr>
      </w:pPr>
    </w:p>
    <w:p>
      <w:pPr>
        <w:ind w:left="1340" w:hanging="353"/>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Protected Disclosures and Other Protected Actions.</w:t>
      </w:r>
    </w:p>
    <w:p>
      <w:pPr>
        <w:spacing w:after="0" w:line="221" w:lineRule="exact"/>
        <w:rPr>
          <w:rFonts w:ascii="Arial" w:cs="Arial" w:eastAsia="Arial" w:hAnsi="Arial"/>
          <w:sz w:val="18"/>
          <w:szCs w:val="18"/>
          <w:color w:val="auto"/>
        </w:rPr>
      </w:pPr>
    </w:p>
    <w:p>
      <w:pPr>
        <w:ind w:right="40" w:firstLine="1428"/>
        <w:spacing w:after="0" w:line="273" w:lineRule="auto"/>
        <w:tabs>
          <w:tab w:leader="none" w:pos="1782" w:val="left"/>
        </w:tabs>
        <w:numPr>
          <w:ilvl w:val="1"/>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Government Agencies. </w:t>
      </w:r>
      <w:r>
        <w:rPr>
          <w:rFonts w:ascii="Arial" w:cs="Arial" w:eastAsia="Arial" w:hAnsi="Arial"/>
          <w:sz w:val="17"/>
          <w:szCs w:val="17"/>
          <w:color w:val="auto"/>
        </w:rPr>
        <w:t>Nothing contained in this Agreement limits Executive’s ability to file a charge or complaint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Equal Employment Opportunity Commission, the National Labor Relations Board, the Occupational Safety and Health Administration, the Securities and Exchange Commission or any other federal, state, or local governmental agency or commission (“Government Agencies”). Executive further understand that this Agreement does not limit Executive’s ability to communicate with any Government Agencies or otherwise participate in any investigation or proceeding that may be conducted by any Government Agencies, including providing documents or other information, without notice to the Company. This Agreement does not limit Executive’s right to receive an award from a whistleblower award program administered by any Government Agencies for providing information to any Government Agencies.</w:t>
      </w:r>
    </w:p>
    <w:p>
      <w:pPr>
        <w:spacing w:after="0" w:line="171" w:lineRule="exact"/>
        <w:rPr>
          <w:rFonts w:ascii="Arial" w:cs="Arial" w:eastAsia="Arial" w:hAnsi="Arial"/>
          <w:sz w:val="17"/>
          <w:szCs w:val="17"/>
          <w:b w:val="1"/>
          <w:bCs w:val="1"/>
          <w:color w:val="auto"/>
        </w:rPr>
      </w:pPr>
    </w:p>
    <w:p>
      <w:pPr>
        <w:ind w:right="140" w:firstLine="1428"/>
        <w:spacing w:after="0" w:line="282" w:lineRule="auto"/>
        <w:tabs>
          <w:tab w:leader="none" w:pos="1832"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Immunity under Defend Trade Secrets Act. </w:t>
      </w:r>
      <w:r>
        <w:rPr>
          <w:rFonts w:ascii="Arial" w:cs="Arial" w:eastAsia="Arial" w:hAnsi="Arial"/>
          <w:sz w:val="18"/>
          <w:szCs w:val="18"/>
          <w:color w:val="auto"/>
        </w:rPr>
        <w:t>In accordance with the Defend Trade Secrets Act of 2016, no employee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criminally or civilly liable under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7" w:name="page8"/>
    <w:bookmarkEnd w:id="7"/>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the law; or (b) is made in a complaint or other document that is filed under seal in a lawsuit or other proceeding.</w:t>
      </w:r>
    </w:p>
    <w:p>
      <w:pPr>
        <w:spacing w:after="0" w:line="180" w:lineRule="exact"/>
        <w:rPr>
          <w:sz w:val="20"/>
          <w:szCs w:val="20"/>
          <w:color w:val="auto"/>
        </w:rPr>
      </w:pPr>
    </w:p>
    <w:p>
      <w:pPr>
        <w:ind w:right="140" w:firstLine="436"/>
        <w:spacing w:after="0" w:line="282" w:lineRule="auto"/>
        <w:tabs>
          <w:tab w:leader="none" w:pos="75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w:t>
      </w:r>
      <w:r>
        <w:rPr>
          <w:rFonts w:ascii="Arial" w:cs="Arial" w:eastAsia="Arial" w:hAnsi="Arial"/>
          <w:sz w:val="18"/>
          <w:szCs w:val="18"/>
          <w:color w:val="auto"/>
        </w:rPr>
        <w:t>. The Executive agrees that during the Executive’s employment or other business relationship with the Company, whether or</w:t>
      </w:r>
      <w:r>
        <w:rPr>
          <w:rFonts w:ascii="Arial" w:cs="Arial" w:eastAsia="Arial" w:hAnsi="Arial"/>
          <w:sz w:val="18"/>
          <w:szCs w:val="18"/>
          <w:b w:val="1"/>
          <w:bCs w:val="1"/>
          <w:color w:val="auto"/>
        </w:rPr>
        <w:t xml:space="preserve"> </w:t>
      </w:r>
      <w:r>
        <w:rPr>
          <w:rFonts w:ascii="Arial" w:cs="Arial" w:eastAsia="Arial" w:hAnsi="Arial"/>
          <w:sz w:val="18"/>
          <w:szCs w:val="18"/>
          <w:color w:val="auto"/>
        </w:rPr>
        <w:t>not under this Agreement, and for a period of one year thereafter (the “</w:t>
      </w:r>
      <w:r>
        <w:rPr>
          <w:rFonts w:ascii="Arial" w:cs="Arial" w:eastAsia="Arial" w:hAnsi="Arial"/>
          <w:sz w:val="18"/>
          <w:szCs w:val="18"/>
          <w:b w:val="1"/>
          <w:bCs w:val="1"/>
          <w:color w:val="auto"/>
        </w:rPr>
        <w:t>Restricted Period</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ind w:firstLine="987"/>
        <w:spacing w:after="0" w:line="257" w:lineRule="auto"/>
        <w:tabs>
          <w:tab w:leader="none" w:pos="1381"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the Executive will not, directly or indirectly, individually or as a consultant to, or an executive, officer, director, manager, stockholder, partner, member or other owner or participant in any business entice away from the Company, reduce the amount of business conducted with the Company by or otherwise materially interfere with the business relationship of the Company with any person or entity who is, or was within the one-year period immediately prior thereto, a customer or client of, supplier, vendor or service provider to, or other party having business relations with the Company; and</w:t>
      </w:r>
    </w:p>
    <w:p>
      <w:pPr>
        <w:spacing w:after="0" w:line="187" w:lineRule="exact"/>
        <w:rPr>
          <w:rFonts w:ascii="Arial" w:cs="Arial" w:eastAsia="Arial" w:hAnsi="Arial"/>
          <w:sz w:val="18"/>
          <w:szCs w:val="18"/>
          <w:b w:val="1"/>
          <w:bCs w:val="1"/>
          <w:color w:val="auto"/>
        </w:rPr>
      </w:pPr>
    </w:p>
    <w:p>
      <w:pPr>
        <w:ind w:right="120" w:firstLine="987"/>
        <w:spacing w:after="0" w:line="311" w:lineRule="auto"/>
        <w:tabs>
          <w:tab w:leader="none" w:pos="1391" w:val="left"/>
        </w:tabs>
        <w:numPr>
          <w:ilvl w:val="1"/>
          <w:numId w:val="8"/>
        </w:numPr>
        <w:rPr>
          <w:rFonts w:ascii="Arial" w:cs="Arial" w:eastAsia="Arial" w:hAnsi="Arial"/>
          <w:sz w:val="16"/>
          <w:szCs w:val="16"/>
          <w:b w:val="1"/>
          <w:bCs w:val="1"/>
          <w:color w:val="auto"/>
        </w:rPr>
      </w:pPr>
      <w:r>
        <w:rPr>
          <w:rFonts w:ascii="Arial" w:cs="Arial" w:eastAsia="Arial" w:hAnsi="Arial"/>
          <w:sz w:val="16"/>
          <w:szCs w:val="16"/>
          <w:color w:val="auto"/>
        </w:rPr>
        <w:t>the Executive will not, directly or indirectly, individually or as a consultant to, or an executive, officer, director, manager, stockholder, partner, member or other owner or participant in any business entity offer employment to or otherwise interfere with the business relationship of the Company with any person or entity who is, or was within the one-year period immediately prior thereto, employed by the Company.</w:t>
      </w:r>
    </w:p>
    <w:p>
      <w:pPr>
        <w:spacing w:after="0" w:line="144" w:lineRule="exact"/>
        <w:rPr>
          <w:rFonts w:ascii="Arial" w:cs="Arial" w:eastAsia="Arial" w:hAnsi="Arial"/>
          <w:sz w:val="16"/>
          <w:szCs w:val="16"/>
          <w:b w:val="1"/>
          <w:bCs w:val="1"/>
          <w:color w:val="auto"/>
        </w:rPr>
      </w:pPr>
    </w:p>
    <w:p>
      <w:pPr>
        <w:ind w:firstLine="436"/>
        <w:spacing w:after="0" w:line="268" w:lineRule="auto"/>
        <w:tabs>
          <w:tab w:leader="none" w:pos="755"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Non-Competition</w:t>
      </w:r>
      <w:r>
        <w:rPr>
          <w:rFonts w:ascii="Arial" w:cs="Arial" w:eastAsia="Arial" w:hAnsi="Arial"/>
          <w:sz w:val="17"/>
          <w:szCs w:val="17"/>
          <w:color w:val="auto"/>
        </w:rPr>
        <w:t>. The Executive agrees that, from the Non-Competition Covenant Effective Date through the Restricted Period,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will not directly or indirectly provide services, whether as an owner, officer, director, partner, member, employee, agent, consultant, advisor or developer or in any similar capacity, to any other business entity that is engaged or seeks to become engaged in any line of business conducted by the Company or its affiliates, or which the Company or its affiliates have active plans to conduct, in each case, in any state of the United States and any country outside the United States in which the Company or any of its affiliates conducts its business (provided that the Executive shall not be prohibited from owning up to five percent (5%) of the outstanding stock of a corporation which is publicly traded, so long as the Executive has no active participation in the business of such corporation). The post-employment restrictions in this Section 7 shall not apply in the case of a termination of the Executive’s employment by the Company without Cause. The Executive acknowledges and agrees that the compensation, including the RSUs, provided to the Executive by the Company under this Agreement constitute fair and reasonable, mutually agreed upon consideration for the restrictions contained in this Agreement, including, without limitation, in this Section 7. If the Executive has unlawfully taken, physically or electronically, property belonging to the Company, or has breached any fiduciary duties owed to the Company, the duration of the post-service restrictions in this Section 7 shall be extended to two years following the termination of the Executive’s employment. The Executive acknowledges that he has been provided notice of this Section 7 at least 10 business days prior to this Section 7 becoming effective, and that he or she has the right to consult with counsel prior to signing this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 w:name="page9"/>
    <w:bookmarkEnd w:id="8"/>
    <w:p>
      <w:pPr>
        <w:ind w:left="4" w:firstLine="436"/>
        <w:spacing w:after="0" w:line="255" w:lineRule="auto"/>
        <w:tabs>
          <w:tab w:leader="none" w:pos="759"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Remedies</w:t>
      </w:r>
      <w:r>
        <w:rPr>
          <w:rFonts w:ascii="Arial" w:cs="Arial" w:eastAsia="Arial" w:hAnsi="Arial"/>
          <w:sz w:val="18"/>
          <w:szCs w:val="18"/>
          <w:color w:val="auto"/>
        </w:rPr>
        <w:t>. Without limiting the remedies available to the Company, the Executive acknowledges that a breach of any of the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Sections 5, 6 or 7 hereof could result in irreparable injury to the Company for which there might be no adequate remedy at law, and that, in the event of such a breach or threat thereof, the Company shall be entitled to obtain a temporary restraining order and/or a preliminary injunction and a permanent injunction restraining the Executive from engaging in any activities prohibited by Sections 5, 6 or 7 hereof or such other equitable relief as may be required to enforce specifically any of the covenants contained in Sections 5, 6 or 7 hereof. The foregoing provisions and the provisions of Sections 5, 6 or 7 hereof shall survive the termination of the Executive’s employment with the Company, and shall continue thereafter in full force and effect in accordance with their terms.</w:t>
      </w:r>
    </w:p>
    <w:p>
      <w:pPr>
        <w:spacing w:after="0" w:line="188" w:lineRule="exact"/>
        <w:rPr>
          <w:rFonts w:ascii="Arial" w:cs="Arial" w:eastAsia="Arial" w:hAnsi="Arial"/>
          <w:sz w:val="18"/>
          <w:szCs w:val="18"/>
          <w:b w:val="1"/>
          <w:bCs w:val="1"/>
          <w:color w:val="auto"/>
        </w:rPr>
      </w:pPr>
    </w:p>
    <w:p>
      <w:pPr>
        <w:ind w:left="4" w:right="300" w:firstLine="436"/>
        <w:spacing w:after="0" w:line="347" w:lineRule="auto"/>
        <w:tabs>
          <w:tab w:leader="none" w:pos="759" w:val="left"/>
        </w:tabs>
        <w:numPr>
          <w:ilvl w:val="1"/>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Applicability to Related Companies</w:t>
      </w:r>
      <w:r>
        <w:rPr>
          <w:rFonts w:ascii="Arial" w:cs="Arial" w:eastAsia="Arial" w:hAnsi="Arial"/>
          <w:sz w:val="16"/>
          <w:szCs w:val="16"/>
          <w:color w:val="auto"/>
        </w:rPr>
        <w:t>. For purposes of Sections 5, 6, 7 and 8 of this Agreement, the term “Company” shall include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Parent and each of their respective affiliates, whether now existing or hereinafter created, and their respective successors and assigns.</w:t>
      </w:r>
    </w:p>
    <w:p>
      <w:pPr>
        <w:spacing w:after="0" w:line="115" w:lineRule="exact"/>
        <w:rPr>
          <w:rFonts w:ascii="Arial" w:cs="Arial" w:eastAsia="Arial" w:hAnsi="Arial"/>
          <w:sz w:val="16"/>
          <w:szCs w:val="16"/>
          <w:b w:val="1"/>
          <w:bCs w:val="1"/>
          <w:color w:val="auto"/>
        </w:rPr>
      </w:pPr>
    </w:p>
    <w:p>
      <w:pPr>
        <w:ind w:left="4" w:right="120" w:firstLine="436"/>
        <w:spacing w:after="0" w:line="303" w:lineRule="auto"/>
        <w:tabs>
          <w:tab w:leader="none" w:pos="849" w:val="left"/>
        </w:tabs>
        <w:numPr>
          <w:ilvl w:val="1"/>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Review of Agreement; Reasonable Restrictions</w:t>
      </w:r>
      <w:r>
        <w:rPr>
          <w:rFonts w:ascii="Arial" w:cs="Arial" w:eastAsia="Arial" w:hAnsi="Arial"/>
          <w:sz w:val="16"/>
          <w:szCs w:val="16"/>
          <w:color w:val="auto"/>
        </w:rPr>
        <w:t>. The Executive (a) has carefully read and understands all of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has had the opportunity for this Agreement to be reviewed by counsel, (b) acknowledges that the duration, scope and subject matter of Sections 5 through 9 of this Agreement are reasonable and necessary to protect the goodwill, customer relationships, legitimate business interests and Confidential Information of the Company and its affiliates, and (c) will be able to earn a satisfactory livelihood without violating this Agreement.</w:t>
      </w:r>
    </w:p>
    <w:p>
      <w:pPr>
        <w:spacing w:after="0" w:line="150" w:lineRule="exact"/>
        <w:rPr>
          <w:rFonts w:ascii="Arial" w:cs="Arial" w:eastAsia="Arial" w:hAnsi="Arial"/>
          <w:sz w:val="16"/>
          <w:szCs w:val="16"/>
          <w:b w:val="1"/>
          <w:bCs w:val="1"/>
          <w:color w:val="auto"/>
        </w:rPr>
      </w:pPr>
    </w:p>
    <w:p>
      <w:pPr>
        <w:ind w:left="844" w:hanging="404"/>
        <w:spacing w:after="0"/>
        <w:tabs>
          <w:tab w:leader="none" w:pos="844"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384" w:hanging="393"/>
        <w:spacing w:after="0"/>
        <w:tabs>
          <w:tab w:leader="none" w:pos="1384" w:val="left"/>
        </w:tabs>
        <w:numPr>
          <w:ilvl w:val="2"/>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The Executive’s employment with the Company may be terminated at any time (i) by the Company with or without Cause,</w:t>
      </w:r>
    </w:p>
    <w:p>
      <w:pPr>
        <w:spacing w:after="0" w:line="50" w:lineRule="exact"/>
        <w:rPr>
          <w:rFonts w:ascii="Arial" w:cs="Arial" w:eastAsia="Arial" w:hAnsi="Arial"/>
          <w:sz w:val="16"/>
          <w:szCs w:val="16"/>
          <w:b w:val="1"/>
          <w:bCs w:val="1"/>
          <w:color w:val="auto"/>
        </w:rPr>
      </w:pPr>
    </w:p>
    <w:p>
      <w:pPr>
        <w:ind w:left="4" w:right="80" w:hanging="4"/>
        <w:spacing w:after="0" w:line="260" w:lineRule="auto"/>
        <w:tabs>
          <w:tab w:leader="none" w:pos="2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the Executive for any or no reason, or (iii) by the Company or the Executive in the event of the Executive’s Disability, and shall terminate in the event of the Executive’s death.</w:t>
      </w:r>
    </w:p>
    <w:p>
      <w:pPr>
        <w:spacing w:after="0" w:line="181" w:lineRule="exact"/>
        <w:rPr>
          <w:rFonts w:ascii="Arial" w:cs="Arial" w:eastAsia="Arial" w:hAnsi="Arial"/>
          <w:sz w:val="18"/>
          <w:szCs w:val="18"/>
          <w:color w:val="auto"/>
        </w:rPr>
      </w:pPr>
    </w:p>
    <w:p>
      <w:pPr>
        <w:ind w:left="1384" w:hanging="393"/>
        <w:spacing w:after="0"/>
        <w:tabs>
          <w:tab w:leader="none" w:pos="1384" w:val="left"/>
        </w:tabs>
        <w:numPr>
          <w:ilvl w:val="2"/>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herein, the following terms shall have the following meanings:</w:t>
      </w:r>
    </w:p>
    <w:p>
      <w:pPr>
        <w:spacing w:after="0" w:line="117" w:lineRule="exact"/>
        <w:rPr>
          <w:sz w:val="20"/>
          <w:szCs w:val="20"/>
          <w:color w:val="auto"/>
        </w:rPr>
      </w:pPr>
    </w:p>
    <w:p>
      <w:pPr>
        <w:ind w:left="4" w:right="100" w:firstLine="991"/>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shall mean, with respect to the Executive, (i) commission of or indictment for, pleading guilty or no contest to, a felony, a gross misdemeanor, or any crime involving moral turpitude; (ii) any unlawful act which is materially injurious or detrimental to the reputation or financial interests of the Company or its affiliates; (iii) theft of property of the Company or its affiliates or falsification of documents of the Company or its affiliates or dishonesty in their preparation; (iv) breach of any material provision of any agreement with the Company or its affiliates, including any non-competition, non-solicitation or confidentiality provisions, or any other similar restrictive covenants to which the Executive is or may become a party with the Company or its affiliates. To the extent any breach set forth in this definition of Cause can be cured, the Company shall provide written notice to the Executive identifying the breach and Executive shall have thirty (30) calendar days to cure the breach.</w:t>
      </w:r>
    </w:p>
    <w:p>
      <w:pPr>
        <w:spacing w:after="0" w:line="5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the occurrence of any of the following events:</w:t>
      </w:r>
    </w:p>
    <w:p>
      <w:pPr>
        <w:spacing w:after="0" w:line="162"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4"/>
          </w:cols>
          <w:pgMar w:left="436" w:top="270" w:right="519" w:bottom="1440" w:gutter="0" w:footer="0" w:header="0"/>
        </w:sectPr>
      </w:pPr>
    </w:p>
    <w:bookmarkStart w:id="9" w:name="page10"/>
    <w:bookmarkEnd w:id="9"/>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 change in the ownership of the Company which occurs on the date that any one person, or more than one person acting as a group</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acquires ownership of the stock of the Company that, together with the stock held by such Person, constitutes more than fifty percent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(50%) of the total voting power of the stock of the Company; provided, however, that for purposes of this subsection (i), the acquisition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stock by any one Person, who is considered to own more than fifty percent (50%) of the total voting power of the stock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not be considered a Change of Control; or</w:t>
      </w:r>
    </w:p>
    <w:p>
      <w:pPr>
        <w:spacing w:after="0" w:line="103" w:lineRule="exact"/>
        <w:rPr>
          <w:sz w:val="20"/>
          <w:szCs w:val="20"/>
          <w:color w:val="auto"/>
        </w:rPr>
      </w:pPr>
    </w:p>
    <w:p>
      <w:pPr>
        <w:ind w:firstLine="419"/>
        <w:spacing w:after="0" w:line="301" w:lineRule="auto"/>
        <w:tabs>
          <w:tab w:leader="none" w:pos="68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change in the effective control of the Company which occurs on the date that a majority of members of the Board is replaced during any twelve (12) month period by members of our Board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49" w:lineRule="exact"/>
        <w:rPr>
          <w:rFonts w:ascii="Arial" w:cs="Arial" w:eastAsia="Arial" w:hAnsi="Arial"/>
          <w:sz w:val="16"/>
          <w:szCs w:val="16"/>
          <w:color w:val="auto"/>
        </w:rPr>
      </w:pPr>
    </w:p>
    <w:p>
      <w:pPr>
        <w:ind w:firstLine="419"/>
        <w:spacing w:after="0" w:line="252" w:lineRule="auto"/>
        <w:tabs>
          <w:tab w:leader="none" w:pos="7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92" w:lineRule="exact"/>
        <w:rPr>
          <w:sz w:val="20"/>
          <w:szCs w:val="20"/>
          <w:color w:val="auto"/>
        </w:rPr>
      </w:pPr>
    </w:p>
    <w:p>
      <w:pPr>
        <w:ind w:right="480" w:firstLine="423"/>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62" w:lineRule="exact"/>
        <w:rPr>
          <w:sz w:val="20"/>
          <w:szCs w:val="20"/>
          <w:color w:val="auto"/>
        </w:rPr>
      </w:pPr>
    </w:p>
    <w:p>
      <w:pPr>
        <w:ind w:right="100" w:firstLine="423"/>
        <w:spacing w:after="0" w:line="311" w:lineRule="auto"/>
        <w:rPr>
          <w:sz w:val="20"/>
          <w:szCs w:val="20"/>
          <w:color w:val="auto"/>
        </w:rPr>
      </w:pPr>
      <w:r>
        <w:rPr>
          <w:rFonts w:ascii="Arial" w:cs="Arial" w:eastAsia="Arial" w:hAnsi="Arial"/>
          <w:sz w:val="16"/>
          <w:szCs w:val="16"/>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8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880" w:top="274" w:right="479" w:bottom="1440" w:gutter="0" w:footer="0" w:header="0"/>
        </w:sectPr>
      </w:pPr>
    </w:p>
    <w:bookmarkStart w:id="10" w:name="page11"/>
    <w:bookmarkEnd w:id="10"/>
    <w:p>
      <w:pPr>
        <w:ind w:left="4"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72" w:lineRule="exact"/>
        <w:rPr>
          <w:sz w:val="20"/>
          <w:szCs w:val="20"/>
          <w:color w:val="auto"/>
        </w:rPr>
      </w:pPr>
    </w:p>
    <w:p>
      <w:pPr>
        <w:ind w:left="4"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Period</w:t>
      </w:r>
      <w:r>
        <w:rPr>
          <w:rFonts w:ascii="Arial" w:cs="Arial" w:eastAsia="Arial" w:hAnsi="Arial"/>
          <w:sz w:val="18"/>
          <w:szCs w:val="18"/>
          <w:color w:val="auto"/>
        </w:rPr>
        <w:t>” means the period beginning on the date three (3) months prior to, and ending on the date twelve (12) months following, a Change of Control.</w:t>
      </w:r>
    </w:p>
    <w:p>
      <w:pPr>
        <w:spacing w:after="0" w:line="54" w:lineRule="exact"/>
        <w:rPr>
          <w:sz w:val="20"/>
          <w:szCs w:val="20"/>
          <w:color w:val="auto"/>
        </w:rPr>
      </w:pPr>
    </w:p>
    <w:p>
      <w:pPr>
        <w:ind w:left="4" w:right="20"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(a) a material diminution (of 10% or more) of the Base Salary or target Bonus (i.e. the size of the target Bonus that the Executive has the opportunity to earn) unless the Executive consents to such reduction; or (b) any material breach by the Company of any written agreement between the Executive and the Company; or (c) a relocation of the Executive’s principal office of employment, more than thirty (30) miles;</w:t>
      </w:r>
    </w:p>
    <w:p>
      <w:pPr>
        <w:spacing w:after="0" w:line="2" w:lineRule="exact"/>
        <w:rPr>
          <w:sz w:val="20"/>
          <w:szCs w:val="20"/>
          <w:color w:val="auto"/>
        </w:rPr>
      </w:pPr>
    </w:p>
    <w:p>
      <w:pPr>
        <w:ind w:left="4" w:right="240" w:hanging="4"/>
        <w:spacing w:after="0" w:line="253" w:lineRule="auto"/>
        <w:tabs>
          <w:tab w:leader="none" w:pos="2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material diminution of the duties, title, authority or responsibilities of the Executive (to include any change in reporting that results in Executive not reporting to the CEO of the Company or to the Board) other than those duties, titles, authority or responsibilities that are by their nature or specifically identified as temporary, provided that no condition set forth in the preceding (a), (b) or (c) will be deemed Good Reason unless the Company fails to cure the condition(s) giving rise to Good Reason within 30 days from the date on which the Executive notifies the Company, in writing, of such condition(s).</w:t>
      </w:r>
    </w:p>
    <w:p>
      <w:pPr>
        <w:spacing w:after="0" w:line="79" w:lineRule="exact"/>
        <w:rPr>
          <w:sz w:val="20"/>
          <w:szCs w:val="20"/>
          <w:color w:val="auto"/>
        </w:rPr>
      </w:pPr>
    </w:p>
    <w:p>
      <w:pPr>
        <w:ind w:left="4" w:right="8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illness (mental or physical) or accident, which results in the Executive being unable to perform the Executive’s duties as an Executive of the Company as reasonably determined by a competent physician, for a period of 180 days, whether or not consecutive, in any 12-month period.</w:t>
      </w:r>
    </w:p>
    <w:p>
      <w:pPr>
        <w:spacing w:after="0" w:line="68" w:lineRule="exact"/>
        <w:rPr>
          <w:sz w:val="20"/>
          <w:szCs w:val="20"/>
          <w:color w:val="auto"/>
        </w:rPr>
      </w:pPr>
    </w:p>
    <w:p>
      <w:pPr>
        <w:ind w:left="4"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Severance</w:t>
      </w:r>
      <w:r>
        <w:rPr>
          <w:rFonts w:ascii="Arial" w:cs="Arial" w:eastAsia="Arial" w:hAnsi="Arial"/>
          <w:sz w:val="17"/>
          <w:szCs w:val="17"/>
          <w:color w:val="auto"/>
        </w:rPr>
        <w:t>” means (i) continuation of regular payments of Base Salary (at the rate in effect on the date of termination) to the Executive for a period of twelve (12) months from the date of termination of employment, payable in accordance with the Company’s regular payroll schedule and subject to withholding for all applicable taxes; and; (ii) payment of the Annual Bonus to be earned by the Executive during the twelve month period following the date of termination of employment at a level equal to the greater of the bonus for the current year at target or the average of the bonus paid in the last two (2) calendar years if such history exists, within thirty (30) days following the date of termination and subject to withholding for all applicable taxes; (iii) acceleration of the vesting of all stock options, restricted stock shares and RSUs, profit interests, or other forms of equity (the “</w:t>
      </w:r>
      <w:r>
        <w:rPr>
          <w:rFonts w:ascii="Arial" w:cs="Arial" w:eastAsia="Arial" w:hAnsi="Arial"/>
          <w:sz w:val="17"/>
          <w:szCs w:val="17"/>
          <w:b w:val="1"/>
          <w:bCs w:val="1"/>
          <w:color w:val="auto"/>
        </w:rPr>
        <w:t>Equity</w:t>
      </w:r>
      <w:r>
        <w:rPr>
          <w:rFonts w:ascii="Arial" w:cs="Arial" w:eastAsia="Arial" w:hAnsi="Arial"/>
          <w:sz w:val="17"/>
          <w:szCs w:val="17"/>
          <w:color w:val="auto"/>
        </w:rPr>
        <w:t>”), awarded to the Executive by the Company at any time, that would otherwise have vested during the twelve-month period following the termination date; and (iv) should Executive timely elect and be eligible to continue receiving group medical insurance pursuant to the Consolidated Omnibus Budget Reconciliation Act, payment for a period of twelve (12) months of the entire amount of the premiums for such coverage. For the purposes of clarity, the above acceleration of vesting will only apply to instruments that vest based on time. Instruments that vest based on performance will be excluded from this acceleration.</w:t>
      </w:r>
    </w:p>
    <w:p>
      <w:pPr>
        <w:spacing w:after="0" w:line="182" w:lineRule="exact"/>
        <w:rPr>
          <w:sz w:val="20"/>
          <w:szCs w:val="20"/>
          <w:color w:val="auto"/>
        </w:rPr>
      </w:pPr>
    </w:p>
    <w:p>
      <w:pPr>
        <w:ind w:left="4" w:right="40" w:firstLine="987"/>
        <w:spacing w:after="0" w:line="282" w:lineRule="auto"/>
        <w:tabs>
          <w:tab w:leader="none" w:pos="137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Effects of Termination</w:t>
      </w:r>
      <w:r>
        <w:rPr>
          <w:rFonts w:ascii="Arial" w:cs="Arial" w:eastAsia="Arial" w:hAnsi="Arial"/>
          <w:sz w:val="18"/>
          <w:szCs w:val="18"/>
          <w:color w:val="auto"/>
        </w:rPr>
        <w:t>. If the Executive’s employment is terminated during the Term, the Company shall have no further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any payments or provide</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11" w:name="page12"/>
    <w:bookmarkEnd w:id="11"/>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benefits to the Executive hereunder after the date of termination except for (i) payments of Base Salary and expense reimbursement that had accrued but had not been paid prior to the date of termination, (ii) if required by law, payments for any accrued but unused vacation time, and (iii) if the Executive’s employment with the Company is terminated by the Company without Cause (other than as a result of death or Disability of the Executive) or by the Executive for Good Reason, payments of Severance shall be due.</w:t>
      </w:r>
    </w:p>
    <w:p>
      <w:pPr>
        <w:spacing w:after="0" w:line="187"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The Severance benefits available to the Executive under this Section 11 are the sole and exclusive severance payments and benefits to which the Executive may be entitled upon termination of the Executive’s employment. The Executive shall not be entitled to receive any other severance-related payments or benefits under any other plan or agreement which may from time to time be made available to other Executives of the Company or any affiliate.</w:t>
      </w:r>
    </w:p>
    <w:p>
      <w:pPr>
        <w:spacing w:after="0" w:line="183" w:lineRule="exact"/>
        <w:rPr>
          <w:sz w:val="20"/>
          <w:szCs w:val="20"/>
          <w:color w:val="auto"/>
        </w:rPr>
      </w:pPr>
    </w:p>
    <w:p>
      <w:pPr>
        <w:jc w:val="center"/>
        <w:ind w:right="616"/>
        <w:spacing w:after="0"/>
        <w:tabs>
          <w:tab w:leader="none" w:pos="1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Termination by the Company without Cause or by the Executive for Good Reason following a Change in</w:t>
      </w:r>
    </w:p>
    <w:p>
      <w:pPr>
        <w:spacing w:after="0" w:line="27" w:lineRule="exact"/>
        <w:rPr>
          <w:sz w:val="20"/>
          <w:szCs w:val="20"/>
          <w:color w:val="auto"/>
        </w:rPr>
      </w:pPr>
    </w:p>
    <w:p>
      <w:pPr>
        <w:ind w:left="4"/>
        <w:spacing w:after="0" w:line="281" w:lineRule="auto"/>
        <w:rPr>
          <w:sz w:val="20"/>
          <w:szCs w:val="20"/>
          <w:color w:val="auto"/>
        </w:rPr>
      </w:pPr>
      <w:r>
        <w:rPr>
          <w:rFonts w:ascii="Arial" w:cs="Arial" w:eastAsia="Arial" w:hAnsi="Arial"/>
          <w:sz w:val="16"/>
          <w:szCs w:val="16"/>
          <w:b w:val="1"/>
          <w:bCs w:val="1"/>
          <w:color w:val="auto"/>
        </w:rPr>
        <w:t>Control</w:t>
      </w:r>
      <w:r>
        <w:rPr>
          <w:rFonts w:ascii="Arial" w:cs="Arial" w:eastAsia="Arial" w:hAnsi="Arial"/>
          <w:sz w:val="16"/>
          <w:szCs w:val="16"/>
          <w:color w:val="auto"/>
        </w:rPr>
        <w:t>. Notwithstanding anything to the contrary in this Section 11, if, during a Change of Control Period, the Executive is terminated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without Cause or the Executive terminates his employment with Good Reason, the Executive shall be entitled to all of the benefits under Section 11(c), including Severance, however in such case the applicable Severance benefits shall be modified so that executive receives (i) continuation of regular payments of Base Salary (at the rate in effect on the date of termination) to the Executive for a period of </w:t>
      </w:r>
      <w:r>
        <w:rPr>
          <w:rFonts w:ascii="Arial" w:cs="Arial" w:eastAsia="Arial" w:hAnsi="Arial"/>
          <w:sz w:val="16"/>
          <w:szCs w:val="16"/>
          <w:u w:val="single" w:color="auto"/>
          <w:color w:val="auto"/>
        </w:rPr>
        <w:t>eighteen (18) months</w:t>
      </w:r>
      <w:r>
        <w:rPr>
          <w:rFonts w:ascii="Arial" w:cs="Arial" w:eastAsia="Arial" w:hAnsi="Arial"/>
          <w:sz w:val="16"/>
          <w:szCs w:val="16"/>
          <w:color w:val="auto"/>
        </w:rPr>
        <w:t xml:space="preserve"> from the date of termination of employment, payable in accordance with the Company’s regular payroll schedule and subject to withholding for all applicable taxes;</w:t>
      </w:r>
    </w:p>
    <w:p>
      <w:pPr>
        <w:spacing w:after="0" w:line="3" w:lineRule="exact"/>
        <w:rPr>
          <w:sz w:val="20"/>
          <w:szCs w:val="20"/>
          <w:color w:val="auto"/>
        </w:rPr>
      </w:pPr>
    </w:p>
    <w:p>
      <w:pPr>
        <w:ind w:left="4" w:right="20" w:hanging="4"/>
        <w:spacing w:after="0" w:line="290" w:lineRule="auto"/>
        <w:tabs>
          <w:tab w:leader="none" w:pos="269"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payment of 1.5 times the Annual Bonus to be earned by the Executive during the twelve (12) month period following the date of termination of employment at a level equal to the greater of the bonus for the current year at target or the average of the bonus paid in the last two (2) calendar years if such history exists, within thirty (30) days following the date of termination and subject to withholding for all applicable taxes; (ii) acceleration of the vesting </w:t>
      </w:r>
      <w:r>
        <w:rPr>
          <w:rFonts w:ascii="Arial" w:cs="Arial" w:eastAsia="Arial" w:hAnsi="Arial"/>
          <w:sz w:val="16"/>
          <w:szCs w:val="16"/>
          <w:u w:val="single" w:color="auto"/>
          <w:color w:val="auto"/>
        </w:rPr>
        <w:t>in full</w:t>
      </w:r>
      <w:r>
        <w:rPr>
          <w:rFonts w:ascii="Arial" w:cs="Arial" w:eastAsia="Arial" w:hAnsi="Arial"/>
          <w:sz w:val="16"/>
          <w:szCs w:val="16"/>
          <w:color w:val="auto"/>
        </w:rPr>
        <w:t xml:space="preserve"> of all stock options, restricted stock shares and RSUs, profit interests, or other forms of Equity, awarded to the Executive by the Company at any time; and (iii) should Executive timely elect and be eligible to continue receiving group medical insurance pursuant to the Consolidated Omnibus Budget Reconciliation Act, payment for a period of </w:t>
      </w:r>
      <w:r>
        <w:rPr>
          <w:rFonts w:ascii="Arial" w:cs="Arial" w:eastAsia="Arial" w:hAnsi="Arial"/>
          <w:sz w:val="16"/>
          <w:szCs w:val="16"/>
          <w:u w:val="single" w:color="auto"/>
          <w:color w:val="auto"/>
        </w:rPr>
        <w:t>eighteen (18) months</w:t>
      </w:r>
      <w:r>
        <w:rPr>
          <w:rFonts w:ascii="Arial" w:cs="Arial" w:eastAsia="Arial" w:hAnsi="Arial"/>
          <w:sz w:val="16"/>
          <w:szCs w:val="16"/>
          <w:color w:val="auto"/>
        </w:rPr>
        <w:t xml:space="preserve"> of the entire amount of the premiums for such coverage.</w:t>
      </w:r>
    </w:p>
    <w:p>
      <w:pPr>
        <w:spacing w:after="0" w:line="159" w:lineRule="exact"/>
        <w:rPr>
          <w:rFonts w:ascii="Arial" w:cs="Arial" w:eastAsia="Arial" w:hAnsi="Arial"/>
          <w:sz w:val="16"/>
          <w:szCs w:val="16"/>
          <w:color w:val="auto"/>
        </w:rPr>
      </w:pPr>
    </w:p>
    <w:p>
      <w:pPr>
        <w:ind w:left="4" w:right="380" w:firstLine="987"/>
        <w:spacing w:after="0" w:line="282" w:lineRule="auto"/>
        <w:tabs>
          <w:tab w:leader="none" w:pos="1375"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and Limitations to Severance</w:t>
      </w:r>
      <w:r>
        <w:rPr>
          <w:rFonts w:ascii="Arial" w:cs="Arial" w:eastAsia="Arial" w:hAnsi="Arial"/>
          <w:sz w:val="18"/>
          <w:szCs w:val="18"/>
          <w:color w:val="auto"/>
        </w:rPr>
        <w:t>. Notwithstanding the foregoing, the Company’s obligation to pay Severance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provisions and conditions:</w:t>
      </w:r>
    </w:p>
    <w:p>
      <w:pPr>
        <w:spacing w:after="0" w:line="161" w:lineRule="exact"/>
        <w:rPr>
          <w:rFonts w:ascii="Arial" w:cs="Arial" w:eastAsia="Arial" w:hAnsi="Arial"/>
          <w:sz w:val="18"/>
          <w:szCs w:val="18"/>
          <w:b w:val="1"/>
          <w:bCs w:val="1"/>
          <w:color w:val="auto"/>
        </w:rPr>
      </w:pPr>
    </w:p>
    <w:p>
      <w:pPr>
        <w:ind w:left="4" w:right="460" w:firstLine="1428"/>
        <w:spacing w:after="0" w:line="282" w:lineRule="auto"/>
        <w:tabs>
          <w:tab w:leader="none" w:pos="1786" w:val="left"/>
        </w:tabs>
        <w:numPr>
          <w:ilvl w:val="2"/>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Claims</w:t>
      </w:r>
      <w:r>
        <w:rPr>
          <w:rFonts w:ascii="Arial" w:cs="Arial" w:eastAsia="Arial" w:hAnsi="Arial"/>
          <w:sz w:val="18"/>
          <w:szCs w:val="18"/>
          <w:color w:val="auto"/>
        </w:rPr>
        <w:t>. The Company’s obligation to pay Severance shall be contingent upon the Executive signing a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of claims in form and substance reasonably acceptable to the Company and Executive.</w:t>
      </w:r>
    </w:p>
    <w:p>
      <w:pPr>
        <w:spacing w:after="0" w:line="161" w:lineRule="exact"/>
        <w:rPr>
          <w:rFonts w:ascii="Arial" w:cs="Arial" w:eastAsia="Arial" w:hAnsi="Arial"/>
          <w:sz w:val="18"/>
          <w:szCs w:val="18"/>
          <w:b w:val="1"/>
          <w:bCs w:val="1"/>
          <w:color w:val="auto"/>
        </w:rPr>
      </w:pPr>
    </w:p>
    <w:p>
      <w:pPr>
        <w:ind w:left="4" w:right="40" w:firstLine="1428"/>
        <w:spacing w:after="0" w:line="256" w:lineRule="auto"/>
        <w:tabs>
          <w:tab w:leader="none" w:pos="1836" w:val="left"/>
        </w:tabs>
        <w:numPr>
          <w:ilvl w:val="2"/>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of Breach</w:t>
      </w:r>
      <w:r>
        <w:rPr>
          <w:rFonts w:ascii="Arial" w:cs="Arial" w:eastAsia="Arial" w:hAnsi="Arial"/>
          <w:sz w:val="18"/>
          <w:szCs w:val="18"/>
          <w:color w:val="auto"/>
        </w:rPr>
        <w:t>. If the Executive breaches the Executive’s obligations under Sections 5, 6 or 7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period the Company is obligated to pay Severance, the Company may immediately cease payments of Severance and may recover all Severance paid to the Executive after the date of such breach. The cessation and recovery of these payments shall be in addition to, and not as an alternative to, any other remedies at law or in equity available to the Company including, without limitation, the right to seek specific performance or an injunction. To the extent any breach set forth in this paragraph can be cured, the Company shall provide written notice to the Executive identifying the breach and Executive shall have thirty (30) calendar days to cure the breach.</w:t>
      </w:r>
    </w:p>
    <w:p>
      <w:pPr>
        <w:spacing w:after="0" w:line="191" w:lineRule="exact"/>
        <w:rPr>
          <w:sz w:val="20"/>
          <w:szCs w:val="20"/>
          <w:color w:val="auto"/>
        </w:rPr>
      </w:pPr>
    </w:p>
    <w:p>
      <w:pPr>
        <w:ind w:left="4" w:right="140" w:firstLine="1432"/>
        <w:spacing w:after="0" w:line="257" w:lineRule="auto"/>
        <w:rPr>
          <w:sz w:val="20"/>
          <w:szCs w:val="20"/>
          <w:color w:val="auto"/>
        </w:rPr>
      </w:pPr>
      <w:r>
        <w:rPr>
          <w:rFonts w:ascii="Arial" w:cs="Arial" w:eastAsia="Arial" w:hAnsi="Arial"/>
          <w:sz w:val="18"/>
          <w:szCs w:val="18"/>
          <w:color w:val="auto"/>
        </w:rPr>
        <w:t xml:space="preserve">For purposes of Section 409A, each payment of Severance shall be considered a separate payment and not one of a series of payments. Any payment under this Section 10 that is not made during the period following the termination of the Employee’s employment because the Employee has not executed the release contemplated hereby shall be paid to the Employee in a single lump sum on the first payroll date following the last day of any applicable revocation period after the Employee executes the release; </w:t>
      </w:r>
      <w:r>
        <w:rPr>
          <w:rFonts w:ascii="Arial" w:cs="Arial" w:eastAsia="Arial" w:hAnsi="Arial"/>
          <w:sz w:val="18"/>
          <w:szCs w:val="18"/>
          <w:i w:val="1"/>
          <w:iCs w:val="1"/>
          <w:color w:val="auto"/>
        </w:rPr>
        <w:t>provided</w:t>
      </w:r>
      <w:r>
        <w:rPr>
          <w:rFonts w:ascii="Arial" w:cs="Arial" w:eastAsia="Arial" w:hAnsi="Arial"/>
          <w:sz w:val="18"/>
          <w:szCs w:val="18"/>
          <w:color w:val="auto"/>
        </w:rPr>
        <w:t>, that the Employee executes and does not revoke the release in accordance with the requirements hereof.</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2" w:name="page13"/>
    <w:bookmarkEnd w:id="12"/>
    <w:p>
      <w:pPr>
        <w:ind w:right="200" w:firstLine="987"/>
        <w:spacing w:after="0" w:line="282" w:lineRule="auto"/>
        <w:tabs>
          <w:tab w:leader="none" w:pos="139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Survival</w:t>
      </w:r>
      <w:r>
        <w:rPr>
          <w:rFonts w:ascii="Arial" w:cs="Arial" w:eastAsia="Arial" w:hAnsi="Arial"/>
          <w:sz w:val="18"/>
          <w:szCs w:val="18"/>
          <w:color w:val="auto"/>
        </w:rPr>
        <w:t>. The provisions of Sections 5 through 25 of this Agreement shall survive the termination of the Executive’s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and shall continue thereafter in full force and effect in accordance with their terms.</w:t>
      </w:r>
    </w:p>
    <w:p>
      <w:pPr>
        <w:spacing w:after="0" w:line="161" w:lineRule="exact"/>
        <w:rPr>
          <w:rFonts w:ascii="Arial" w:cs="Arial" w:eastAsia="Arial" w:hAnsi="Arial"/>
          <w:sz w:val="18"/>
          <w:szCs w:val="18"/>
          <w:b w:val="1"/>
          <w:bCs w:val="1"/>
          <w:color w:val="auto"/>
        </w:rPr>
      </w:pPr>
    </w:p>
    <w:p>
      <w:pPr>
        <w:ind w:right="120" w:firstLine="987"/>
        <w:spacing w:after="0" w:line="255" w:lineRule="auto"/>
        <w:tabs>
          <w:tab w:leader="none" w:pos="139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This Agreement is intended to comply with the requirements of Section 409A and the regulations thereunder.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any provision in this Agreement is ambiguous as to its compliance with Section 409A of the Code, the provision shall be interpreted in a manner so that no payment due to Executive shall be subject to an “additional tax” within the meaning of Section 409A(a)(1)(B) of the Code. To the extent that any provision in the Agreement is ambiguous as to its compliance with Section 409A of the Code, or to the extent any provision in the Agreement must be modified to comply with Section 409A of the Code, such provision shall be read, or shall be modified (with the mutual consent of the parties), as the case may be, in such a manner so that no payment due to Executive shall be subject to an “additional tax” within the meaning of Section 409A(a)(1)(B) of the Code.</w:t>
      </w:r>
    </w:p>
    <w:p>
      <w:pPr>
        <w:spacing w:after="0" w:line="193"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For purposes of Section 409A of the Code, each payment made under this Agreement shall be treated as a separate payment. In no event may Executive, directly or indirectly, designate the calendar year of any payment. All reimbursements provided under this Agreement shall be made or provided in accordance with the requirements of Section 409A of the Code, including, where applicable, the requirement that (i) any reimbursement be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w:t>
      </w:r>
    </w:p>
    <w:p>
      <w:pPr>
        <w:spacing w:after="0" w:line="177"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Notwithstanding anything to the contrary herein, if a payment or benefit under this Agreement is due to a “separation from service” for purposes of the rules under Treas. Reg. § 1.409A-3(i)(2) (payments to specified employees upon a separation from service) and Executive is determined to be a “specified employee” (as determined under Treas. Reg. § 1.409A-1(i)), such payment or benefit shall, to the extent necessary to comply with the requirements of Section 409A of the Code, be made or provided on the later of the date specified by the foregoing provisions of this Agreement or the date that is six months after the date of Executive’s separation from service (or, if earlier, the date of Executive’s death). Any installment payments that are delayed pursuant to this Section 12 shall be accumulated and paid in a lump sum on the first day of the seventh month following Executive’s separation from service, and the remaining installment payments shall begin on such date in accordance with the schedule provided in this Agreement.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0" w:right="499" w:bottom="1440" w:gutter="0" w:footer="0" w:header="0"/>
        </w:sectPr>
      </w:pPr>
    </w:p>
    <w:bookmarkStart w:id="13" w:name="page14"/>
    <w:bookmarkEnd w:id="13"/>
    <w:p>
      <w:pPr>
        <w:jc w:val="both"/>
        <w:ind w:left="4" w:right="80" w:firstLine="987"/>
        <w:spacing w:after="0" w:line="286" w:lineRule="auto"/>
        <w:tabs>
          <w:tab w:leader="none" w:pos="1400" w:val="left"/>
        </w:tabs>
        <w:numPr>
          <w:ilvl w:val="1"/>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 on Payments</w:t>
      </w:r>
      <w:r>
        <w:rPr>
          <w:rFonts w:ascii="Arial" w:cs="Arial" w:eastAsia="Arial" w:hAnsi="Arial"/>
          <w:sz w:val="16"/>
          <w:szCs w:val="16"/>
          <w:color w:val="auto"/>
        </w:rPr>
        <w:t>. In the event that the severance and other benefits provided for in this Agreement or otherwise payable to</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(i) constitute “parachute payments” within the meaning of Section 280G of the Code and (ii) but for this Section 14, would be subject to the excise tax imposed by Section 4999 of the Code, then Executive’s severance and other benefits will be either: (a) delivered in full, or (b) delivered as to such lesser extent which would result in no portion of such severance and other benefits being subject to the excise tax under Section 4999 of the Code, whichever of the foregoing amounts, taking into account the applicable federal, state and local income taxes and the excise tax imposed by</w:t>
      </w:r>
    </w:p>
    <w:p>
      <w:pPr>
        <w:spacing w:after="0" w:line="2" w:lineRule="exact"/>
        <w:rPr>
          <w:rFonts w:ascii="Arial" w:cs="Arial" w:eastAsia="Arial" w:hAnsi="Arial"/>
          <w:sz w:val="16"/>
          <w:szCs w:val="16"/>
          <w:b w:val="1"/>
          <w:bCs w:val="1"/>
          <w:color w:val="auto"/>
        </w:rPr>
      </w:pPr>
    </w:p>
    <w:p>
      <w:pPr>
        <w:ind w:left="4"/>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Section 4999, results in the receipt by Executive on an after-tax basis, of the greatest amount of severance and other benefits, notwithstanding that all or some portion of such severance and other benefits may be taxable under Section 4999 of the Code. If a reduction in the severance and other benefits constituting “parachute payments” is necessary so that no portion of such severance benefits is subject to the excise tax under Section 4999 of the Code, the reduction shall occur in the following order: (1) reduction of the cash severance payments, in the order that such payments would otherwise have been paid; (2) cancellation of accelerated vesting of equity awards that vest, in whole or in part, based on the achievement of performance criteria, in the reverse order that such awards would have vested; (3) cancellation of accelerated vesting of equity awards that vest based solely on continued service, in the order of the percentage of the fair market value of such awards that constitutes a parachute payment (commencing with the largest percentage); and</w:t>
      </w:r>
    </w:p>
    <w:p>
      <w:pPr>
        <w:spacing w:after="0" w:line="4" w:lineRule="exact"/>
        <w:rPr>
          <w:rFonts w:ascii="Arial" w:cs="Arial" w:eastAsia="Arial" w:hAnsi="Arial"/>
          <w:sz w:val="16"/>
          <w:szCs w:val="16"/>
          <w:b w:val="1"/>
          <w:bCs w:val="1"/>
          <w:color w:val="auto"/>
        </w:rPr>
      </w:pPr>
    </w:p>
    <w:p>
      <w:pPr>
        <w:ind w:left="4" w:right="100" w:hanging="4"/>
        <w:spacing w:after="0" w:line="285" w:lineRule="auto"/>
        <w:tabs>
          <w:tab w:leader="none" w:pos="259"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reduction of continued employee benefits. Notwithstanding the foregoing, to the extent the Company submits any payment or benefit payable to Executive under this Agreement or otherwise to the Company’s stockholders for approval in accordance with Treasury Regulation Section 1.280G-1 Q&amp;A 7, the foregoing provisions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Executive and in the order prescribed by this Section 14. Unless the Company and Executive otherwise agree in writing, any determination required under this Section 14 will be made in writing by an independent firm (the “</w:t>
      </w:r>
      <w:r>
        <w:rPr>
          <w:rFonts w:ascii="Arial" w:cs="Arial" w:eastAsia="Arial" w:hAnsi="Arial"/>
          <w:sz w:val="16"/>
          <w:szCs w:val="16"/>
          <w:b w:val="1"/>
          <w:bCs w:val="1"/>
          <w:color w:val="auto"/>
        </w:rPr>
        <w:t>Firm</w:t>
      </w:r>
      <w:r>
        <w:rPr>
          <w:rFonts w:ascii="Arial" w:cs="Arial" w:eastAsia="Arial" w:hAnsi="Arial"/>
          <w:sz w:val="16"/>
          <w:szCs w:val="16"/>
          <w:color w:val="auto"/>
        </w:rPr>
        <w:t>”), whose determination will be conclusive and binding upon Executive and the Company for all purposes. For purposes of making the calculations required by this Section 14,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14. The Company will bear the fees of the Firm and all costs the Firm may reasonably incur in connection with any calculations contemplated by this Section 14.</w:t>
      </w:r>
    </w:p>
    <w:p>
      <w:pPr>
        <w:spacing w:after="0" w:line="170" w:lineRule="exact"/>
        <w:rPr>
          <w:rFonts w:ascii="Arial" w:cs="Arial" w:eastAsia="Arial" w:hAnsi="Arial"/>
          <w:sz w:val="16"/>
          <w:szCs w:val="16"/>
          <w:color w:val="auto"/>
        </w:rPr>
      </w:pPr>
    </w:p>
    <w:p>
      <w:pPr>
        <w:ind w:left="4" w:right="80" w:firstLine="987"/>
        <w:spacing w:after="0" w:line="298" w:lineRule="auto"/>
        <w:tabs>
          <w:tab w:leader="none" w:pos="1400" w:val="left"/>
        </w:tabs>
        <w:numPr>
          <w:ilvl w:val="1"/>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Enforceability, Etc</w:t>
      </w:r>
      <w:r>
        <w:rPr>
          <w:rFonts w:ascii="Arial" w:cs="Arial" w:eastAsia="Arial" w:hAnsi="Arial"/>
          <w:sz w:val="16"/>
          <w:szCs w:val="16"/>
          <w:color w:val="auto"/>
        </w:rPr>
        <w:t>. This Agreement shall be interpreted in such a manner as to be effective and valid under applicable law, but if</w:t>
      </w:r>
      <w:r>
        <w:rPr>
          <w:rFonts w:ascii="Arial" w:cs="Arial" w:eastAsia="Arial" w:hAnsi="Arial"/>
          <w:sz w:val="16"/>
          <w:szCs w:val="16"/>
          <w:b w:val="1"/>
          <w:bCs w:val="1"/>
          <w:color w:val="auto"/>
        </w:rPr>
        <w:t xml:space="preserve"> </w:t>
      </w:r>
      <w:r>
        <w:rPr>
          <w:rFonts w:ascii="Arial" w:cs="Arial" w:eastAsia="Arial" w:hAnsi="Arial"/>
          <w:sz w:val="16"/>
          <w:szCs w:val="16"/>
          <w:color w:val="auto"/>
        </w:rPr>
        <w:t>any provision hereof shall be prohibited or invalid under any such law, such provision shall be ineffective to the extent of such prohibition or invalidity, without invalidating or nullifying the remainder of such provision or any other provisions of this Agreement. If any one or more of the provisions contained in this Agreement shall for any reason be held to be excessively broad as to duration, geographical scope, activity or subject, such provisions shall be construed by limiting and reducing it so as to be enforceable to the maximum extent permitted by applicable law.</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0" w:right="479" w:bottom="1440" w:gutter="0" w:footer="0" w:header="0"/>
        </w:sectPr>
      </w:pPr>
    </w:p>
    <w:bookmarkStart w:id="14" w:name="page15"/>
    <w:bookmarkEnd w:id="14"/>
    <w:p>
      <w:pPr>
        <w:ind w:left="1400" w:hanging="413"/>
        <w:spacing w:after="0"/>
        <w:tabs>
          <w:tab w:leader="none" w:pos="140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Arial" w:cs="Arial" w:eastAsia="Arial" w:hAnsi="Arial"/>
          <w:sz w:val="16"/>
          <w:szCs w:val="16"/>
          <w:color w:val="auto"/>
        </w:rPr>
        <w:t>. All notices and other communications given or made pursuant to this Agreement shall be in writing and shall be deemed</w:t>
      </w:r>
    </w:p>
    <w:p>
      <w:pPr>
        <w:spacing w:after="0" w:line="50" w:lineRule="exact"/>
        <w:rPr>
          <w:rFonts w:ascii="Arial" w:cs="Arial" w:eastAsia="Arial" w:hAnsi="Arial"/>
          <w:sz w:val="16"/>
          <w:szCs w:val="16"/>
          <w:b w:val="1"/>
          <w:bCs w:val="1"/>
          <w:color w:val="auto"/>
        </w:rPr>
      </w:pPr>
    </w:p>
    <w:p>
      <w:pPr>
        <w:ind w:right="20"/>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effectively given: (i) upon personal delivery to the party to be notified; (ii) when sent by confirmed facsimile if sent during normal business hours of the recipient, and if not so confirmed, then on the next business day; (iii) five days after having been sent by registered or certified mail, return receipt requested, postage prepaid; or (iv) one day after deposit with a nationally recognized overnight courier, specifying next day delivery, with written verification of receipt. All communications shall be sent to the respective parties at their address as set forth below, or to such facsimile number or address as subsequently modified by written notice given in accordance with this Section 16.</w:t>
      </w:r>
    </w:p>
    <w:p>
      <w:pPr>
        <w:spacing w:after="0" w:line="178" w:lineRule="exact"/>
        <w:rPr>
          <w:rFonts w:ascii="Arial" w:cs="Arial" w:eastAsia="Arial" w:hAnsi="Arial"/>
          <w:sz w:val="16"/>
          <w:szCs w:val="16"/>
          <w:b w:val="1"/>
          <w:bCs w:val="1"/>
          <w:color w:val="auto"/>
        </w:rPr>
      </w:pPr>
    </w:p>
    <w:p>
      <w:pPr>
        <w:ind w:left="1820" w:hanging="392"/>
        <w:spacing w:after="0"/>
        <w:tabs>
          <w:tab w:leader="none" w:pos="1820" w:val="left"/>
        </w:tabs>
        <w:numPr>
          <w:ilvl w:val="1"/>
          <w:numId w:val="18"/>
        </w:numPr>
        <w:rPr>
          <w:rFonts w:ascii="Arial" w:cs="Arial" w:eastAsia="Arial" w:hAnsi="Arial"/>
          <w:sz w:val="18"/>
          <w:szCs w:val="18"/>
          <w:b w:val="1"/>
          <w:bCs w:val="1"/>
          <w:color w:val="auto"/>
        </w:rPr>
      </w:pPr>
      <w:r>
        <w:rPr>
          <w:rFonts w:ascii="Arial" w:cs="Arial" w:eastAsia="Arial" w:hAnsi="Arial"/>
          <w:sz w:val="18"/>
          <w:szCs w:val="18"/>
          <w:color w:val="auto"/>
        </w:rPr>
        <w:t>If to the Executive, to the most recent address reflected in the Company’s records.</w:t>
      </w:r>
    </w:p>
    <w:p>
      <w:pPr>
        <w:spacing w:after="0" w:line="225" w:lineRule="exact"/>
        <w:rPr>
          <w:rFonts w:ascii="Arial" w:cs="Arial" w:eastAsia="Arial" w:hAnsi="Arial"/>
          <w:sz w:val="18"/>
          <w:szCs w:val="18"/>
          <w:b w:val="1"/>
          <w:bCs w:val="1"/>
          <w:color w:val="auto"/>
        </w:rPr>
      </w:pPr>
    </w:p>
    <w:p>
      <w:pPr>
        <w:ind w:left="1820" w:hanging="392"/>
        <w:spacing w:after="0"/>
        <w:tabs>
          <w:tab w:leader="none" w:pos="1820" w:val="left"/>
        </w:tabs>
        <w:numPr>
          <w:ilvl w:val="1"/>
          <w:numId w:val="18"/>
        </w:numPr>
        <w:rPr>
          <w:rFonts w:ascii="Arial" w:cs="Arial" w:eastAsia="Arial" w:hAnsi="Arial"/>
          <w:sz w:val="18"/>
          <w:szCs w:val="18"/>
          <w:b w:val="1"/>
          <w:bCs w:val="1"/>
          <w:color w:val="auto"/>
        </w:rPr>
      </w:pPr>
      <w:r>
        <w:rPr>
          <w:rFonts w:ascii="Arial" w:cs="Arial" w:eastAsia="Arial" w:hAnsi="Arial"/>
          <w:sz w:val="18"/>
          <w:szCs w:val="18"/>
          <w:color w:val="auto"/>
        </w:rPr>
        <w:t>If to the Company, to the Company’s principal place of business.</w:t>
      </w:r>
    </w:p>
    <w:p>
      <w:pPr>
        <w:spacing w:after="0" w:line="221" w:lineRule="exact"/>
        <w:rPr>
          <w:rFonts w:ascii="Arial" w:cs="Arial" w:eastAsia="Arial" w:hAnsi="Arial"/>
          <w:sz w:val="18"/>
          <w:szCs w:val="18"/>
          <w:b w:val="1"/>
          <w:bCs w:val="1"/>
          <w:color w:val="auto"/>
        </w:rPr>
      </w:pPr>
    </w:p>
    <w:p>
      <w:pPr>
        <w:ind w:right="60" w:firstLine="987"/>
        <w:spacing w:after="0" w:line="282" w:lineRule="auto"/>
        <w:tabs>
          <w:tab w:leader="none" w:pos="1396"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in accordance with the internal laws of the Commonwealth of</w:t>
      </w:r>
      <w:r>
        <w:rPr>
          <w:rFonts w:ascii="Arial" w:cs="Arial" w:eastAsia="Arial" w:hAnsi="Arial"/>
          <w:sz w:val="18"/>
          <w:szCs w:val="18"/>
          <w:b w:val="1"/>
          <w:bCs w:val="1"/>
          <w:color w:val="auto"/>
        </w:rPr>
        <w:t xml:space="preserve"> </w:t>
      </w:r>
      <w:r>
        <w:rPr>
          <w:rFonts w:ascii="Arial" w:cs="Arial" w:eastAsia="Arial" w:hAnsi="Arial"/>
          <w:sz w:val="18"/>
          <w:szCs w:val="18"/>
          <w:color w:val="auto"/>
        </w:rPr>
        <w:t>Massachusetts, without regard to its choice of law provisions.</w:t>
      </w:r>
    </w:p>
    <w:p>
      <w:pPr>
        <w:spacing w:after="0" w:line="161" w:lineRule="exact"/>
        <w:rPr>
          <w:rFonts w:ascii="Arial" w:cs="Arial" w:eastAsia="Arial" w:hAnsi="Arial"/>
          <w:sz w:val="18"/>
          <w:szCs w:val="18"/>
          <w:b w:val="1"/>
          <w:bCs w:val="1"/>
          <w:color w:val="auto"/>
        </w:rPr>
      </w:pPr>
    </w:p>
    <w:p>
      <w:pPr>
        <w:ind w:firstLine="987"/>
        <w:spacing w:after="0" w:line="294" w:lineRule="auto"/>
        <w:tabs>
          <w:tab w:leader="none" w:pos="1396"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Jurisdiction. </w:t>
      </w:r>
      <w:r>
        <w:rPr>
          <w:rFonts w:ascii="Arial" w:cs="Arial" w:eastAsia="Arial" w:hAnsi="Arial"/>
          <w:sz w:val="16"/>
          <w:szCs w:val="16"/>
          <w:color w:val="auto"/>
        </w:rPr>
        <w:t>The parties hereby agree that any suit, action or proceeding seeking to enforce any provision of, or based on any matter</w:t>
      </w:r>
      <w:r>
        <w:rPr>
          <w:rFonts w:ascii="Arial" w:cs="Arial" w:eastAsia="Arial" w:hAnsi="Arial"/>
          <w:sz w:val="16"/>
          <w:szCs w:val="16"/>
          <w:b w:val="1"/>
          <w:bCs w:val="1"/>
          <w:color w:val="auto"/>
        </w:rPr>
        <w:t xml:space="preserve"> </w:t>
      </w:r>
      <w:r>
        <w:rPr>
          <w:rFonts w:ascii="Arial" w:cs="Arial" w:eastAsia="Arial" w:hAnsi="Arial"/>
          <w:sz w:val="16"/>
          <w:szCs w:val="16"/>
          <w:color w:val="auto"/>
        </w:rPr>
        <w:t>arising out of or in connection with, this Agreement shall only be brought in the State or Federal courts located in the Commonwealth of Massachusetts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w:t>
      </w:r>
    </w:p>
    <w:p>
      <w:pPr>
        <w:spacing w:after="0" w:line="159" w:lineRule="exact"/>
        <w:rPr>
          <w:rFonts w:ascii="Arial" w:cs="Arial" w:eastAsia="Arial" w:hAnsi="Arial"/>
          <w:sz w:val="16"/>
          <w:szCs w:val="16"/>
          <w:b w:val="1"/>
          <w:bCs w:val="1"/>
          <w:color w:val="auto"/>
        </w:rPr>
      </w:pPr>
    </w:p>
    <w:p>
      <w:pPr>
        <w:ind w:right="20" w:firstLine="987"/>
        <w:spacing w:after="0" w:line="277" w:lineRule="auto"/>
        <w:tabs>
          <w:tab w:leader="none" w:pos="1396"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Waiver of Jury Trial. </w:t>
      </w:r>
      <w:r>
        <w:rPr>
          <w:rFonts w:ascii="Arial" w:cs="Arial" w:eastAsia="Arial" w:hAnsi="Arial"/>
          <w:sz w:val="17"/>
          <w:szCs w:val="17"/>
          <w:color w:val="auto"/>
        </w:rPr>
        <w:t>EACH PARTY HERETO ACKNOWLEDGES AND AGREES THAT ANY CONTROVERSY WHICH</w:t>
      </w:r>
      <w:r>
        <w:rPr>
          <w:rFonts w:ascii="Arial" w:cs="Arial" w:eastAsia="Arial" w:hAnsi="Arial"/>
          <w:sz w:val="17"/>
          <w:szCs w:val="17"/>
          <w:b w:val="1"/>
          <w:bCs w:val="1"/>
          <w:color w:val="auto"/>
        </w:rPr>
        <w:t xml:space="preserve"> </w:t>
      </w:r>
      <w:r>
        <w:rPr>
          <w:rFonts w:ascii="Arial" w:cs="Arial" w:eastAsia="Arial" w:hAnsi="Arial"/>
          <w:sz w:val="17"/>
          <w:szCs w:val="17"/>
          <w:color w:val="auto"/>
        </w:rPr>
        <w:t>MAY ARISE UNDER THIS AGREEMENT IS LIKELY TO INVOLVE COMPLICATED AND DIFFICULT ISSUES, AND THEREFORE EACH PARTY HEREBY IRREVOCABLY AND UNCONDITIONALLY WAIVES ANY RIGHT SUCH PARTY MAY HAVE TO A TRIAL BY JURY IN RESPECT OF ANY LITIGATION DIRECTLY OR INDIRECTLY ARISING OUT OF OR RELATING TO THIS AGREEMENT AND ANY OF THE AGREEMENTS DELIVERED IN CONNECTION HEREWITH OR THE TRANSACTIONS CONTEMPLATED HEREBY OR THEREBY.</w:t>
      </w:r>
    </w:p>
    <w:p>
      <w:pPr>
        <w:spacing w:after="0" w:line="167" w:lineRule="exact"/>
        <w:rPr>
          <w:rFonts w:ascii="Arial" w:cs="Arial" w:eastAsia="Arial" w:hAnsi="Arial"/>
          <w:sz w:val="17"/>
          <w:szCs w:val="17"/>
          <w:b w:val="1"/>
          <w:bCs w:val="1"/>
          <w:color w:val="auto"/>
        </w:rPr>
      </w:pPr>
    </w:p>
    <w:p>
      <w:pPr>
        <w:ind w:right="60" w:firstLine="987"/>
        <w:spacing w:after="0" w:line="314" w:lineRule="auto"/>
        <w:tabs>
          <w:tab w:leader="none" w:pos="1396"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Mitigation; No Set Off. </w:t>
      </w:r>
      <w:r>
        <w:rPr>
          <w:rFonts w:ascii="Arial" w:cs="Arial" w:eastAsia="Arial" w:hAnsi="Arial"/>
          <w:sz w:val="16"/>
          <w:szCs w:val="16"/>
          <w:color w:val="auto"/>
        </w:rPr>
        <w:t>In the event of termination without Cause or resignation for Good Reason, the Executive shall be under</w:t>
      </w:r>
      <w:r>
        <w:rPr>
          <w:rFonts w:ascii="Arial" w:cs="Arial" w:eastAsia="Arial" w:hAnsi="Arial"/>
          <w:sz w:val="16"/>
          <w:szCs w:val="16"/>
          <w:b w:val="1"/>
          <w:bCs w:val="1"/>
          <w:color w:val="auto"/>
        </w:rPr>
        <w:t xml:space="preserve"> </w:t>
      </w:r>
      <w:r>
        <w:rPr>
          <w:rFonts w:ascii="Arial" w:cs="Arial" w:eastAsia="Arial" w:hAnsi="Arial"/>
          <w:sz w:val="16"/>
          <w:szCs w:val="16"/>
          <w:color w:val="auto"/>
        </w:rPr>
        <w:t>no obligation to seek other employment and there shall be no offset against any amount due to Executive under this Agreement on account of any subsequent renumeration received from any subsequent employer. No amounts payable hereunder shall not be subject to any setoff or recoupment.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15" w:name="page16"/>
    <w:bookmarkEnd w:id="15"/>
    <w:p>
      <w:pPr>
        <w:ind w:right="20" w:firstLine="987"/>
        <w:spacing w:after="0" w:line="298" w:lineRule="auto"/>
        <w:tabs>
          <w:tab w:leader="none" w:pos="1396"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 and Waivers</w:t>
      </w:r>
      <w:r>
        <w:rPr>
          <w:rFonts w:ascii="Arial" w:cs="Arial" w:eastAsia="Arial" w:hAnsi="Arial"/>
          <w:sz w:val="16"/>
          <w:szCs w:val="16"/>
          <w:color w:val="auto"/>
        </w:rPr>
        <w:t>. This Agreement may be amended or modified only by a written instrument signed by the Company (at</w:t>
      </w:r>
      <w:r>
        <w:rPr>
          <w:rFonts w:ascii="Arial" w:cs="Arial" w:eastAsia="Arial" w:hAnsi="Arial"/>
          <w:sz w:val="16"/>
          <w:szCs w:val="16"/>
          <w:b w:val="1"/>
          <w:bCs w:val="1"/>
          <w:color w:val="auto"/>
        </w:rPr>
        <w:t xml:space="preserve"> </w:t>
      </w:r>
      <w:r>
        <w:rPr>
          <w:rFonts w:ascii="Arial" w:cs="Arial" w:eastAsia="Arial" w:hAnsi="Arial"/>
          <w:sz w:val="16"/>
          <w:szCs w:val="16"/>
          <w:color w:val="auto"/>
        </w:rPr>
        <w:t>the direction of the Management Board) and the Executive. No waiver of this Agreement or any provision hereof shall be binding upon the party against whom enforcement of such waiver is sought unless it is made in writing and signed by or on behalf of such party. The waiver of a breach of any provision of this Agreement shall not be construed as a waiver or a continuing waiver of the same or any subsequent breach of any provision of this Agreement. No delay or omission in exercising any right under this Agreement shall operate as a waiver of that or any other right.</w:t>
      </w:r>
    </w:p>
    <w:p>
      <w:pPr>
        <w:spacing w:after="0" w:line="153" w:lineRule="exact"/>
        <w:rPr>
          <w:rFonts w:ascii="Arial" w:cs="Arial" w:eastAsia="Arial" w:hAnsi="Arial"/>
          <w:sz w:val="16"/>
          <w:szCs w:val="16"/>
          <w:b w:val="1"/>
          <w:bCs w:val="1"/>
          <w:color w:val="auto"/>
        </w:rPr>
      </w:pPr>
    </w:p>
    <w:p>
      <w:pPr>
        <w:ind w:firstLine="987"/>
        <w:spacing w:after="0" w:line="261" w:lineRule="auto"/>
        <w:tabs>
          <w:tab w:leader="none" w:pos="139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Agreement shall be binding on and inure to the benefit of the parties hereto and their respective heirs,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administrators, successors and assigns, except that the rights and obligations of the Executive hereunder are personal and may not be assigned without the Company’s prior written consent. Any assignment of this Agreement by the Company shall not be considered a termination of the Executive’s employment.</w:t>
      </w:r>
    </w:p>
    <w:p>
      <w:pPr>
        <w:spacing w:after="0" w:line="179" w:lineRule="exact"/>
        <w:rPr>
          <w:rFonts w:ascii="Arial" w:cs="Arial" w:eastAsia="Arial" w:hAnsi="Arial"/>
          <w:sz w:val="18"/>
          <w:szCs w:val="18"/>
          <w:b w:val="1"/>
          <w:bCs w:val="1"/>
          <w:color w:val="auto"/>
        </w:rPr>
      </w:pPr>
    </w:p>
    <w:p>
      <w:pPr>
        <w:ind w:right="420" w:firstLine="987"/>
        <w:spacing w:after="0" w:line="312" w:lineRule="auto"/>
        <w:tabs>
          <w:tab w:leader="none" w:pos="1396"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This Agreement constitutes the final and entire agreement of the parties with respect to the matters covered</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and replaces and supersedes all other agreements and understandings relating hereto and to the Executive’s employment.</w:t>
      </w:r>
    </w:p>
    <w:p>
      <w:pPr>
        <w:spacing w:after="0" w:line="139" w:lineRule="exact"/>
        <w:rPr>
          <w:rFonts w:ascii="Arial" w:cs="Arial" w:eastAsia="Arial" w:hAnsi="Arial"/>
          <w:sz w:val="17"/>
          <w:szCs w:val="17"/>
          <w:b w:val="1"/>
          <w:bCs w:val="1"/>
          <w:color w:val="auto"/>
        </w:rPr>
      </w:pPr>
    </w:p>
    <w:p>
      <w:pPr>
        <w:jc w:val="both"/>
        <w:ind w:right="280" w:firstLine="987"/>
        <w:spacing w:after="0" w:line="281" w:lineRule="auto"/>
        <w:tabs>
          <w:tab w:leader="none" w:pos="1396"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Counterparts</w:t>
      </w:r>
      <w:r>
        <w:rPr>
          <w:rFonts w:ascii="Arial" w:cs="Arial" w:eastAsia="Arial" w:hAnsi="Arial"/>
          <w:sz w:val="17"/>
          <w:szCs w:val="17"/>
          <w:color w:val="auto"/>
        </w:rPr>
        <w:t>. This Agreement may be executed in any number of counterparts, all of which together shall for all purposes</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one Agreement. Counterpart signature pages to this Agreement transmitted by facsimile transmission, by electronic mail in “portable document format” or “.pdf” form, or by any other electronic means intended to preserve the original graphic and pictorial appearance of a document, will have the same effect as physical delivery of the paper document bearing an original signature.</w:t>
      </w:r>
    </w:p>
    <w:p>
      <w:pPr>
        <w:spacing w:after="0" w:line="164" w:lineRule="exact"/>
        <w:rPr>
          <w:rFonts w:ascii="Arial" w:cs="Arial" w:eastAsia="Arial" w:hAnsi="Arial"/>
          <w:sz w:val="17"/>
          <w:szCs w:val="17"/>
          <w:b w:val="1"/>
          <w:bCs w:val="1"/>
          <w:color w:val="auto"/>
        </w:rPr>
      </w:pPr>
    </w:p>
    <w:p>
      <w:pPr>
        <w:ind w:right="20" w:firstLine="987"/>
        <w:spacing w:after="0" w:line="266" w:lineRule="auto"/>
        <w:tabs>
          <w:tab w:leader="none" w:pos="139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No Conflicting Agreements</w:t>
      </w:r>
      <w:r>
        <w:rPr>
          <w:rFonts w:ascii="Arial" w:cs="Arial" w:eastAsia="Arial" w:hAnsi="Arial"/>
          <w:sz w:val="18"/>
          <w:szCs w:val="18"/>
          <w:color w:val="auto"/>
        </w:rPr>
        <w:t>. The Executive represents and warrants to the Company that the Executive is not a party to or bound by</w:t>
      </w:r>
      <w:r>
        <w:rPr>
          <w:rFonts w:ascii="Arial" w:cs="Arial" w:eastAsia="Arial" w:hAnsi="Arial"/>
          <w:sz w:val="18"/>
          <w:szCs w:val="18"/>
          <w:b w:val="1"/>
          <w:bCs w:val="1"/>
          <w:color w:val="auto"/>
        </w:rPr>
        <w:t xml:space="preserve"> </w:t>
      </w:r>
      <w:r>
        <w:rPr>
          <w:rFonts w:ascii="Arial" w:cs="Arial" w:eastAsia="Arial" w:hAnsi="Arial"/>
          <w:sz w:val="18"/>
          <w:szCs w:val="18"/>
          <w:color w:val="auto"/>
        </w:rPr>
        <w:t>any confidentiality, noncompetition, nonsolicitation, employment, consulting or other agreement or restriction which could conflict with, or be violated by, the performance of the Executive’s duties to the Company or obligations under this Agreement.</w:t>
      </w:r>
    </w:p>
    <w:p>
      <w:pPr>
        <w:spacing w:after="0" w:line="175" w:lineRule="exact"/>
        <w:rPr>
          <w:rFonts w:ascii="Arial" w:cs="Arial" w:eastAsia="Arial" w:hAnsi="Arial"/>
          <w:sz w:val="18"/>
          <w:szCs w:val="18"/>
          <w:b w:val="1"/>
          <w:bCs w:val="1"/>
          <w:color w:val="auto"/>
        </w:rPr>
      </w:pPr>
    </w:p>
    <w:p>
      <w:pPr>
        <w:ind w:right="100" w:firstLine="987"/>
        <w:spacing w:after="0" w:line="282" w:lineRule="auto"/>
        <w:tabs>
          <w:tab w:leader="none" w:pos="139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Captions</w:t>
      </w:r>
      <w:r>
        <w:rPr>
          <w:rFonts w:ascii="Arial" w:cs="Arial" w:eastAsia="Arial" w:hAnsi="Arial"/>
          <w:sz w:val="18"/>
          <w:szCs w:val="18"/>
          <w:color w:val="auto"/>
        </w:rPr>
        <w:t>. The captions of the sections of this Agreement are for convenience of reference only and in no way define, limit or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scope or substance of any section of this Agreement.</w:t>
      </w:r>
    </w:p>
    <w:p>
      <w:pPr>
        <w:spacing w:after="0" w:line="161" w:lineRule="exact"/>
        <w:rPr>
          <w:rFonts w:ascii="Arial" w:cs="Arial" w:eastAsia="Arial" w:hAnsi="Arial"/>
          <w:sz w:val="18"/>
          <w:szCs w:val="18"/>
          <w:b w:val="1"/>
          <w:bCs w:val="1"/>
          <w:color w:val="auto"/>
        </w:rPr>
      </w:pPr>
    </w:p>
    <w:p>
      <w:pPr>
        <w:jc w:val="both"/>
        <w:ind w:right="20" w:firstLine="987"/>
        <w:spacing w:after="0" w:line="261" w:lineRule="auto"/>
        <w:tabs>
          <w:tab w:leader="none" w:pos="139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No Strict Construction</w:t>
      </w:r>
      <w:r>
        <w:rPr>
          <w:rFonts w:ascii="Arial" w:cs="Arial" w:eastAsia="Arial" w:hAnsi="Arial"/>
          <w:sz w:val="18"/>
          <w:szCs w:val="18"/>
          <w:color w:val="auto"/>
        </w:rPr>
        <w:t>. The parties hereto have participated jointly in the negotiation and drafting of this Agreement. 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an ambiguity or question of intent or interpretation arises under any provision of this Agreement, this Agreement shall be construed as if drafted jointly by the parties thereto, and no presumption or burden of proof shall arise favoring or disfavoring any party by virtue of authoring any of the provisions of this Agreement.</w:t>
      </w:r>
    </w:p>
    <w:p>
      <w:pPr>
        <w:spacing w:after="0" w:line="179" w:lineRule="exact"/>
        <w:rPr>
          <w:rFonts w:ascii="Arial" w:cs="Arial" w:eastAsia="Arial" w:hAnsi="Arial"/>
          <w:sz w:val="18"/>
          <w:szCs w:val="18"/>
          <w:b w:val="1"/>
          <w:bCs w:val="1"/>
          <w:color w:val="auto"/>
        </w:rPr>
      </w:pPr>
    </w:p>
    <w:p>
      <w:pPr>
        <w:ind w:right="40" w:firstLine="987"/>
        <w:spacing w:after="0" w:line="266" w:lineRule="auto"/>
        <w:tabs>
          <w:tab w:leader="none" w:pos="139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of New Employer</w:t>
      </w:r>
      <w:r>
        <w:rPr>
          <w:rFonts w:ascii="Arial" w:cs="Arial" w:eastAsia="Arial" w:hAnsi="Arial"/>
          <w:sz w:val="18"/>
          <w:szCs w:val="18"/>
          <w:color w:val="auto"/>
        </w:rPr>
        <w:t>. In the event that the Executive is no longer an Executive of the Company, the Executive consents to</w:t>
      </w:r>
      <w:r>
        <w:rPr>
          <w:rFonts w:ascii="Arial" w:cs="Arial" w:eastAsia="Arial" w:hAnsi="Arial"/>
          <w:sz w:val="18"/>
          <w:szCs w:val="18"/>
          <w:b w:val="1"/>
          <w:bCs w:val="1"/>
          <w:color w:val="auto"/>
        </w:rPr>
        <w:t xml:space="preserve"> </w:t>
      </w:r>
      <w:r>
        <w:rPr>
          <w:rFonts w:ascii="Arial" w:cs="Arial" w:eastAsia="Arial" w:hAnsi="Arial"/>
          <w:sz w:val="18"/>
          <w:szCs w:val="18"/>
          <w:color w:val="auto"/>
        </w:rPr>
        <w:t>notification by the Company to the Executive’s new employer or its agents regarding the Executive’s obligations under Sections 5, 6 and 7 of this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executed and delivered as a sealed instrument as of the date first above written.</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DEFINITIVE HEALTHCARE, LLC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Jason Krantz</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Jason Krantz</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Robert Musslewhite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Robert Musslewhite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[Signature Page to Employment Agreement]</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4" w:right="4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Robert Musslewhite Joins Definitive Healthcare as President</w:t>
      </w:r>
    </w:p>
    <w:p>
      <w:pPr>
        <w:spacing w:after="0" w:line="225"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 xml:space="preserve">FRAMINGHAM, MA — (October 7, 2021) </w:t>
      </w:r>
      <w:r>
        <w:rPr>
          <w:rFonts w:ascii="Arial" w:cs="Arial" w:eastAsia="Arial" w:hAnsi="Arial"/>
          <w:sz w:val="16"/>
          <w:szCs w:val="16"/>
          <w:color w:val="auto"/>
        </w:rPr>
        <w:t>– Definitive Healthcare (Nasdaq: DH), an industry leader in healthcare commercial intelligence, today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that Robert Musslewhite has joined the company as President, a newly created role on the company’s Executive Leadership Team.</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“Robert’s combination of deep healthcare expertise and knowledge of how to grow data-driven SaaS software companies will be a tremendous asset for Definitive Healthcare,” said Jason Krantz, founder and CEO of Definitive Healthcare. “After working with Robert on our board for the past several months, I was impressed with his skills, insight and passion. I’m delighted that he accepted our invitation to join our Executive Leadership Team. His addition will add scale and capacity to our team during a period of rapid growth.”</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Most recently, Musslewhite served as Chief Executive Officer of OptumInsight, the health services business of Optum, connecting the health care system with analytics, platforms and services designed to make clinical and administrative processes easier and more efficient. He joined Optum in November 2017 following Optum’s acquisition of The Advisory Board Company, a publicly traded company that provided best practices research and software to the healthcare provider market, where Musslewhite served as Chairman and Chief Executive Officer. Prior to Advisory Board, Musslewhite was an Associate Principal with McKinsey &amp; Company.</w:t>
      </w:r>
    </w:p>
    <w:p>
      <w:pPr>
        <w:spacing w:after="0" w:line="188"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“With a total addressable market of more than $10 billion, and a highly differentiated SaaS platform, Definitive Healthcare is well positioned for the future and is poised to make a tremendous positive impact within the healthcare industry,” said Musslewhite. “I can’t wait to dive in with the team to bring the next set of healthcare commercial intelligence solutions to market.”</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Musslewhite currently serves as a member of the Definitive Healthcare Board of Directors. Musslewhite also serves on the Boards of Directors of CoStar Group (Nasdaq: CSGP) and Ascend Learning. He is a member of the Economics Club of Washington D.C., and he recently completed service as Chair of the Board of Governors of St. Albans School. Musslewhite received a J.D. from Harvard Law School and an A.B. in Economics from Princeton University.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Definitive Healthcare</w:t>
      </w:r>
    </w:p>
    <w:p>
      <w:pPr>
        <w:spacing w:after="0" w:line="12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w:t>
      </w:r>
    </w:p>
    <w:p>
      <w:pPr>
        <w:sectPr>
          <w:pgSz w:w="11900" w:h="16838" w:orient="portrait"/>
          <w:cols w:equalWidth="0" w:num="1">
            <w:col w:w="11020"/>
          </w:cols>
          <w:pgMar w:left="440" w:top="121"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Danielle Johns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djohns@definitivehc.com</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Investor Relations Contact: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Brian Denyeau</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brian.denyeau@icrinc.com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Letter"/>
      <w:start w:val="4"/>
    </w:lvl>
  </w:abstractNum>
  <w:abstractNum w:abstractNumId="4">
    <w:nsid w:val="66EF438D"/>
    <w:multiLevelType w:val="hybridMultilevel"/>
    <w:lvl w:ilvl="0">
      <w:lvlJc w:val="left"/>
      <w:lvlText w:val="%1"/>
      <w:numFmt w:val="decimal"/>
      <w:start w:val="1"/>
    </w:lvl>
    <w:lvl w:ilvl="1">
      <w:lvlJc w:val="left"/>
      <w:lvlText w:val="(%2)"/>
      <w:numFmt w:val="lowerLetter"/>
      <w:start w:val="7"/>
    </w:lvl>
  </w:abstractNum>
  <w:abstractNum w:abstractNumId="5">
    <w:nsid w:val="140E0F76"/>
    <w:multiLevelType w:val="hybridMultilevel"/>
    <w:lvl w:ilvl="0">
      <w:lvlJc w:val="left"/>
      <w:lvlText w:val="%1."/>
      <w:numFmt w:val="decimal"/>
      <w:start w:val="5"/>
    </w:lvl>
    <w:lvl w:ilvl="1">
      <w:lvlJc w:val="left"/>
      <w:lvlText w:val="(%2)"/>
      <w:numFmt w:val="lowerLetter"/>
      <w:start w:val="1"/>
    </w:lvl>
  </w:abstractNum>
  <w:abstractNum w:abstractNumId="6">
    <w:nsid w:val="3352255A"/>
    <w:multiLevelType w:val="hybridMultilevel"/>
    <w:lvl w:ilvl="0">
      <w:lvlJc w:val="left"/>
      <w:lvlText w:val="(%1)"/>
      <w:numFmt w:val="lowerLetter"/>
      <w:start w:val="4"/>
    </w:lvl>
    <w:lvl w:ilvl="1">
      <w:lvlJc w:val="left"/>
      <w:lvlText w:val="(%2)"/>
      <w:numFmt w:val="lowerRoman"/>
      <w:start w:val="1"/>
    </w:lvl>
  </w:abstractNum>
  <w:abstractNum w:abstractNumId="7">
    <w:nsid w:val="109CF92E"/>
    <w:multiLevelType w:val="hybridMultilevel"/>
    <w:lvl w:ilvl="0">
      <w:lvlJc w:val="left"/>
      <w:lvlText w:val="%1."/>
      <w:numFmt w:val="decimal"/>
      <w:start w:val="6"/>
    </w:lvl>
    <w:lvl w:ilvl="1">
      <w:lvlJc w:val="left"/>
      <w:lvlText w:val="(%2)"/>
      <w:numFmt w:val="lowerLetter"/>
      <w:start w:val="1"/>
    </w:lvl>
  </w:abstractNum>
  <w:abstractNum w:abstractNumId="8">
    <w:nsid w:val="DED7263"/>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9">
    <w:nsid w:val="7FDCC23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0">
    <w:nsid w:val="1BEFD79F"/>
    <w:multiLevelType w:val="hybridMultilevel"/>
    <w:lvl w:ilvl="0">
      <w:lvlJc w:val="left"/>
      <w:lvlText w:val="(%1)"/>
      <w:numFmt w:val="lowerRoman"/>
      <w:start w:val="2"/>
    </w:lvl>
  </w:abstractNum>
  <w:abstractNum w:abstractNumId="11">
    <w:nsid w:val="41A7C4C9"/>
    <w:multiLevelType w:val="hybridMultilevel"/>
    <w:lvl w:ilvl="0">
      <w:lvlJc w:val="left"/>
      <w:lvlText w:val="(%1)"/>
      <w:numFmt w:val="lowerLetter"/>
      <w:start w:val="4"/>
    </w:lvl>
  </w:abstractNum>
  <w:abstractNum w:abstractNumId="12">
    <w:nsid w:val="6B68079A"/>
    <w:multiLevelType w:val="hybridMultilevel"/>
    <w:lvl w:ilvl="0">
      <w:lvlJc w:val="left"/>
      <w:lvlText w:val="(%1)"/>
      <w:numFmt w:val="lowerLetter"/>
      <w:start w:val="3"/>
    </w:lvl>
  </w:abstractNum>
  <w:abstractNum w:abstractNumId="13">
    <w:nsid w:val="4E6AFB66"/>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14">
    <w:nsid w:val="25E45D32"/>
    <w:multiLevelType w:val="hybridMultilevel"/>
    <w:lvl w:ilvl="0">
      <w:lvlJc w:val="left"/>
      <w:lvlText w:val="%1."/>
      <w:numFmt w:val="decimal"/>
      <w:start w:val="12"/>
    </w:lvl>
  </w:abstractNum>
  <w:abstractNum w:abstractNumId="15">
    <w:nsid w:val="519B500D"/>
    <w:multiLevelType w:val="hybridMultilevel"/>
    <w:lvl w:ilvl="0">
      <w:lvlJc w:val="left"/>
      <w:lvlText w:val="%1"/>
      <w:numFmt w:val="decimal"/>
      <w:start w:val="1"/>
    </w:lvl>
    <w:lvl w:ilvl="1">
      <w:lvlJc w:val="left"/>
      <w:lvlText w:val="%2."/>
      <w:numFmt w:val="decimal"/>
      <w:start w:val="14"/>
    </w:lvl>
  </w:abstractNum>
  <w:abstractNum w:abstractNumId="16">
    <w:nsid w:val="431BD7B7"/>
    <w:multiLevelType w:val="hybridMultilevel"/>
    <w:lvl w:ilvl="0">
      <w:lvlJc w:val="left"/>
      <w:lvlText w:val="(%1)"/>
      <w:numFmt w:val="decimal"/>
      <w:start w:val="4"/>
    </w:lvl>
    <w:lvl w:ilvl="1">
      <w:lvlJc w:val="left"/>
      <w:lvlText w:val="%2."/>
      <w:numFmt w:val="decimal"/>
      <w:start w:val="15"/>
    </w:lvl>
  </w:abstractNum>
  <w:abstractNum w:abstractNumId="17">
    <w:nsid w:val="3F2DBA31"/>
    <w:multiLevelType w:val="hybridMultilevel"/>
    <w:lvl w:ilvl="0">
      <w:lvlJc w:val="left"/>
      <w:lvlText w:val="%1."/>
      <w:numFmt w:val="decimal"/>
      <w:start w:val="16"/>
    </w:lvl>
    <w:lvl w:ilvl="1">
      <w:lvlJc w:val="left"/>
      <w:lvlText w:val="(%2)"/>
      <w:numFmt w:val="lowerLetter"/>
      <w:start w:val="1"/>
    </w:lvl>
  </w:abstractNum>
  <w:abstractNum w:abstractNumId="18">
    <w:nsid w:val="7C83E458"/>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2021-10-08T15:35:03Z</dcterms:created>
  <dcterms:modified xsi:type="dcterms:W3CDTF">2021-10-08T15:35:03Z</dcterms:modified>
</cp:coreProperties>
</file>