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Krantz Jason Ronald</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01/21/2025</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0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0"/>
          <w:szCs w:val="20"/>
          <w:color w:val="auto"/>
        </w:rPr>
      </w:pPr>
    </w:p>
    <w:p>
      <w:pPr>
        <w:sectPr>
          <w:pgSz w:w="11900" w:h="16838" w:orient="portrait"/>
          <w:cols w:equalWidth="0" w:num="2">
            <w:col w:w="7660" w:space="75"/>
            <w:col w:w="3345"/>
          </w:cols>
          <w:pgMar w:left="460" w:top="219" w:right="359" w:bottom="1153"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15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01/21/2025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178,582</w:t>
            </w:r>
            <w:r>
              <w:rPr>
                <w:rFonts w:ascii="Times New Roman" w:cs="Times New Roman" w:eastAsia="Times New Roman" w:hAnsi="Times New Roman"/>
                <w:sz w:val="22"/>
                <w:szCs w:val="22"/>
                <w:color w:val="008000"/>
                <w:w w:val="96"/>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1,045,986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01/21/2025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22,615</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1,023,371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02/01/2025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56,976</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966,395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450,000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performance-based restricted stock units ("PSUs"), each representing a contingent right to receive one share of the Issuer's Class A Common Stock, par value $0.001, earned upon the certification of achievement of certain performance criteria by the Issuer's compensation committee. The PSUs will vest in three substantially equal installments as to 1/3rd on January 21, 2025, 1/3rd on February 1, 2026, and the remaining 1/3rd on February 1, 2027 and will be settled pursuant to the terms of the Issuer's 2021 Equity Incentive Plan (as amended from time to time), in each case subject to the Reporting Person's continued service with the Issuer through each such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PSUs.</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beneficially owned in trust by DH Holdings (fka Jason R. Krantz 2009 Trust), of which the Reporting Person is the beneficiary.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02/04/2025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79507"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2025-02-04T17:56:25Z</dcterms:created>
  <dcterms:modified xsi:type="dcterms:W3CDTF">2025-02-04T17:56:25Z</dcterms:modified>
</cp:coreProperties>
</file>