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November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9"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Definitive Healthcare Corp.</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2324"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5560" w:type="dxa"/>
            <w:vAlign w:val="bottom"/>
          </w:tcPr>
          <w:p>
            <w:pPr>
              <w:jc w:val="center"/>
              <w:ind w:right="1138"/>
              <w:spacing w:after="0"/>
              <w:rPr>
                <w:sz w:val="20"/>
                <w:szCs w:val="20"/>
                <w:color w:val="auto"/>
              </w:rPr>
            </w:pPr>
            <w:r>
              <w:rPr>
                <w:rFonts w:ascii="Arial" w:cs="Arial" w:eastAsia="Arial" w:hAnsi="Arial"/>
                <w:sz w:val="18"/>
                <w:szCs w:val="18"/>
                <w:b w:val="1"/>
                <w:bCs w:val="1"/>
                <w:color w:val="auto"/>
                <w:w w:val="90"/>
              </w:rPr>
              <w:t>Commission file number 1-40815</w:t>
            </w:r>
          </w:p>
        </w:tc>
      </w:tr>
      <w:tr>
        <w:trPr>
          <w:trHeight w:val="396"/>
        </w:trPr>
        <w:tc>
          <w:tcPr>
            <w:tcW w:w="1020" w:type="dxa"/>
            <w:vAlign w:val="bottom"/>
          </w:tcPr>
          <w:p>
            <w:pPr>
              <w:jc w:val="center"/>
              <w:ind w:right="22"/>
              <w:spacing w:after="0"/>
              <w:rPr>
                <w:sz w:val="20"/>
                <w:szCs w:val="20"/>
                <w:color w:val="auto"/>
              </w:rPr>
            </w:pPr>
            <w:r>
              <w:rPr>
                <w:rFonts w:ascii="Arial" w:cs="Arial" w:eastAsia="Arial" w:hAnsi="Arial"/>
                <w:sz w:val="18"/>
                <w:szCs w:val="18"/>
                <w:b w:val="1"/>
                <w:bCs w:val="1"/>
                <w:color w:val="auto"/>
                <w:w w:val="91"/>
              </w:rPr>
              <w:t>Delaware</w:t>
            </w:r>
          </w:p>
        </w:tc>
        <w:tc>
          <w:tcPr>
            <w:tcW w:w="5560" w:type="dxa"/>
            <w:vAlign w:val="bottom"/>
          </w:tcPr>
          <w:p>
            <w:pPr>
              <w:jc w:val="center"/>
              <w:ind w:left="4358"/>
              <w:spacing w:after="0"/>
              <w:rPr>
                <w:sz w:val="20"/>
                <w:szCs w:val="20"/>
                <w:color w:val="auto"/>
              </w:rPr>
            </w:pPr>
            <w:r>
              <w:rPr>
                <w:rFonts w:ascii="Arial" w:cs="Arial" w:eastAsia="Arial" w:hAnsi="Arial"/>
                <w:sz w:val="18"/>
                <w:szCs w:val="18"/>
                <w:b w:val="1"/>
                <w:bCs w:val="1"/>
                <w:color w:val="auto"/>
                <w:w w:val="91"/>
              </w:rPr>
              <w:t>86-3988281</w:t>
            </w:r>
          </w:p>
        </w:tc>
      </w:tr>
      <w:tr>
        <w:trPr>
          <w:trHeight w:val="148"/>
        </w:trPr>
        <w:tc>
          <w:tcPr>
            <w:tcW w:w="10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(State of</w:t>
            </w:r>
          </w:p>
        </w:tc>
        <w:tc>
          <w:tcPr>
            <w:tcW w:w="5560" w:type="dxa"/>
            <w:vAlign w:val="bottom"/>
          </w:tcPr>
          <w:p>
            <w:pPr>
              <w:jc w:val="center"/>
              <w:ind w:left="435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02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incorporation)</w:t>
            </w:r>
          </w:p>
        </w:tc>
        <w:tc>
          <w:tcPr>
            <w:tcW w:w="5560" w:type="dxa"/>
            <w:vAlign w:val="bottom"/>
          </w:tcPr>
          <w:p>
            <w:pPr>
              <w:jc w:val="center"/>
              <w:ind w:left="4358"/>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1020" w:type="dxa"/>
            <w:vAlign w:val="bottom"/>
          </w:tcPr>
          <w:p>
            <w:pPr>
              <w:spacing w:after="0"/>
              <w:rPr>
                <w:sz w:val="24"/>
                <w:szCs w:val="24"/>
                <w:color w:val="auto"/>
              </w:rPr>
            </w:pPr>
          </w:p>
        </w:tc>
        <w:tc>
          <w:tcPr>
            <w:tcW w:w="5560" w:type="dxa"/>
            <w:vAlign w:val="bottom"/>
          </w:tcPr>
          <w:p>
            <w:pPr>
              <w:jc w:val="center"/>
              <w:ind w:right="1158"/>
              <w:spacing w:after="0"/>
              <w:rPr>
                <w:sz w:val="20"/>
                <w:szCs w:val="20"/>
                <w:color w:val="auto"/>
              </w:rPr>
            </w:pPr>
            <w:r>
              <w:rPr>
                <w:rFonts w:ascii="Arial" w:cs="Arial" w:eastAsia="Arial" w:hAnsi="Arial"/>
                <w:sz w:val="18"/>
                <w:szCs w:val="18"/>
                <w:b w:val="1"/>
                <w:bCs w:val="1"/>
                <w:color w:val="auto"/>
                <w:w w:val="91"/>
              </w:rPr>
              <w:t>550 Cochituate Rd</w:t>
            </w:r>
          </w:p>
        </w:tc>
      </w:tr>
      <w:tr>
        <w:trPr>
          <w:trHeight w:val="212"/>
        </w:trPr>
        <w:tc>
          <w:tcPr>
            <w:tcW w:w="1020" w:type="dxa"/>
            <w:vAlign w:val="bottom"/>
          </w:tcPr>
          <w:p>
            <w:pPr>
              <w:spacing w:after="0"/>
              <w:rPr>
                <w:sz w:val="18"/>
                <w:szCs w:val="18"/>
                <w:color w:val="auto"/>
              </w:rPr>
            </w:pPr>
          </w:p>
        </w:tc>
        <w:tc>
          <w:tcPr>
            <w:tcW w:w="5560" w:type="dxa"/>
            <w:vAlign w:val="bottom"/>
          </w:tcPr>
          <w:p>
            <w:pPr>
              <w:jc w:val="center"/>
              <w:ind w:right="1138"/>
              <w:spacing w:after="0"/>
              <w:rPr>
                <w:sz w:val="20"/>
                <w:szCs w:val="20"/>
                <w:color w:val="auto"/>
              </w:rPr>
            </w:pPr>
            <w:r>
              <w:rPr>
                <w:rFonts w:ascii="Arial" w:cs="Arial" w:eastAsia="Arial" w:hAnsi="Arial"/>
                <w:sz w:val="18"/>
                <w:szCs w:val="18"/>
                <w:b w:val="1"/>
                <w:bCs w:val="1"/>
                <w:color w:val="auto"/>
                <w:w w:val="94"/>
              </w:rPr>
              <w:t>Framingham, MA 01701</w:t>
            </w:r>
          </w:p>
        </w:tc>
      </w:tr>
      <w:tr>
        <w:trPr>
          <w:trHeight w:val="186"/>
        </w:trPr>
        <w:tc>
          <w:tcPr>
            <w:tcW w:w="1020" w:type="dxa"/>
            <w:vAlign w:val="bottom"/>
          </w:tcPr>
          <w:p>
            <w:pPr>
              <w:spacing w:after="0"/>
              <w:rPr>
                <w:sz w:val="16"/>
                <w:szCs w:val="16"/>
                <w:color w:val="auto"/>
              </w:rPr>
            </w:pPr>
          </w:p>
        </w:tc>
        <w:tc>
          <w:tcPr>
            <w:tcW w:w="5560" w:type="dxa"/>
            <w:vAlign w:val="bottom"/>
          </w:tcPr>
          <w:p>
            <w:pPr>
              <w:jc w:val="center"/>
              <w:ind w:right="1138"/>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340"/>
        </w:trPr>
        <w:tc>
          <w:tcPr>
            <w:tcW w:w="1020" w:type="dxa"/>
            <w:vAlign w:val="bottom"/>
          </w:tcPr>
          <w:p>
            <w:pPr>
              <w:spacing w:after="0"/>
              <w:rPr>
                <w:sz w:val="24"/>
                <w:szCs w:val="24"/>
                <w:color w:val="auto"/>
              </w:rPr>
            </w:pPr>
          </w:p>
        </w:tc>
        <w:tc>
          <w:tcPr>
            <w:tcW w:w="5560" w:type="dxa"/>
            <w:vAlign w:val="bottom"/>
          </w:tcPr>
          <w:p>
            <w:pPr>
              <w:jc w:val="center"/>
              <w:ind w:right="1158"/>
              <w:spacing w:after="0"/>
              <w:rPr>
                <w:sz w:val="20"/>
                <w:szCs w:val="20"/>
                <w:color w:val="auto"/>
              </w:rPr>
            </w:pPr>
            <w:r>
              <w:rPr>
                <w:rFonts w:ascii="Arial" w:cs="Arial" w:eastAsia="Arial" w:hAnsi="Arial"/>
                <w:sz w:val="18"/>
                <w:szCs w:val="18"/>
                <w:b w:val="1"/>
                <w:bCs w:val="1"/>
                <w:color w:val="auto"/>
                <w:w w:val="90"/>
              </w:rPr>
              <w:t>(508) 720-4224</w:t>
            </w:r>
          </w:p>
        </w:tc>
      </w:tr>
      <w:tr>
        <w:trPr>
          <w:trHeight w:val="186"/>
        </w:trPr>
        <w:tc>
          <w:tcPr>
            <w:tcW w:w="1020" w:type="dxa"/>
            <w:vAlign w:val="bottom"/>
          </w:tcPr>
          <w:p>
            <w:pPr>
              <w:spacing w:after="0"/>
              <w:rPr>
                <w:sz w:val="16"/>
                <w:szCs w:val="16"/>
                <w:color w:val="auto"/>
              </w:rPr>
            </w:pPr>
          </w:p>
        </w:tc>
        <w:tc>
          <w:tcPr>
            <w:tcW w:w="5560" w:type="dxa"/>
            <w:vAlign w:val="bottom"/>
          </w:tcPr>
          <w:p>
            <w:pPr>
              <w:jc w:val="center"/>
              <w:ind w:right="115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40"/>
        </w:trPr>
        <w:tc>
          <w:tcPr>
            <w:tcW w:w="1020" w:type="dxa"/>
            <w:vAlign w:val="bottom"/>
          </w:tcPr>
          <w:p>
            <w:pPr>
              <w:spacing w:after="0"/>
              <w:rPr>
                <w:sz w:val="24"/>
                <w:szCs w:val="24"/>
                <w:color w:val="auto"/>
              </w:rPr>
            </w:pPr>
          </w:p>
        </w:tc>
        <w:tc>
          <w:tcPr>
            <w:tcW w:w="5560" w:type="dxa"/>
            <w:vAlign w:val="bottom"/>
          </w:tcPr>
          <w:p>
            <w:pPr>
              <w:jc w:val="center"/>
              <w:ind w:right="1158"/>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1020" w:type="dxa"/>
            <w:vAlign w:val="bottom"/>
          </w:tcPr>
          <w:p>
            <w:pPr>
              <w:spacing w:after="0"/>
              <w:rPr>
                <w:sz w:val="16"/>
                <w:szCs w:val="16"/>
                <w:color w:val="auto"/>
              </w:rPr>
            </w:pPr>
          </w:p>
        </w:tc>
        <w:tc>
          <w:tcPr>
            <w:tcW w:w="5560" w:type="dxa"/>
            <w:vAlign w:val="bottom"/>
          </w:tcPr>
          <w:p>
            <w:pPr>
              <w:jc w:val="center"/>
              <w:ind w:right="1138"/>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161925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Class A 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DH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November 8, 2021, Definitive Healthcare Corp. issued a press release announcing its unaudited financial results for the third quarter ended September 30, 2021. A copy of the press release is furnished as Exhibit 99.1 to this Current Report on Form 8-K and is incorporated by reference herein.</w:t>
      </w:r>
    </w:p>
    <w:p>
      <w:pPr>
        <w:spacing w:after="0" w:line="1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information furnished on this Current Report on Form 8-K, including the exhibits attached, shall not be deemed “filed” for the purposes of Section 18 of the Securities Exchange Act of 1934, as amended (the “Exchange Act”), or otherwise subject to the liabilities of that section, nor shall it be deemed incorporated by reference into any filing under the Securities Act of 1933, as amended, or the Exchange Act, regardless of any general incorporation language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are furnished pursuant to Item 2.02 with this report and shall not be deemed to be “filed.”</w:t>
      </w:r>
    </w:p>
    <w:p>
      <w:pPr>
        <w:spacing w:after="0" w:line="252"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November 8, 2021.</w:t>
        </w:r>
      </w:hyperlink>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0"/>
          </w:cols>
          <w:pgMar w:left="440"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DEFINITIVE HEALTHCARE CORP.</w:t>
      </w:r>
    </w:p>
    <w:p>
      <w:pPr>
        <w:spacing w:after="0" w:line="225" w:lineRule="exact"/>
        <w:rPr>
          <w:sz w:val="20"/>
          <w:szCs w:val="20"/>
          <w:color w:val="auto"/>
        </w:rPr>
      </w:pPr>
    </w:p>
    <w:tbl>
      <w:tblPr>
        <w:tblLayout w:type="fixed"/>
        <w:tblInd w:w="69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Samuels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480" w:type="dxa"/>
            <w:vAlign w:val="bottom"/>
          </w:tcPr>
          <w:p>
            <w:pPr>
              <w:spacing w:after="0"/>
              <w:rPr>
                <w:sz w:val="20"/>
                <w:szCs w:val="20"/>
                <w:color w:val="auto"/>
              </w:rPr>
            </w:pPr>
            <w:r>
              <w:rPr>
                <w:rFonts w:ascii="Arial" w:cs="Arial" w:eastAsia="Arial" w:hAnsi="Arial"/>
                <w:sz w:val="18"/>
                <w:szCs w:val="18"/>
                <w:color w:val="auto"/>
              </w:rPr>
              <w:t>David Samuels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480" w:type="dxa"/>
            <w:vAlign w:val="bottom"/>
          </w:tcPr>
          <w:p>
            <w:pPr>
              <w:spacing w:after="0"/>
              <w:rPr>
                <w:sz w:val="20"/>
                <w:szCs w:val="20"/>
                <w:color w:val="auto"/>
              </w:rPr>
            </w:pPr>
            <w:r>
              <w:rPr>
                <w:rFonts w:ascii="Arial" w:cs="Arial" w:eastAsia="Arial" w:hAnsi="Arial"/>
                <w:sz w:val="18"/>
                <w:szCs w:val="18"/>
                <w:color w:val="auto"/>
              </w:rPr>
              <w:t>Chief Legal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2021</w:t>
      </w:r>
    </w:p>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Definitive Healthcare Reports Financial Results for Third Quarter Fiscal Year 2021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Third quarter revenue grew 43% year-over-year to $43.1 million</w:t>
      </w:r>
    </w:p>
    <w:p>
      <w:pPr>
        <w:spacing w:after="0" w:line="221"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 xml:space="preserve">Framingham, MA (November 8, 2021) – </w:t>
      </w:r>
      <w:r>
        <w:rPr>
          <w:rFonts w:ascii="Arial" w:cs="Arial" w:eastAsia="Arial" w:hAnsi="Arial"/>
          <w:sz w:val="18"/>
          <w:szCs w:val="18"/>
          <w:color w:val="auto"/>
        </w:rPr>
        <w:t>Definitive Healthcare Corp. (“Definitive Healthcare”) (Nasdaq: DH), an industry leader in healthcare</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intelligence, today announced financial results for the quarter ended September 30, 2021.</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Financial and Other Recent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31" w:lineRule="exact"/>
        <w:rPr>
          <w:sz w:val="20"/>
          <w:szCs w:val="20"/>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was $43.1 million, an increase of 43% from $30.1 million in Q3 2020.</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GAAP Net loss </w:t>
      </w:r>
      <w:r>
        <w:rPr>
          <w:rFonts w:ascii="Arial" w:cs="Arial" w:eastAsia="Arial" w:hAnsi="Arial"/>
          <w:sz w:val="18"/>
          <w:szCs w:val="18"/>
          <w:color w:val="auto"/>
        </w:rPr>
        <w:t>was $(21.0) million, or 49% of revenue, compared to $10.0 million, or 33% of revenue in Q3 2020</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was $2.2 million, compared to $5.1 million in Q3 2020</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was $14.4 million, or 33% of revenue, compared to $14.5 million, or 48% of revenue in Q3 2020.</w:t>
      </w:r>
    </w:p>
    <w:p>
      <w:pPr>
        <w:spacing w:after="0" w:line="130" w:lineRule="exact"/>
        <w:rPr>
          <w:rFonts w:ascii="Arial" w:cs="Arial" w:eastAsia="Arial" w:hAnsi="Arial"/>
          <w:sz w:val="18"/>
          <w:szCs w:val="18"/>
          <w:color w:val="auto"/>
        </w:rPr>
      </w:pPr>
    </w:p>
    <w:p>
      <w:pPr>
        <w:ind w:left="420" w:right="140" w:hanging="316"/>
        <w:spacing w:after="0" w:line="282"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8"/>
          <w:szCs w:val="18"/>
          <w:color w:val="auto"/>
        </w:rPr>
        <w:t>was ($0.9) million in the quarter or -2% of revenue. For the trailing twelve-month period, cash flow from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was $29.7 million, or 19% of revenue.</w:t>
      </w:r>
    </w:p>
    <w:p>
      <w:pPr>
        <w:spacing w:after="0" w:line="67" w:lineRule="exact"/>
        <w:rPr>
          <w:rFonts w:ascii="Arial" w:cs="Arial" w:eastAsia="Arial" w:hAnsi="Arial"/>
          <w:sz w:val="18"/>
          <w:szCs w:val="18"/>
          <w:color w:val="auto"/>
        </w:rPr>
      </w:pPr>
    </w:p>
    <w:p>
      <w:pPr>
        <w:ind w:left="420" w:right="40" w:hanging="316"/>
        <w:spacing w:after="0" w:line="282"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Unlevered free cash flow </w:t>
      </w:r>
      <w:r>
        <w:rPr>
          <w:rFonts w:ascii="Arial" w:cs="Arial" w:eastAsia="Arial" w:hAnsi="Arial"/>
          <w:sz w:val="18"/>
          <w:szCs w:val="18"/>
          <w:color w:val="auto"/>
        </w:rPr>
        <w:t>was $11.5 million in the quarter, or 27% of revenue. For the trailing twelve-month period, unlevered free cash flow was</w:t>
      </w:r>
      <w:r>
        <w:rPr>
          <w:rFonts w:ascii="Arial" w:cs="Arial" w:eastAsia="Arial" w:hAnsi="Arial"/>
          <w:sz w:val="18"/>
          <w:szCs w:val="18"/>
          <w:b w:val="1"/>
          <w:bCs w:val="1"/>
          <w:color w:val="auto"/>
        </w:rPr>
        <w:t xml:space="preserve"> </w:t>
      </w:r>
      <w:r>
        <w:rPr>
          <w:rFonts w:ascii="Arial" w:cs="Arial" w:eastAsia="Arial" w:hAnsi="Arial"/>
          <w:sz w:val="18"/>
          <w:szCs w:val="18"/>
          <w:color w:val="auto"/>
        </w:rPr>
        <w:t>$59.1 million, or 38% of revenue.</w:t>
      </w:r>
    </w:p>
    <w:p>
      <w:pPr>
        <w:spacing w:after="0" w:line="16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 am extremely pleased with our performance in our first quarter as a public company,” said Jason Krantz, founder and CEO of Definitive Healthcare. “We saw strong revenue growth and continued to produce exceptional results. Our strength was broad-based across all of our segments, and we continue to innovate to build the next generation of healthcare commercial intelligence solutions. I want to thank all of our employees who have worked so diligently to help our customers create new paths to commercial success in the healthcare 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and Operating Highlights:</w:t>
      </w:r>
    </w:p>
    <w:p>
      <w:pPr>
        <w:spacing w:after="0" w:line="135" w:lineRule="exact"/>
        <w:rPr>
          <w:sz w:val="20"/>
          <w:szCs w:val="20"/>
          <w:color w:val="auto"/>
        </w:rPr>
      </w:pPr>
    </w:p>
    <w:p>
      <w:pPr>
        <w:ind w:left="960" w:right="2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Healthcare successfully completed its initial public offering in September after selling 17,888,888 shares at a price of $27.00 per share, for aggregate gross proceeds of approximately $483 million.</w:t>
      </w:r>
    </w:p>
    <w:p>
      <w:pPr>
        <w:spacing w:after="0" w:line="75"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ended the quarter with 377 customers with $100,000 or greater in annual recurring revenue, a 49% increase from 252 in Q3 2020.</w:t>
      </w:r>
    </w:p>
    <w:p>
      <w:pPr>
        <w:sectPr>
          <w:pgSz w:w="11900" w:h="16838" w:orient="portrait"/>
          <w:cols w:equalWidth="0" w:num="1">
            <w:col w:w="11020"/>
          </w:cols>
          <w:pgMar w:left="440" w:top="121" w:right="439" w:bottom="1440" w:gutter="0" w:footer="0" w:header="0"/>
        </w:sectPr>
      </w:pPr>
    </w:p>
    <w:bookmarkStart w:id="4" w:name="page5"/>
    <w:bookmarkEnd w:id="4"/>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the third quarter, the company brought on multiple new customers including:</w:t>
      </w:r>
    </w:p>
    <w:p>
      <w:pPr>
        <w:spacing w:after="0" w:line="130" w:lineRule="exact"/>
        <w:rPr>
          <w:rFonts w:ascii="Arial" w:cs="Arial" w:eastAsia="Arial" w:hAnsi="Arial"/>
          <w:sz w:val="18"/>
          <w:szCs w:val="18"/>
          <w:color w:val="auto"/>
        </w:rPr>
      </w:pPr>
    </w:p>
    <w:p>
      <w:pPr>
        <w:ind w:left="884" w:right="580" w:hanging="331"/>
        <w:spacing w:after="0" w:line="263" w:lineRule="auto"/>
        <w:tabs>
          <w:tab w:leader="none" w:pos="884" w:val="left"/>
        </w:tabs>
        <w:numPr>
          <w:ilvl w:val="1"/>
          <w:numId w:val="4"/>
        </w:numPr>
        <w:rPr>
          <w:rFonts w:ascii="Arial" w:cs="Arial" w:eastAsia="Arial" w:hAnsi="Arial"/>
          <w:sz w:val="15"/>
          <w:szCs w:val="15"/>
          <w:color w:val="auto"/>
        </w:rPr>
      </w:pPr>
      <w:r>
        <w:rPr>
          <w:rFonts w:ascii="Arial" w:cs="Arial" w:eastAsia="Arial" w:hAnsi="Arial"/>
          <w:sz w:val="18"/>
          <w:szCs w:val="18"/>
          <w:color w:val="auto"/>
        </w:rPr>
        <w:t>A large pharmaceutical technology company, who plans to use Definitive Healthcare commercial intelligence on executives, affiliations, procedure volumes, and doctors to accelerate its push into the hospital and IDN market for a new drug delivery implantable device.</w:t>
      </w:r>
    </w:p>
    <w:p>
      <w:pPr>
        <w:spacing w:after="0" w:line="89" w:lineRule="exact"/>
        <w:rPr>
          <w:rFonts w:ascii="Arial" w:cs="Arial" w:eastAsia="Arial" w:hAnsi="Arial"/>
          <w:sz w:val="15"/>
          <w:szCs w:val="15"/>
          <w:color w:val="auto"/>
        </w:rPr>
      </w:pPr>
    </w:p>
    <w:p>
      <w:pPr>
        <w:ind w:left="884" w:right="100" w:hanging="331"/>
        <w:spacing w:after="0" w:line="263" w:lineRule="auto"/>
        <w:tabs>
          <w:tab w:leader="none" w:pos="884" w:val="left"/>
        </w:tabs>
        <w:numPr>
          <w:ilvl w:val="1"/>
          <w:numId w:val="4"/>
        </w:numPr>
        <w:rPr>
          <w:rFonts w:ascii="Arial" w:cs="Arial" w:eastAsia="Arial" w:hAnsi="Arial"/>
          <w:sz w:val="15"/>
          <w:szCs w:val="15"/>
          <w:color w:val="auto"/>
        </w:rPr>
      </w:pPr>
      <w:r>
        <w:rPr>
          <w:rFonts w:ascii="Arial" w:cs="Arial" w:eastAsia="Arial" w:hAnsi="Arial"/>
          <w:sz w:val="18"/>
          <w:szCs w:val="18"/>
          <w:color w:val="auto"/>
        </w:rPr>
        <w:t>A market leader in the EHR market, who plans to use the Definitive Healthcare platform to identify which practices are using its competition’s software, understand usage data including hospital bed counts and clinical metrics, and gain insight into the nature of the practices’ patients using claims data.</w:t>
      </w:r>
    </w:p>
    <w:p>
      <w:pPr>
        <w:spacing w:after="0" w:line="89" w:lineRule="exact"/>
        <w:rPr>
          <w:rFonts w:ascii="Arial" w:cs="Arial" w:eastAsia="Arial" w:hAnsi="Arial"/>
          <w:sz w:val="15"/>
          <w:szCs w:val="15"/>
          <w:color w:val="auto"/>
        </w:rPr>
      </w:pPr>
    </w:p>
    <w:p>
      <w:pPr>
        <w:ind w:left="884" w:right="140" w:hanging="331"/>
        <w:spacing w:after="0" w:line="277" w:lineRule="auto"/>
        <w:tabs>
          <w:tab w:leader="none" w:pos="884" w:val="left"/>
        </w:tabs>
        <w:numPr>
          <w:ilvl w:val="1"/>
          <w:numId w:val="4"/>
        </w:numPr>
        <w:rPr>
          <w:rFonts w:ascii="Arial" w:cs="Arial" w:eastAsia="Arial" w:hAnsi="Arial"/>
          <w:sz w:val="15"/>
          <w:szCs w:val="15"/>
          <w:color w:val="auto"/>
        </w:rPr>
      </w:pPr>
      <w:r>
        <w:rPr>
          <w:rFonts w:ascii="Arial" w:cs="Arial" w:eastAsia="Arial" w:hAnsi="Arial"/>
          <w:sz w:val="18"/>
          <w:szCs w:val="18"/>
          <w:color w:val="auto"/>
        </w:rPr>
        <w:t>One of the world’s leading venture capital firms, who will use Definitive Healthcare commercial intelligence to help them size and evaluate the market for potential investments in the healthcare space.</w:t>
      </w:r>
    </w:p>
    <w:p>
      <w:pPr>
        <w:spacing w:after="0" w:line="75" w:lineRule="exact"/>
        <w:rPr>
          <w:rFonts w:ascii="Arial" w:cs="Arial" w:eastAsia="Arial" w:hAnsi="Arial"/>
          <w:sz w:val="15"/>
          <w:szCs w:val="15"/>
          <w:color w:val="auto"/>
        </w:rPr>
      </w:pPr>
    </w:p>
    <w:p>
      <w:pPr>
        <w:ind w:left="884" w:right="120" w:hanging="331"/>
        <w:spacing w:after="0" w:line="277" w:lineRule="auto"/>
        <w:tabs>
          <w:tab w:leader="none" w:pos="884" w:val="left"/>
        </w:tabs>
        <w:numPr>
          <w:ilvl w:val="1"/>
          <w:numId w:val="4"/>
        </w:numPr>
        <w:rPr>
          <w:rFonts w:ascii="Arial" w:cs="Arial" w:eastAsia="Arial" w:hAnsi="Arial"/>
          <w:sz w:val="15"/>
          <w:szCs w:val="15"/>
          <w:color w:val="auto"/>
        </w:rPr>
      </w:pPr>
      <w:r>
        <w:rPr>
          <w:rFonts w:ascii="Arial" w:cs="Arial" w:eastAsia="Arial" w:hAnsi="Arial"/>
          <w:sz w:val="18"/>
          <w:szCs w:val="18"/>
          <w:color w:val="auto"/>
        </w:rPr>
        <w:t>One of the world’s largest global logistics providers, who subscribed to the Definitive Healthcare platform to help validate location and address data to ensure accurate package delivery to physicians and other healthcare providers.</w:t>
      </w:r>
    </w:p>
    <w:p>
      <w:pPr>
        <w:spacing w:after="0" w:line="75" w:lineRule="exact"/>
        <w:rPr>
          <w:rFonts w:ascii="Arial" w:cs="Arial" w:eastAsia="Arial" w:hAnsi="Arial"/>
          <w:sz w:val="15"/>
          <w:szCs w:val="15"/>
          <w:color w:val="auto"/>
        </w:rPr>
      </w:pPr>
    </w:p>
    <w:p>
      <w:pPr>
        <w:ind w:left="424" w:hanging="424"/>
        <w:spacing w:after="0"/>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continues to deliver product innovations in response to customer demand. Some of these recent innovations include:</w:t>
      </w:r>
    </w:p>
    <w:p>
      <w:pPr>
        <w:spacing w:after="0" w:line="142" w:lineRule="exact"/>
        <w:rPr>
          <w:rFonts w:ascii="Arial" w:cs="Arial" w:eastAsia="Arial" w:hAnsi="Arial"/>
          <w:sz w:val="17"/>
          <w:szCs w:val="17"/>
          <w:color w:val="auto"/>
        </w:rPr>
      </w:pPr>
    </w:p>
    <w:p>
      <w:pPr>
        <w:ind w:left="884" w:hanging="331"/>
        <w:spacing w:after="0" w:line="311" w:lineRule="auto"/>
        <w:tabs>
          <w:tab w:leader="none" w:pos="884" w:val="left"/>
        </w:tabs>
        <w:numPr>
          <w:ilvl w:val="1"/>
          <w:numId w:val="4"/>
        </w:numPr>
        <w:rPr>
          <w:rFonts w:ascii="Arial" w:cs="Arial" w:eastAsia="Arial" w:hAnsi="Arial"/>
          <w:sz w:val="13"/>
          <w:szCs w:val="13"/>
          <w:color w:val="auto"/>
        </w:rPr>
      </w:pPr>
      <w:r>
        <w:rPr>
          <w:rFonts w:ascii="Arial" w:cs="Arial" w:eastAsia="Arial" w:hAnsi="Arial"/>
          <w:sz w:val="16"/>
          <w:szCs w:val="16"/>
          <w:color w:val="auto"/>
        </w:rPr>
        <w:t>An expansion of the PhysicianView product to include new intelligence around physician specialties, which allows clients to precisely target healthcare providers based on specific areas of focus. Users can now leverage claims-based specialty data to identify individual physicians, which means companies can sharpen their sales strategies with a better picture of their audience.</w:t>
      </w:r>
    </w:p>
    <w:p>
      <w:pPr>
        <w:spacing w:after="0" w:line="54" w:lineRule="exact"/>
        <w:rPr>
          <w:rFonts w:ascii="Arial" w:cs="Arial" w:eastAsia="Arial" w:hAnsi="Arial"/>
          <w:sz w:val="13"/>
          <w:szCs w:val="13"/>
          <w:color w:val="auto"/>
        </w:rPr>
      </w:pPr>
    </w:p>
    <w:p>
      <w:pPr>
        <w:ind w:left="884" w:right="40" w:hanging="331"/>
        <w:spacing w:after="0" w:line="263" w:lineRule="auto"/>
        <w:tabs>
          <w:tab w:leader="none" w:pos="884" w:val="left"/>
        </w:tabs>
        <w:numPr>
          <w:ilvl w:val="1"/>
          <w:numId w:val="4"/>
        </w:numPr>
        <w:rPr>
          <w:rFonts w:ascii="Arial" w:cs="Arial" w:eastAsia="Arial" w:hAnsi="Arial"/>
          <w:sz w:val="15"/>
          <w:szCs w:val="15"/>
          <w:color w:val="auto"/>
        </w:rPr>
      </w:pPr>
      <w:r>
        <w:rPr>
          <w:rFonts w:ascii="Arial" w:cs="Arial" w:eastAsia="Arial" w:hAnsi="Arial"/>
          <w:sz w:val="18"/>
          <w:szCs w:val="18"/>
          <w:color w:val="auto"/>
        </w:rPr>
        <w:t>An expansion of the HospitalView product to include new intelligence around organization charts. This new feature enables users to easily map out a hospital’s different departments and subdepartments, understand the many layers of management, and identify the right people who may be searching for their product or service.</w:t>
      </w:r>
    </w:p>
    <w:p>
      <w:pPr>
        <w:spacing w:after="0" w:line="89" w:lineRule="exact"/>
        <w:rPr>
          <w:rFonts w:ascii="Arial" w:cs="Arial" w:eastAsia="Arial" w:hAnsi="Arial"/>
          <w:sz w:val="15"/>
          <w:szCs w:val="15"/>
          <w:color w:val="auto"/>
        </w:rPr>
      </w:pPr>
    </w:p>
    <w:p>
      <w:pPr>
        <w:jc w:val="both"/>
        <w:ind w:left="884" w:right="340" w:hanging="331"/>
        <w:spacing w:after="0" w:line="286" w:lineRule="auto"/>
        <w:tabs>
          <w:tab w:leader="none" w:pos="884" w:val="left"/>
        </w:tabs>
        <w:numPr>
          <w:ilvl w:val="1"/>
          <w:numId w:val="4"/>
        </w:numPr>
        <w:rPr>
          <w:rFonts w:ascii="Arial" w:cs="Arial" w:eastAsia="Arial" w:hAnsi="Arial"/>
          <w:sz w:val="14"/>
          <w:szCs w:val="14"/>
          <w:color w:val="auto"/>
        </w:rPr>
      </w:pPr>
      <w:r>
        <w:rPr>
          <w:rFonts w:ascii="Arial" w:cs="Arial" w:eastAsia="Arial" w:hAnsi="Arial"/>
          <w:sz w:val="17"/>
          <w:szCs w:val="17"/>
          <w:color w:val="auto"/>
        </w:rPr>
        <w:t>In the Monocl product line, the company enhanced its ExpertInsight product by expanding the expert profiles with new indexed medical keywords to publications, clinical trials, grants and industry payments. These additions make it even easier for medical affairs professionals to identify the right clinical and scientific expert to assist in product development.</w:t>
      </w:r>
    </w:p>
    <w:p>
      <w:pPr>
        <w:sectPr>
          <w:pgSz w:w="11900" w:h="16838" w:orient="portrait"/>
          <w:cols w:equalWidth="0" w:num="1">
            <w:col w:w="10424"/>
          </w:cols>
          <w:pgMar w:left="976" w:top="274" w:right="49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Outlook</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Based on information as of November 8, 2021, the Company is issuing the following financial guidance.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Fourth Quarter 2021:</w:t>
      </w:r>
    </w:p>
    <w:p>
      <w:pPr>
        <w:spacing w:after="0" w:line="131" w:lineRule="exact"/>
        <w:rPr>
          <w:sz w:val="20"/>
          <w:szCs w:val="20"/>
          <w:color w:val="auto"/>
        </w:rPr>
      </w:pPr>
    </w:p>
    <w:p>
      <w:pPr>
        <w:ind w:left="424" w:hanging="316"/>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is expected to be in the range of $44 – $45 million, a 32% increase year over year.</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8"/>
          <w:szCs w:val="18"/>
          <w:color w:val="auto"/>
        </w:rPr>
        <w:t>is expected to be in the range of $11.5 – $12.5 million.</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is expected to be in the range of $12.5 – $13.5 million.</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is expected to be $6 – $7 million.</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Adjusted Net Income Per Diluted Share </w:t>
      </w:r>
      <w:r>
        <w:rPr>
          <w:rFonts w:ascii="Arial" w:cs="Arial" w:eastAsia="Arial" w:hAnsi="Arial"/>
          <w:sz w:val="16"/>
          <w:szCs w:val="16"/>
          <w:color w:val="auto"/>
        </w:rPr>
        <w:t>is expected to be $0.04 – $0.05 on approximately 148.6 million weighted-average shares outstanding.</w:t>
      </w:r>
    </w:p>
    <w:p>
      <w:pPr>
        <w:spacing w:after="0" w:line="35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Full Year 2021:</w:t>
      </w:r>
    </w:p>
    <w:p>
      <w:pPr>
        <w:spacing w:after="0" w:line="131" w:lineRule="exact"/>
        <w:rPr>
          <w:sz w:val="20"/>
          <w:szCs w:val="20"/>
          <w:color w:val="auto"/>
        </w:rPr>
      </w:pPr>
    </w:p>
    <w:p>
      <w:pPr>
        <w:ind w:left="424" w:hanging="316"/>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is expected to be in the range of $164 – $165 million.</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8"/>
          <w:szCs w:val="18"/>
          <w:color w:val="auto"/>
        </w:rPr>
        <w:t>is expected to be in the range of $52 – $53 million.</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is expected to be in the range of $55 – $56 million.</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is expected to be $13 – $14 million.</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Adjusted Net Income Per Diluted Share </w:t>
      </w:r>
      <w:r>
        <w:rPr>
          <w:rFonts w:ascii="Arial" w:cs="Arial" w:eastAsia="Arial" w:hAnsi="Arial"/>
          <w:sz w:val="16"/>
          <w:szCs w:val="16"/>
          <w:color w:val="auto"/>
        </w:rPr>
        <w:t>is expected to be $0.08 – $0.09 on approximately 148.5 million weighted-average shares outstanding</w:t>
      </w:r>
      <w:r>
        <w:rPr>
          <w:rFonts w:ascii="Arial" w:cs="Arial" w:eastAsia="Arial" w:hAnsi="Arial"/>
          <w:sz w:val="16"/>
          <w:szCs w:val="16"/>
          <w:b w:val="1"/>
          <w:bCs w:val="1"/>
          <w:color w:val="auto"/>
        </w:rPr>
        <w:t>.</w:t>
      </w:r>
    </w:p>
    <w:p>
      <w:pPr>
        <w:spacing w:after="0" w:line="35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Definitive Healthcare will host a conference call today, November 8, 2021, at 5:00 p.m. (Eastern Time) to discuss the Company’s financial results and current business outlook. To access the call, dial (877) 407-3982 (domestic) or (201) 493-6780 (international). The conference ID number is 13723517. Shortly after the conclusion of the call, a replay of this conference call will be available through November 22, 2021 at (844) 512-2921 (domestic) or</w:t>
      </w:r>
    </w:p>
    <w:p>
      <w:pPr>
        <w:spacing w:after="0" w:line="2" w:lineRule="exact"/>
        <w:rPr>
          <w:sz w:val="20"/>
          <w:szCs w:val="20"/>
          <w:color w:val="auto"/>
        </w:rPr>
      </w:pPr>
    </w:p>
    <w:p>
      <w:pPr>
        <w:ind w:left="4" w:right="280" w:hanging="4"/>
        <w:spacing w:after="0" w:line="260" w:lineRule="auto"/>
        <w:tabs>
          <w:tab w:leader="none" w:pos="439"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317-6671 (international). The replay passcode is 13723517. A live audio webcast of the event will be available on the Definitive Healthcare’s Investor Relations website at </w:t>
      </w:r>
      <w:r>
        <w:rPr>
          <w:rFonts w:ascii="Arial" w:cs="Arial" w:eastAsia="Arial" w:hAnsi="Arial"/>
          <w:sz w:val="18"/>
          <w:szCs w:val="18"/>
          <w:u w:val="single" w:color="auto"/>
          <w:color w:val="auto"/>
        </w:rPr>
        <w:t>https://ir.definitivehc.com/</w:t>
      </w:r>
      <w:r>
        <w:rPr>
          <w:rFonts w:ascii="Arial" w:cs="Arial" w:eastAsia="Arial" w:hAnsi="Arial"/>
          <w:sz w:val="18"/>
          <w:szCs w:val="18"/>
          <w:color w:val="auto"/>
        </w:rPr>
        <w:t>.</w:t>
      </w:r>
    </w:p>
    <w:p>
      <w:pPr>
        <w:sectPr>
          <w:pgSz w:w="11900" w:h="16838" w:orient="portrait"/>
          <w:cols w:equalWidth="0" w:num="1">
            <w:col w:w="10904"/>
          </w:cols>
          <w:pgMar w:left="436" w:top="270" w:right="5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Definitive Healthcare</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Definitive Healthcare, our passion is to transform data, analytics and expertise into healthcare commercial intelligence. We help clients uncover the right markets, opportunities and people, so they can shape tomorrow’s healthcare industry. Our SaaS platform creates new paths to commercial success in the healthcare market, so companies can identify where to go next. Learn more or sign up for a free trial at www.definitivehc.com.</w:t>
      </w:r>
    </w:p>
    <w:p>
      <w:pPr>
        <w:sectPr>
          <w:pgSz w:w="11900" w:h="16838" w:orient="portrait"/>
          <w:cols w:equalWidth="0" w:num="1">
            <w:col w:w="10880"/>
          </w:cols>
          <w:pgMar w:left="440" w:top="270" w:right="5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This press release may include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“should,” “may,” “anticipates,” “intends,” “plans,” “seeks,” “believes,” “estimates,” “expects”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the market, industry and macroeconomic environment, our business, growth strategies, product development efforts and future expenses, and statements reflecting our expectations about our ability to execute on our strategic plans, achieve future growth and profitability and achieve our financial goals.</w:t>
      </w:r>
    </w:p>
    <w:p>
      <w:pPr>
        <w:spacing w:after="0" w:line="289"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an outbreak of disease, global or localized health pandemic or epidemic, or the fear of such an event (such as the COVID-19 global pandemic), including the global economic uncertainty and measures taken in response; the short- and long-term effects of the COVID-19 global pandemic, including the pace of recovery or any future resurgence; our inability to generate substantially all of our revenue and cash flows from sales of subscriptions to our platform and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risk that our recent growth rates may not be indicative of our future growth; the inability to achieve or sustain profitability in the future compared to historical levels as we increase investments in our business; the loss of our access to our data providers, which could negatively impact our platform; the failure to respond to advances in healthcare commercial intelligence; an inability to attract new customers and expand subscriptions of current customers; the risk of cyber-attacks and security vulnerabilities; and if our security measures are breached or unauthorized access to data is otherwise obtained, our platform may be perceived as not being secure, customers may reduce the use of or stop using our platform, and we may incur significant liabilities.</w:t>
      </w:r>
    </w:p>
    <w:p>
      <w:pPr>
        <w:spacing w:after="0" w:line="16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For additional discussion of factors that could impact our operational and financial results, refer to our final prospectus filed with the U.S. Securities and Exchange Commission (“SEC”) on September 16, 2021, our Quarterly Report on Form 10-Q for the three months ended September 30, 2021 that will be filed following this earnings release, and our subsequent SEC filings, which are or will be available on the Investor Relations page of our website at ir.definitivehc.com and on the SEC website at www.sec.gov.</w:t>
      </w:r>
    </w:p>
    <w:p>
      <w:pPr>
        <w:sectPr>
          <w:pgSz w:w="11900" w:h="16838" w:orient="portrait"/>
          <w:cols w:equalWidth="0" w:num="1">
            <w:col w:w="11000"/>
          </w:cols>
          <w:pgMar w:left="440" w:top="270" w:right="459" w:bottom="1440" w:gutter="0" w:footer="0" w:header="0"/>
        </w:sectPr>
      </w:pPr>
    </w:p>
    <w:bookmarkStart w:id="8" w:name="page9"/>
    <w:bookmarkEnd w:id="8"/>
    <w:p>
      <w:pPr>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p>
    <w:p>
      <w:pPr>
        <w:spacing w:after="0" w:line="18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i w:val="1"/>
          <w:iCs w:val="1"/>
          <w:color w:val="auto"/>
        </w:rPr>
        <w:t>Any forward-looking statement made by us speaks only as of the date on which it is made. We undertake no obligation to publicly update any forward-looking statement, whether as a result of new information, future developments or otherwise, except as may be required by law.</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i w:val="1"/>
          <w:iCs w:val="1"/>
          <w:color w:val="auto"/>
        </w:rPr>
        <w:t>Definitive Healthcare intends to use its website as a distribution channel of material company information. Financial and other important information regarding the Company is routinely posted on and accessible through the Company’s website at [https://www.definitivehc.com/]. Accordingly, you should monitor the investor relations portion of our website at [https://ir.definitivehc.com/]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page at [https://ir.definitivehc.com/].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A Reconciliation of GAAP to Non-GAAP results has been provided in the financial statement tables included at the end of this press release. An explanation of these measures is also included below under the heading “Non-GAAP Financial Measures.”</w:t>
      </w:r>
    </w:p>
    <w:p>
      <w:pPr>
        <w:sectPr>
          <w:pgSz w:w="11900" w:h="16838" w:orient="portrait"/>
          <w:cols w:equalWidth="0" w:num="1">
            <w:col w:w="10960"/>
          </w:cols>
          <w:pgMar w:left="440" w:top="274" w:right="4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Non-GAAP Financial Measures</w:t>
      </w:r>
    </w:p>
    <w:p>
      <w:pPr>
        <w:spacing w:after="0" w:line="121" w:lineRule="exact"/>
        <w:rPr>
          <w:sz w:val="20"/>
          <w:szCs w:val="20"/>
          <w:color w:val="auto"/>
        </w:rPr>
      </w:pPr>
    </w:p>
    <w:p>
      <w:pPr>
        <w:ind w:right="160" w:firstLine="440"/>
        <w:spacing w:after="0" w:line="311" w:lineRule="auto"/>
        <w:rPr>
          <w:sz w:val="20"/>
          <w:szCs w:val="20"/>
          <w:color w:val="auto"/>
        </w:rPr>
      </w:pPr>
      <w:r>
        <w:rPr>
          <w:rFonts w:ascii="Arial" w:cs="Arial" w:eastAsia="Arial" w:hAnsi="Arial"/>
          <w:sz w:val="16"/>
          <w:szCs w:val="16"/>
          <w:i w:val="1"/>
          <w:iCs w:val="1"/>
          <w:color w:val="auto"/>
        </w:rPr>
        <w:t>We have presented supplemental non-GAAP financial measures as part of this earnings release. We believe that these supplemental non-GAAP financial measures are useful to investors because they allow for an evaluation of the company with a focus on the performance of its core operations, including more meaningful comparisons of financial results to historical periods and to the financial results of peer and competitor companies.</w:t>
      </w:r>
    </w:p>
    <w:p>
      <w:pPr>
        <w:spacing w:after="0" w:line="149" w:lineRule="exact"/>
        <w:rPr>
          <w:sz w:val="20"/>
          <w:szCs w:val="20"/>
          <w:color w:val="auto"/>
        </w:rPr>
      </w:pPr>
    </w:p>
    <w:p>
      <w:pPr>
        <w:ind w:right="300" w:firstLine="440"/>
        <w:spacing w:after="0" w:line="301" w:lineRule="auto"/>
        <w:rPr>
          <w:sz w:val="20"/>
          <w:szCs w:val="20"/>
          <w:color w:val="auto"/>
        </w:rPr>
      </w:pPr>
      <w:r>
        <w:rPr>
          <w:rFonts w:ascii="Arial" w:cs="Arial" w:eastAsia="Arial" w:hAnsi="Arial"/>
          <w:sz w:val="16"/>
          <w:szCs w:val="16"/>
          <w:i w:val="1"/>
          <w:iCs w:val="1"/>
          <w:color w:val="auto"/>
        </w:rPr>
        <w:t>We refer in this earnings release to Unlevered Free Cash Flow, Adjusted EBITDA, Adjusted EBITDA Margin, Adjusted Gross Profit, Adjusted Gross Margin, Adjusted Operating Income and Adjusted Net Income as non-GAAP financial measures. These non-GAAP financial measures are not prepared in accordance with generally accepted accounting principles in the U.S., (“GAAP”). These are supplemental financial measures of our performance and should not be considered substitutes for net (loss) income, gross profit or any other measure derived in accordance with GAAP.</w:t>
      </w:r>
    </w:p>
    <w:p>
      <w:pPr>
        <w:spacing w:after="0" w:line="157"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i w:val="1"/>
          <w:iCs w:val="1"/>
          <w:color w:val="auto"/>
        </w:rPr>
        <w:t>We define Unlevered Free Cash Flow as net cash provided from operating activities less purchases of property and equipment and other assets, plus cash interest expense, cash payments related to transaction related expenses and cash payments related to other non-recurring items. Unlevered Free Cash Flow does not represent residual cash flow available for discretionary expenditures since, among other things, we have mandatory debt service requirements.</w:t>
      </w:r>
    </w:p>
    <w:p>
      <w:pPr>
        <w:spacing w:after="0" w:line="18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i w:val="1"/>
          <w:iCs w:val="1"/>
          <w:color w:val="auto"/>
        </w:rPr>
        <w:t>We define EBITDA as earnings before debt-related costs, including interest expense, net and loss on extinguishment of debt and depreciation and amortization. Adjusted EBITDA is defined as EBITDA adjusted to exclude certain items of a significant or unusual nature, including equity-based compensation, transaction expenses and other non-recurring expenses. Adjusted EBITDA Margin is determined by calculating the percentage Adjusted EBITDA is of revenue. Adjusted EBITDA and Adjusted EBITDA Margin are key metrics used by management and our board of directors to assess the profitability of our operations. We believe that Adjusted EBITDA and Adjusted EBITDA Margin provide useful measures to investors to assess our operating performance because these metrics eliminate non-recurring and unusual items and non-cash expenses, which we do not consider indicative of ongoing operational performance. We believe that these metrics are helpful to investors in measuring the profitability of our operations on a consolidated level.</w:t>
      </w:r>
    </w:p>
    <w:p>
      <w:pPr>
        <w:spacing w:after="0" w:line="192"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i w:val="1"/>
          <w:iCs w:val="1"/>
          <w:color w:val="auto"/>
        </w:rPr>
        <w:t>We define Adjusted Gross Profit as revenue less cost of revenue (excluding acquisition-related depreciation and amortization and equity compensation costs) and Adjusted Gross Margin means Adjusted Gross Profit as a percentage of revenue. Adjusted Gross Profit differs from gross profit, in that gross profit includes acquisition-related depreciation and amortization expense and equity compensation costs. Adjusted Gross Profit and Adjusted Gross Margin are key metrics used by management and our board of directors to assess our operations. We exclude acquisition-related depreciation and amortization expenses as they have no direct correlation to the cost of operating our business on an ongoing basis. A small quantity of equity-based compensation is included in cost of revenue in accordance with GAAP but is excluded from our Adjusted Gross Profit calculations due to its non-cash nature.</w:t>
      </w:r>
    </w:p>
    <w:p>
      <w:pPr>
        <w:spacing w:after="0" w:line="195"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i w:val="1"/>
          <w:iCs w:val="1"/>
          <w:color w:val="auto"/>
        </w:rPr>
        <w:t>We define Adjusted Operating Income as income (loss) from operations plus acquisition related amortization, equity-based compensation, transaction expenses and other non-recurring expenses.</w:t>
      </w:r>
    </w:p>
    <w:p>
      <w:pPr>
        <w:sectPr>
          <w:pgSz w:w="11900" w:h="16838" w:orient="portrait"/>
          <w:cols w:equalWidth="0" w:num="1">
            <w:col w:w="10980"/>
          </w:cols>
          <w:pgMar w:left="440" w:top="270" w:right="479" w:bottom="1440" w:gutter="0" w:footer="0" w:header="0"/>
        </w:sectPr>
      </w:pPr>
    </w:p>
    <w:bookmarkStart w:id="10" w:name="page11"/>
    <w:bookmarkEnd w:id="10"/>
    <w:p>
      <w:pPr>
        <w:ind w:right="580" w:firstLine="440"/>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define Adjusted Net Income as Adjusted Operating Income less interest expense, net, foreign currency loss (gain) and including the incremental tax effects of adjustments to arrive at Adjusted Operating Income. We define Adjusted Net Income Per Share as Adjusted Net Income divided by diluted weighted average outstanding shares.</w:t>
      </w:r>
    </w:p>
    <w:p>
      <w:pPr>
        <w:spacing w:after="0" w:line="184"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i w:val="1"/>
          <w:iCs w:val="1"/>
          <w:color w:val="auto"/>
        </w:rPr>
        <w:t>Our use of these non-GAAP terms may vary from the use of similar terms by other companies in our industry and accordingly may not be comparable to similarly titled measures used by other companies and are not measures of performance calculated in accordance with GAAP. Our presentation of these non-GAAP financial measures are intended as supplemental measures of our performance that are not required by, or presented in accordance with, GAAP. These non-GAAP financial measures should not be considered as alternatives to (loss) income from operations, net (loss) income, gross profit, earnings per share or any other performance measures derived in accordance with GAAP, or as measures of operating cash flows or liquidity.</w:t>
      </w:r>
    </w:p>
    <w:p>
      <w:pPr>
        <w:spacing w:after="0" w:line="192"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i w:val="1"/>
          <w:iCs w:val="1"/>
          <w:color w:val="auto"/>
        </w:rPr>
        <w:t>We do not provide a quantitative reconciliation of the forward-looking non-GAAP financial measures included in this press release to the most directly comparable GAAP measures due to the high variability and difficulty to predict certain items excluded from these non-GAAP financial measures; in particular, the effects of stock-based compensation expense, taxes and amounts under the exchange tax receivable agreement, deferred tax assets and deferred tax liabilities, and restructuring and transaction expenses. We expect the variability of these excluded items may have a significant, and potentially unpredictable, impact on our future GAAP financial results.</w:t>
      </w:r>
    </w:p>
    <w:p>
      <w:pPr>
        <w:spacing w:after="0" w:line="18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i w:val="1"/>
          <w:iCs w:val="1"/>
          <w:color w:val="auto"/>
        </w:rPr>
        <w:t>In evaluating our non-GAAP financial measures, you should be aware that in the future we may incur expenses similar to those eliminated in these presentations.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Brian Denyeau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ICR for Definitive Healthcare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brian.denyeau@icrinc.com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646-277-1251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Danielle Johns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djohns@definitivehc.com</w:t>
      </w:r>
    </w:p>
    <w:p>
      <w:pPr>
        <w:sectPr>
          <w:pgSz w:w="11900" w:h="16838" w:orient="portrait"/>
          <w:cols w:equalWidth="0" w:num="1">
            <w:col w:w="11020"/>
          </w:cols>
          <w:pgMar w:left="440" w:top="274" w:right="4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Definitive Healthcare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number of shares)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September 30, 2021</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2020</w:t>
            </w:r>
          </w:p>
        </w:tc>
      </w:tr>
      <w:tr>
        <w:trPr>
          <w:trHeight w:val="142"/>
        </w:trPr>
        <w:tc>
          <w:tcPr>
            <w:tcW w:w="79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i w:val="1"/>
                <w:iCs w:val="1"/>
                <w:color w:val="auto"/>
              </w:rPr>
              <w:t>(unaudited)</w:t>
            </w:r>
          </w:p>
        </w:tc>
        <w:tc>
          <w:tcPr>
            <w:tcW w:w="6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189,752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24,774</w:t>
            </w: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27,886</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33,108</w:t>
            </w: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3,642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3,016</w:t>
            </w: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Current portion of deferred contract costs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5,359</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2,947</w:t>
            </w:r>
          </w:p>
        </w:tc>
      </w:tr>
      <w:tr>
        <w:trPr>
          <w:trHeight w:val="27"/>
        </w:trPr>
        <w:tc>
          <w:tcPr>
            <w:tcW w:w="7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9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226,639</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63,845</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4,697</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3,248</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Deferred contract costs, net of current portion</w:t>
            </w:r>
          </w:p>
        </w:tc>
        <w:tc>
          <w:tcPr>
            <w:tcW w:w="18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9,388</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5,952</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366,723</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410,237</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1,261,444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1,261,444</w:t>
            </w:r>
          </w:p>
        </w:tc>
      </w:tr>
      <w:tr>
        <w:trPr>
          <w:trHeight w:val="223"/>
        </w:trPr>
        <w:tc>
          <w:tcPr>
            <w:tcW w:w="794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1,869,799</w:t>
            </w:r>
          </w:p>
        </w:tc>
        <w:tc>
          <w:tcPr>
            <w:tcW w:w="6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1,745,359</w:t>
            </w:r>
          </w:p>
        </w:tc>
        <w:tc>
          <w:tcPr>
            <w:tcW w:w="120" w:type="dxa"/>
            <w:vAlign w:val="bottom"/>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7,055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5,662</w:t>
            </w: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19,296</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17,321</w:t>
            </w: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deferred revenue</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69,811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61,060</w:t>
            </w: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Current portion of term loan</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6,875</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4,680</w:t>
            </w:r>
          </w:p>
        </w:tc>
      </w:tr>
      <w:tr>
        <w:trPr>
          <w:trHeight w:val="27"/>
        </w:trPr>
        <w:tc>
          <w:tcPr>
            <w:tcW w:w="7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103,037</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88,723</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Long term liabilities: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Tax receivable agreements liability</w:t>
            </w:r>
          </w:p>
        </w:tc>
        <w:tc>
          <w:tcPr>
            <w:tcW w:w="18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146,106</w:t>
            </w:r>
          </w:p>
        </w:tc>
        <w:tc>
          <w:tcPr>
            <w:tcW w:w="2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loan, net of current portion</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265,388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457,197</w:t>
            </w: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71,341</w:t>
            </w:r>
          </w:p>
        </w:tc>
        <w:tc>
          <w:tcPr>
            <w:tcW w:w="2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3,736</w:t>
            </w:r>
          </w:p>
        </w:tc>
      </w:tr>
      <w:tr>
        <w:trPr>
          <w:trHeight w:val="230"/>
        </w:trPr>
        <w:tc>
          <w:tcPr>
            <w:tcW w:w="794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586,715</w:t>
            </w:r>
          </w:p>
        </w:tc>
        <w:tc>
          <w:tcPr>
            <w:tcW w:w="6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549,796</w:t>
            </w:r>
          </w:p>
        </w:tc>
        <w:tc>
          <w:tcPr>
            <w:tcW w:w="120" w:type="dxa"/>
            <w:vAlign w:val="bottom"/>
          </w:tcPr>
          <w:p>
            <w:pPr>
              <w:spacing w:after="0"/>
              <w:rPr>
                <w:sz w:val="20"/>
                <w:szCs w:val="20"/>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Members’ equity</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1,195,694</w:t>
            </w:r>
          </w:p>
        </w:tc>
      </w:tr>
      <w:tr>
        <w:trPr>
          <w:trHeight w:val="202"/>
        </w:trPr>
        <w:tc>
          <w:tcPr>
            <w:tcW w:w="7940" w:type="dxa"/>
            <w:vAlign w:val="bottom"/>
          </w:tcPr>
          <w:p>
            <w:pPr>
              <w:ind w:left="360"/>
              <w:spacing w:after="0" w:line="201" w:lineRule="exact"/>
              <w:rPr>
                <w:sz w:val="20"/>
                <w:szCs w:val="20"/>
                <w:color w:val="auto"/>
              </w:rPr>
            </w:pPr>
            <w:r>
              <w:rPr>
                <w:rFonts w:ascii="Arial" w:cs="Arial" w:eastAsia="Arial" w:hAnsi="Arial"/>
                <w:sz w:val="18"/>
                <w:szCs w:val="18"/>
                <w:color w:val="auto"/>
              </w:rPr>
              <w:t>Class A Common Stock, par value $0.001, 600,000,000 shares authorized, 88,263,333 shares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940" w:type="dxa"/>
            <w:vAlign w:val="bottom"/>
          </w:tcPr>
          <w:p>
            <w:pPr>
              <w:ind w:left="540"/>
              <w:spacing w:after="0"/>
              <w:rPr>
                <w:sz w:val="20"/>
                <w:szCs w:val="20"/>
                <w:color w:val="auto"/>
              </w:rPr>
            </w:pPr>
            <w:r>
              <w:rPr>
                <w:rFonts w:ascii="Arial" w:cs="Arial" w:eastAsia="Arial" w:hAnsi="Arial"/>
                <w:sz w:val="18"/>
                <w:szCs w:val="18"/>
                <w:color w:val="auto"/>
              </w:rPr>
              <w:t>issued and outstanding at September 30, 2021</w:t>
            </w:r>
          </w:p>
        </w:tc>
        <w:tc>
          <w:tcPr>
            <w:tcW w:w="180" w:type="dxa"/>
            <w:vAlign w:val="bottom"/>
          </w:tcPr>
          <w:p>
            <w:pPr>
              <w:spacing w:after="0"/>
              <w:rPr>
                <w:sz w:val="20"/>
                <w:szCs w:val="20"/>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79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Class B Common Stock, no par value, 65,000,000 shares authorized, 60,020,525 shares issued</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57,220,661 outstanding at September 30, 2021</w:t>
            </w: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700,773</w:t>
            </w:r>
          </w:p>
        </w:tc>
        <w:tc>
          <w:tcPr>
            <w:tcW w:w="2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(7,978)</w:t>
            </w:r>
          </w:p>
        </w:tc>
        <w:tc>
          <w:tcPr>
            <w:tcW w:w="2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590,177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7940" w:type="dxa"/>
            <w:vAlign w:val="bottom"/>
          </w:tcPr>
          <w:p>
            <w:pPr>
              <w:ind w:left="720"/>
              <w:spacing w:after="0"/>
              <w:rPr>
                <w:sz w:val="20"/>
                <w:szCs w:val="20"/>
                <w:color w:val="auto"/>
              </w:rPr>
            </w:pPr>
            <w:r>
              <w:rPr>
                <w:rFonts w:ascii="Arial" w:cs="Arial" w:eastAsia="Arial" w:hAnsi="Arial"/>
                <w:sz w:val="18"/>
                <w:szCs w:val="18"/>
                <w:b w:val="1"/>
                <w:bCs w:val="1"/>
                <w:color w:val="auto"/>
              </w:rPr>
              <w:t>Total equity</w:t>
            </w:r>
          </w:p>
        </w:tc>
        <w:tc>
          <w:tcPr>
            <w:tcW w:w="1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1,283,084</w:t>
            </w:r>
          </w:p>
        </w:tc>
        <w:tc>
          <w:tcPr>
            <w:tcW w:w="6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1,195,563</w:t>
            </w:r>
          </w:p>
        </w:tc>
        <w:tc>
          <w:tcPr>
            <w:tcW w:w="120" w:type="dxa"/>
            <w:vAlign w:val="bottom"/>
          </w:tcPr>
          <w:p>
            <w:pPr>
              <w:spacing w:after="0"/>
              <w:rPr>
                <w:sz w:val="20"/>
                <w:szCs w:val="20"/>
                <w:color w:val="auto"/>
              </w:rPr>
            </w:pPr>
          </w:p>
        </w:tc>
      </w:tr>
      <w:tr>
        <w:trPr>
          <w:trHeight w:val="216"/>
        </w:trPr>
        <w:tc>
          <w:tcPr>
            <w:tcW w:w="79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1,869,799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1,745,359</w:t>
            </w:r>
          </w:p>
        </w:tc>
      </w:tr>
      <w:tr>
        <w:trPr>
          <w:trHeight w:val="20"/>
        </w:trPr>
        <w:tc>
          <w:tcPr>
            <w:tcW w:w="7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Definitive Healthcare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share amounts and per share data;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ind w:left="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30,073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84,659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Cost of revenue exclusive of amortization shown below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5,129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7,876</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14,278</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62,505</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14,376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23,542</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 xml:space="preserve">Product development </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4,746</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2,618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12,817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7,566</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7,880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8,105</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9,760</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10,112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28,814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30,037</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expenses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30"/>
        </w:trPr>
        <w:tc>
          <w:tcPr>
            <w:tcW w:w="69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36,625</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23,600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102,857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69,998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(4,026)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(7,493)</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(loss) gain</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(7,186)</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(9,022)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(23,956)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(27,802)</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(9,873)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tcPr>
          <w:p>
            <w:pPr>
              <w:ind w:left="720"/>
              <w:spacing w:after="0"/>
              <w:rPr>
                <w:sz w:val="20"/>
                <w:szCs w:val="20"/>
                <w:color w:val="auto"/>
              </w:rPr>
            </w:pPr>
            <w:r>
              <w:rPr>
                <w:rFonts w:ascii="Arial" w:cs="Arial" w:eastAsia="Arial" w:hAnsi="Arial"/>
                <w:sz w:val="18"/>
                <w:szCs w:val="18"/>
                <w:color w:val="auto"/>
              </w:rPr>
              <w:t>Total other expense, net</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(16,940)</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(9,022)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(33,686)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(27,802)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(20,966)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(9,962)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(35,295)</w:t>
            </w:r>
          </w:p>
        </w:tc>
        <w:tc>
          <w:tcPr>
            <w:tcW w:w="0" w:type="dxa"/>
            <w:vAlign w:val="bottom"/>
          </w:tcPr>
          <w:p>
            <w:pPr>
              <w:spacing w:after="0"/>
              <w:rPr>
                <w:sz w:val="1"/>
                <w:szCs w:val="1"/>
                <w:color w:val="auto"/>
              </w:rPr>
            </w:pPr>
          </w:p>
        </w:tc>
      </w:tr>
      <w:tr>
        <w:trPr>
          <w:trHeight w:val="223"/>
        </w:trPr>
        <w:tc>
          <w:tcPr>
            <w:tcW w:w="6900" w:type="dxa"/>
            <w:vAlign w:val="bottom"/>
          </w:tcPr>
          <w:p>
            <w:pPr>
              <w:ind w:left="360"/>
              <w:spacing w:after="0"/>
              <w:rPr>
                <w:sz w:val="20"/>
                <w:szCs w:val="20"/>
                <w:color w:val="auto"/>
              </w:rPr>
            </w:pPr>
            <w:r>
              <w:rPr>
                <w:rFonts w:ascii="Arial" w:cs="Arial" w:eastAsia="Arial" w:hAnsi="Arial"/>
                <w:sz w:val="18"/>
                <w:szCs w:val="18"/>
                <w:color w:val="auto"/>
                <w:w w:val="95"/>
              </w:rPr>
              <w:t>Less: Net loss attributable to Definitive OpCo prior to the Reorganization Transactions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(7,816)</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(9,962)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(35,295)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Net loss attributable to noncontrolling interests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(5,172)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00" w:type="dxa"/>
            <w:vAlign w:val="bottom"/>
          </w:tcPr>
          <w:p>
            <w:pPr>
              <w:ind w:left="1080"/>
              <w:spacing w:after="0"/>
              <w:rPr>
                <w:sz w:val="20"/>
                <w:szCs w:val="20"/>
                <w:color w:val="auto"/>
              </w:rPr>
            </w:pPr>
            <w:r>
              <w:rPr>
                <w:rFonts w:ascii="Arial" w:cs="Arial" w:eastAsia="Arial" w:hAnsi="Arial"/>
                <w:sz w:val="18"/>
                <w:szCs w:val="18"/>
                <w:color w:val="auto"/>
              </w:rPr>
              <w:t>Net loss attributable to Definitive Healthcare Corp.</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of Class A Common Stock:</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7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outstanding: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7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88,263,333</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88,263,333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Amounts include equity-based compensation expense as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6"/>
          </w:tcPr>
          <w:p>
            <w:pPr>
              <w:ind w:left="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Definitive Healthcare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6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6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9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provided by operating activities:</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(20,966)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(9,962)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(46,493)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(35,295)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intangible assets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14,664</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14,605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43,498</w:t>
            </w:r>
          </w:p>
        </w:tc>
        <w:tc>
          <w:tcPr>
            <w:tcW w:w="0" w:type="dxa"/>
            <w:vAlign w:val="bottom"/>
          </w:tcPr>
          <w:p>
            <w:pPr>
              <w:spacing w:after="0"/>
              <w:rPr>
                <w:sz w:val="1"/>
                <w:szCs w:val="1"/>
                <w:color w:val="auto"/>
              </w:rPr>
            </w:pPr>
          </w:p>
        </w:tc>
      </w:tr>
      <w:tr>
        <w:trPr>
          <w:trHeight w:val="216"/>
        </w:trPr>
        <w:tc>
          <w:tcPr>
            <w:tcW w:w="6940" w:type="dxa"/>
            <w:vAlign w:val="bottom"/>
          </w:tcPr>
          <w:p>
            <w:pPr>
              <w:ind w:left="720"/>
              <w:spacing w:after="0"/>
              <w:rPr>
                <w:sz w:val="20"/>
                <w:szCs w:val="20"/>
                <w:color w:val="auto"/>
              </w:rPr>
            </w:pPr>
            <w:r>
              <w:rPr>
                <w:rFonts w:ascii="Arial" w:cs="Arial" w:eastAsia="Arial" w:hAnsi="Arial"/>
                <w:sz w:val="18"/>
                <w:szCs w:val="18"/>
                <w:color w:val="auto"/>
              </w:rPr>
              <w:t>Amortization of deferred contract costs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1,293</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3,195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Equity-based compensation</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2,317</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16"/>
        </w:trPr>
        <w:tc>
          <w:tcPr>
            <w:tcW w:w="6940" w:type="dxa"/>
            <w:vAlign w:val="bottom"/>
          </w:tcPr>
          <w:p>
            <w:pPr>
              <w:ind w:left="720"/>
              <w:spacing w:after="0"/>
              <w:rPr>
                <w:sz w:val="20"/>
                <w:szCs w:val="20"/>
                <w:color w:val="auto"/>
              </w:rPr>
            </w:pPr>
            <w:r>
              <w:rPr>
                <w:rFonts w:ascii="Arial" w:cs="Arial" w:eastAsia="Arial" w:hAnsi="Arial"/>
                <w:sz w:val="18"/>
                <w:szCs w:val="18"/>
                <w:color w:val="auto"/>
              </w:rPr>
              <w:t>Noncash paid in kind interest expense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7,371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16"/>
        </w:trPr>
        <w:tc>
          <w:tcPr>
            <w:tcW w:w="6940" w:type="dxa"/>
            <w:vAlign w:val="bottom"/>
          </w:tcPr>
          <w:p>
            <w:pPr>
              <w:ind w:left="720"/>
              <w:spacing w:after="0"/>
              <w:rPr>
                <w:sz w:val="20"/>
                <w:szCs w:val="20"/>
                <w:color w:val="auto"/>
              </w:rPr>
            </w:pPr>
            <w:r>
              <w:rPr>
                <w:rFonts w:ascii="Arial" w:cs="Arial" w:eastAsia="Arial" w:hAnsi="Arial"/>
                <w:sz w:val="18"/>
                <w:szCs w:val="18"/>
                <w:color w:val="auto"/>
              </w:rPr>
              <w:t>Provision for doubtful accounts receivable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on extinguishment of debt (non-cash portion)</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9,843</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720"/>
              <w:spacing w:after="0"/>
              <w:rPr>
                <w:sz w:val="20"/>
                <w:szCs w:val="20"/>
                <w:color w:val="auto"/>
              </w:rPr>
            </w:pPr>
            <w:r>
              <w:rPr>
                <w:rFonts w:ascii="Arial" w:cs="Arial" w:eastAsia="Arial" w:hAnsi="Arial"/>
                <w:sz w:val="18"/>
                <w:szCs w:val="18"/>
                <w:color w:val="auto"/>
              </w:rPr>
              <w:t>Changes in fair value of contingent consideration</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3,169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(5,297)</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(1,130)</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5,179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940" w:type="dxa"/>
            <w:vAlign w:val="bottom"/>
          </w:tcPr>
          <w:p>
            <w:pPr>
              <w:ind w:left="720"/>
              <w:spacing w:after="0"/>
              <w:rPr>
                <w:sz w:val="20"/>
                <w:szCs w:val="20"/>
                <w:color w:val="auto"/>
              </w:rPr>
            </w:pPr>
            <w:r>
              <w:rPr>
                <w:rFonts w:ascii="Arial" w:cs="Arial" w:eastAsia="Arial" w:hAnsi="Arial"/>
                <w:sz w:val="18"/>
                <w:szCs w:val="18"/>
                <w:color w:val="auto"/>
              </w:rPr>
              <w:t>Deferred contract costs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(3,001)</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(1,769)</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(9,043)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 accrued expenses and other current liabilities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(1,846)</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(3,344)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(7,283)</w:t>
            </w:r>
          </w:p>
        </w:tc>
        <w:tc>
          <w:tcPr>
            <w:tcW w:w="0" w:type="dxa"/>
            <w:vAlign w:val="bottom"/>
          </w:tcPr>
          <w:p>
            <w:pPr>
              <w:spacing w:after="0"/>
              <w:rPr>
                <w:sz w:val="1"/>
                <w:szCs w:val="1"/>
                <w:color w:val="auto"/>
              </w:rPr>
            </w:pPr>
          </w:p>
        </w:tc>
      </w:tr>
      <w:tr>
        <w:trPr>
          <w:trHeight w:val="216"/>
        </w:trPr>
        <w:tc>
          <w:tcPr>
            <w:tcW w:w="694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(2,446)</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9,023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(948)</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14,544</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equipment, and other assets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Cash paid for acquisitions, net of cash acquired</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(6,935)</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(6,935)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(7,101)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(7,996)</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term loan</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275,000</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275,000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Repayments of term loans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(470,402)</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(1,125)</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(472,742)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revolving credit facility</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25,000</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Payment of contingent consideration</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debt issuance costs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Proceeds from equity offering, net of underwriting discounts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452,812</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452,812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outstanding equity/Definitive OpCo units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(92,812)</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(92,812)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Payments of IPO issuance costs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(4,519)</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(5,913)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Member contributions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Member distributions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(3,811)</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(2,061)</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(7,139)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152,757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(3,186)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149,695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19,516</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151,369</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(9,492)</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165,026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26,064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exchange rate changes on cash and cash equivalents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Cash and cash equivalents, beginning of period</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38,438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44,174</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24,774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8,618</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end of period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189,752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34,682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189,752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34,682</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disclosures:</w:t>
            </w: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interest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27,587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23,043</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Cash paid for income taxes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activities: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w w:val="97"/>
              </w:rPr>
              <w:t>Net increase (decrease) in accrued capital expenditures, including purchases of data</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Increase in unpaid public offering costs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3,055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5,481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4" w:name="page15"/>
    <w:bookmarkEnd w:id="1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Definitive Healthcare Corp.</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Reconciliations of Non-GAAP Financial Measures to Closest GAAP Equivalent</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Reconciliation of GAAP Operating Cash Flow to Unlevered Free Cash Flow</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(in thousands; unaudited)</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3"/>
              </w:rPr>
              <w:t>Three Months Ended</w:t>
            </w:r>
          </w:p>
        </w:tc>
        <w:tc>
          <w:tcPr>
            <w:tcW w:w="15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9"/>
              </w:rPr>
              <w:t>Nine Months Ended</w:t>
            </w:r>
          </w:p>
        </w:tc>
      </w:tr>
      <w:tr>
        <w:trPr>
          <w:trHeight w:val="171"/>
        </w:trPr>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15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09"/>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$20,993</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$14,544</w:t>
            </w:r>
          </w:p>
        </w:tc>
        <w:tc>
          <w:tcPr>
            <w:tcW w:w="120" w:type="dxa"/>
            <w:vAlign w:val="bottom"/>
            <w:shd w:val="clear" w:color="auto" w:fill="CCEEFF"/>
          </w:tcPr>
          <w:p>
            <w:pPr>
              <w:spacing w:after="0"/>
              <w:rPr>
                <w:sz w:val="18"/>
                <w:szCs w:val="18"/>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Purchases of property and equipment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(5,662)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(1,061)</w:t>
            </w: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paid in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11,615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9,157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27,587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23,043</w:t>
            </w: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 xml:space="preserve">Transaction expenses paid in cash </w:t>
            </w:r>
            <w:r>
              <w:rPr>
                <w:rFonts w:ascii="Arial" w:cs="Arial" w:eastAsia="Arial" w:hAnsi="Arial"/>
                <w:sz w:val="15"/>
                <w:szCs w:val="15"/>
                <w:color w:val="auto"/>
              </w:rPr>
              <w:t>(a)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748</w:t>
            </w: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Other non-recurring items </w:t>
            </w:r>
            <w:r>
              <w:rPr>
                <w:rFonts w:ascii="Arial" w:cs="Arial" w:eastAsia="Arial" w:hAnsi="Arial"/>
                <w:sz w:val="15"/>
                <w:szCs w:val="15"/>
                <w:color w:val="auto"/>
              </w:rPr>
              <w:t>(b)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1,804</w:t>
            </w:r>
          </w:p>
        </w:tc>
      </w:tr>
      <w:tr>
        <w:trPr>
          <w:trHeight w:val="223"/>
        </w:trPr>
        <w:tc>
          <w:tcPr>
            <w:tcW w:w="7920" w:type="dxa"/>
            <w:vAlign w:val="bottom"/>
          </w:tcPr>
          <w:p>
            <w:pPr>
              <w:ind w:left="720"/>
              <w:spacing w:after="0"/>
              <w:rPr>
                <w:sz w:val="20"/>
                <w:szCs w:val="20"/>
                <w:color w:val="auto"/>
              </w:rPr>
            </w:pPr>
            <w:r>
              <w:rPr>
                <w:rFonts w:ascii="Arial" w:cs="Arial" w:eastAsia="Arial" w:hAnsi="Arial"/>
                <w:sz w:val="18"/>
                <w:szCs w:val="18"/>
                <w:b w:val="1"/>
                <w:bCs w:val="1"/>
                <w:color w:val="auto"/>
              </w:rPr>
              <w:t>Unlevered Free Cash Flow</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11,451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9,863</w:t>
            </w: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46,394</w:t>
            </w: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39,078</w:t>
            </w:r>
          </w:p>
        </w:tc>
        <w:tc>
          <w:tcPr>
            <w:tcW w:w="120" w:type="dxa"/>
            <w:vAlign w:val="bottom"/>
          </w:tcPr>
          <w:p>
            <w:pPr>
              <w:spacing w:after="0"/>
              <w:rPr>
                <w:sz w:val="19"/>
                <w:szCs w:val="19"/>
                <w:color w:val="auto"/>
              </w:rPr>
            </w:pP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Transaction expenses paid in cash primarily represent legal, accounting and consulting expenses related to our acquisitions.</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Reconciliation of GAAP Net Income (Loss) to Adjusted Net Income and GAAP Operating</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Income to Adjusted Operating Income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(in thousands, except per share amounts; unaudited)</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(9,962)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(35,295)</w:t>
            </w:r>
          </w:p>
        </w:tc>
        <w:tc>
          <w:tcPr>
            <w:tcW w:w="120" w:type="dxa"/>
            <w:vAlign w:val="bottom"/>
            <w:shd w:val="clear" w:color="auto" w:fill="CCEEFF"/>
          </w:tcPr>
          <w:p>
            <w:pPr>
              <w:spacing w:after="0"/>
              <w:rPr>
                <w:sz w:val="18"/>
                <w:szCs w:val="18"/>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Add: Interest expense, net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7,186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9,022</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23,956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27,802</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Loss from extinguishment from debt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Add: Foreign currency loss (gain)</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4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(7,493)</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Add: Amortization of acquired technology</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4,759</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15,125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14,175</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Amortization of other acquired intangibles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9,811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29,220</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Add: Equity-based compensation</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1,330</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Transaction expenses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748</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Add: Other non-recurring items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1,804</w:t>
            </w:r>
          </w:p>
        </w:tc>
      </w:tr>
      <w:tr>
        <w:trPr>
          <w:trHeight w:val="27"/>
        </w:trPr>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4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Adjusted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14,165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39,784</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Less: Interest expense, net</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(7,186)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(9,022)</w:t>
            </w:r>
          </w:p>
        </w:tc>
        <w:tc>
          <w:tcPr>
            <w:tcW w:w="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(23,956)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(27,802)</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Foreign currency (loss) gain</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Less: Tax impacts of adjustments to net income (loss)</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(4,472)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(10,304)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4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Adjusted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11,982</w:t>
            </w:r>
          </w:p>
        </w:tc>
      </w:tr>
      <w:tr>
        <w:trPr>
          <w:trHeight w:val="224"/>
        </w:trPr>
        <w:tc>
          <w:tcPr>
            <w:tcW w:w="6480" w:type="dxa"/>
            <w:vAlign w:val="bottom"/>
          </w:tcPr>
          <w:p>
            <w:pPr>
              <w:spacing w:after="0"/>
              <w:rPr>
                <w:sz w:val="20"/>
                <w:szCs w:val="20"/>
                <w:color w:val="auto"/>
              </w:rPr>
            </w:pPr>
            <w:r>
              <w:rPr>
                <w:rFonts w:ascii="Arial" w:cs="Arial" w:eastAsia="Arial" w:hAnsi="Arial"/>
                <w:sz w:val="18"/>
                <w:szCs w:val="18"/>
                <w:color w:val="auto"/>
              </w:rPr>
              <w:t xml:space="preserve">Shares for Adjusted Net Income Per Share </w:t>
            </w:r>
            <w:r>
              <w:rPr>
                <w:rFonts w:ascii="Arial" w:cs="Arial" w:eastAsia="Arial" w:hAnsi="Arial"/>
                <w:sz w:val="15"/>
                <w:szCs w:val="15"/>
                <w:color w:val="auto"/>
              </w:rPr>
              <w:t>(a)</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148,298,331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148,298,331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07"/>
        </w:trPr>
        <w:tc>
          <w:tcPr>
            <w:tcW w:w="6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424" w:right="200" w:hanging="424"/>
        <w:spacing w:after="0" w:line="301"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color w:val="auto"/>
        </w:rPr>
        <w:t>Diluted Adjusted Net Income Per Share is computed by giving effect to all potential weighted average Class A common stock and any securities that are convertible into Class A common stock, including Definitive OpCo units and restricted stock units. The dilutive effect of outstanding awards and convertible securities is reflected in diluted earnings per share by application of the treasury stock method assuming proceeds from unrecognized compensation as required by GAAP. Fully diluted shares are 149,745,883 as of September 30, 2021.</w:t>
      </w:r>
    </w:p>
    <w:p>
      <w:pPr>
        <w:spacing w:after="0" w:line="15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Reconciliation of Adjusted EBITDA to GAAP Net (Loss) Income</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(in thousands; unaudited)</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8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7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8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72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r>
      <w:tr>
        <w:trPr>
          <w:trHeight w:val="209"/>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(20,966)</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 (9,962)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(46,493)</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$(35,295)</w:t>
            </w:r>
          </w:p>
        </w:tc>
        <w:tc>
          <w:tcPr>
            <w:tcW w:w="22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Interest expense, net</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7,186</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9,022</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23,956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27,802</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Loss from extinguishment of debt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9,873</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9,873</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15,116</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14,906</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44,710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44,315</w:t>
            </w:r>
          </w:p>
        </w:tc>
      </w:tr>
      <w:tr>
        <w:trPr>
          <w:trHeight w:val="27"/>
        </w:trPr>
        <w:tc>
          <w:tcPr>
            <w:tcW w:w="4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11,209</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$13,966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32,046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$ 36,822</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15"/>
                <w:szCs w:val="15"/>
                <w:color w:val="auto"/>
              </w:rPr>
              <w:t>(a)</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(119)</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(143)</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Equity-based compensation </w:t>
            </w:r>
            <w:r>
              <w:rPr>
                <w:rFonts w:ascii="Arial" w:cs="Arial" w:eastAsia="Arial" w:hAnsi="Arial"/>
                <w:sz w:val="15"/>
                <w:szCs w:val="15"/>
                <w:color w:val="auto"/>
              </w:rPr>
              <w:t>(b)</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2,317</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4,338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1,330</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 xml:space="preserve">Transaction expenses </w:t>
            </w:r>
            <w:r>
              <w:rPr>
                <w:rFonts w:ascii="Arial" w:cs="Arial" w:eastAsia="Arial" w:hAnsi="Arial"/>
                <w:sz w:val="15"/>
                <w:szCs w:val="15"/>
                <w:color w:val="auto"/>
              </w:rPr>
              <w:t>(c )</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(137)</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3,332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748</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non-recurring items </w:t>
            </w:r>
            <w:r>
              <w:rPr>
                <w:rFonts w:ascii="Arial" w:cs="Arial" w:eastAsia="Arial" w:hAnsi="Arial"/>
                <w:sz w:val="15"/>
                <w:szCs w:val="15"/>
                <w:color w:val="auto"/>
              </w:rPr>
              <w:t>(d)</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1,149</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3,313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1,804</w:t>
            </w:r>
          </w:p>
        </w:tc>
      </w:tr>
      <w:tr>
        <w:trPr>
          <w:trHeight w:val="223"/>
        </w:trPr>
        <w:tc>
          <w:tcPr>
            <w:tcW w:w="472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14,419</w:t>
            </w:r>
          </w:p>
        </w:tc>
        <w:tc>
          <w:tcPr>
            <w:tcW w:w="4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$14,501</w:t>
            </w:r>
          </w:p>
        </w:tc>
        <w:tc>
          <w:tcPr>
            <w:tcW w:w="4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42,886</w:t>
            </w: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$ 40,704</w:t>
            </w:r>
          </w:p>
        </w:tc>
        <w:tc>
          <w:tcPr>
            <w:tcW w:w="220" w:type="dxa"/>
            <w:vAlign w:val="bottom"/>
          </w:tcPr>
          <w:p>
            <w:pPr>
              <w:spacing w:after="0"/>
              <w:rPr>
                <w:sz w:val="19"/>
                <w:szCs w:val="19"/>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43,084</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$30,073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119,841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$ 84,659</w:t>
            </w:r>
          </w:p>
        </w:tc>
      </w:tr>
      <w:tr>
        <w:trPr>
          <w:trHeight w:val="216"/>
        </w:trPr>
        <w:tc>
          <w:tcPr>
            <w:tcW w:w="4720" w:type="dxa"/>
            <w:vAlign w:val="bottom"/>
          </w:tcPr>
          <w:p>
            <w:pPr>
              <w:spacing w:after="0"/>
              <w:rPr>
                <w:sz w:val="20"/>
                <w:szCs w:val="20"/>
                <w:color w:val="auto"/>
              </w:rPr>
            </w:pPr>
            <w:r>
              <w:rPr>
                <w:rFonts w:ascii="Arial" w:cs="Arial" w:eastAsia="Arial" w:hAnsi="Arial"/>
                <w:sz w:val="18"/>
                <w:szCs w:val="18"/>
                <w:b w:val="1"/>
                <w:bCs w:val="1"/>
                <w:color w:val="auto"/>
              </w:rPr>
              <w:t>Adjusted EBITDA margin</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r>
      <w:tr>
        <w:trPr>
          <w:trHeight w:val="20"/>
        </w:trPr>
        <w:tc>
          <w:tcPr>
            <w:tcW w:w="4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Primarily represents foreign exchange remeasurement gains and losses.</w:t>
      </w:r>
    </w:p>
    <w:p>
      <w:pPr>
        <w:spacing w:after="0" w:line="23" w:lineRule="exact"/>
        <w:rPr>
          <w:rFonts w:ascii="Arial" w:cs="Arial" w:eastAsia="Arial" w:hAnsi="Arial"/>
          <w:sz w:val="18"/>
          <w:szCs w:val="18"/>
          <w:color w:val="auto"/>
        </w:rPr>
      </w:pPr>
    </w:p>
    <w:p>
      <w:pPr>
        <w:ind w:left="424" w:right="440" w:hanging="424"/>
        <w:spacing w:after="0" w:line="250"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Equity-based compensation represents non-cash compensation expense recognized in association with equity awards made to employees and directors.</w:t>
      </w:r>
    </w:p>
    <w:p>
      <w:pPr>
        <w:ind w:left="424" w:right="20" w:hanging="424"/>
        <w:spacing w:after="0" w:line="250"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Transaction expenses primarily represent legal, accounting and consulting expenses and fair value adjustments for contingent consideration related to our acquisitions.</w:t>
      </w: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w:t>
      </w:r>
    </w:p>
    <w:p>
      <w:pPr>
        <w:sectPr>
          <w:pgSz w:w="11900" w:h="16838" w:orient="portrait"/>
          <w:cols w:equalWidth="0" w:num="1">
            <w:col w:w="11024"/>
          </w:cols>
          <w:pgMar w:left="436" w:top="270" w:right="439" w:bottom="0" w:gutter="0" w:footer="0" w:header="0"/>
        </w:sectPr>
      </w:pPr>
    </w:p>
    <w:bookmarkStart w:id="15" w:name="page16"/>
    <w:bookmarkEnd w:id="15"/>
    <w:p>
      <w:pPr>
        <w:jc w:val="center"/>
        <w:ind w:right="-3"/>
        <w:spacing w:after="0"/>
        <w:rPr>
          <w:sz w:val="20"/>
          <w:szCs w:val="20"/>
          <w:color w:val="auto"/>
        </w:rPr>
      </w:pPr>
      <w:r>
        <w:rPr>
          <w:rFonts w:ascii="Arial" w:cs="Arial" w:eastAsia="Arial" w:hAnsi="Arial"/>
          <w:sz w:val="18"/>
          <w:szCs w:val="18"/>
          <w:color w:val="auto"/>
        </w:rPr>
        <w:t>Reconciliation of Adjusted Gross Profit to GAAP Gross Profit</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(in thousands; unaudited)</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7"/>
              </w:rPr>
              <w:t>Nine Months Ended</w:t>
            </w:r>
          </w:p>
        </w:tc>
      </w:tr>
      <w:tr>
        <w:trPr>
          <w:trHeight w:val="171"/>
        </w:trPr>
        <w:tc>
          <w:tcPr>
            <w:tcW w:w="6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2"/>
                <w:szCs w:val="12"/>
                <w:color w:val="auto"/>
              </w:rPr>
            </w:pP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Reported gross profit</w:t>
            </w: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$32,599</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$22,660</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90,050</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$62,505</w:t>
            </w:r>
          </w:p>
        </w:tc>
        <w:tc>
          <w:tcPr>
            <w:tcW w:w="220" w:type="dxa"/>
            <w:vAlign w:val="bottom"/>
            <w:tcBorders>
              <w:top w:val="single" w:sz="8" w:color="CCEEFF"/>
            </w:tcBorders>
            <w:shd w:val="clear" w:color="auto" w:fill="CCEEFF"/>
          </w:tcPr>
          <w:p>
            <w:pPr>
              <w:spacing w:after="0"/>
              <w:rPr>
                <w:sz w:val="18"/>
                <w:szCs w:val="18"/>
                <w:color w:val="auto"/>
              </w:rPr>
            </w:pP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w w:val="98"/>
              </w:rPr>
              <w:t>Amortization of intangible assets resulting from acquisition-related purchase accounting</w:t>
            </w: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6880" w:type="dxa"/>
            <w:vAlign w:val="bottom"/>
          </w:tcPr>
          <w:p>
            <w:pPr>
              <w:ind w:left="18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15"/>
                <w:szCs w:val="15"/>
                <w:color w:val="auto"/>
              </w:rPr>
              <w:t>(a)</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5,096</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4,759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15,125</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14,175</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costs</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r>
      <w:tr>
        <w:trPr>
          <w:trHeight w:val="223"/>
        </w:trPr>
        <w:tc>
          <w:tcPr>
            <w:tcW w:w="6880" w:type="dxa"/>
            <w:vAlign w:val="bottom"/>
          </w:tcPr>
          <w:p>
            <w:pPr>
              <w:spacing w:after="0"/>
              <w:rPr>
                <w:sz w:val="20"/>
                <w:szCs w:val="20"/>
                <w:color w:val="auto"/>
              </w:rPr>
            </w:pPr>
            <w:r>
              <w:rPr>
                <w:rFonts w:ascii="Arial" w:cs="Arial" w:eastAsia="Arial" w:hAnsi="Arial"/>
                <w:sz w:val="18"/>
                <w:szCs w:val="18"/>
                <w:b w:val="1"/>
                <w:bCs w:val="1"/>
                <w:color w:val="auto"/>
              </w:rPr>
              <w:t>Adjusted Gross Profit</w:t>
            </w:r>
          </w:p>
        </w:tc>
        <w:tc>
          <w:tcPr>
            <w:tcW w:w="5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$37,743</w:t>
            </w:r>
          </w:p>
        </w:tc>
        <w:tc>
          <w:tcPr>
            <w:tcW w:w="3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$27,435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105,254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$76,726</w:t>
            </w:r>
          </w:p>
        </w:tc>
        <w:tc>
          <w:tcPr>
            <w:tcW w:w="220" w:type="dxa"/>
            <w:vAlign w:val="bottom"/>
          </w:tcPr>
          <w:p>
            <w:pPr>
              <w:spacing w:after="0"/>
              <w:rPr>
                <w:sz w:val="19"/>
                <w:szCs w:val="19"/>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$43,084</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$30,073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119,841</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$84,659</w:t>
            </w:r>
          </w:p>
        </w:tc>
      </w:tr>
      <w:tr>
        <w:trPr>
          <w:trHeight w:val="216"/>
        </w:trPr>
        <w:tc>
          <w:tcPr>
            <w:tcW w:w="6880" w:type="dxa"/>
            <w:vAlign w:val="bottom"/>
          </w:tcPr>
          <w:p>
            <w:pPr>
              <w:spacing w:after="0"/>
              <w:rPr>
                <w:sz w:val="20"/>
                <w:szCs w:val="20"/>
                <w:color w:val="auto"/>
              </w:rPr>
            </w:pPr>
            <w:r>
              <w:rPr>
                <w:rFonts w:ascii="Arial" w:cs="Arial" w:eastAsia="Arial" w:hAnsi="Arial"/>
                <w:sz w:val="18"/>
                <w:szCs w:val="18"/>
                <w:b w:val="1"/>
                <w:bCs w:val="1"/>
                <w:color w:val="auto"/>
              </w:rPr>
              <w:t>Adjusted Gross Margin</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88%</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91%</w:t>
            </w:r>
          </w:p>
        </w:tc>
      </w:tr>
      <w:tr>
        <w:trPr>
          <w:trHeight w:val="20"/>
        </w:trPr>
        <w:tc>
          <w:tcPr>
            <w:tcW w:w="6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560" w:hanging="424"/>
        <w:spacing w:after="0" w:line="277"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sectPr>
      <w:pgSz w:w="11900" w:h="16838" w:orient="portrait"/>
      <w:cols w:equalWidth="0" w:num="1">
        <w:col w:w="11024"/>
      </w:cols>
      <w:pgMar w:left="436"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412"/>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2021-11-08T15:22:37Z</dcterms:created>
  <dcterms:modified xsi:type="dcterms:W3CDTF">2021-11-08T15:22:37Z</dcterms:modified>
</cp:coreProperties>
</file>