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September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Definitive Healthcare Corp.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324"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5560" w:type="dxa"/>
            <w:vAlign w:val="bottom"/>
          </w:tcPr>
          <w:p>
            <w:pPr>
              <w:jc w:val="center"/>
              <w:ind w:right="1138"/>
              <w:spacing w:after="0"/>
              <w:rPr>
                <w:sz w:val="20"/>
                <w:szCs w:val="20"/>
                <w:color w:val="auto"/>
              </w:rPr>
            </w:pPr>
            <w:r>
              <w:rPr>
                <w:rFonts w:ascii="Arial" w:cs="Arial" w:eastAsia="Arial" w:hAnsi="Arial"/>
                <w:sz w:val="18"/>
                <w:szCs w:val="18"/>
                <w:b w:val="1"/>
                <w:bCs w:val="1"/>
                <w:color w:val="auto"/>
                <w:w w:val="90"/>
              </w:rPr>
              <w:t>Commission file number 1-40815</w:t>
            </w:r>
          </w:p>
        </w:tc>
      </w:tr>
      <w:tr>
        <w:trPr>
          <w:trHeight w:val="436"/>
        </w:trPr>
        <w:tc>
          <w:tcPr>
            <w:tcW w:w="1020" w:type="dxa"/>
            <w:vAlign w:val="bottom"/>
          </w:tcPr>
          <w:p>
            <w:pPr>
              <w:jc w:val="center"/>
              <w:ind w:right="22"/>
              <w:spacing w:after="0"/>
              <w:rPr>
                <w:sz w:val="20"/>
                <w:szCs w:val="20"/>
                <w:color w:val="auto"/>
              </w:rPr>
            </w:pPr>
            <w:r>
              <w:rPr>
                <w:rFonts w:ascii="Arial" w:cs="Arial" w:eastAsia="Arial" w:hAnsi="Arial"/>
                <w:sz w:val="18"/>
                <w:szCs w:val="18"/>
                <w:b w:val="1"/>
                <w:bCs w:val="1"/>
                <w:color w:val="auto"/>
                <w:w w:val="91"/>
              </w:rPr>
              <w:t>Delaware</w:t>
            </w:r>
          </w:p>
        </w:tc>
        <w:tc>
          <w:tcPr>
            <w:tcW w:w="5560" w:type="dxa"/>
            <w:vAlign w:val="bottom"/>
          </w:tcPr>
          <w:p>
            <w:pPr>
              <w:jc w:val="center"/>
              <w:ind w:left="4358"/>
              <w:spacing w:after="0"/>
              <w:rPr>
                <w:sz w:val="20"/>
                <w:szCs w:val="20"/>
                <w:color w:val="auto"/>
              </w:rPr>
            </w:pPr>
            <w:r>
              <w:rPr>
                <w:rFonts w:ascii="Arial" w:cs="Arial" w:eastAsia="Arial" w:hAnsi="Arial"/>
                <w:sz w:val="18"/>
                <w:szCs w:val="18"/>
                <w:b w:val="1"/>
                <w:bCs w:val="1"/>
                <w:color w:val="auto"/>
                <w:w w:val="91"/>
              </w:rPr>
              <w:t>86-3988281</w:t>
            </w:r>
          </w:p>
        </w:tc>
      </w:tr>
      <w:tr>
        <w:trPr>
          <w:trHeight w:val="148"/>
        </w:trPr>
        <w:tc>
          <w:tcPr>
            <w:tcW w:w="10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(State of</w:t>
            </w:r>
          </w:p>
        </w:tc>
        <w:tc>
          <w:tcPr>
            <w:tcW w:w="5560" w:type="dxa"/>
            <w:vAlign w:val="bottom"/>
          </w:tcPr>
          <w:p>
            <w:pPr>
              <w:jc w:val="center"/>
              <w:ind w:left="435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02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incorporation)</w:t>
            </w:r>
          </w:p>
        </w:tc>
        <w:tc>
          <w:tcPr>
            <w:tcW w:w="5560" w:type="dxa"/>
            <w:vAlign w:val="bottom"/>
          </w:tcPr>
          <w:p>
            <w:pPr>
              <w:jc w:val="center"/>
              <w:ind w:left="4358"/>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Arial" w:cs="Arial" w:eastAsia="Arial" w:hAnsi="Arial"/>
                <w:sz w:val="18"/>
                <w:szCs w:val="18"/>
                <w:b w:val="1"/>
                <w:bCs w:val="1"/>
                <w:color w:val="auto"/>
                <w:w w:val="91"/>
              </w:rPr>
              <w:t>550 Cochituate Rd</w:t>
            </w:r>
          </w:p>
        </w:tc>
      </w:tr>
      <w:tr>
        <w:trPr>
          <w:trHeight w:val="212"/>
        </w:trPr>
        <w:tc>
          <w:tcPr>
            <w:tcW w:w="1020" w:type="dxa"/>
            <w:vAlign w:val="bottom"/>
          </w:tcPr>
          <w:p>
            <w:pPr>
              <w:spacing w:after="0"/>
              <w:rPr>
                <w:sz w:val="18"/>
                <w:szCs w:val="18"/>
                <w:color w:val="auto"/>
              </w:rPr>
            </w:pPr>
          </w:p>
        </w:tc>
        <w:tc>
          <w:tcPr>
            <w:tcW w:w="5560" w:type="dxa"/>
            <w:vAlign w:val="bottom"/>
          </w:tcPr>
          <w:p>
            <w:pPr>
              <w:jc w:val="center"/>
              <w:ind w:right="1138"/>
              <w:spacing w:after="0"/>
              <w:rPr>
                <w:sz w:val="20"/>
                <w:szCs w:val="20"/>
                <w:color w:val="auto"/>
              </w:rPr>
            </w:pPr>
            <w:r>
              <w:rPr>
                <w:rFonts w:ascii="Arial" w:cs="Arial" w:eastAsia="Arial" w:hAnsi="Arial"/>
                <w:sz w:val="18"/>
                <w:szCs w:val="18"/>
                <w:b w:val="1"/>
                <w:bCs w:val="1"/>
                <w:color w:val="auto"/>
                <w:w w:val="94"/>
              </w:rPr>
              <w:t>Framingham, MA 01701</w:t>
            </w:r>
          </w:p>
        </w:tc>
      </w:tr>
      <w:tr>
        <w:trPr>
          <w:trHeight w:val="186"/>
        </w:trPr>
        <w:tc>
          <w:tcPr>
            <w:tcW w:w="1020" w:type="dxa"/>
            <w:vAlign w:val="bottom"/>
          </w:tcPr>
          <w:p>
            <w:pPr>
              <w:spacing w:after="0"/>
              <w:rPr>
                <w:sz w:val="16"/>
                <w:szCs w:val="16"/>
                <w:color w:val="auto"/>
              </w:rPr>
            </w:pPr>
          </w:p>
        </w:tc>
        <w:tc>
          <w:tcPr>
            <w:tcW w:w="5560" w:type="dxa"/>
            <w:vAlign w:val="bottom"/>
          </w:tcPr>
          <w:p>
            <w:pPr>
              <w:jc w:val="center"/>
              <w:ind w:right="1138"/>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394"/>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Arial" w:cs="Arial" w:eastAsia="Arial" w:hAnsi="Arial"/>
                <w:sz w:val="18"/>
                <w:szCs w:val="18"/>
                <w:b w:val="1"/>
                <w:bCs w:val="1"/>
                <w:color w:val="auto"/>
                <w:w w:val="90"/>
              </w:rPr>
              <w:t>(508) 720-4224</w:t>
            </w:r>
          </w:p>
        </w:tc>
      </w:tr>
      <w:tr>
        <w:trPr>
          <w:trHeight w:val="186"/>
        </w:trPr>
        <w:tc>
          <w:tcPr>
            <w:tcW w:w="1020" w:type="dxa"/>
            <w:vAlign w:val="bottom"/>
          </w:tcPr>
          <w:p>
            <w:pPr>
              <w:spacing w:after="0"/>
              <w:rPr>
                <w:sz w:val="16"/>
                <w:szCs w:val="16"/>
                <w:color w:val="auto"/>
              </w:rPr>
            </w:pPr>
          </w:p>
        </w:tc>
        <w:tc>
          <w:tcPr>
            <w:tcW w:w="5560" w:type="dxa"/>
            <w:vAlign w:val="bottom"/>
          </w:tcPr>
          <w:p>
            <w:pPr>
              <w:jc w:val="center"/>
              <w:ind w:right="115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94"/>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1020" w:type="dxa"/>
            <w:vAlign w:val="bottom"/>
          </w:tcPr>
          <w:p>
            <w:pPr>
              <w:spacing w:after="0"/>
              <w:rPr>
                <w:sz w:val="16"/>
                <w:szCs w:val="16"/>
                <w:color w:val="auto"/>
              </w:rPr>
            </w:pPr>
          </w:p>
        </w:tc>
        <w:tc>
          <w:tcPr>
            <w:tcW w:w="5560" w:type="dxa"/>
            <w:vAlign w:val="bottom"/>
          </w:tcPr>
          <w:p>
            <w:pPr>
              <w:jc w:val="center"/>
              <w:ind w:right="113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221615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Class A 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DH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On September 17, 2021 (the “</w:t>
      </w:r>
      <w:r>
        <w:rPr>
          <w:rFonts w:ascii="Arial" w:cs="Arial" w:eastAsia="Arial" w:hAnsi="Arial"/>
          <w:sz w:val="16"/>
          <w:szCs w:val="16"/>
          <w:u w:val="single" w:color="auto"/>
          <w:color w:val="auto"/>
        </w:rPr>
        <w:t>Closing Date</w:t>
      </w:r>
      <w:r>
        <w:rPr>
          <w:rFonts w:ascii="Arial" w:cs="Arial" w:eastAsia="Arial" w:hAnsi="Arial"/>
          <w:sz w:val="16"/>
          <w:szCs w:val="16"/>
          <w:color w:val="auto"/>
        </w:rPr>
        <w:t>”), Definitive Healthcare Holdings, LLC, a Delaware limited liability company (“</w:t>
      </w:r>
      <w:r>
        <w:rPr>
          <w:rFonts w:ascii="Arial" w:cs="Arial" w:eastAsia="Arial" w:hAnsi="Arial"/>
          <w:sz w:val="16"/>
          <w:szCs w:val="16"/>
          <w:u w:val="single" w:color="auto"/>
          <w:color w:val="auto"/>
        </w:rPr>
        <w:t>DHH</w:t>
      </w:r>
      <w:r>
        <w:rPr>
          <w:rFonts w:ascii="Arial" w:cs="Arial" w:eastAsia="Arial" w:hAnsi="Arial"/>
          <w:sz w:val="16"/>
          <w:szCs w:val="16"/>
          <w:color w:val="auto"/>
        </w:rPr>
        <w:t>”), an indirect subsidiary of Definitive Healthcare Corp.,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 credit agreement (the “</w:t>
      </w:r>
      <w:r>
        <w:rPr>
          <w:rFonts w:ascii="Arial" w:cs="Arial" w:eastAsia="Arial" w:hAnsi="Arial"/>
          <w:sz w:val="16"/>
          <w:szCs w:val="16"/>
          <w:u w:val="single" w:color="auto"/>
          <w:color w:val="auto"/>
        </w:rPr>
        <w:t>DHH Credit Agreement</w:t>
      </w:r>
      <w:r>
        <w:rPr>
          <w:rFonts w:ascii="Arial" w:cs="Arial" w:eastAsia="Arial" w:hAnsi="Arial"/>
          <w:sz w:val="16"/>
          <w:szCs w:val="16"/>
          <w:color w:val="auto"/>
        </w:rPr>
        <w:t>”), dated as of September 17, 2021, with Bank of America, N.A., as administrative agent, the lenders party thereto and the other parties specified therein.</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DHH Credit Agreement provides for (i) a $275 million term loan A facility (the “</w:t>
      </w:r>
      <w:r>
        <w:rPr>
          <w:rFonts w:ascii="Arial" w:cs="Arial" w:eastAsia="Arial" w:hAnsi="Arial"/>
          <w:sz w:val="18"/>
          <w:szCs w:val="18"/>
          <w:u w:val="single" w:color="auto"/>
          <w:color w:val="auto"/>
        </w:rPr>
        <w:t>Term Facility</w:t>
      </w:r>
      <w:r>
        <w:rPr>
          <w:rFonts w:ascii="Arial" w:cs="Arial" w:eastAsia="Arial" w:hAnsi="Arial"/>
          <w:sz w:val="18"/>
          <w:szCs w:val="18"/>
          <w:color w:val="auto"/>
        </w:rPr>
        <w:t>”) and (ii) a $75 million revolving credit facility (the “</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and, together with the Term Facility, collectively, the “</w:t>
      </w:r>
      <w:r>
        <w:rPr>
          <w:rFonts w:ascii="Arial" w:cs="Arial" w:eastAsia="Arial" w:hAnsi="Arial"/>
          <w:sz w:val="18"/>
          <w:szCs w:val="18"/>
          <w:u w:val="single" w:color="auto"/>
          <w:color w:val="auto"/>
        </w:rPr>
        <w:t>Facilities</w:t>
      </w:r>
      <w:r>
        <w:rPr>
          <w:rFonts w:ascii="Arial" w:cs="Arial" w:eastAsia="Arial" w:hAnsi="Arial"/>
          <w:sz w:val="18"/>
          <w:szCs w:val="18"/>
          <w:color w:val="auto"/>
        </w:rPr>
        <w:t>”), the proceeds of which were used to repay the remaining portion of the indebtedness outstanding under the credit agreement, dated as of July 16, 2019, by and among DHH, the lenders party thereto and Owl Rock Capital Corporation, as administrative agent, and to pay related fees and expenses.</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loans under the Term Facility and the Revolving Credit Facility mature on September 17, 2026. The Facilities are guaranteed, subject to customary exceptions, by all of DHH’s wholly-owned domestic restricted subsidiaries and AIDH Buyer, LLC, a Delaware limited liability company and the direct parent company of DHH (“</w:t>
      </w:r>
      <w:r>
        <w:rPr>
          <w:rFonts w:ascii="Arial" w:cs="Arial" w:eastAsia="Arial" w:hAnsi="Arial"/>
          <w:sz w:val="17"/>
          <w:szCs w:val="17"/>
          <w:u w:val="single" w:color="auto"/>
          <w:color w:val="auto"/>
        </w:rPr>
        <w:t>Holdings</w:t>
      </w:r>
      <w:r>
        <w:rPr>
          <w:rFonts w:ascii="Arial" w:cs="Arial" w:eastAsia="Arial" w:hAnsi="Arial"/>
          <w:sz w:val="17"/>
          <w:szCs w:val="17"/>
          <w:color w:val="auto"/>
        </w:rPr>
        <w:t>”), and are secured by associated collateral agreements that pledge a lien on substantially all of DHH’s assets, including fixed assets and intangibles, and the assets of the guarantors, in each case, subject to customary exceptions.</w:t>
      </w:r>
    </w:p>
    <w:p>
      <w:pPr>
        <w:spacing w:after="0" w:line="17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Term Facility is subject to amortization of principal, payable in quarterly installments on the last day of each fiscal quarter, commencing on December 31, 2021 (the “</w:t>
      </w:r>
      <w:r>
        <w:rPr>
          <w:rFonts w:ascii="Arial" w:cs="Arial" w:eastAsia="Arial" w:hAnsi="Arial"/>
          <w:sz w:val="17"/>
          <w:szCs w:val="17"/>
          <w:u w:val="single" w:color="auto"/>
          <w:color w:val="auto"/>
        </w:rPr>
        <w:t>Initial Amortization Date</w:t>
      </w:r>
      <w:r>
        <w:rPr>
          <w:rFonts w:ascii="Arial" w:cs="Arial" w:eastAsia="Arial" w:hAnsi="Arial"/>
          <w:sz w:val="17"/>
          <w:szCs w:val="17"/>
          <w:color w:val="auto"/>
        </w:rPr>
        <w:t>”), equal to approximately 2.5% of the principal amount of the term loans in the first year after the Initial Amortization Date, 2.5% of the principal amount of the term loans in the second year after the Initial Amortization Date, 5.0% of the principal amount of the term loans in the third year after the Initial Amortization Date, 5.0% of the principal amount of the term loans in the fourth year after the Initial Amortization Date and 5.0% of the principal amount of the term loans in the fifth year after the Initial Amortization Date. The remaining initial aggregate advances under the Term Facility are payable at the maturity of the Term Facility.</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Term Facility and the Revolving Credit Facility bear interest at rates based upon, at the option of DHH, either (i) the base rate plus a margin of between 75 and 125 basis points depending on the total net leverage ratio of DHH and its restricted subsidiaries on a consolidated basis (the “</w:t>
      </w:r>
      <w:r>
        <w:rPr>
          <w:rFonts w:ascii="Arial" w:cs="Arial" w:eastAsia="Arial" w:hAnsi="Arial"/>
          <w:sz w:val="17"/>
          <w:szCs w:val="17"/>
          <w:u w:val="single" w:color="auto"/>
          <w:color w:val="auto"/>
        </w:rPr>
        <w:t>Total Net</w:t>
      </w:r>
      <w:r>
        <w:rPr>
          <w:rFonts w:ascii="Arial" w:cs="Arial" w:eastAsia="Arial" w:hAnsi="Arial"/>
          <w:sz w:val="17"/>
          <w:szCs w:val="17"/>
          <w:color w:val="auto"/>
        </w:rPr>
        <w:t xml:space="preserve"> </w:t>
      </w:r>
      <w:r>
        <w:rPr>
          <w:rFonts w:ascii="Arial" w:cs="Arial" w:eastAsia="Arial" w:hAnsi="Arial"/>
          <w:sz w:val="17"/>
          <w:szCs w:val="17"/>
          <w:u w:val="single" w:color="auto"/>
          <w:color w:val="auto"/>
        </w:rPr>
        <w:t>Leverage Ratio</w:t>
      </w:r>
      <w:r>
        <w:rPr>
          <w:rFonts w:ascii="Arial" w:cs="Arial" w:eastAsia="Arial" w:hAnsi="Arial"/>
          <w:sz w:val="17"/>
          <w:szCs w:val="17"/>
          <w:color w:val="auto"/>
        </w:rPr>
        <w:t>”) and (ii) the LIBO rate plus a margin of between 175 and 225 basis points depending on the Total Net Leverage Ratio. Until the delivery under the DHH Credit Agreement of the financial statements for the third full fiscal quarter ending after the Closing Date, the Term Facility and the Revolving Credit Facility bear interest, at the option of DHH, at either (i) the base rate plus a margin of 125 basis points or (ii) the LIBO rate plus a margin of 225 basis points. In addition, DHH will pay an unused commitment fee of between 25 and 30 basis points on the undrawn commitments under the Revolving Credit Facility, also depending on the Total Net Leverage Ratio.</w:t>
      </w:r>
    </w:p>
    <w:p>
      <w:pPr>
        <w:spacing w:after="0" w:line="17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Under the DHH Credit Agreement, DHH (and in certain circumstances, Holdings) and its restricted subsidiaries are subject to customary affirmative, negative and financial covenants, and events of default for facilities of this type (with customary grace periods, as applicable, and lender remedies).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description of the DHH Credit Agreement does not purport to be complete and is subject to, and qualified in its entirety by, the full text of the DHH Credit Agreement, which is filed as Exhibit 10.1 hereto and incorporated herein by reference.</w:t>
      </w:r>
    </w:p>
    <w:p>
      <w:pPr>
        <w:spacing w:after="0" w:line="274" w:lineRule="exact"/>
        <w:rPr>
          <w:sz w:val="20"/>
          <w:szCs w:val="20"/>
          <w:color w:val="auto"/>
        </w:rPr>
      </w:pPr>
    </w:p>
    <w:p>
      <w:pPr>
        <w:ind w:right="1320"/>
        <w:spacing w:after="0" w:line="407" w:lineRule="auto"/>
        <w:rPr>
          <w:sz w:val="20"/>
          <w:szCs w:val="20"/>
          <w:color w:val="auto"/>
        </w:rPr>
      </w:pPr>
      <w:r>
        <w:rPr>
          <w:rFonts w:ascii="Arial" w:cs="Arial" w:eastAsia="Arial" w:hAnsi="Arial"/>
          <w:sz w:val="18"/>
          <w:szCs w:val="18"/>
          <w:b w:val="1"/>
          <w:bCs w:val="1"/>
          <w:color w:val="auto"/>
        </w:rPr>
        <w:t xml:space="preserve">Item 2.03 Creation of a Direct Financial Obligation or an Obligation under an Off-Balance Sheet Arrangement of a Registrant </w:t>
      </w:r>
      <w:r>
        <w:rPr>
          <w:rFonts w:ascii="Arial" w:cs="Arial" w:eastAsia="Arial" w:hAnsi="Arial"/>
          <w:sz w:val="18"/>
          <w:szCs w:val="18"/>
          <w:color w:val="auto"/>
        </w:rPr>
        <w:t>The information set forth in Item 1.01 is incorporated by reference into this Item 2.03.</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 Other Events</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On September 20, 2021, the Company announced that on September 17, 2021 it had closed its initial public offering of 17,888,888 shares of its Class A common stock, which included the full exercise by the underwriters of their option to purchase up to an additional 2,333,333 shares of its Class A common stock, at an initial public offering price of $27.00 per share. The Company will use the net proceeds from the sale of shares to be sold by it as set forth in the prospectus for the offering. A copy of the press release is attached hereto as Exhibit 99.1 and is incorporated herein by reference.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ind w:left="660" w:hanging="660"/>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5">
        <w:r>
          <w:rPr>
            <w:rFonts w:ascii="Arial" w:cs="Arial" w:eastAsia="Arial" w:hAnsi="Arial"/>
            <w:sz w:val="18"/>
            <w:szCs w:val="18"/>
            <w:u w:val="single" w:color="auto"/>
            <w:color w:val="0000EE"/>
          </w:rPr>
          <w:t>Credit Agreement, dated as of September 17, 2021, by and among Definitive Healthcare Holdings, LLC, the lenders party thereto and the other</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parties specified therein and Bank of America, N.A., as administrative agent.</w:t>
        </w:r>
      </w:hyperlink>
    </w:p>
    <w:p>
      <w:pPr>
        <w:spacing w:after="0" w:line="62"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217">
        <w:r>
          <w:rPr>
            <w:rFonts w:ascii="Arial" w:cs="Arial" w:eastAsia="Arial" w:hAnsi="Arial"/>
            <w:sz w:val="15"/>
            <w:szCs w:val="15"/>
            <w:u w:val="single" w:color="auto"/>
            <w:color w:val="0000EE"/>
          </w:rPr>
          <w:t>Press Release, dated September 20, 2021.</w:t>
        </w:r>
      </w:hyperlink>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80"/>
          </w:cols>
          <w:pgMar w:left="440" w:top="297" w:right="47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DEFINITIVE HEALTHCARE CORP.</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Samuels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Legal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20, 2021</w:t>
      </w:r>
    </w:p>
    <w:p>
      <w:pPr>
        <w:sectPr>
          <w:pgSz w:w="11900" w:h="16838" w:orient="portrait"/>
          <w:cols w:equalWidth="0" w:num="1">
            <w:col w:w="10780"/>
          </w:cols>
          <w:pgMar w:left="440" w:top="297" w:right="679" w:bottom="1440" w:gutter="0" w:footer="0" w:header="0"/>
        </w:sectPr>
      </w:pPr>
    </w:p>
    <w:bookmarkStart w:id="4" w:name="page5"/>
    <w:bookmarkEnd w:id="4"/>
    <w:tbl>
      <w:tblPr>
        <w:tblLayout w:type="fixed"/>
        <w:tblInd w:w="482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Exhibit 10.1</w:t>
            </w:r>
          </w:p>
        </w:tc>
      </w:tr>
      <w:tr>
        <w:trPr>
          <w:trHeight w:val="441"/>
        </w:trPr>
        <w:tc>
          <w:tcPr>
            <w:tcW w:w="3680" w:type="dxa"/>
            <w:vAlign w:val="bottom"/>
          </w:tcPr>
          <w:p>
            <w:pPr>
              <w:spacing w:after="0"/>
              <w:rPr>
                <w:sz w:val="20"/>
                <w:szCs w:val="20"/>
                <w:color w:val="auto"/>
              </w:rPr>
            </w:pPr>
            <w:r>
              <w:rPr>
                <w:rFonts w:ascii="Arial" w:cs="Arial" w:eastAsia="Arial" w:hAnsi="Arial"/>
                <w:sz w:val="18"/>
                <w:szCs w:val="18"/>
                <w:b w:val="1"/>
                <w:bCs w:val="1"/>
                <w:color w:val="auto"/>
              </w:rPr>
              <w:t>Published Deal CUSIP Number</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24477GAA6</w:t>
            </w:r>
          </w:p>
        </w:tc>
      </w:tr>
      <w:tr>
        <w:trPr>
          <w:trHeight w:val="216"/>
        </w:trPr>
        <w:tc>
          <w:tcPr>
            <w:tcW w:w="3680" w:type="dxa"/>
            <w:vAlign w:val="bottom"/>
          </w:tcPr>
          <w:p>
            <w:pPr>
              <w:spacing w:after="0"/>
              <w:rPr>
                <w:sz w:val="20"/>
                <w:szCs w:val="20"/>
                <w:color w:val="auto"/>
              </w:rPr>
            </w:pPr>
            <w:r>
              <w:rPr>
                <w:rFonts w:ascii="Arial" w:cs="Arial" w:eastAsia="Arial" w:hAnsi="Arial"/>
                <w:sz w:val="18"/>
                <w:szCs w:val="18"/>
                <w:b w:val="1"/>
                <w:bCs w:val="1"/>
                <w:color w:val="auto"/>
              </w:rPr>
              <w:t>Published Revolver CUSIP Number:</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24477GAB4</w:t>
            </w:r>
          </w:p>
        </w:tc>
      </w:tr>
      <w:tr>
        <w:trPr>
          <w:trHeight w:val="234"/>
        </w:trPr>
        <w:tc>
          <w:tcPr>
            <w:tcW w:w="3680" w:type="dxa"/>
            <w:vAlign w:val="bottom"/>
          </w:tcPr>
          <w:p>
            <w:pPr>
              <w:spacing w:after="0"/>
              <w:rPr>
                <w:sz w:val="20"/>
                <w:szCs w:val="20"/>
                <w:color w:val="auto"/>
              </w:rPr>
            </w:pPr>
            <w:r>
              <w:rPr>
                <w:rFonts w:ascii="Arial" w:cs="Arial" w:eastAsia="Arial" w:hAnsi="Arial"/>
                <w:sz w:val="18"/>
                <w:szCs w:val="18"/>
                <w:b w:val="1"/>
                <w:bCs w:val="1"/>
                <w:color w:val="auto"/>
              </w:rPr>
              <w:t>Published Term Loan A CUSIP Number:</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24477GAC2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205740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September 17, 2021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DEFINITIVE HEALTHCARE HOLDINGS, LLC,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AIDH BUYER, LLC,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Holdings,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FINANCIAL INSTITUTIONS PARTY HERETO</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Lenders and Issuing Banks,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as Administrative Agent, an Issuing Bank and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243205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BARCLAYS BANK PLC,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CREDIT SUISSE LOAN FUNDING LLC,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GOLDMAN SACHS BANK USA,</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MORGAN STANLEY SENIOR FUNDING, INC.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STIFEL BANK &amp; TRUST,</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211455</wp:posOffset>
            </wp:positionV>
            <wp:extent cx="6995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25" w:right="4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4"/>
        </w:trPr>
        <w:tc>
          <w:tcPr>
            <w:tcW w:w="1440" w:type="dxa"/>
            <w:vAlign w:val="bottom"/>
          </w:tcPr>
          <w:p>
            <w:pPr>
              <w:spacing w:after="0"/>
              <w:rPr>
                <w:sz w:val="24"/>
                <w:szCs w:val="24"/>
                <w:color w:val="auto"/>
              </w:rPr>
            </w:pPr>
          </w:p>
        </w:tc>
        <w:tc>
          <w:tcPr>
            <w:tcW w:w="9200" w:type="dxa"/>
            <w:vAlign w:val="bottom"/>
          </w:tcPr>
          <w:p>
            <w:pPr>
              <w:jc w:val="center"/>
              <w:ind w:right="1030"/>
              <w:spacing w:after="0"/>
              <w:rPr>
                <w:sz w:val="20"/>
                <w:szCs w:val="20"/>
                <w:color w:val="auto"/>
              </w:rPr>
            </w:pPr>
            <w:r>
              <w:rPr>
                <w:rFonts w:ascii="Arial" w:cs="Arial" w:eastAsia="Arial" w:hAnsi="Arial"/>
                <w:sz w:val="18"/>
                <w:szCs w:val="18"/>
                <w:color w:val="auto"/>
                <w:w w:val="96"/>
              </w:rPr>
              <w:t>ARTICLE 1</w:t>
            </w:r>
          </w:p>
        </w:tc>
        <w:tc>
          <w:tcPr>
            <w:tcW w:w="320" w:type="dxa"/>
            <w:vAlign w:val="bottom"/>
          </w:tcPr>
          <w:p>
            <w:pPr>
              <w:spacing w:after="0"/>
              <w:rPr>
                <w:sz w:val="24"/>
                <w:szCs w:val="24"/>
                <w:color w:val="auto"/>
              </w:rPr>
            </w:pPr>
          </w:p>
        </w:tc>
      </w:tr>
      <w:tr>
        <w:trPr>
          <w:trHeight w:val="310"/>
        </w:trPr>
        <w:tc>
          <w:tcPr>
            <w:tcW w:w="1440" w:type="dxa"/>
            <w:vAlign w:val="bottom"/>
          </w:tcPr>
          <w:p>
            <w:pPr>
              <w:spacing w:after="0"/>
              <w:rPr>
                <w:sz w:val="24"/>
                <w:szCs w:val="24"/>
                <w:color w:val="auto"/>
              </w:rPr>
            </w:pPr>
          </w:p>
        </w:tc>
        <w:tc>
          <w:tcPr>
            <w:tcW w:w="9200" w:type="dxa"/>
            <w:vAlign w:val="bottom"/>
          </w:tcPr>
          <w:p>
            <w:pPr>
              <w:jc w:val="center"/>
              <w:ind w:right="1030"/>
              <w:spacing w:after="0"/>
              <w:rPr>
                <w:sz w:val="20"/>
                <w:szCs w:val="20"/>
                <w:color w:val="auto"/>
              </w:rPr>
            </w:pPr>
            <w:r>
              <w:rPr>
                <w:rFonts w:ascii="Arial" w:cs="Arial" w:eastAsia="Arial" w:hAnsi="Arial"/>
                <w:sz w:val="18"/>
                <w:szCs w:val="18"/>
                <w:color w:val="auto"/>
                <w:w w:val="98"/>
              </w:rPr>
              <w:t>DEFINITIONS</w:t>
            </w:r>
          </w:p>
        </w:tc>
        <w:tc>
          <w:tcPr>
            <w:tcW w:w="320" w:type="dxa"/>
            <w:vAlign w:val="bottom"/>
          </w:tcPr>
          <w:p>
            <w:pPr>
              <w:spacing w:after="0"/>
              <w:rPr>
                <w:sz w:val="24"/>
                <w:szCs w:val="24"/>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1.01.</w:t>
            </w:r>
          </w:p>
        </w:tc>
        <w:tc>
          <w:tcPr>
            <w:tcW w:w="9200" w:type="dxa"/>
            <w:vAlign w:val="bottom"/>
          </w:tcPr>
          <w:p>
            <w:pPr>
              <w:ind w:left="520"/>
              <w:spacing w:after="0"/>
              <w:rPr>
                <w:sz w:val="20"/>
                <w:szCs w:val="20"/>
                <w:color w:val="auto"/>
              </w:rPr>
            </w:pPr>
            <w:r>
              <w:rPr>
                <w:rFonts w:ascii="Arial" w:cs="Arial" w:eastAsia="Arial" w:hAnsi="Arial"/>
                <w:sz w:val="18"/>
                <w:szCs w:val="18"/>
                <w:color w:val="auto"/>
              </w:rPr>
              <w:t>Defined Terms</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1.02.</w:t>
            </w:r>
          </w:p>
        </w:tc>
        <w:tc>
          <w:tcPr>
            <w:tcW w:w="9200" w:type="dxa"/>
            <w:vAlign w:val="bottom"/>
          </w:tcPr>
          <w:p>
            <w:pPr>
              <w:ind w:left="520"/>
              <w:spacing w:after="0"/>
              <w:rPr>
                <w:sz w:val="20"/>
                <w:szCs w:val="20"/>
                <w:color w:val="auto"/>
              </w:rPr>
            </w:pPr>
            <w:r>
              <w:rPr>
                <w:rFonts w:ascii="Arial" w:cs="Arial" w:eastAsia="Arial" w:hAnsi="Arial"/>
                <w:sz w:val="18"/>
                <w:szCs w:val="18"/>
                <w:color w:val="auto"/>
              </w:rPr>
              <w:t>Classification of Loans and Borrowings</w:t>
            </w:r>
          </w:p>
        </w:tc>
        <w:tc>
          <w:tcPr>
            <w:tcW w:w="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1.03.</w:t>
            </w:r>
          </w:p>
        </w:tc>
        <w:tc>
          <w:tcPr>
            <w:tcW w:w="9200" w:type="dxa"/>
            <w:vAlign w:val="bottom"/>
          </w:tcPr>
          <w:p>
            <w:pPr>
              <w:ind w:left="520"/>
              <w:spacing w:after="0"/>
              <w:rPr>
                <w:sz w:val="20"/>
                <w:szCs w:val="20"/>
                <w:color w:val="auto"/>
              </w:rPr>
            </w:pPr>
            <w:r>
              <w:rPr>
                <w:rFonts w:ascii="Arial" w:cs="Arial" w:eastAsia="Arial" w:hAnsi="Arial"/>
                <w:sz w:val="18"/>
                <w:szCs w:val="18"/>
                <w:color w:val="auto"/>
              </w:rPr>
              <w:t>Terms Generally</w:t>
            </w:r>
          </w:p>
        </w:tc>
        <w:tc>
          <w:tcPr>
            <w:tcW w:w="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1.04.</w:t>
            </w:r>
          </w:p>
        </w:tc>
        <w:tc>
          <w:tcPr>
            <w:tcW w:w="9200" w:type="dxa"/>
            <w:vAlign w:val="bottom"/>
          </w:tcPr>
          <w:p>
            <w:pPr>
              <w:ind w:left="520"/>
              <w:spacing w:after="0"/>
              <w:rPr>
                <w:sz w:val="20"/>
                <w:szCs w:val="20"/>
                <w:color w:val="auto"/>
              </w:rPr>
            </w:pPr>
            <w:r>
              <w:rPr>
                <w:rFonts w:ascii="Arial" w:cs="Arial" w:eastAsia="Arial" w:hAnsi="Arial"/>
                <w:sz w:val="18"/>
                <w:szCs w:val="18"/>
                <w:color w:val="auto"/>
              </w:rPr>
              <w:t>Accounting Terms; GAAP</w:t>
            </w:r>
          </w:p>
        </w:tc>
        <w:tc>
          <w:tcPr>
            <w:tcW w:w="3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1.05.</w:t>
            </w:r>
          </w:p>
        </w:tc>
        <w:tc>
          <w:tcPr>
            <w:tcW w:w="9200" w:type="dxa"/>
            <w:vAlign w:val="bottom"/>
          </w:tcPr>
          <w:p>
            <w:pPr>
              <w:ind w:left="520"/>
              <w:spacing w:after="0"/>
              <w:rPr>
                <w:sz w:val="20"/>
                <w:szCs w:val="20"/>
                <w:color w:val="auto"/>
              </w:rPr>
            </w:pPr>
            <w:r>
              <w:rPr>
                <w:rFonts w:ascii="Arial" w:cs="Arial" w:eastAsia="Arial" w:hAnsi="Arial"/>
                <w:sz w:val="18"/>
                <w:szCs w:val="18"/>
                <w:color w:val="auto"/>
              </w:rPr>
              <w:t>Effectuation of Transactions</w:t>
            </w:r>
          </w:p>
        </w:tc>
        <w:tc>
          <w:tcPr>
            <w:tcW w:w="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1.06.</w:t>
            </w:r>
          </w:p>
        </w:tc>
        <w:tc>
          <w:tcPr>
            <w:tcW w:w="9200" w:type="dxa"/>
            <w:vAlign w:val="bottom"/>
          </w:tcPr>
          <w:p>
            <w:pPr>
              <w:ind w:left="520"/>
              <w:spacing w:after="0"/>
              <w:rPr>
                <w:sz w:val="20"/>
                <w:szCs w:val="20"/>
                <w:color w:val="auto"/>
              </w:rPr>
            </w:pPr>
            <w:r>
              <w:rPr>
                <w:rFonts w:ascii="Arial" w:cs="Arial" w:eastAsia="Arial" w:hAnsi="Arial"/>
                <w:sz w:val="18"/>
                <w:szCs w:val="18"/>
                <w:color w:val="auto"/>
              </w:rPr>
              <w:t>Timing of Payment or Performance</w:t>
            </w:r>
          </w:p>
        </w:tc>
        <w:tc>
          <w:tcPr>
            <w:tcW w:w="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1.07.</w:t>
            </w:r>
          </w:p>
        </w:tc>
        <w:tc>
          <w:tcPr>
            <w:tcW w:w="9200" w:type="dxa"/>
            <w:vAlign w:val="bottom"/>
          </w:tcPr>
          <w:p>
            <w:pPr>
              <w:ind w:left="520"/>
              <w:spacing w:after="0"/>
              <w:rPr>
                <w:sz w:val="20"/>
                <w:szCs w:val="20"/>
                <w:color w:val="auto"/>
              </w:rPr>
            </w:pPr>
            <w:r>
              <w:rPr>
                <w:rFonts w:ascii="Arial" w:cs="Arial" w:eastAsia="Arial" w:hAnsi="Arial"/>
                <w:sz w:val="18"/>
                <w:szCs w:val="18"/>
                <w:color w:val="auto"/>
              </w:rPr>
              <w:t>Times of Day</w:t>
            </w:r>
          </w:p>
        </w:tc>
        <w:tc>
          <w:tcPr>
            <w:tcW w:w="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1.08.</w:t>
            </w:r>
          </w:p>
        </w:tc>
        <w:tc>
          <w:tcPr>
            <w:tcW w:w="9200" w:type="dxa"/>
            <w:vAlign w:val="bottom"/>
          </w:tcPr>
          <w:p>
            <w:pPr>
              <w:ind w:left="520"/>
              <w:spacing w:after="0"/>
              <w:rPr>
                <w:sz w:val="20"/>
                <w:szCs w:val="20"/>
                <w:color w:val="auto"/>
              </w:rPr>
            </w:pPr>
            <w:r>
              <w:rPr>
                <w:rFonts w:ascii="Arial" w:cs="Arial" w:eastAsia="Arial" w:hAnsi="Arial"/>
                <w:sz w:val="18"/>
                <w:szCs w:val="18"/>
                <w:color w:val="auto"/>
              </w:rPr>
              <w:t>Currency Equivalents Generally</w:t>
            </w:r>
          </w:p>
        </w:tc>
        <w:tc>
          <w:tcPr>
            <w:tcW w:w="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1.09.</w:t>
            </w:r>
          </w:p>
        </w:tc>
        <w:tc>
          <w:tcPr>
            <w:tcW w:w="9200" w:type="dxa"/>
            <w:vAlign w:val="bottom"/>
          </w:tcPr>
          <w:p>
            <w:pPr>
              <w:ind w:left="520"/>
              <w:spacing w:after="0"/>
              <w:rPr>
                <w:sz w:val="20"/>
                <w:szCs w:val="20"/>
                <w:color w:val="auto"/>
              </w:rPr>
            </w:pPr>
            <w:r>
              <w:rPr>
                <w:rFonts w:ascii="Arial" w:cs="Arial" w:eastAsia="Arial" w:hAnsi="Arial"/>
                <w:sz w:val="18"/>
                <w:szCs w:val="18"/>
                <w:color w:val="auto"/>
              </w:rPr>
              <w:t>Cashless Rollovers</w:t>
            </w:r>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1.10.</w:t>
            </w:r>
          </w:p>
        </w:tc>
        <w:tc>
          <w:tcPr>
            <w:tcW w:w="9200" w:type="dxa"/>
            <w:vAlign w:val="bottom"/>
          </w:tcPr>
          <w:p>
            <w:pPr>
              <w:ind w:left="520"/>
              <w:spacing w:after="0"/>
              <w:rPr>
                <w:sz w:val="20"/>
                <w:szCs w:val="20"/>
                <w:color w:val="auto"/>
              </w:rPr>
            </w:pPr>
            <w:r>
              <w:rPr>
                <w:rFonts w:ascii="Arial" w:cs="Arial" w:eastAsia="Arial" w:hAnsi="Arial"/>
                <w:sz w:val="18"/>
                <w:szCs w:val="18"/>
                <w:color w:val="auto"/>
              </w:rPr>
              <w:t>Alternate Currencies</w:t>
            </w:r>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1.11.</w:t>
            </w:r>
          </w:p>
        </w:tc>
        <w:tc>
          <w:tcPr>
            <w:tcW w:w="9200" w:type="dxa"/>
            <w:vAlign w:val="bottom"/>
          </w:tcPr>
          <w:p>
            <w:pPr>
              <w:ind w:left="520"/>
              <w:spacing w:after="0"/>
              <w:rPr>
                <w:sz w:val="20"/>
                <w:szCs w:val="20"/>
                <w:color w:val="auto"/>
              </w:rPr>
            </w:pPr>
            <w:r>
              <w:rPr>
                <w:rFonts w:ascii="Arial" w:cs="Arial" w:eastAsia="Arial" w:hAnsi="Arial"/>
                <w:sz w:val="18"/>
                <w:szCs w:val="18"/>
                <w:color w:val="auto"/>
              </w:rPr>
              <w:t>Rates; LIBOR Notification</w:t>
            </w:r>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1.12.</w:t>
            </w:r>
          </w:p>
        </w:tc>
        <w:tc>
          <w:tcPr>
            <w:tcW w:w="9200" w:type="dxa"/>
            <w:vAlign w:val="bottom"/>
          </w:tcPr>
          <w:p>
            <w:pPr>
              <w:ind w:left="520"/>
              <w:spacing w:after="0"/>
              <w:rPr>
                <w:sz w:val="20"/>
                <w:szCs w:val="20"/>
                <w:color w:val="auto"/>
              </w:rPr>
            </w:pPr>
            <w:r>
              <w:rPr>
                <w:rFonts w:ascii="Arial" w:cs="Arial" w:eastAsia="Arial" w:hAnsi="Arial"/>
                <w:sz w:val="18"/>
                <w:szCs w:val="18"/>
                <w:color w:val="auto"/>
              </w:rPr>
              <w:t>Certain Calculations and Tests</w:t>
            </w:r>
          </w:p>
        </w:tc>
        <w:tc>
          <w:tcPr>
            <w:tcW w:w="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1.13.</w:t>
            </w:r>
          </w:p>
        </w:tc>
        <w:tc>
          <w:tcPr>
            <w:tcW w:w="9200" w:type="dxa"/>
            <w:vAlign w:val="bottom"/>
          </w:tcPr>
          <w:p>
            <w:pPr>
              <w:ind w:left="520"/>
              <w:spacing w:after="0"/>
              <w:rPr>
                <w:sz w:val="20"/>
                <w:szCs w:val="20"/>
                <w:color w:val="auto"/>
              </w:rPr>
            </w:pPr>
            <w:r>
              <w:rPr>
                <w:rFonts w:ascii="Arial" w:cs="Arial" w:eastAsia="Arial" w:hAnsi="Arial"/>
                <w:sz w:val="18"/>
                <w:szCs w:val="18"/>
                <w:color w:val="auto"/>
              </w:rPr>
              <w:t>Effect of Benchmark Transition Event</w:t>
            </w:r>
          </w:p>
        </w:tc>
        <w:tc>
          <w:tcPr>
            <w:tcW w:w="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1.14.</w:t>
            </w:r>
          </w:p>
        </w:tc>
        <w:tc>
          <w:tcPr>
            <w:tcW w:w="9200" w:type="dxa"/>
            <w:vAlign w:val="bottom"/>
          </w:tcPr>
          <w:p>
            <w:pPr>
              <w:ind w:left="520"/>
              <w:spacing w:after="0"/>
              <w:rPr>
                <w:sz w:val="20"/>
                <w:szCs w:val="20"/>
                <w:color w:val="auto"/>
              </w:rPr>
            </w:pPr>
            <w:r>
              <w:rPr>
                <w:rFonts w:ascii="Arial" w:cs="Arial" w:eastAsia="Arial" w:hAnsi="Arial"/>
                <w:sz w:val="18"/>
                <w:szCs w:val="18"/>
                <w:color w:val="auto"/>
              </w:rPr>
              <w:t>[Reserved]</w:t>
            </w: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1.15.</w:t>
            </w:r>
          </w:p>
        </w:tc>
        <w:tc>
          <w:tcPr>
            <w:tcW w:w="9200" w:type="dxa"/>
            <w:vAlign w:val="bottom"/>
          </w:tcPr>
          <w:p>
            <w:pPr>
              <w:ind w:left="520"/>
              <w:spacing w:after="0"/>
              <w:rPr>
                <w:sz w:val="20"/>
                <w:szCs w:val="20"/>
                <w:color w:val="auto"/>
              </w:rPr>
            </w:pPr>
            <w:r>
              <w:rPr>
                <w:rFonts w:ascii="Arial" w:cs="Arial" w:eastAsia="Arial" w:hAnsi="Arial"/>
                <w:sz w:val="18"/>
                <w:szCs w:val="18"/>
                <w:color w:val="auto"/>
              </w:rPr>
              <w:t>Certain Determinations</w:t>
            </w: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1.16.</w:t>
            </w:r>
          </w:p>
        </w:tc>
        <w:tc>
          <w:tcPr>
            <w:tcW w:w="9200" w:type="dxa"/>
            <w:vAlign w:val="bottom"/>
          </w:tcPr>
          <w:p>
            <w:pPr>
              <w:ind w:left="520"/>
              <w:spacing w:after="0"/>
              <w:rPr>
                <w:sz w:val="20"/>
                <w:szCs w:val="20"/>
                <w:color w:val="auto"/>
              </w:rPr>
            </w:pPr>
            <w:r>
              <w:rPr>
                <w:rFonts w:ascii="Arial" w:cs="Arial" w:eastAsia="Arial" w:hAnsi="Arial"/>
                <w:sz w:val="18"/>
                <w:szCs w:val="18"/>
                <w:color w:val="auto"/>
              </w:rPr>
              <w:t>Conflicts</w:t>
            </w:r>
          </w:p>
        </w:tc>
        <w:tc>
          <w:tcPr>
            <w:tcW w:w="3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1.17.</w:t>
            </w:r>
          </w:p>
        </w:tc>
        <w:tc>
          <w:tcPr>
            <w:tcW w:w="9200" w:type="dxa"/>
            <w:vAlign w:val="bottom"/>
          </w:tcPr>
          <w:p>
            <w:pPr>
              <w:ind w:left="520"/>
              <w:spacing w:after="0"/>
              <w:rPr>
                <w:sz w:val="20"/>
                <w:szCs w:val="20"/>
                <w:color w:val="auto"/>
              </w:rPr>
            </w:pPr>
            <w:r>
              <w:rPr>
                <w:rFonts w:ascii="Arial" w:cs="Arial" w:eastAsia="Arial" w:hAnsi="Arial"/>
                <w:sz w:val="18"/>
                <w:szCs w:val="18"/>
                <w:color w:val="auto"/>
              </w:rPr>
              <w:t>Confidentiality; Privilege, Etc.</w:t>
            </w:r>
          </w:p>
        </w:tc>
        <w:tc>
          <w:tcPr>
            <w:tcW w:w="3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440" w:type="dxa"/>
            <w:vAlign w:val="bottom"/>
          </w:tcPr>
          <w:p>
            <w:pPr>
              <w:spacing w:after="0"/>
              <w:rPr>
                <w:sz w:val="24"/>
                <w:szCs w:val="24"/>
                <w:color w:val="auto"/>
              </w:rPr>
            </w:pPr>
          </w:p>
        </w:tc>
        <w:tc>
          <w:tcPr>
            <w:tcW w:w="9200" w:type="dxa"/>
            <w:vAlign w:val="bottom"/>
          </w:tcPr>
          <w:p>
            <w:pPr>
              <w:jc w:val="center"/>
              <w:ind w:right="1030"/>
              <w:spacing w:after="0"/>
              <w:rPr>
                <w:sz w:val="20"/>
                <w:szCs w:val="20"/>
                <w:color w:val="auto"/>
              </w:rPr>
            </w:pPr>
            <w:r>
              <w:rPr>
                <w:rFonts w:ascii="Arial" w:cs="Arial" w:eastAsia="Arial" w:hAnsi="Arial"/>
                <w:sz w:val="18"/>
                <w:szCs w:val="18"/>
                <w:color w:val="auto"/>
                <w:w w:val="96"/>
              </w:rPr>
              <w:t>ARTICLE 2</w:t>
            </w:r>
          </w:p>
        </w:tc>
        <w:tc>
          <w:tcPr>
            <w:tcW w:w="32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9200" w:type="dxa"/>
            <w:vAlign w:val="bottom"/>
          </w:tcPr>
          <w:p>
            <w:pPr>
              <w:jc w:val="center"/>
              <w:ind w:right="1050"/>
              <w:spacing w:after="0"/>
              <w:rPr>
                <w:sz w:val="20"/>
                <w:szCs w:val="20"/>
                <w:color w:val="auto"/>
              </w:rPr>
            </w:pPr>
            <w:r>
              <w:rPr>
                <w:rFonts w:ascii="Arial" w:cs="Arial" w:eastAsia="Arial" w:hAnsi="Arial"/>
                <w:sz w:val="18"/>
                <w:szCs w:val="18"/>
                <w:color w:val="auto"/>
                <w:w w:val="94"/>
              </w:rPr>
              <w:t>THE CREDITS</w:t>
            </w:r>
          </w:p>
        </w:tc>
        <w:tc>
          <w:tcPr>
            <w:tcW w:w="320" w:type="dxa"/>
            <w:vAlign w:val="bottom"/>
          </w:tcPr>
          <w:p>
            <w:pPr>
              <w:spacing w:after="0"/>
              <w:rPr>
                <w:sz w:val="24"/>
                <w:szCs w:val="24"/>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2.01.</w:t>
            </w:r>
          </w:p>
        </w:tc>
        <w:tc>
          <w:tcPr>
            <w:tcW w:w="9200" w:type="dxa"/>
            <w:vAlign w:val="bottom"/>
          </w:tcPr>
          <w:p>
            <w:pPr>
              <w:ind w:left="520"/>
              <w:spacing w:after="0"/>
              <w:rPr>
                <w:sz w:val="20"/>
                <w:szCs w:val="20"/>
                <w:color w:val="auto"/>
              </w:rPr>
            </w:pPr>
            <w:r>
              <w:rPr>
                <w:rFonts w:ascii="Arial" w:cs="Arial" w:eastAsia="Arial" w:hAnsi="Arial"/>
                <w:sz w:val="18"/>
                <w:szCs w:val="18"/>
                <w:color w:val="auto"/>
              </w:rPr>
              <w:t>Commitments</w:t>
            </w: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2.02.</w:t>
            </w:r>
          </w:p>
        </w:tc>
        <w:tc>
          <w:tcPr>
            <w:tcW w:w="9200" w:type="dxa"/>
            <w:vAlign w:val="bottom"/>
          </w:tcPr>
          <w:p>
            <w:pPr>
              <w:ind w:left="520"/>
              <w:spacing w:after="0"/>
              <w:rPr>
                <w:sz w:val="20"/>
                <w:szCs w:val="20"/>
                <w:color w:val="auto"/>
              </w:rPr>
            </w:pPr>
            <w:r>
              <w:rPr>
                <w:rFonts w:ascii="Arial" w:cs="Arial" w:eastAsia="Arial" w:hAnsi="Arial"/>
                <w:sz w:val="18"/>
                <w:szCs w:val="18"/>
                <w:color w:val="auto"/>
              </w:rPr>
              <w:t>Loans and Borrowings</w:t>
            </w: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2.03.</w:t>
            </w:r>
          </w:p>
        </w:tc>
        <w:tc>
          <w:tcPr>
            <w:tcW w:w="9200" w:type="dxa"/>
            <w:vAlign w:val="bottom"/>
          </w:tcPr>
          <w:p>
            <w:pPr>
              <w:ind w:left="520"/>
              <w:spacing w:after="0"/>
              <w:rPr>
                <w:sz w:val="20"/>
                <w:szCs w:val="20"/>
                <w:color w:val="auto"/>
              </w:rPr>
            </w:pPr>
            <w:r>
              <w:rPr>
                <w:rFonts w:ascii="Arial" w:cs="Arial" w:eastAsia="Arial" w:hAnsi="Arial"/>
                <w:sz w:val="18"/>
                <w:szCs w:val="18"/>
                <w:color w:val="auto"/>
              </w:rPr>
              <w:t>Requests for Borrowings</w:t>
            </w:r>
          </w:p>
        </w:tc>
        <w:tc>
          <w:tcPr>
            <w:tcW w:w="3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2.04.</w:t>
            </w:r>
          </w:p>
        </w:tc>
        <w:tc>
          <w:tcPr>
            <w:tcW w:w="9200" w:type="dxa"/>
            <w:vAlign w:val="bottom"/>
          </w:tcPr>
          <w:p>
            <w:pPr>
              <w:ind w:left="520"/>
              <w:spacing w:after="0"/>
              <w:rPr>
                <w:sz w:val="20"/>
                <w:szCs w:val="20"/>
                <w:color w:val="auto"/>
              </w:rPr>
            </w:pPr>
            <w:r>
              <w:rPr>
                <w:rFonts w:ascii="Arial" w:cs="Arial" w:eastAsia="Arial" w:hAnsi="Arial"/>
                <w:sz w:val="18"/>
                <w:szCs w:val="18"/>
                <w:color w:val="auto"/>
              </w:rPr>
              <w:t>Swingline Loans</w:t>
            </w:r>
          </w:p>
        </w:tc>
        <w:tc>
          <w:tcPr>
            <w:tcW w:w="3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2.05.</w:t>
            </w:r>
          </w:p>
        </w:tc>
        <w:tc>
          <w:tcPr>
            <w:tcW w:w="9200" w:type="dxa"/>
            <w:vAlign w:val="bottom"/>
          </w:tcPr>
          <w:p>
            <w:pPr>
              <w:ind w:left="520"/>
              <w:spacing w:after="0"/>
              <w:rPr>
                <w:sz w:val="20"/>
                <w:szCs w:val="20"/>
                <w:color w:val="auto"/>
              </w:rPr>
            </w:pPr>
            <w:r>
              <w:rPr>
                <w:rFonts w:ascii="Arial" w:cs="Arial" w:eastAsia="Arial" w:hAnsi="Arial"/>
                <w:sz w:val="18"/>
                <w:szCs w:val="18"/>
                <w:color w:val="auto"/>
              </w:rPr>
              <w:t>Letters of Credit</w:t>
            </w:r>
          </w:p>
        </w:tc>
        <w:tc>
          <w:tcPr>
            <w:tcW w:w="3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2.06.</w:t>
            </w:r>
          </w:p>
        </w:tc>
        <w:tc>
          <w:tcPr>
            <w:tcW w:w="9200" w:type="dxa"/>
            <w:vAlign w:val="bottom"/>
          </w:tcPr>
          <w:p>
            <w:pPr>
              <w:ind w:left="520"/>
              <w:spacing w:after="0"/>
              <w:rPr>
                <w:sz w:val="20"/>
                <w:szCs w:val="20"/>
                <w:color w:val="auto"/>
              </w:rPr>
            </w:pPr>
            <w:r>
              <w:rPr>
                <w:rFonts w:ascii="Arial" w:cs="Arial" w:eastAsia="Arial" w:hAnsi="Arial"/>
                <w:sz w:val="18"/>
                <w:szCs w:val="18"/>
                <w:color w:val="auto"/>
              </w:rPr>
              <w:t>[Reserved]</w:t>
            </w:r>
          </w:p>
        </w:tc>
        <w:tc>
          <w:tcPr>
            <w:tcW w:w="3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2.07.</w:t>
            </w:r>
          </w:p>
        </w:tc>
        <w:tc>
          <w:tcPr>
            <w:tcW w:w="9200" w:type="dxa"/>
            <w:vAlign w:val="bottom"/>
          </w:tcPr>
          <w:p>
            <w:pPr>
              <w:ind w:left="520"/>
              <w:spacing w:after="0"/>
              <w:rPr>
                <w:sz w:val="20"/>
                <w:szCs w:val="20"/>
                <w:color w:val="auto"/>
              </w:rPr>
            </w:pPr>
            <w:r>
              <w:rPr>
                <w:rFonts w:ascii="Arial" w:cs="Arial" w:eastAsia="Arial" w:hAnsi="Arial"/>
                <w:sz w:val="18"/>
                <w:szCs w:val="18"/>
                <w:color w:val="auto"/>
              </w:rPr>
              <w:t>Funding of Borrowings</w:t>
            </w:r>
          </w:p>
        </w:tc>
        <w:tc>
          <w:tcPr>
            <w:tcW w:w="3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2.08.</w:t>
            </w:r>
          </w:p>
        </w:tc>
        <w:tc>
          <w:tcPr>
            <w:tcW w:w="9200" w:type="dxa"/>
            <w:vAlign w:val="bottom"/>
          </w:tcPr>
          <w:p>
            <w:pPr>
              <w:ind w:left="520"/>
              <w:spacing w:after="0"/>
              <w:rPr>
                <w:sz w:val="20"/>
                <w:szCs w:val="20"/>
                <w:color w:val="auto"/>
              </w:rPr>
            </w:pPr>
            <w:r>
              <w:rPr>
                <w:rFonts w:ascii="Arial" w:cs="Arial" w:eastAsia="Arial" w:hAnsi="Arial"/>
                <w:sz w:val="18"/>
                <w:szCs w:val="18"/>
                <w:color w:val="auto"/>
              </w:rPr>
              <w:t>Type; Interest Elections</w:t>
            </w:r>
          </w:p>
        </w:tc>
        <w:tc>
          <w:tcPr>
            <w:tcW w:w="3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2.09.</w:t>
            </w:r>
          </w:p>
        </w:tc>
        <w:tc>
          <w:tcPr>
            <w:tcW w:w="9200" w:type="dxa"/>
            <w:vAlign w:val="bottom"/>
          </w:tcPr>
          <w:p>
            <w:pPr>
              <w:ind w:left="520"/>
              <w:spacing w:after="0"/>
              <w:rPr>
                <w:sz w:val="20"/>
                <w:szCs w:val="20"/>
                <w:color w:val="auto"/>
              </w:rPr>
            </w:pPr>
            <w:r>
              <w:rPr>
                <w:rFonts w:ascii="Arial" w:cs="Arial" w:eastAsia="Arial" w:hAnsi="Arial"/>
                <w:sz w:val="18"/>
                <w:szCs w:val="18"/>
                <w:color w:val="auto"/>
              </w:rPr>
              <w:t>Termination and Reduction of Commitments</w:t>
            </w:r>
          </w:p>
        </w:tc>
        <w:tc>
          <w:tcPr>
            <w:tcW w:w="3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2.10.</w:t>
            </w:r>
          </w:p>
        </w:tc>
        <w:tc>
          <w:tcPr>
            <w:tcW w:w="9200" w:type="dxa"/>
            <w:vAlign w:val="bottom"/>
          </w:tcPr>
          <w:p>
            <w:pPr>
              <w:ind w:left="520"/>
              <w:spacing w:after="0"/>
              <w:rPr>
                <w:sz w:val="20"/>
                <w:szCs w:val="20"/>
                <w:color w:val="auto"/>
              </w:rPr>
            </w:pPr>
            <w:r>
              <w:rPr>
                <w:rFonts w:ascii="Arial" w:cs="Arial" w:eastAsia="Arial" w:hAnsi="Arial"/>
                <w:sz w:val="18"/>
                <w:szCs w:val="18"/>
                <w:color w:val="auto"/>
              </w:rPr>
              <w:t>Repayment of Loans; Evidence of Debt</w:t>
            </w:r>
          </w:p>
        </w:tc>
        <w:tc>
          <w:tcPr>
            <w:tcW w:w="3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2.11.</w:t>
            </w:r>
          </w:p>
        </w:tc>
        <w:tc>
          <w:tcPr>
            <w:tcW w:w="9200" w:type="dxa"/>
            <w:vAlign w:val="bottom"/>
          </w:tcPr>
          <w:p>
            <w:pPr>
              <w:ind w:left="520"/>
              <w:spacing w:after="0"/>
              <w:rPr>
                <w:sz w:val="20"/>
                <w:szCs w:val="20"/>
                <w:color w:val="auto"/>
              </w:rPr>
            </w:pPr>
            <w:r>
              <w:rPr>
                <w:rFonts w:ascii="Arial" w:cs="Arial" w:eastAsia="Arial" w:hAnsi="Arial"/>
                <w:sz w:val="18"/>
                <w:szCs w:val="18"/>
                <w:color w:val="auto"/>
              </w:rPr>
              <w:t>Prepayment of Loans</w:t>
            </w:r>
          </w:p>
        </w:tc>
        <w:tc>
          <w:tcPr>
            <w:tcW w:w="3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2.12.</w:t>
            </w:r>
          </w:p>
        </w:tc>
        <w:tc>
          <w:tcPr>
            <w:tcW w:w="9200" w:type="dxa"/>
            <w:vAlign w:val="bottom"/>
          </w:tcPr>
          <w:p>
            <w:pPr>
              <w:ind w:left="520"/>
              <w:spacing w:after="0"/>
              <w:rPr>
                <w:sz w:val="20"/>
                <w:szCs w:val="20"/>
                <w:color w:val="auto"/>
              </w:rPr>
            </w:pPr>
            <w:r>
              <w:rPr>
                <w:rFonts w:ascii="Arial" w:cs="Arial" w:eastAsia="Arial" w:hAnsi="Arial"/>
                <w:sz w:val="18"/>
                <w:szCs w:val="18"/>
                <w:color w:val="auto"/>
              </w:rPr>
              <w:t>Fees</w:t>
            </w:r>
          </w:p>
        </w:tc>
        <w:tc>
          <w:tcPr>
            <w:tcW w:w="3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2.13.</w:t>
            </w:r>
          </w:p>
        </w:tc>
        <w:tc>
          <w:tcPr>
            <w:tcW w:w="9200" w:type="dxa"/>
            <w:vAlign w:val="bottom"/>
          </w:tcPr>
          <w:p>
            <w:pPr>
              <w:ind w:left="520"/>
              <w:spacing w:after="0"/>
              <w:rPr>
                <w:sz w:val="20"/>
                <w:szCs w:val="20"/>
                <w:color w:val="auto"/>
              </w:rPr>
            </w:pPr>
            <w:r>
              <w:rPr>
                <w:rFonts w:ascii="Arial" w:cs="Arial" w:eastAsia="Arial" w:hAnsi="Arial"/>
                <w:sz w:val="18"/>
                <w:szCs w:val="18"/>
                <w:color w:val="auto"/>
              </w:rPr>
              <w:t>Interest</w:t>
            </w:r>
          </w:p>
        </w:tc>
        <w:tc>
          <w:tcPr>
            <w:tcW w:w="3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2.14.</w:t>
            </w:r>
          </w:p>
        </w:tc>
        <w:tc>
          <w:tcPr>
            <w:tcW w:w="9200" w:type="dxa"/>
            <w:vAlign w:val="bottom"/>
          </w:tcPr>
          <w:p>
            <w:pPr>
              <w:ind w:left="520"/>
              <w:spacing w:after="0"/>
              <w:rPr>
                <w:sz w:val="20"/>
                <w:szCs w:val="20"/>
                <w:color w:val="auto"/>
              </w:rPr>
            </w:pPr>
            <w:r>
              <w:rPr>
                <w:rFonts w:ascii="Arial" w:cs="Arial" w:eastAsia="Arial" w:hAnsi="Arial"/>
                <w:sz w:val="18"/>
                <w:szCs w:val="18"/>
                <w:color w:val="auto"/>
              </w:rPr>
              <w:t>Alternate Rate of Interest</w:t>
            </w:r>
          </w:p>
        </w:tc>
        <w:tc>
          <w:tcPr>
            <w:tcW w:w="3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2.15.</w:t>
            </w:r>
          </w:p>
        </w:tc>
        <w:tc>
          <w:tcPr>
            <w:tcW w:w="9200" w:type="dxa"/>
            <w:vAlign w:val="bottom"/>
          </w:tcPr>
          <w:p>
            <w:pPr>
              <w:ind w:left="520"/>
              <w:spacing w:after="0"/>
              <w:rPr>
                <w:sz w:val="20"/>
                <w:szCs w:val="20"/>
                <w:color w:val="auto"/>
              </w:rPr>
            </w:pPr>
            <w:r>
              <w:rPr>
                <w:rFonts w:ascii="Arial" w:cs="Arial" w:eastAsia="Arial" w:hAnsi="Arial"/>
                <w:sz w:val="18"/>
                <w:szCs w:val="18"/>
                <w:color w:val="auto"/>
              </w:rPr>
              <w:t>Increased Costs</w:t>
            </w:r>
          </w:p>
        </w:tc>
        <w:tc>
          <w:tcPr>
            <w:tcW w:w="3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2.16.</w:t>
            </w:r>
          </w:p>
        </w:tc>
        <w:tc>
          <w:tcPr>
            <w:tcW w:w="9200" w:type="dxa"/>
            <w:vAlign w:val="bottom"/>
          </w:tcPr>
          <w:p>
            <w:pPr>
              <w:ind w:left="520"/>
              <w:spacing w:after="0"/>
              <w:rPr>
                <w:sz w:val="20"/>
                <w:szCs w:val="20"/>
                <w:color w:val="auto"/>
              </w:rPr>
            </w:pPr>
            <w:r>
              <w:rPr>
                <w:rFonts w:ascii="Arial" w:cs="Arial" w:eastAsia="Arial" w:hAnsi="Arial"/>
                <w:sz w:val="18"/>
                <w:szCs w:val="18"/>
                <w:color w:val="auto"/>
              </w:rPr>
              <w:t>Break Funding Payments</w:t>
            </w:r>
          </w:p>
        </w:tc>
        <w:tc>
          <w:tcPr>
            <w:tcW w:w="3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2.17.</w:t>
            </w:r>
          </w:p>
        </w:tc>
        <w:tc>
          <w:tcPr>
            <w:tcW w:w="9200" w:type="dxa"/>
            <w:vAlign w:val="bottom"/>
          </w:tcPr>
          <w:p>
            <w:pPr>
              <w:ind w:left="520"/>
              <w:spacing w:after="0"/>
              <w:rPr>
                <w:sz w:val="20"/>
                <w:szCs w:val="20"/>
                <w:color w:val="auto"/>
              </w:rPr>
            </w:pPr>
            <w:r>
              <w:rPr>
                <w:rFonts w:ascii="Arial" w:cs="Arial" w:eastAsia="Arial" w:hAnsi="Arial"/>
                <w:sz w:val="18"/>
                <w:szCs w:val="18"/>
                <w:color w:val="auto"/>
              </w:rPr>
              <w:t>Taxes</w:t>
            </w:r>
          </w:p>
        </w:tc>
        <w:tc>
          <w:tcPr>
            <w:tcW w:w="3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2.18.</w:t>
            </w:r>
          </w:p>
        </w:tc>
        <w:tc>
          <w:tcPr>
            <w:tcW w:w="9200" w:type="dxa"/>
            <w:vAlign w:val="bottom"/>
          </w:tcPr>
          <w:p>
            <w:pPr>
              <w:ind w:left="520"/>
              <w:spacing w:after="0"/>
              <w:rPr>
                <w:sz w:val="20"/>
                <w:szCs w:val="20"/>
                <w:color w:val="auto"/>
              </w:rPr>
            </w:pPr>
            <w:r>
              <w:rPr>
                <w:rFonts w:ascii="Arial" w:cs="Arial" w:eastAsia="Arial" w:hAnsi="Arial"/>
                <w:sz w:val="18"/>
                <w:szCs w:val="18"/>
                <w:color w:val="auto"/>
              </w:rPr>
              <w:t>Payments Generally; Allocation of Proceeds; Sharing of Payments</w:t>
            </w: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2.19.</w:t>
            </w:r>
          </w:p>
        </w:tc>
        <w:tc>
          <w:tcPr>
            <w:tcW w:w="9200" w:type="dxa"/>
            <w:vAlign w:val="bottom"/>
          </w:tcPr>
          <w:p>
            <w:pPr>
              <w:ind w:left="520"/>
              <w:spacing w:after="0"/>
              <w:rPr>
                <w:sz w:val="20"/>
                <w:szCs w:val="20"/>
                <w:color w:val="auto"/>
              </w:rPr>
            </w:pPr>
            <w:r>
              <w:rPr>
                <w:rFonts w:ascii="Arial" w:cs="Arial" w:eastAsia="Arial" w:hAnsi="Arial"/>
                <w:sz w:val="18"/>
                <w:szCs w:val="18"/>
                <w:color w:val="auto"/>
              </w:rPr>
              <w:t>Mitigation Obligations; Replacement of Lenders</w:t>
            </w:r>
          </w:p>
        </w:tc>
        <w:tc>
          <w:tcPr>
            <w:tcW w:w="3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2.20.</w:t>
            </w:r>
          </w:p>
        </w:tc>
        <w:tc>
          <w:tcPr>
            <w:tcW w:w="9200" w:type="dxa"/>
            <w:vAlign w:val="bottom"/>
          </w:tcPr>
          <w:p>
            <w:pPr>
              <w:ind w:left="520"/>
              <w:spacing w:after="0"/>
              <w:rPr>
                <w:sz w:val="20"/>
                <w:szCs w:val="20"/>
                <w:color w:val="auto"/>
              </w:rPr>
            </w:pPr>
            <w:r>
              <w:rPr>
                <w:rFonts w:ascii="Arial" w:cs="Arial" w:eastAsia="Arial" w:hAnsi="Arial"/>
                <w:sz w:val="18"/>
                <w:szCs w:val="18"/>
                <w:color w:val="auto"/>
              </w:rPr>
              <w:t>Illegality</w:t>
            </w: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2.21.</w:t>
            </w:r>
          </w:p>
        </w:tc>
        <w:tc>
          <w:tcPr>
            <w:tcW w:w="9200" w:type="dxa"/>
            <w:vAlign w:val="bottom"/>
          </w:tcPr>
          <w:p>
            <w:pPr>
              <w:ind w:left="520"/>
              <w:spacing w:after="0"/>
              <w:rPr>
                <w:sz w:val="20"/>
                <w:szCs w:val="20"/>
                <w:color w:val="auto"/>
              </w:rPr>
            </w:pPr>
            <w:r>
              <w:rPr>
                <w:rFonts w:ascii="Arial" w:cs="Arial" w:eastAsia="Arial" w:hAnsi="Arial"/>
                <w:sz w:val="18"/>
                <w:szCs w:val="18"/>
                <w:color w:val="auto"/>
              </w:rPr>
              <w:t>Defaulting Lenders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2.22.</w:t>
            </w:r>
          </w:p>
        </w:tc>
        <w:tc>
          <w:tcPr>
            <w:tcW w:w="9200" w:type="dxa"/>
            <w:vAlign w:val="bottom"/>
          </w:tcPr>
          <w:p>
            <w:pPr>
              <w:ind w:left="520"/>
              <w:spacing w:after="0"/>
              <w:rPr>
                <w:sz w:val="20"/>
                <w:szCs w:val="20"/>
                <w:color w:val="auto"/>
              </w:rPr>
            </w:pPr>
            <w:r>
              <w:rPr>
                <w:rFonts w:ascii="Arial" w:cs="Arial" w:eastAsia="Arial" w:hAnsi="Arial"/>
                <w:sz w:val="18"/>
                <w:szCs w:val="18"/>
                <w:color w:val="auto"/>
              </w:rPr>
              <w:t>Incremental Credit Extensions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102</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2.23.</w:t>
            </w:r>
          </w:p>
        </w:tc>
        <w:tc>
          <w:tcPr>
            <w:tcW w:w="9200" w:type="dxa"/>
            <w:vAlign w:val="bottom"/>
          </w:tcPr>
          <w:p>
            <w:pPr>
              <w:ind w:left="520"/>
              <w:spacing w:after="0"/>
              <w:rPr>
                <w:sz w:val="20"/>
                <w:szCs w:val="20"/>
                <w:color w:val="auto"/>
              </w:rPr>
            </w:pPr>
            <w:r>
              <w:rPr>
                <w:rFonts w:ascii="Arial" w:cs="Arial" w:eastAsia="Arial" w:hAnsi="Arial"/>
                <w:sz w:val="18"/>
                <w:szCs w:val="18"/>
                <w:color w:val="auto"/>
              </w:rPr>
              <w:t>Extensions of Loans and Revolving Credit Commitments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7460" w:type="dxa"/>
            <w:vAlign w:val="bottom"/>
          </w:tcPr>
          <w:p>
            <w:pPr>
              <w:jc w:val="center"/>
              <w:ind w:left="530"/>
              <w:spacing w:after="0"/>
              <w:rPr>
                <w:sz w:val="20"/>
                <w:szCs w:val="20"/>
                <w:color w:val="auto"/>
              </w:rPr>
            </w:pPr>
            <w:r>
              <w:rPr>
                <w:rFonts w:ascii="Arial" w:cs="Arial" w:eastAsia="Arial" w:hAnsi="Arial"/>
                <w:sz w:val="18"/>
                <w:szCs w:val="18"/>
                <w:color w:val="auto"/>
                <w:w w:val="96"/>
              </w:rPr>
              <w:t>ARTICLE 3</w:t>
            </w:r>
          </w:p>
        </w:tc>
        <w:tc>
          <w:tcPr>
            <w:tcW w:w="2060" w:type="dxa"/>
            <w:vAlign w:val="bottom"/>
          </w:tcPr>
          <w:p>
            <w:pPr>
              <w:spacing w:after="0"/>
              <w:rPr>
                <w:sz w:val="20"/>
                <w:szCs w:val="20"/>
                <w:color w:val="auto"/>
              </w:rPr>
            </w:pPr>
          </w:p>
        </w:tc>
      </w:tr>
      <w:tr>
        <w:trPr>
          <w:trHeight w:val="324"/>
        </w:trPr>
        <w:tc>
          <w:tcPr>
            <w:tcW w:w="1440" w:type="dxa"/>
            <w:vAlign w:val="bottom"/>
          </w:tcPr>
          <w:p>
            <w:pPr>
              <w:spacing w:after="0"/>
              <w:rPr>
                <w:sz w:val="24"/>
                <w:szCs w:val="24"/>
                <w:color w:val="auto"/>
              </w:rPr>
            </w:pPr>
          </w:p>
        </w:tc>
        <w:tc>
          <w:tcPr>
            <w:tcW w:w="7460" w:type="dxa"/>
            <w:vAlign w:val="bottom"/>
          </w:tcPr>
          <w:p>
            <w:pPr>
              <w:jc w:val="center"/>
              <w:ind w:left="530"/>
              <w:spacing w:after="0"/>
              <w:rPr>
                <w:sz w:val="20"/>
                <w:szCs w:val="20"/>
                <w:color w:val="auto"/>
              </w:rPr>
            </w:pPr>
            <w:r>
              <w:rPr>
                <w:rFonts w:ascii="Arial" w:cs="Arial" w:eastAsia="Arial" w:hAnsi="Arial"/>
                <w:sz w:val="18"/>
                <w:szCs w:val="18"/>
                <w:color w:val="auto"/>
                <w:w w:val="95"/>
              </w:rPr>
              <w:t>REPRESENTATIONS AND WARRANTIES</w:t>
            </w:r>
          </w:p>
        </w:tc>
        <w:tc>
          <w:tcPr>
            <w:tcW w:w="2060" w:type="dxa"/>
            <w:vAlign w:val="bottom"/>
          </w:tcPr>
          <w:p>
            <w:pPr>
              <w:spacing w:after="0"/>
              <w:rPr>
                <w:sz w:val="24"/>
                <w:szCs w:val="24"/>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3.01.</w:t>
            </w:r>
          </w:p>
        </w:tc>
        <w:tc>
          <w:tcPr>
            <w:tcW w:w="7460" w:type="dxa"/>
            <w:vAlign w:val="bottom"/>
          </w:tcPr>
          <w:p>
            <w:pPr>
              <w:ind w:left="520"/>
              <w:spacing w:after="0"/>
              <w:rPr>
                <w:sz w:val="20"/>
                <w:szCs w:val="20"/>
                <w:color w:val="auto"/>
              </w:rPr>
            </w:pPr>
            <w:r>
              <w:rPr>
                <w:rFonts w:ascii="Arial" w:cs="Arial" w:eastAsia="Arial" w:hAnsi="Arial"/>
                <w:sz w:val="18"/>
                <w:szCs w:val="18"/>
                <w:color w:val="auto"/>
              </w:rPr>
              <w:t>Organization; Powers</w:t>
            </w:r>
          </w:p>
        </w:tc>
        <w:tc>
          <w:tcPr>
            <w:tcW w:w="20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3.02.</w:t>
            </w:r>
          </w:p>
        </w:tc>
        <w:tc>
          <w:tcPr>
            <w:tcW w:w="7460" w:type="dxa"/>
            <w:vAlign w:val="bottom"/>
          </w:tcPr>
          <w:p>
            <w:pPr>
              <w:ind w:left="520"/>
              <w:spacing w:after="0"/>
              <w:rPr>
                <w:sz w:val="20"/>
                <w:szCs w:val="20"/>
                <w:color w:val="auto"/>
              </w:rPr>
            </w:pPr>
            <w:r>
              <w:rPr>
                <w:rFonts w:ascii="Arial" w:cs="Arial" w:eastAsia="Arial" w:hAnsi="Arial"/>
                <w:sz w:val="18"/>
                <w:szCs w:val="18"/>
                <w:color w:val="auto"/>
              </w:rPr>
              <w:t>Authorization; Enforceability</w:t>
            </w:r>
          </w:p>
        </w:tc>
        <w:tc>
          <w:tcPr>
            <w:tcW w:w="20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3.03.</w:t>
            </w:r>
          </w:p>
        </w:tc>
        <w:tc>
          <w:tcPr>
            <w:tcW w:w="7460" w:type="dxa"/>
            <w:vAlign w:val="bottom"/>
          </w:tcPr>
          <w:p>
            <w:pPr>
              <w:ind w:left="520"/>
              <w:spacing w:after="0"/>
              <w:rPr>
                <w:sz w:val="20"/>
                <w:szCs w:val="20"/>
                <w:color w:val="auto"/>
              </w:rPr>
            </w:pPr>
            <w:r>
              <w:rPr>
                <w:rFonts w:ascii="Arial" w:cs="Arial" w:eastAsia="Arial" w:hAnsi="Arial"/>
                <w:sz w:val="18"/>
                <w:szCs w:val="18"/>
                <w:color w:val="auto"/>
              </w:rPr>
              <w:t>Governmental Approvals; No Conflicts</w:t>
            </w:r>
          </w:p>
        </w:tc>
        <w:tc>
          <w:tcPr>
            <w:tcW w:w="20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3.04.</w:t>
            </w:r>
          </w:p>
        </w:tc>
        <w:tc>
          <w:tcPr>
            <w:tcW w:w="7460" w:type="dxa"/>
            <w:vAlign w:val="bottom"/>
          </w:tcPr>
          <w:p>
            <w:pPr>
              <w:ind w:left="520"/>
              <w:spacing w:after="0"/>
              <w:rPr>
                <w:sz w:val="20"/>
                <w:szCs w:val="20"/>
                <w:color w:val="auto"/>
              </w:rPr>
            </w:pPr>
            <w:r>
              <w:rPr>
                <w:rFonts w:ascii="Arial" w:cs="Arial" w:eastAsia="Arial" w:hAnsi="Arial"/>
                <w:sz w:val="18"/>
                <w:szCs w:val="18"/>
                <w:color w:val="auto"/>
              </w:rPr>
              <w:t>Financial Condition; No Material Adverse Effect</w:t>
            </w:r>
          </w:p>
        </w:tc>
        <w:tc>
          <w:tcPr>
            <w:tcW w:w="20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3.05.</w:t>
            </w:r>
          </w:p>
        </w:tc>
        <w:tc>
          <w:tcPr>
            <w:tcW w:w="7460" w:type="dxa"/>
            <w:vAlign w:val="bottom"/>
          </w:tcPr>
          <w:p>
            <w:pPr>
              <w:ind w:left="520"/>
              <w:spacing w:after="0"/>
              <w:rPr>
                <w:sz w:val="20"/>
                <w:szCs w:val="20"/>
                <w:color w:val="auto"/>
              </w:rPr>
            </w:pPr>
            <w:r>
              <w:rPr>
                <w:rFonts w:ascii="Arial" w:cs="Arial" w:eastAsia="Arial" w:hAnsi="Arial"/>
                <w:sz w:val="18"/>
                <w:szCs w:val="18"/>
                <w:color w:val="auto"/>
              </w:rPr>
              <w:t>Properties</w:t>
            </w:r>
          </w:p>
        </w:tc>
        <w:tc>
          <w:tcPr>
            <w:tcW w:w="20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3.06.</w:t>
            </w:r>
          </w:p>
        </w:tc>
        <w:tc>
          <w:tcPr>
            <w:tcW w:w="7460" w:type="dxa"/>
            <w:vAlign w:val="bottom"/>
          </w:tcPr>
          <w:p>
            <w:pPr>
              <w:ind w:left="520"/>
              <w:spacing w:after="0"/>
              <w:rPr>
                <w:sz w:val="20"/>
                <w:szCs w:val="20"/>
                <w:color w:val="auto"/>
              </w:rPr>
            </w:pPr>
            <w:r>
              <w:rPr>
                <w:rFonts w:ascii="Arial" w:cs="Arial" w:eastAsia="Arial" w:hAnsi="Arial"/>
                <w:sz w:val="18"/>
                <w:szCs w:val="18"/>
                <w:color w:val="auto"/>
              </w:rPr>
              <w:t>Litigation and Environmental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3.07.</w:t>
            </w:r>
          </w:p>
        </w:tc>
        <w:tc>
          <w:tcPr>
            <w:tcW w:w="7460" w:type="dxa"/>
            <w:vAlign w:val="bottom"/>
          </w:tcPr>
          <w:p>
            <w:pPr>
              <w:ind w:left="520"/>
              <w:spacing w:after="0"/>
              <w:rPr>
                <w:sz w:val="20"/>
                <w:szCs w:val="20"/>
                <w:color w:val="auto"/>
              </w:rPr>
            </w:pPr>
            <w:r>
              <w:rPr>
                <w:rFonts w:ascii="Arial" w:cs="Arial" w:eastAsia="Arial" w:hAnsi="Arial"/>
                <w:sz w:val="18"/>
                <w:szCs w:val="18"/>
                <w:color w:val="auto"/>
              </w:rPr>
              <w:t>Compliance with Laws</w:t>
            </w:r>
          </w:p>
        </w:tc>
        <w:tc>
          <w:tcPr>
            <w:tcW w:w="20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3.08.</w:t>
            </w:r>
          </w:p>
        </w:tc>
        <w:tc>
          <w:tcPr>
            <w:tcW w:w="7460" w:type="dxa"/>
            <w:vAlign w:val="bottom"/>
          </w:tcPr>
          <w:p>
            <w:pPr>
              <w:ind w:left="520"/>
              <w:spacing w:after="0"/>
              <w:rPr>
                <w:sz w:val="20"/>
                <w:szCs w:val="20"/>
                <w:color w:val="auto"/>
              </w:rPr>
            </w:pPr>
            <w:r>
              <w:rPr>
                <w:rFonts w:ascii="Arial" w:cs="Arial" w:eastAsia="Arial" w:hAnsi="Arial"/>
                <w:sz w:val="18"/>
                <w:szCs w:val="18"/>
                <w:color w:val="auto"/>
              </w:rPr>
              <w:t>Investment Company Status</w:t>
            </w:r>
          </w:p>
        </w:tc>
        <w:tc>
          <w:tcPr>
            <w:tcW w:w="20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3.09.</w:t>
            </w:r>
          </w:p>
        </w:tc>
        <w:tc>
          <w:tcPr>
            <w:tcW w:w="7460" w:type="dxa"/>
            <w:vAlign w:val="bottom"/>
          </w:tcPr>
          <w:p>
            <w:pPr>
              <w:ind w:left="520"/>
              <w:spacing w:after="0"/>
              <w:rPr>
                <w:sz w:val="20"/>
                <w:szCs w:val="20"/>
                <w:color w:val="auto"/>
              </w:rPr>
            </w:pPr>
            <w:r>
              <w:rPr>
                <w:rFonts w:ascii="Arial" w:cs="Arial" w:eastAsia="Arial" w:hAnsi="Arial"/>
                <w:sz w:val="18"/>
                <w:szCs w:val="18"/>
                <w:color w:val="auto"/>
              </w:rPr>
              <w:t>Taxes</w:t>
            </w:r>
          </w:p>
        </w:tc>
        <w:tc>
          <w:tcPr>
            <w:tcW w:w="20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3.10.</w:t>
            </w:r>
          </w:p>
        </w:tc>
        <w:tc>
          <w:tcPr>
            <w:tcW w:w="7460" w:type="dxa"/>
            <w:vAlign w:val="bottom"/>
          </w:tcPr>
          <w:p>
            <w:pPr>
              <w:ind w:left="520"/>
              <w:spacing w:after="0"/>
              <w:rPr>
                <w:sz w:val="20"/>
                <w:szCs w:val="20"/>
                <w:color w:val="auto"/>
              </w:rPr>
            </w:pPr>
            <w:r>
              <w:rPr>
                <w:rFonts w:ascii="Arial" w:cs="Arial" w:eastAsia="Arial" w:hAnsi="Arial"/>
                <w:sz w:val="18"/>
                <w:szCs w:val="18"/>
                <w:color w:val="auto"/>
              </w:rPr>
              <w:t>ERISA</w:t>
            </w:r>
          </w:p>
        </w:tc>
        <w:tc>
          <w:tcPr>
            <w:tcW w:w="20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3.11.</w:t>
            </w:r>
          </w:p>
        </w:tc>
        <w:tc>
          <w:tcPr>
            <w:tcW w:w="7460" w:type="dxa"/>
            <w:vAlign w:val="bottom"/>
          </w:tcPr>
          <w:p>
            <w:pPr>
              <w:ind w:left="520"/>
              <w:spacing w:after="0"/>
              <w:rPr>
                <w:sz w:val="20"/>
                <w:szCs w:val="20"/>
                <w:color w:val="auto"/>
              </w:rPr>
            </w:pPr>
            <w:r>
              <w:rPr>
                <w:rFonts w:ascii="Arial" w:cs="Arial" w:eastAsia="Arial" w:hAnsi="Arial"/>
                <w:sz w:val="18"/>
                <w:szCs w:val="18"/>
                <w:color w:val="auto"/>
              </w:rPr>
              <w:t>Disclosure</w:t>
            </w:r>
          </w:p>
        </w:tc>
        <w:tc>
          <w:tcPr>
            <w:tcW w:w="20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3.12.</w:t>
            </w:r>
          </w:p>
        </w:tc>
        <w:tc>
          <w:tcPr>
            <w:tcW w:w="7460" w:type="dxa"/>
            <w:vAlign w:val="bottom"/>
          </w:tcPr>
          <w:p>
            <w:pPr>
              <w:ind w:left="520"/>
              <w:spacing w:after="0"/>
              <w:rPr>
                <w:sz w:val="20"/>
                <w:szCs w:val="20"/>
                <w:color w:val="auto"/>
              </w:rPr>
            </w:pPr>
            <w:r>
              <w:rPr>
                <w:rFonts w:ascii="Arial" w:cs="Arial" w:eastAsia="Arial" w:hAnsi="Arial"/>
                <w:sz w:val="18"/>
                <w:szCs w:val="18"/>
                <w:color w:val="auto"/>
              </w:rPr>
              <w:t>Solvency</w:t>
            </w:r>
          </w:p>
        </w:tc>
        <w:tc>
          <w:tcPr>
            <w:tcW w:w="20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3.13.</w:t>
            </w:r>
          </w:p>
        </w:tc>
        <w:tc>
          <w:tcPr>
            <w:tcW w:w="7460" w:type="dxa"/>
            <w:vAlign w:val="bottom"/>
          </w:tcPr>
          <w:p>
            <w:pPr>
              <w:ind w:left="520"/>
              <w:spacing w:after="0"/>
              <w:rPr>
                <w:sz w:val="20"/>
                <w:szCs w:val="20"/>
                <w:color w:val="auto"/>
              </w:rPr>
            </w:pPr>
            <w:r>
              <w:rPr>
                <w:rFonts w:ascii="Arial" w:cs="Arial" w:eastAsia="Arial" w:hAnsi="Arial"/>
                <w:sz w:val="18"/>
                <w:szCs w:val="18"/>
                <w:color w:val="auto"/>
              </w:rPr>
              <w:t>Subsidiaries</w:t>
            </w:r>
          </w:p>
        </w:tc>
        <w:tc>
          <w:tcPr>
            <w:tcW w:w="20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3.14.</w:t>
            </w:r>
          </w:p>
        </w:tc>
        <w:tc>
          <w:tcPr>
            <w:tcW w:w="7460" w:type="dxa"/>
            <w:vAlign w:val="bottom"/>
          </w:tcPr>
          <w:p>
            <w:pPr>
              <w:ind w:left="520"/>
              <w:spacing w:after="0"/>
              <w:rPr>
                <w:sz w:val="20"/>
                <w:szCs w:val="20"/>
                <w:color w:val="auto"/>
              </w:rPr>
            </w:pPr>
            <w:r>
              <w:rPr>
                <w:rFonts w:ascii="Arial" w:cs="Arial" w:eastAsia="Arial" w:hAnsi="Arial"/>
                <w:sz w:val="18"/>
                <w:szCs w:val="18"/>
                <w:color w:val="auto"/>
              </w:rPr>
              <w:t>Security Interest in Collateral</w:t>
            </w:r>
          </w:p>
        </w:tc>
        <w:tc>
          <w:tcPr>
            <w:tcW w:w="20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3.15.</w:t>
            </w:r>
          </w:p>
        </w:tc>
        <w:tc>
          <w:tcPr>
            <w:tcW w:w="7460" w:type="dxa"/>
            <w:vAlign w:val="bottom"/>
          </w:tcPr>
          <w:p>
            <w:pPr>
              <w:ind w:left="520"/>
              <w:spacing w:after="0"/>
              <w:rPr>
                <w:sz w:val="20"/>
                <w:szCs w:val="20"/>
                <w:color w:val="auto"/>
              </w:rPr>
            </w:pPr>
            <w:r>
              <w:rPr>
                <w:rFonts w:ascii="Arial" w:cs="Arial" w:eastAsia="Arial" w:hAnsi="Arial"/>
                <w:sz w:val="18"/>
                <w:szCs w:val="18"/>
                <w:color w:val="auto"/>
              </w:rPr>
              <w:t>Labor Disputes</w:t>
            </w:r>
          </w:p>
        </w:tc>
        <w:tc>
          <w:tcPr>
            <w:tcW w:w="20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3.16.</w:t>
            </w:r>
          </w:p>
        </w:tc>
        <w:tc>
          <w:tcPr>
            <w:tcW w:w="7460" w:type="dxa"/>
            <w:vAlign w:val="bottom"/>
          </w:tcPr>
          <w:p>
            <w:pPr>
              <w:ind w:left="520"/>
              <w:spacing w:after="0"/>
              <w:rPr>
                <w:sz w:val="20"/>
                <w:szCs w:val="20"/>
                <w:color w:val="auto"/>
              </w:rPr>
            </w:pPr>
            <w:r>
              <w:rPr>
                <w:rFonts w:ascii="Arial" w:cs="Arial" w:eastAsia="Arial" w:hAnsi="Arial"/>
                <w:sz w:val="18"/>
                <w:szCs w:val="18"/>
                <w:color w:val="auto"/>
              </w:rPr>
              <w:t>Federal Reserve Regulations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3.17.</w:t>
            </w:r>
          </w:p>
        </w:tc>
        <w:tc>
          <w:tcPr>
            <w:tcW w:w="7460" w:type="dxa"/>
            <w:vAlign w:val="bottom"/>
          </w:tcPr>
          <w:p>
            <w:pPr>
              <w:ind w:left="520"/>
              <w:spacing w:after="0"/>
              <w:rPr>
                <w:sz w:val="20"/>
                <w:szCs w:val="20"/>
                <w:color w:val="auto"/>
              </w:rPr>
            </w:pPr>
            <w:r>
              <w:rPr>
                <w:rFonts w:ascii="Arial" w:cs="Arial" w:eastAsia="Arial" w:hAnsi="Arial"/>
                <w:sz w:val="18"/>
                <w:szCs w:val="18"/>
                <w:color w:val="auto"/>
              </w:rPr>
              <w:t>Sanctions; PATRIOT ACT and FCPA</w:t>
            </w:r>
          </w:p>
        </w:tc>
        <w:tc>
          <w:tcPr>
            <w:tcW w:w="20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3.18.</w:t>
            </w:r>
          </w:p>
        </w:tc>
        <w:tc>
          <w:tcPr>
            <w:tcW w:w="7460" w:type="dxa"/>
            <w:vAlign w:val="bottom"/>
          </w:tcPr>
          <w:p>
            <w:pPr>
              <w:ind w:left="520"/>
              <w:spacing w:after="0"/>
              <w:rPr>
                <w:sz w:val="20"/>
                <w:szCs w:val="20"/>
                <w:color w:val="auto"/>
              </w:rPr>
            </w:pPr>
            <w:r>
              <w:rPr>
                <w:rFonts w:ascii="Arial" w:cs="Arial" w:eastAsia="Arial" w:hAnsi="Arial"/>
                <w:sz w:val="18"/>
                <w:szCs w:val="18"/>
                <w:color w:val="auto"/>
              </w:rPr>
              <w:t>Data Privacy</w:t>
            </w:r>
          </w:p>
        </w:tc>
        <w:tc>
          <w:tcPr>
            <w:tcW w:w="20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1440" w:type="dxa"/>
            <w:vAlign w:val="bottom"/>
          </w:tcPr>
          <w:p>
            <w:pPr>
              <w:spacing w:after="0"/>
              <w:rPr>
                <w:sz w:val="24"/>
                <w:szCs w:val="24"/>
                <w:color w:val="auto"/>
              </w:rPr>
            </w:pPr>
          </w:p>
        </w:tc>
        <w:tc>
          <w:tcPr>
            <w:tcW w:w="7460" w:type="dxa"/>
            <w:vAlign w:val="bottom"/>
          </w:tcPr>
          <w:p>
            <w:pPr>
              <w:jc w:val="center"/>
              <w:ind w:left="530"/>
              <w:spacing w:after="0"/>
              <w:rPr>
                <w:sz w:val="20"/>
                <w:szCs w:val="20"/>
                <w:color w:val="auto"/>
              </w:rPr>
            </w:pPr>
            <w:r>
              <w:rPr>
                <w:rFonts w:ascii="Arial" w:cs="Arial" w:eastAsia="Arial" w:hAnsi="Arial"/>
                <w:sz w:val="18"/>
                <w:szCs w:val="18"/>
                <w:color w:val="auto"/>
                <w:w w:val="96"/>
              </w:rPr>
              <w:t>ARTICLE 4</w:t>
            </w:r>
          </w:p>
        </w:tc>
        <w:tc>
          <w:tcPr>
            <w:tcW w:w="206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7460" w:type="dxa"/>
            <w:vAlign w:val="bottom"/>
          </w:tcPr>
          <w:p>
            <w:pPr>
              <w:jc w:val="center"/>
              <w:ind w:left="510"/>
              <w:spacing w:after="0"/>
              <w:rPr>
                <w:sz w:val="20"/>
                <w:szCs w:val="20"/>
                <w:color w:val="auto"/>
              </w:rPr>
            </w:pPr>
            <w:r>
              <w:rPr>
                <w:rFonts w:ascii="Arial" w:cs="Arial" w:eastAsia="Arial" w:hAnsi="Arial"/>
                <w:sz w:val="18"/>
                <w:szCs w:val="18"/>
                <w:color w:val="auto"/>
                <w:w w:val="97"/>
              </w:rPr>
              <w:t>CONDITIONS</w:t>
            </w:r>
          </w:p>
        </w:tc>
        <w:tc>
          <w:tcPr>
            <w:tcW w:w="2060" w:type="dxa"/>
            <w:vAlign w:val="bottom"/>
          </w:tcPr>
          <w:p>
            <w:pPr>
              <w:spacing w:after="0"/>
              <w:rPr>
                <w:sz w:val="24"/>
                <w:szCs w:val="24"/>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4.01.</w:t>
            </w:r>
          </w:p>
        </w:tc>
        <w:tc>
          <w:tcPr>
            <w:tcW w:w="7460" w:type="dxa"/>
            <w:vAlign w:val="bottom"/>
          </w:tcPr>
          <w:p>
            <w:pPr>
              <w:ind w:left="520"/>
              <w:spacing w:after="0"/>
              <w:rPr>
                <w:sz w:val="20"/>
                <w:szCs w:val="20"/>
                <w:color w:val="auto"/>
              </w:rPr>
            </w:pPr>
            <w:r>
              <w:rPr>
                <w:rFonts w:ascii="Arial" w:cs="Arial" w:eastAsia="Arial" w:hAnsi="Arial"/>
                <w:sz w:val="18"/>
                <w:szCs w:val="18"/>
                <w:color w:val="auto"/>
              </w:rPr>
              <w:t>Closing Date</w:t>
            </w:r>
          </w:p>
        </w:tc>
        <w:tc>
          <w:tcPr>
            <w:tcW w:w="20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4.02.</w:t>
            </w:r>
          </w:p>
        </w:tc>
        <w:tc>
          <w:tcPr>
            <w:tcW w:w="7460" w:type="dxa"/>
            <w:vAlign w:val="bottom"/>
          </w:tcPr>
          <w:p>
            <w:pPr>
              <w:ind w:left="520"/>
              <w:spacing w:after="0"/>
              <w:rPr>
                <w:sz w:val="20"/>
                <w:szCs w:val="20"/>
                <w:color w:val="auto"/>
              </w:rPr>
            </w:pPr>
            <w:r>
              <w:rPr>
                <w:rFonts w:ascii="Arial" w:cs="Arial" w:eastAsia="Arial" w:hAnsi="Arial"/>
                <w:sz w:val="18"/>
                <w:szCs w:val="18"/>
                <w:color w:val="auto"/>
              </w:rPr>
              <w:t>Each Credit Extension</w:t>
            </w:r>
          </w:p>
        </w:tc>
        <w:tc>
          <w:tcPr>
            <w:tcW w:w="20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1440" w:type="dxa"/>
            <w:vAlign w:val="bottom"/>
          </w:tcPr>
          <w:p>
            <w:pPr>
              <w:spacing w:after="0"/>
              <w:rPr>
                <w:sz w:val="24"/>
                <w:szCs w:val="24"/>
                <w:color w:val="auto"/>
              </w:rPr>
            </w:pPr>
          </w:p>
        </w:tc>
        <w:tc>
          <w:tcPr>
            <w:tcW w:w="7460" w:type="dxa"/>
            <w:vAlign w:val="bottom"/>
          </w:tcPr>
          <w:p>
            <w:pPr>
              <w:jc w:val="center"/>
              <w:ind w:left="530"/>
              <w:spacing w:after="0"/>
              <w:rPr>
                <w:sz w:val="20"/>
                <w:szCs w:val="20"/>
                <w:color w:val="auto"/>
              </w:rPr>
            </w:pPr>
            <w:r>
              <w:rPr>
                <w:rFonts w:ascii="Arial" w:cs="Arial" w:eastAsia="Arial" w:hAnsi="Arial"/>
                <w:sz w:val="18"/>
                <w:szCs w:val="18"/>
                <w:color w:val="auto"/>
                <w:w w:val="96"/>
              </w:rPr>
              <w:t>ARTICLE 5</w:t>
            </w:r>
          </w:p>
        </w:tc>
        <w:tc>
          <w:tcPr>
            <w:tcW w:w="206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7460" w:type="dxa"/>
            <w:vAlign w:val="bottom"/>
          </w:tcPr>
          <w:p>
            <w:pPr>
              <w:jc w:val="center"/>
              <w:ind w:left="530"/>
              <w:spacing w:after="0"/>
              <w:rPr>
                <w:sz w:val="20"/>
                <w:szCs w:val="20"/>
                <w:color w:val="auto"/>
              </w:rPr>
            </w:pPr>
            <w:r>
              <w:rPr>
                <w:rFonts w:ascii="Arial" w:cs="Arial" w:eastAsia="Arial" w:hAnsi="Arial"/>
                <w:sz w:val="18"/>
                <w:szCs w:val="18"/>
                <w:color w:val="auto"/>
                <w:w w:val="98"/>
              </w:rPr>
              <w:t>AFFIRMATIVE COVENANTS</w:t>
            </w:r>
          </w:p>
        </w:tc>
        <w:tc>
          <w:tcPr>
            <w:tcW w:w="2060" w:type="dxa"/>
            <w:vAlign w:val="bottom"/>
          </w:tcPr>
          <w:p>
            <w:pPr>
              <w:spacing w:after="0"/>
              <w:rPr>
                <w:sz w:val="24"/>
                <w:szCs w:val="24"/>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5.01.</w:t>
            </w:r>
          </w:p>
        </w:tc>
        <w:tc>
          <w:tcPr>
            <w:tcW w:w="7460" w:type="dxa"/>
            <w:vAlign w:val="bottom"/>
          </w:tcPr>
          <w:p>
            <w:pPr>
              <w:ind w:left="520"/>
              <w:spacing w:after="0"/>
              <w:rPr>
                <w:sz w:val="20"/>
                <w:szCs w:val="20"/>
                <w:color w:val="auto"/>
              </w:rPr>
            </w:pPr>
            <w:r>
              <w:rPr>
                <w:rFonts w:ascii="Arial" w:cs="Arial" w:eastAsia="Arial" w:hAnsi="Arial"/>
                <w:sz w:val="18"/>
                <w:szCs w:val="18"/>
                <w:color w:val="auto"/>
              </w:rPr>
              <w:t>Financial Statements and Other Reports</w:t>
            </w:r>
          </w:p>
        </w:tc>
        <w:tc>
          <w:tcPr>
            <w:tcW w:w="20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5.02.</w:t>
            </w:r>
          </w:p>
        </w:tc>
        <w:tc>
          <w:tcPr>
            <w:tcW w:w="7460" w:type="dxa"/>
            <w:vAlign w:val="bottom"/>
          </w:tcPr>
          <w:p>
            <w:pPr>
              <w:ind w:left="520"/>
              <w:spacing w:after="0"/>
              <w:rPr>
                <w:sz w:val="20"/>
                <w:szCs w:val="20"/>
                <w:color w:val="auto"/>
              </w:rPr>
            </w:pPr>
            <w:r>
              <w:rPr>
                <w:rFonts w:ascii="Arial" w:cs="Arial" w:eastAsia="Arial" w:hAnsi="Arial"/>
                <w:sz w:val="18"/>
                <w:szCs w:val="18"/>
                <w:color w:val="auto"/>
              </w:rPr>
              <w:t>Existence</w:t>
            </w:r>
          </w:p>
        </w:tc>
        <w:tc>
          <w:tcPr>
            <w:tcW w:w="20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5.03.</w:t>
            </w:r>
          </w:p>
        </w:tc>
        <w:tc>
          <w:tcPr>
            <w:tcW w:w="7460" w:type="dxa"/>
            <w:vAlign w:val="bottom"/>
          </w:tcPr>
          <w:p>
            <w:pPr>
              <w:ind w:left="520"/>
              <w:spacing w:after="0"/>
              <w:rPr>
                <w:sz w:val="20"/>
                <w:szCs w:val="20"/>
                <w:color w:val="auto"/>
              </w:rPr>
            </w:pPr>
            <w:r>
              <w:rPr>
                <w:rFonts w:ascii="Arial" w:cs="Arial" w:eastAsia="Arial" w:hAnsi="Arial"/>
                <w:sz w:val="18"/>
                <w:szCs w:val="18"/>
                <w:color w:val="auto"/>
              </w:rPr>
              <w:t>Payment of Taxes</w:t>
            </w:r>
          </w:p>
        </w:tc>
        <w:tc>
          <w:tcPr>
            <w:tcW w:w="20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5.04.</w:t>
            </w:r>
          </w:p>
        </w:tc>
        <w:tc>
          <w:tcPr>
            <w:tcW w:w="7460" w:type="dxa"/>
            <w:vAlign w:val="bottom"/>
          </w:tcPr>
          <w:p>
            <w:pPr>
              <w:ind w:left="520"/>
              <w:spacing w:after="0"/>
              <w:rPr>
                <w:sz w:val="20"/>
                <w:szCs w:val="20"/>
                <w:color w:val="auto"/>
              </w:rPr>
            </w:pPr>
            <w:r>
              <w:rPr>
                <w:rFonts w:ascii="Arial" w:cs="Arial" w:eastAsia="Arial" w:hAnsi="Arial"/>
                <w:sz w:val="18"/>
                <w:szCs w:val="18"/>
                <w:color w:val="auto"/>
              </w:rPr>
              <w:t>Maintenance of Properties</w:t>
            </w:r>
          </w:p>
        </w:tc>
        <w:tc>
          <w:tcPr>
            <w:tcW w:w="20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5.05.</w:t>
            </w:r>
          </w:p>
        </w:tc>
        <w:tc>
          <w:tcPr>
            <w:tcW w:w="7460" w:type="dxa"/>
            <w:vAlign w:val="bottom"/>
          </w:tcPr>
          <w:p>
            <w:pPr>
              <w:ind w:left="520"/>
              <w:spacing w:after="0"/>
              <w:rPr>
                <w:sz w:val="20"/>
                <w:szCs w:val="20"/>
                <w:color w:val="auto"/>
              </w:rPr>
            </w:pPr>
            <w:r>
              <w:rPr>
                <w:rFonts w:ascii="Arial" w:cs="Arial" w:eastAsia="Arial" w:hAnsi="Arial"/>
                <w:sz w:val="18"/>
                <w:szCs w:val="18"/>
                <w:color w:val="auto"/>
              </w:rPr>
              <w:t>Insurance</w:t>
            </w:r>
          </w:p>
        </w:tc>
        <w:tc>
          <w:tcPr>
            <w:tcW w:w="20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5.06.</w:t>
            </w:r>
          </w:p>
        </w:tc>
        <w:tc>
          <w:tcPr>
            <w:tcW w:w="7460" w:type="dxa"/>
            <w:vAlign w:val="bottom"/>
          </w:tcPr>
          <w:p>
            <w:pPr>
              <w:ind w:left="520"/>
              <w:spacing w:after="0"/>
              <w:rPr>
                <w:sz w:val="20"/>
                <w:szCs w:val="20"/>
                <w:color w:val="auto"/>
              </w:rPr>
            </w:pPr>
            <w:r>
              <w:rPr>
                <w:rFonts w:ascii="Arial" w:cs="Arial" w:eastAsia="Arial" w:hAnsi="Arial"/>
                <w:sz w:val="18"/>
                <w:szCs w:val="18"/>
                <w:color w:val="auto"/>
              </w:rPr>
              <w:t>Inspections</w:t>
            </w:r>
          </w:p>
        </w:tc>
        <w:tc>
          <w:tcPr>
            <w:tcW w:w="20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5.07.</w:t>
            </w:r>
          </w:p>
        </w:tc>
        <w:tc>
          <w:tcPr>
            <w:tcW w:w="7460" w:type="dxa"/>
            <w:vAlign w:val="bottom"/>
          </w:tcPr>
          <w:p>
            <w:pPr>
              <w:ind w:left="520"/>
              <w:spacing w:after="0"/>
              <w:rPr>
                <w:sz w:val="20"/>
                <w:szCs w:val="20"/>
                <w:color w:val="auto"/>
              </w:rPr>
            </w:pPr>
            <w:r>
              <w:rPr>
                <w:rFonts w:ascii="Arial" w:cs="Arial" w:eastAsia="Arial" w:hAnsi="Arial"/>
                <w:sz w:val="18"/>
                <w:szCs w:val="18"/>
                <w:color w:val="auto"/>
              </w:rPr>
              <w:t>Maintenance of Books and Records</w:t>
            </w:r>
          </w:p>
        </w:tc>
        <w:tc>
          <w:tcPr>
            <w:tcW w:w="20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5.08.</w:t>
            </w:r>
          </w:p>
        </w:tc>
        <w:tc>
          <w:tcPr>
            <w:tcW w:w="7460" w:type="dxa"/>
            <w:vAlign w:val="bottom"/>
          </w:tcPr>
          <w:p>
            <w:pPr>
              <w:ind w:left="520"/>
              <w:spacing w:after="0"/>
              <w:rPr>
                <w:sz w:val="20"/>
                <w:szCs w:val="20"/>
                <w:color w:val="auto"/>
              </w:rPr>
            </w:pPr>
            <w:r>
              <w:rPr>
                <w:rFonts w:ascii="Arial" w:cs="Arial" w:eastAsia="Arial" w:hAnsi="Arial"/>
                <w:sz w:val="18"/>
                <w:szCs w:val="18"/>
                <w:color w:val="auto"/>
              </w:rPr>
              <w:t>Compliance with Laws</w:t>
            </w:r>
          </w:p>
        </w:tc>
        <w:tc>
          <w:tcPr>
            <w:tcW w:w="20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5.09.</w:t>
            </w:r>
          </w:p>
        </w:tc>
        <w:tc>
          <w:tcPr>
            <w:tcW w:w="7460" w:type="dxa"/>
            <w:vAlign w:val="bottom"/>
          </w:tcPr>
          <w:p>
            <w:pPr>
              <w:ind w:left="520"/>
              <w:spacing w:after="0"/>
              <w:rPr>
                <w:sz w:val="20"/>
                <w:szCs w:val="20"/>
                <w:color w:val="auto"/>
              </w:rPr>
            </w:pPr>
            <w:r>
              <w:rPr>
                <w:rFonts w:ascii="Arial" w:cs="Arial" w:eastAsia="Arial" w:hAnsi="Arial"/>
                <w:sz w:val="18"/>
                <w:szCs w:val="18"/>
                <w:color w:val="auto"/>
              </w:rPr>
              <w:t>Environmental</w:t>
            </w:r>
          </w:p>
        </w:tc>
        <w:tc>
          <w:tcPr>
            <w:tcW w:w="20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5.10.</w:t>
            </w:r>
          </w:p>
        </w:tc>
        <w:tc>
          <w:tcPr>
            <w:tcW w:w="7460" w:type="dxa"/>
            <w:vAlign w:val="bottom"/>
          </w:tcPr>
          <w:p>
            <w:pPr>
              <w:ind w:left="520"/>
              <w:spacing w:after="0"/>
              <w:rPr>
                <w:sz w:val="20"/>
                <w:szCs w:val="20"/>
                <w:color w:val="auto"/>
              </w:rPr>
            </w:pPr>
            <w:r>
              <w:rPr>
                <w:rFonts w:ascii="Arial" w:cs="Arial" w:eastAsia="Arial" w:hAnsi="Arial"/>
                <w:sz w:val="18"/>
                <w:szCs w:val="18"/>
                <w:color w:val="auto"/>
              </w:rPr>
              <w:t>Designation of Subsidiaries</w:t>
            </w:r>
          </w:p>
        </w:tc>
        <w:tc>
          <w:tcPr>
            <w:tcW w:w="20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5.11.</w:t>
            </w:r>
          </w:p>
        </w:tc>
        <w:tc>
          <w:tcPr>
            <w:tcW w:w="7460" w:type="dxa"/>
            <w:vAlign w:val="bottom"/>
          </w:tcPr>
          <w:p>
            <w:pPr>
              <w:ind w:left="520"/>
              <w:spacing w:after="0"/>
              <w:rPr>
                <w:sz w:val="20"/>
                <w:szCs w:val="20"/>
                <w:color w:val="auto"/>
              </w:rPr>
            </w:pPr>
            <w:r>
              <w:rPr>
                <w:rFonts w:ascii="Arial" w:cs="Arial" w:eastAsia="Arial" w:hAnsi="Arial"/>
                <w:sz w:val="18"/>
                <w:szCs w:val="18"/>
                <w:color w:val="auto"/>
              </w:rPr>
              <w:t>Use of Proceeds</w:t>
            </w:r>
          </w:p>
        </w:tc>
        <w:tc>
          <w:tcPr>
            <w:tcW w:w="20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5.12.</w:t>
            </w:r>
          </w:p>
        </w:tc>
        <w:tc>
          <w:tcPr>
            <w:tcW w:w="7460" w:type="dxa"/>
            <w:vAlign w:val="bottom"/>
          </w:tcPr>
          <w:p>
            <w:pPr>
              <w:ind w:left="520"/>
              <w:spacing w:after="0"/>
              <w:rPr>
                <w:sz w:val="20"/>
                <w:szCs w:val="20"/>
                <w:color w:val="auto"/>
              </w:rPr>
            </w:pPr>
            <w:r>
              <w:rPr>
                <w:rFonts w:ascii="Arial" w:cs="Arial" w:eastAsia="Arial" w:hAnsi="Arial"/>
                <w:sz w:val="18"/>
                <w:szCs w:val="18"/>
                <w:color w:val="auto"/>
              </w:rPr>
              <w:t>Covenant to Guarantee Obligations and Provide Security</w:t>
            </w:r>
          </w:p>
        </w:tc>
        <w:tc>
          <w:tcPr>
            <w:tcW w:w="20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5.13.</w:t>
            </w:r>
          </w:p>
        </w:tc>
        <w:tc>
          <w:tcPr>
            <w:tcW w:w="7460" w:type="dxa"/>
            <w:vAlign w:val="bottom"/>
          </w:tcPr>
          <w:p>
            <w:pPr>
              <w:ind w:left="520"/>
              <w:spacing w:after="0"/>
              <w:rPr>
                <w:sz w:val="20"/>
                <w:szCs w:val="20"/>
                <w:color w:val="auto"/>
              </w:rPr>
            </w:pPr>
            <w:r>
              <w:rPr>
                <w:rFonts w:ascii="Arial" w:cs="Arial" w:eastAsia="Arial" w:hAnsi="Arial"/>
                <w:sz w:val="18"/>
                <w:szCs w:val="18"/>
                <w:color w:val="auto"/>
              </w:rPr>
              <w:t>[Reserved]</w:t>
            </w:r>
          </w:p>
        </w:tc>
        <w:tc>
          <w:tcPr>
            <w:tcW w:w="20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5.14.</w:t>
            </w:r>
          </w:p>
        </w:tc>
        <w:tc>
          <w:tcPr>
            <w:tcW w:w="7460" w:type="dxa"/>
            <w:vAlign w:val="bottom"/>
          </w:tcPr>
          <w:p>
            <w:pPr>
              <w:ind w:left="520"/>
              <w:spacing w:after="0"/>
              <w:rPr>
                <w:sz w:val="20"/>
                <w:szCs w:val="20"/>
                <w:color w:val="auto"/>
              </w:rPr>
            </w:pPr>
            <w:r>
              <w:rPr>
                <w:rFonts w:ascii="Arial" w:cs="Arial" w:eastAsia="Arial" w:hAnsi="Arial"/>
                <w:sz w:val="18"/>
                <w:szCs w:val="18"/>
                <w:color w:val="auto"/>
              </w:rPr>
              <w:t>Further Assurances</w:t>
            </w:r>
          </w:p>
        </w:tc>
        <w:tc>
          <w:tcPr>
            <w:tcW w:w="20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5.15.</w:t>
            </w:r>
          </w:p>
        </w:tc>
        <w:tc>
          <w:tcPr>
            <w:tcW w:w="7460" w:type="dxa"/>
            <w:vAlign w:val="bottom"/>
          </w:tcPr>
          <w:p>
            <w:pPr>
              <w:ind w:left="520"/>
              <w:spacing w:after="0"/>
              <w:rPr>
                <w:sz w:val="20"/>
                <w:szCs w:val="20"/>
                <w:color w:val="auto"/>
              </w:rPr>
            </w:pPr>
            <w:r>
              <w:rPr>
                <w:rFonts w:ascii="Arial" w:cs="Arial" w:eastAsia="Arial" w:hAnsi="Arial"/>
                <w:sz w:val="18"/>
                <w:szCs w:val="18"/>
                <w:color w:val="auto"/>
              </w:rPr>
              <w:t>Post-Closing Covenant</w:t>
            </w:r>
          </w:p>
        </w:tc>
        <w:tc>
          <w:tcPr>
            <w:tcW w:w="20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5.16.</w:t>
            </w:r>
          </w:p>
        </w:tc>
        <w:tc>
          <w:tcPr>
            <w:tcW w:w="7460" w:type="dxa"/>
            <w:vAlign w:val="bottom"/>
          </w:tcPr>
          <w:p>
            <w:pPr>
              <w:ind w:left="520"/>
              <w:spacing w:after="0"/>
              <w:rPr>
                <w:sz w:val="20"/>
                <w:szCs w:val="20"/>
                <w:color w:val="auto"/>
              </w:rPr>
            </w:pPr>
            <w:r>
              <w:rPr>
                <w:rFonts w:ascii="Arial" w:cs="Arial" w:eastAsia="Arial" w:hAnsi="Arial"/>
                <w:sz w:val="18"/>
                <w:szCs w:val="18"/>
                <w:color w:val="auto"/>
              </w:rPr>
              <w:t>Transactions with Affiliates</w:t>
            </w:r>
          </w:p>
        </w:tc>
        <w:tc>
          <w:tcPr>
            <w:tcW w:w="20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5.17.</w:t>
            </w:r>
          </w:p>
        </w:tc>
        <w:tc>
          <w:tcPr>
            <w:tcW w:w="7460" w:type="dxa"/>
            <w:vAlign w:val="bottom"/>
          </w:tcPr>
          <w:p>
            <w:pPr>
              <w:ind w:left="520"/>
              <w:spacing w:after="0"/>
              <w:rPr>
                <w:sz w:val="20"/>
                <w:szCs w:val="20"/>
                <w:color w:val="auto"/>
              </w:rPr>
            </w:pPr>
            <w:r>
              <w:rPr>
                <w:rFonts w:ascii="Arial" w:cs="Arial" w:eastAsia="Arial" w:hAnsi="Arial"/>
                <w:sz w:val="18"/>
                <w:szCs w:val="18"/>
                <w:color w:val="auto"/>
              </w:rPr>
              <w:t>Fiscal Year</w:t>
            </w:r>
          </w:p>
        </w:tc>
        <w:tc>
          <w:tcPr>
            <w:tcW w:w="20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5.18.</w:t>
            </w:r>
          </w:p>
        </w:tc>
        <w:tc>
          <w:tcPr>
            <w:tcW w:w="7460" w:type="dxa"/>
            <w:vAlign w:val="bottom"/>
          </w:tcPr>
          <w:p>
            <w:pPr>
              <w:ind w:left="520"/>
              <w:spacing w:after="0"/>
              <w:rPr>
                <w:sz w:val="20"/>
                <w:szCs w:val="20"/>
                <w:color w:val="auto"/>
              </w:rPr>
            </w:pPr>
            <w:r>
              <w:rPr>
                <w:rFonts w:ascii="Arial" w:cs="Arial" w:eastAsia="Arial" w:hAnsi="Arial"/>
                <w:sz w:val="18"/>
                <w:szCs w:val="18"/>
                <w:color w:val="auto"/>
              </w:rPr>
              <w:t>Nature of Business</w:t>
            </w:r>
          </w:p>
        </w:tc>
        <w:tc>
          <w:tcPr>
            <w:tcW w:w="20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5.19.</w:t>
            </w:r>
          </w:p>
        </w:tc>
        <w:tc>
          <w:tcPr>
            <w:tcW w:w="7460" w:type="dxa"/>
            <w:vAlign w:val="bottom"/>
          </w:tcPr>
          <w:p>
            <w:pPr>
              <w:ind w:left="520"/>
              <w:spacing w:after="0"/>
              <w:rPr>
                <w:sz w:val="20"/>
                <w:szCs w:val="20"/>
                <w:color w:val="auto"/>
              </w:rPr>
            </w:pPr>
            <w:r>
              <w:rPr>
                <w:rFonts w:ascii="Arial" w:cs="Arial" w:eastAsia="Arial" w:hAnsi="Arial"/>
                <w:sz w:val="18"/>
                <w:szCs w:val="18"/>
                <w:color w:val="auto"/>
              </w:rPr>
              <w:t>Amendments or Waivers of Organizational Documents</w:t>
            </w:r>
          </w:p>
        </w:tc>
        <w:tc>
          <w:tcPr>
            <w:tcW w:w="2060" w:type="dxa"/>
            <w:vAlign w:val="bottom"/>
          </w:tcPr>
          <w:p>
            <w:pPr>
              <w:jc w:val="right"/>
              <w:spacing w:after="0"/>
              <w:rPr>
                <w:sz w:val="20"/>
                <w:szCs w:val="20"/>
                <w:color w:val="auto"/>
              </w:rPr>
            </w:pPr>
            <w:r>
              <w:rPr>
                <w:rFonts w:ascii="Arial" w:cs="Arial" w:eastAsia="Arial" w:hAnsi="Arial"/>
                <w:sz w:val="18"/>
                <w:szCs w:val="18"/>
                <w:color w:val="auto"/>
              </w:rPr>
              <w:t>128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7600" w:type="dxa"/>
            <w:vAlign w:val="bottom"/>
          </w:tcPr>
          <w:p>
            <w:pPr>
              <w:jc w:val="center"/>
              <w:ind w:left="390"/>
              <w:spacing w:after="0"/>
              <w:rPr>
                <w:sz w:val="20"/>
                <w:szCs w:val="20"/>
                <w:color w:val="auto"/>
              </w:rPr>
            </w:pPr>
            <w:r>
              <w:rPr>
                <w:rFonts w:ascii="Arial" w:cs="Arial" w:eastAsia="Arial" w:hAnsi="Arial"/>
                <w:sz w:val="18"/>
                <w:szCs w:val="18"/>
                <w:color w:val="auto"/>
                <w:w w:val="96"/>
              </w:rPr>
              <w:t>ARTICLE 6</w:t>
            </w:r>
          </w:p>
        </w:tc>
        <w:tc>
          <w:tcPr>
            <w:tcW w:w="1920" w:type="dxa"/>
            <w:vAlign w:val="bottom"/>
          </w:tcPr>
          <w:p>
            <w:pPr>
              <w:spacing w:after="0"/>
              <w:rPr>
                <w:sz w:val="20"/>
                <w:szCs w:val="20"/>
                <w:color w:val="auto"/>
              </w:rPr>
            </w:pPr>
          </w:p>
        </w:tc>
      </w:tr>
      <w:tr>
        <w:trPr>
          <w:trHeight w:val="324"/>
        </w:trPr>
        <w:tc>
          <w:tcPr>
            <w:tcW w:w="1440" w:type="dxa"/>
            <w:vAlign w:val="bottom"/>
          </w:tcPr>
          <w:p>
            <w:pPr>
              <w:spacing w:after="0"/>
              <w:rPr>
                <w:sz w:val="24"/>
                <w:szCs w:val="24"/>
                <w:color w:val="auto"/>
              </w:rPr>
            </w:pPr>
          </w:p>
        </w:tc>
        <w:tc>
          <w:tcPr>
            <w:tcW w:w="7600" w:type="dxa"/>
            <w:vAlign w:val="bottom"/>
          </w:tcPr>
          <w:p>
            <w:pPr>
              <w:jc w:val="center"/>
              <w:ind w:left="370"/>
              <w:spacing w:after="0"/>
              <w:rPr>
                <w:sz w:val="20"/>
                <w:szCs w:val="20"/>
                <w:color w:val="auto"/>
              </w:rPr>
            </w:pPr>
            <w:r>
              <w:rPr>
                <w:rFonts w:ascii="Arial" w:cs="Arial" w:eastAsia="Arial" w:hAnsi="Arial"/>
                <w:sz w:val="18"/>
                <w:szCs w:val="18"/>
                <w:color w:val="auto"/>
                <w:w w:val="97"/>
              </w:rPr>
              <w:t>NEGATIVE COVENANTS</w:t>
            </w:r>
          </w:p>
        </w:tc>
        <w:tc>
          <w:tcPr>
            <w:tcW w:w="1920" w:type="dxa"/>
            <w:vAlign w:val="bottom"/>
          </w:tcPr>
          <w:p>
            <w:pPr>
              <w:spacing w:after="0"/>
              <w:rPr>
                <w:sz w:val="24"/>
                <w:szCs w:val="24"/>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6.01.</w:t>
            </w:r>
          </w:p>
        </w:tc>
        <w:tc>
          <w:tcPr>
            <w:tcW w:w="7600" w:type="dxa"/>
            <w:vAlign w:val="bottom"/>
          </w:tcPr>
          <w:p>
            <w:pPr>
              <w:ind w:left="520"/>
              <w:spacing w:after="0"/>
              <w:rPr>
                <w:sz w:val="20"/>
                <w:szCs w:val="20"/>
                <w:color w:val="auto"/>
              </w:rPr>
            </w:pPr>
            <w:r>
              <w:rPr>
                <w:rFonts w:ascii="Arial" w:cs="Arial" w:eastAsia="Arial" w:hAnsi="Arial"/>
                <w:sz w:val="18"/>
                <w:szCs w:val="18"/>
                <w:color w:val="auto"/>
              </w:rPr>
              <w:t>Indebtedness</w:t>
            </w:r>
          </w:p>
        </w:tc>
        <w:tc>
          <w:tcPr>
            <w:tcW w:w="19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6.02.</w:t>
            </w:r>
          </w:p>
        </w:tc>
        <w:tc>
          <w:tcPr>
            <w:tcW w:w="7600" w:type="dxa"/>
            <w:vAlign w:val="bottom"/>
          </w:tcPr>
          <w:p>
            <w:pPr>
              <w:ind w:left="520"/>
              <w:spacing w:after="0"/>
              <w:rPr>
                <w:sz w:val="20"/>
                <w:szCs w:val="20"/>
                <w:color w:val="auto"/>
              </w:rPr>
            </w:pPr>
            <w:r>
              <w:rPr>
                <w:rFonts w:ascii="Arial" w:cs="Arial" w:eastAsia="Arial" w:hAnsi="Arial"/>
                <w:sz w:val="18"/>
                <w:szCs w:val="18"/>
                <w:color w:val="auto"/>
              </w:rPr>
              <w:t>Liens</w:t>
            </w:r>
          </w:p>
        </w:tc>
        <w:tc>
          <w:tcPr>
            <w:tcW w:w="19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6.03.</w:t>
            </w:r>
          </w:p>
        </w:tc>
        <w:tc>
          <w:tcPr>
            <w:tcW w:w="7600" w:type="dxa"/>
            <w:vAlign w:val="bottom"/>
          </w:tcPr>
          <w:p>
            <w:pPr>
              <w:ind w:left="520"/>
              <w:spacing w:after="0"/>
              <w:rPr>
                <w:sz w:val="20"/>
                <w:szCs w:val="20"/>
                <w:color w:val="auto"/>
              </w:rPr>
            </w:pPr>
            <w:r>
              <w:rPr>
                <w:rFonts w:ascii="Arial" w:cs="Arial" w:eastAsia="Arial" w:hAnsi="Arial"/>
                <w:sz w:val="18"/>
                <w:szCs w:val="18"/>
                <w:color w:val="auto"/>
              </w:rPr>
              <w:t>[Reserved]</w:t>
            </w:r>
          </w:p>
        </w:tc>
        <w:tc>
          <w:tcPr>
            <w:tcW w:w="19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6.04.</w:t>
            </w:r>
          </w:p>
        </w:tc>
        <w:tc>
          <w:tcPr>
            <w:tcW w:w="7600" w:type="dxa"/>
            <w:vAlign w:val="bottom"/>
          </w:tcPr>
          <w:p>
            <w:pPr>
              <w:ind w:left="520"/>
              <w:spacing w:after="0"/>
              <w:rPr>
                <w:sz w:val="20"/>
                <w:szCs w:val="20"/>
                <w:color w:val="auto"/>
              </w:rPr>
            </w:pPr>
            <w:r>
              <w:rPr>
                <w:rFonts w:ascii="Arial" w:cs="Arial" w:eastAsia="Arial" w:hAnsi="Arial"/>
                <w:sz w:val="18"/>
                <w:szCs w:val="18"/>
                <w:color w:val="auto"/>
              </w:rPr>
              <w:t>Restricted Payments; Restricted Debt Payments</w:t>
            </w:r>
          </w:p>
        </w:tc>
        <w:tc>
          <w:tcPr>
            <w:tcW w:w="19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6.05.</w:t>
            </w:r>
          </w:p>
        </w:tc>
        <w:tc>
          <w:tcPr>
            <w:tcW w:w="7600" w:type="dxa"/>
            <w:vAlign w:val="bottom"/>
          </w:tcPr>
          <w:p>
            <w:pPr>
              <w:ind w:left="520"/>
              <w:spacing w:after="0"/>
              <w:rPr>
                <w:sz w:val="20"/>
                <w:szCs w:val="20"/>
                <w:color w:val="auto"/>
              </w:rPr>
            </w:pPr>
            <w:r>
              <w:rPr>
                <w:rFonts w:ascii="Arial" w:cs="Arial" w:eastAsia="Arial" w:hAnsi="Arial"/>
                <w:sz w:val="18"/>
                <w:szCs w:val="18"/>
                <w:color w:val="auto"/>
              </w:rPr>
              <w:t>Burdensome Agreements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6.06.</w:t>
            </w:r>
          </w:p>
        </w:tc>
        <w:tc>
          <w:tcPr>
            <w:tcW w:w="7600" w:type="dxa"/>
            <w:vAlign w:val="bottom"/>
          </w:tcPr>
          <w:p>
            <w:pPr>
              <w:ind w:left="520"/>
              <w:spacing w:after="0"/>
              <w:rPr>
                <w:sz w:val="20"/>
                <w:szCs w:val="20"/>
                <w:color w:val="auto"/>
              </w:rPr>
            </w:pPr>
            <w:r>
              <w:rPr>
                <w:rFonts w:ascii="Arial" w:cs="Arial" w:eastAsia="Arial" w:hAnsi="Arial"/>
                <w:sz w:val="18"/>
                <w:szCs w:val="18"/>
                <w:color w:val="auto"/>
              </w:rPr>
              <w:t>Investments</w:t>
            </w:r>
          </w:p>
        </w:tc>
        <w:tc>
          <w:tcPr>
            <w:tcW w:w="19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6.07.</w:t>
            </w:r>
          </w:p>
        </w:tc>
        <w:tc>
          <w:tcPr>
            <w:tcW w:w="7600" w:type="dxa"/>
            <w:vAlign w:val="bottom"/>
          </w:tcPr>
          <w:p>
            <w:pPr>
              <w:ind w:left="520"/>
              <w:spacing w:after="0"/>
              <w:rPr>
                <w:sz w:val="20"/>
                <w:szCs w:val="20"/>
                <w:color w:val="auto"/>
              </w:rPr>
            </w:pPr>
            <w:r>
              <w:rPr>
                <w:rFonts w:ascii="Arial" w:cs="Arial" w:eastAsia="Arial" w:hAnsi="Arial"/>
                <w:sz w:val="18"/>
                <w:szCs w:val="18"/>
                <w:color w:val="auto"/>
              </w:rPr>
              <w:t>Fundamental Changes; Disposition of Assets</w:t>
            </w:r>
          </w:p>
        </w:tc>
        <w:tc>
          <w:tcPr>
            <w:tcW w:w="19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6.08.</w:t>
            </w:r>
          </w:p>
        </w:tc>
        <w:tc>
          <w:tcPr>
            <w:tcW w:w="7600" w:type="dxa"/>
            <w:vAlign w:val="bottom"/>
          </w:tcPr>
          <w:p>
            <w:pPr>
              <w:ind w:left="520"/>
              <w:spacing w:after="0"/>
              <w:rPr>
                <w:sz w:val="20"/>
                <w:szCs w:val="20"/>
                <w:color w:val="auto"/>
              </w:rPr>
            </w:pPr>
            <w:r>
              <w:rPr>
                <w:rFonts w:ascii="Arial" w:cs="Arial" w:eastAsia="Arial" w:hAnsi="Arial"/>
                <w:sz w:val="18"/>
                <w:szCs w:val="18"/>
                <w:color w:val="auto"/>
              </w:rPr>
              <w:t>Amendments of or Waivers with Respect to Restricted Debt</w:t>
            </w:r>
          </w:p>
        </w:tc>
        <w:tc>
          <w:tcPr>
            <w:tcW w:w="19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6.09.</w:t>
            </w:r>
          </w:p>
        </w:tc>
        <w:tc>
          <w:tcPr>
            <w:tcW w:w="7600" w:type="dxa"/>
            <w:vAlign w:val="bottom"/>
          </w:tcPr>
          <w:p>
            <w:pPr>
              <w:ind w:left="520"/>
              <w:spacing w:after="0"/>
              <w:rPr>
                <w:sz w:val="20"/>
                <w:szCs w:val="20"/>
                <w:color w:val="auto"/>
              </w:rPr>
            </w:pPr>
            <w:r>
              <w:rPr>
                <w:rFonts w:ascii="Arial" w:cs="Arial" w:eastAsia="Arial" w:hAnsi="Arial"/>
                <w:sz w:val="18"/>
                <w:szCs w:val="18"/>
                <w:color w:val="auto"/>
              </w:rPr>
              <w:t>Holdings</w:t>
            </w:r>
          </w:p>
        </w:tc>
        <w:tc>
          <w:tcPr>
            <w:tcW w:w="19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6.10.</w:t>
            </w:r>
          </w:p>
        </w:tc>
        <w:tc>
          <w:tcPr>
            <w:tcW w:w="7600" w:type="dxa"/>
            <w:vAlign w:val="bottom"/>
          </w:tcPr>
          <w:p>
            <w:pPr>
              <w:ind w:left="520"/>
              <w:spacing w:after="0"/>
              <w:rPr>
                <w:sz w:val="20"/>
                <w:szCs w:val="20"/>
                <w:color w:val="auto"/>
              </w:rPr>
            </w:pPr>
            <w:r>
              <w:rPr>
                <w:rFonts w:ascii="Arial" w:cs="Arial" w:eastAsia="Arial" w:hAnsi="Arial"/>
                <w:sz w:val="18"/>
                <w:szCs w:val="18"/>
                <w:color w:val="auto"/>
              </w:rPr>
              <w:t>Financial Covenant</w:t>
            </w:r>
          </w:p>
        </w:tc>
        <w:tc>
          <w:tcPr>
            <w:tcW w:w="19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324"/>
        </w:trPr>
        <w:tc>
          <w:tcPr>
            <w:tcW w:w="1440" w:type="dxa"/>
            <w:vAlign w:val="bottom"/>
          </w:tcPr>
          <w:p>
            <w:pPr>
              <w:spacing w:after="0"/>
              <w:rPr>
                <w:sz w:val="24"/>
                <w:szCs w:val="24"/>
                <w:color w:val="auto"/>
              </w:rPr>
            </w:pPr>
          </w:p>
        </w:tc>
        <w:tc>
          <w:tcPr>
            <w:tcW w:w="7600" w:type="dxa"/>
            <w:vAlign w:val="bottom"/>
          </w:tcPr>
          <w:p>
            <w:pPr>
              <w:jc w:val="center"/>
              <w:ind w:left="390"/>
              <w:spacing w:after="0"/>
              <w:rPr>
                <w:sz w:val="20"/>
                <w:szCs w:val="20"/>
                <w:color w:val="auto"/>
              </w:rPr>
            </w:pPr>
            <w:r>
              <w:rPr>
                <w:rFonts w:ascii="Arial" w:cs="Arial" w:eastAsia="Arial" w:hAnsi="Arial"/>
                <w:sz w:val="18"/>
                <w:szCs w:val="18"/>
                <w:color w:val="auto"/>
                <w:w w:val="96"/>
              </w:rPr>
              <w:t>ARTICLE 7</w:t>
            </w:r>
          </w:p>
        </w:tc>
        <w:tc>
          <w:tcPr>
            <w:tcW w:w="192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7600" w:type="dxa"/>
            <w:vAlign w:val="bottom"/>
          </w:tcPr>
          <w:p>
            <w:pPr>
              <w:jc w:val="center"/>
              <w:ind w:left="390"/>
              <w:spacing w:after="0"/>
              <w:rPr>
                <w:sz w:val="20"/>
                <w:szCs w:val="20"/>
                <w:color w:val="auto"/>
              </w:rPr>
            </w:pPr>
            <w:r>
              <w:rPr>
                <w:rFonts w:ascii="Arial" w:cs="Arial" w:eastAsia="Arial" w:hAnsi="Arial"/>
                <w:sz w:val="18"/>
                <w:szCs w:val="18"/>
                <w:color w:val="auto"/>
                <w:w w:val="95"/>
              </w:rPr>
              <w:t>EVENTS OF DEFAULT</w:t>
            </w:r>
          </w:p>
        </w:tc>
        <w:tc>
          <w:tcPr>
            <w:tcW w:w="1920" w:type="dxa"/>
            <w:vAlign w:val="bottom"/>
          </w:tcPr>
          <w:p>
            <w:pPr>
              <w:spacing w:after="0"/>
              <w:rPr>
                <w:sz w:val="24"/>
                <w:szCs w:val="24"/>
                <w:color w:val="auto"/>
              </w:rPr>
            </w:pPr>
          </w:p>
        </w:tc>
      </w:tr>
      <w:tr>
        <w:trPr>
          <w:trHeight w:val="324"/>
        </w:trPr>
        <w:tc>
          <w:tcPr>
            <w:tcW w:w="1440" w:type="dxa"/>
            <w:vAlign w:val="bottom"/>
          </w:tcPr>
          <w:p>
            <w:pPr>
              <w:spacing w:after="0"/>
              <w:rPr>
                <w:sz w:val="20"/>
                <w:szCs w:val="20"/>
                <w:color w:val="auto"/>
              </w:rPr>
            </w:pPr>
            <w:r>
              <w:rPr>
                <w:rFonts w:ascii="Arial" w:cs="Arial" w:eastAsia="Arial" w:hAnsi="Arial"/>
                <w:sz w:val="18"/>
                <w:szCs w:val="18"/>
                <w:color w:val="auto"/>
              </w:rPr>
              <w:t>Section 7.01.</w:t>
            </w:r>
          </w:p>
        </w:tc>
        <w:tc>
          <w:tcPr>
            <w:tcW w:w="7600" w:type="dxa"/>
            <w:vAlign w:val="bottom"/>
          </w:tcPr>
          <w:p>
            <w:pPr>
              <w:ind w:left="520"/>
              <w:spacing w:after="0"/>
              <w:rPr>
                <w:sz w:val="20"/>
                <w:szCs w:val="20"/>
                <w:color w:val="auto"/>
              </w:rPr>
            </w:pPr>
            <w:r>
              <w:rPr>
                <w:rFonts w:ascii="Arial" w:cs="Arial" w:eastAsia="Arial" w:hAnsi="Arial"/>
                <w:sz w:val="18"/>
                <w:szCs w:val="18"/>
                <w:color w:val="auto"/>
              </w:rPr>
              <w:t>Events of Default</w:t>
            </w:r>
          </w:p>
        </w:tc>
        <w:tc>
          <w:tcPr>
            <w:tcW w:w="19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24"/>
        </w:trPr>
        <w:tc>
          <w:tcPr>
            <w:tcW w:w="1440" w:type="dxa"/>
            <w:vAlign w:val="bottom"/>
          </w:tcPr>
          <w:p>
            <w:pPr>
              <w:spacing w:after="0"/>
              <w:rPr>
                <w:sz w:val="24"/>
                <w:szCs w:val="24"/>
                <w:color w:val="auto"/>
              </w:rPr>
            </w:pPr>
          </w:p>
        </w:tc>
        <w:tc>
          <w:tcPr>
            <w:tcW w:w="7600" w:type="dxa"/>
            <w:vAlign w:val="bottom"/>
          </w:tcPr>
          <w:p>
            <w:pPr>
              <w:jc w:val="center"/>
              <w:ind w:left="390"/>
              <w:spacing w:after="0"/>
              <w:rPr>
                <w:sz w:val="20"/>
                <w:szCs w:val="20"/>
                <w:color w:val="auto"/>
              </w:rPr>
            </w:pPr>
            <w:r>
              <w:rPr>
                <w:rFonts w:ascii="Arial" w:cs="Arial" w:eastAsia="Arial" w:hAnsi="Arial"/>
                <w:sz w:val="18"/>
                <w:szCs w:val="18"/>
                <w:color w:val="auto"/>
                <w:w w:val="96"/>
              </w:rPr>
              <w:t>ARTICLE 8</w:t>
            </w:r>
          </w:p>
        </w:tc>
        <w:tc>
          <w:tcPr>
            <w:tcW w:w="192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7600" w:type="dxa"/>
            <w:vAlign w:val="bottom"/>
          </w:tcPr>
          <w:p>
            <w:pPr>
              <w:jc w:val="center"/>
              <w:ind w:left="390"/>
              <w:spacing w:after="0"/>
              <w:rPr>
                <w:sz w:val="20"/>
                <w:szCs w:val="20"/>
                <w:color w:val="auto"/>
              </w:rPr>
            </w:pPr>
            <w:r>
              <w:rPr>
                <w:rFonts w:ascii="Arial" w:cs="Arial" w:eastAsia="Arial" w:hAnsi="Arial"/>
                <w:sz w:val="18"/>
                <w:szCs w:val="18"/>
                <w:color w:val="auto"/>
                <w:w w:val="98"/>
              </w:rPr>
              <w:t>THE ADMINISTRATIVE AGENT</w:t>
            </w:r>
          </w:p>
        </w:tc>
        <w:tc>
          <w:tcPr>
            <w:tcW w:w="1920" w:type="dxa"/>
            <w:vAlign w:val="bottom"/>
          </w:tcPr>
          <w:p>
            <w:pPr>
              <w:spacing w:after="0"/>
              <w:rPr>
                <w:sz w:val="24"/>
                <w:szCs w:val="24"/>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8.01.</w:t>
            </w:r>
          </w:p>
        </w:tc>
        <w:tc>
          <w:tcPr>
            <w:tcW w:w="7600" w:type="dxa"/>
            <w:vAlign w:val="bottom"/>
          </w:tcPr>
          <w:p>
            <w:pPr>
              <w:ind w:left="520"/>
              <w:spacing w:after="0"/>
              <w:rPr>
                <w:sz w:val="20"/>
                <w:szCs w:val="20"/>
                <w:color w:val="auto"/>
              </w:rPr>
            </w:pPr>
            <w:r>
              <w:rPr>
                <w:rFonts w:ascii="Arial" w:cs="Arial" w:eastAsia="Arial" w:hAnsi="Arial"/>
                <w:sz w:val="18"/>
                <w:szCs w:val="18"/>
                <w:color w:val="auto"/>
              </w:rPr>
              <w:t>Appointment and Authorization of Administrative Agent</w:t>
            </w:r>
          </w:p>
        </w:tc>
        <w:tc>
          <w:tcPr>
            <w:tcW w:w="19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8.02.</w:t>
            </w:r>
          </w:p>
        </w:tc>
        <w:tc>
          <w:tcPr>
            <w:tcW w:w="7600" w:type="dxa"/>
            <w:vAlign w:val="bottom"/>
          </w:tcPr>
          <w:p>
            <w:pPr>
              <w:ind w:left="520"/>
              <w:spacing w:after="0"/>
              <w:rPr>
                <w:sz w:val="20"/>
                <w:szCs w:val="20"/>
                <w:color w:val="auto"/>
              </w:rPr>
            </w:pPr>
            <w:r>
              <w:rPr>
                <w:rFonts w:ascii="Arial" w:cs="Arial" w:eastAsia="Arial" w:hAnsi="Arial"/>
                <w:sz w:val="18"/>
                <w:szCs w:val="18"/>
                <w:color w:val="auto"/>
              </w:rPr>
              <w:t>Rights as a Lender</w:t>
            </w:r>
          </w:p>
        </w:tc>
        <w:tc>
          <w:tcPr>
            <w:tcW w:w="19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8.03.</w:t>
            </w:r>
          </w:p>
        </w:tc>
        <w:tc>
          <w:tcPr>
            <w:tcW w:w="7600" w:type="dxa"/>
            <w:vAlign w:val="bottom"/>
          </w:tcPr>
          <w:p>
            <w:pPr>
              <w:ind w:left="520"/>
              <w:spacing w:after="0"/>
              <w:rPr>
                <w:sz w:val="20"/>
                <w:szCs w:val="20"/>
                <w:color w:val="auto"/>
              </w:rPr>
            </w:pPr>
            <w:r>
              <w:rPr>
                <w:rFonts w:ascii="Arial" w:cs="Arial" w:eastAsia="Arial" w:hAnsi="Arial"/>
                <w:sz w:val="18"/>
                <w:szCs w:val="18"/>
                <w:color w:val="auto"/>
              </w:rPr>
              <w:t>Exculpatory Provisions</w:t>
            </w:r>
          </w:p>
        </w:tc>
        <w:tc>
          <w:tcPr>
            <w:tcW w:w="19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8.04.</w:t>
            </w:r>
          </w:p>
        </w:tc>
        <w:tc>
          <w:tcPr>
            <w:tcW w:w="7600" w:type="dxa"/>
            <w:vAlign w:val="bottom"/>
          </w:tcPr>
          <w:p>
            <w:pPr>
              <w:ind w:left="520"/>
              <w:spacing w:after="0"/>
              <w:rPr>
                <w:sz w:val="20"/>
                <w:szCs w:val="20"/>
                <w:color w:val="auto"/>
              </w:rPr>
            </w:pPr>
            <w:r>
              <w:rPr>
                <w:rFonts w:ascii="Arial" w:cs="Arial" w:eastAsia="Arial" w:hAnsi="Arial"/>
                <w:sz w:val="18"/>
                <w:szCs w:val="18"/>
                <w:color w:val="auto"/>
              </w:rPr>
              <w:t>Exclusive Right to Enforce Rights and Remedies</w:t>
            </w:r>
          </w:p>
        </w:tc>
        <w:tc>
          <w:tcPr>
            <w:tcW w:w="19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8.05.</w:t>
            </w:r>
          </w:p>
        </w:tc>
        <w:tc>
          <w:tcPr>
            <w:tcW w:w="7600" w:type="dxa"/>
            <w:vAlign w:val="bottom"/>
          </w:tcPr>
          <w:p>
            <w:pPr>
              <w:ind w:left="520"/>
              <w:spacing w:after="0"/>
              <w:rPr>
                <w:sz w:val="20"/>
                <w:szCs w:val="20"/>
                <w:color w:val="auto"/>
              </w:rPr>
            </w:pPr>
            <w:r>
              <w:rPr>
                <w:rFonts w:ascii="Arial" w:cs="Arial" w:eastAsia="Arial" w:hAnsi="Arial"/>
                <w:sz w:val="18"/>
                <w:szCs w:val="18"/>
                <w:color w:val="auto"/>
              </w:rPr>
              <w:t>Reliance by Administrative Agent</w:t>
            </w:r>
          </w:p>
        </w:tc>
        <w:tc>
          <w:tcPr>
            <w:tcW w:w="19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8.06.</w:t>
            </w:r>
          </w:p>
        </w:tc>
        <w:tc>
          <w:tcPr>
            <w:tcW w:w="7600" w:type="dxa"/>
            <w:vAlign w:val="bottom"/>
          </w:tcPr>
          <w:p>
            <w:pPr>
              <w:ind w:left="520"/>
              <w:spacing w:after="0"/>
              <w:rPr>
                <w:sz w:val="20"/>
                <w:szCs w:val="20"/>
                <w:color w:val="auto"/>
              </w:rPr>
            </w:pPr>
            <w:r>
              <w:rPr>
                <w:rFonts w:ascii="Arial" w:cs="Arial" w:eastAsia="Arial" w:hAnsi="Arial"/>
                <w:sz w:val="18"/>
                <w:szCs w:val="18"/>
                <w:color w:val="auto"/>
              </w:rPr>
              <w:t>Delegation of Duties</w:t>
            </w:r>
          </w:p>
        </w:tc>
        <w:tc>
          <w:tcPr>
            <w:tcW w:w="19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8.07.</w:t>
            </w:r>
          </w:p>
        </w:tc>
        <w:tc>
          <w:tcPr>
            <w:tcW w:w="7600" w:type="dxa"/>
            <w:vAlign w:val="bottom"/>
          </w:tcPr>
          <w:p>
            <w:pPr>
              <w:ind w:left="520"/>
              <w:spacing w:after="0"/>
              <w:rPr>
                <w:sz w:val="20"/>
                <w:szCs w:val="20"/>
                <w:color w:val="auto"/>
              </w:rPr>
            </w:pPr>
            <w:r>
              <w:rPr>
                <w:rFonts w:ascii="Arial" w:cs="Arial" w:eastAsia="Arial" w:hAnsi="Arial"/>
                <w:sz w:val="18"/>
                <w:szCs w:val="18"/>
                <w:color w:val="auto"/>
              </w:rPr>
              <w:t>Successor Administrative Agent</w:t>
            </w:r>
          </w:p>
        </w:tc>
        <w:tc>
          <w:tcPr>
            <w:tcW w:w="19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8.08.</w:t>
            </w:r>
          </w:p>
        </w:tc>
        <w:tc>
          <w:tcPr>
            <w:tcW w:w="7600" w:type="dxa"/>
            <w:vAlign w:val="bottom"/>
          </w:tcPr>
          <w:p>
            <w:pPr>
              <w:ind w:left="520"/>
              <w:spacing w:after="0"/>
              <w:rPr>
                <w:sz w:val="20"/>
                <w:szCs w:val="20"/>
                <w:color w:val="auto"/>
              </w:rPr>
            </w:pPr>
            <w:r>
              <w:rPr>
                <w:rFonts w:ascii="Arial" w:cs="Arial" w:eastAsia="Arial" w:hAnsi="Arial"/>
                <w:sz w:val="18"/>
                <w:szCs w:val="18"/>
                <w:color w:val="auto"/>
              </w:rPr>
              <w:t>Non-Reliance on Administrative Agent, the Arrangers or the Other Lenders</w:t>
            </w:r>
          </w:p>
        </w:tc>
        <w:tc>
          <w:tcPr>
            <w:tcW w:w="19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8.09.</w:t>
            </w:r>
          </w:p>
        </w:tc>
        <w:tc>
          <w:tcPr>
            <w:tcW w:w="7600" w:type="dxa"/>
            <w:vAlign w:val="bottom"/>
          </w:tcPr>
          <w:p>
            <w:pPr>
              <w:ind w:left="520"/>
              <w:spacing w:after="0"/>
              <w:rPr>
                <w:sz w:val="20"/>
                <w:szCs w:val="20"/>
                <w:color w:val="auto"/>
              </w:rPr>
            </w:pPr>
            <w:r>
              <w:rPr>
                <w:rFonts w:ascii="Arial" w:cs="Arial" w:eastAsia="Arial" w:hAnsi="Arial"/>
                <w:sz w:val="18"/>
                <w:szCs w:val="18"/>
                <w:color w:val="auto"/>
              </w:rPr>
              <w:t>Collateral and Guaranty Matters</w:t>
            </w:r>
          </w:p>
        </w:tc>
        <w:tc>
          <w:tcPr>
            <w:tcW w:w="19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8.10.</w:t>
            </w:r>
          </w:p>
        </w:tc>
        <w:tc>
          <w:tcPr>
            <w:tcW w:w="7600" w:type="dxa"/>
            <w:vAlign w:val="bottom"/>
          </w:tcPr>
          <w:p>
            <w:pPr>
              <w:ind w:left="520"/>
              <w:spacing w:after="0"/>
              <w:rPr>
                <w:sz w:val="20"/>
                <w:szCs w:val="20"/>
                <w:color w:val="auto"/>
              </w:rPr>
            </w:pPr>
            <w:r>
              <w:rPr>
                <w:rFonts w:ascii="Arial" w:cs="Arial" w:eastAsia="Arial" w:hAnsi="Arial"/>
                <w:sz w:val="18"/>
                <w:szCs w:val="18"/>
                <w:color w:val="auto"/>
              </w:rPr>
              <w:t>Intercreditor Agreements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8.11.</w:t>
            </w:r>
          </w:p>
        </w:tc>
        <w:tc>
          <w:tcPr>
            <w:tcW w:w="7600" w:type="dxa"/>
            <w:vAlign w:val="bottom"/>
          </w:tcPr>
          <w:p>
            <w:pPr>
              <w:ind w:left="520"/>
              <w:spacing w:after="0"/>
              <w:rPr>
                <w:sz w:val="20"/>
                <w:szCs w:val="20"/>
                <w:color w:val="auto"/>
              </w:rPr>
            </w:pPr>
            <w:r>
              <w:rPr>
                <w:rFonts w:ascii="Arial" w:cs="Arial" w:eastAsia="Arial" w:hAnsi="Arial"/>
                <w:sz w:val="18"/>
                <w:szCs w:val="18"/>
                <w:color w:val="auto"/>
              </w:rPr>
              <w:t>Indemnification of Administrative Agent</w:t>
            </w:r>
          </w:p>
        </w:tc>
        <w:tc>
          <w:tcPr>
            <w:tcW w:w="19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8.12.</w:t>
            </w:r>
          </w:p>
        </w:tc>
        <w:tc>
          <w:tcPr>
            <w:tcW w:w="7600" w:type="dxa"/>
            <w:vAlign w:val="bottom"/>
          </w:tcPr>
          <w:p>
            <w:pPr>
              <w:ind w:left="520"/>
              <w:spacing w:after="0"/>
              <w:rPr>
                <w:sz w:val="20"/>
                <w:szCs w:val="20"/>
                <w:color w:val="auto"/>
              </w:rPr>
            </w:pPr>
            <w:r>
              <w:rPr>
                <w:rFonts w:ascii="Arial" w:cs="Arial" w:eastAsia="Arial" w:hAnsi="Arial"/>
                <w:sz w:val="18"/>
                <w:szCs w:val="18"/>
                <w:color w:val="auto"/>
              </w:rPr>
              <w:t>Withholding Taxes</w:t>
            </w:r>
          </w:p>
        </w:tc>
        <w:tc>
          <w:tcPr>
            <w:tcW w:w="19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8.13.</w:t>
            </w:r>
          </w:p>
        </w:tc>
        <w:tc>
          <w:tcPr>
            <w:tcW w:w="7600" w:type="dxa"/>
            <w:vAlign w:val="bottom"/>
          </w:tcPr>
          <w:p>
            <w:pPr>
              <w:ind w:left="520"/>
              <w:spacing w:after="0"/>
              <w:rPr>
                <w:sz w:val="20"/>
                <w:szCs w:val="20"/>
                <w:color w:val="auto"/>
              </w:rPr>
            </w:pPr>
            <w:r>
              <w:rPr>
                <w:rFonts w:ascii="Arial" w:cs="Arial" w:eastAsia="Arial" w:hAnsi="Arial"/>
                <w:sz w:val="18"/>
                <w:szCs w:val="18"/>
                <w:color w:val="auto"/>
              </w:rPr>
              <w:t>Administrative Agent May File Proofs of Claim</w:t>
            </w:r>
          </w:p>
        </w:tc>
        <w:tc>
          <w:tcPr>
            <w:tcW w:w="19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8.14.</w:t>
            </w:r>
          </w:p>
        </w:tc>
        <w:tc>
          <w:tcPr>
            <w:tcW w:w="7600" w:type="dxa"/>
            <w:vAlign w:val="bottom"/>
          </w:tcPr>
          <w:p>
            <w:pPr>
              <w:ind w:left="520"/>
              <w:spacing w:after="0"/>
              <w:rPr>
                <w:sz w:val="20"/>
                <w:szCs w:val="20"/>
                <w:color w:val="auto"/>
              </w:rPr>
            </w:pPr>
            <w:r>
              <w:rPr>
                <w:rFonts w:ascii="Arial" w:cs="Arial" w:eastAsia="Arial" w:hAnsi="Arial"/>
                <w:sz w:val="18"/>
                <w:szCs w:val="18"/>
                <w:color w:val="auto"/>
              </w:rPr>
              <w:t>Erroneous Payments</w:t>
            </w:r>
          </w:p>
        </w:tc>
        <w:tc>
          <w:tcPr>
            <w:tcW w:w="19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8.15.</w:t>
            </w:r>
          </w:p>
        </w:tc>
        <w:tc>
          <w:tcPr>
            <w:tcW w:w="7600" w:type="dxa"/>
            <w:vAlign w:val="bottom"/>
          </w:tcPr>
          <w:p>
            <w:pPr>
              <w:ind w:left="520"/>
              <w:spacing w:after="0"/>
              <w:rPr>
                <w:sz w:val="20"/>
                <w:szCs w:val="20"/>
                <w:color w:val="auto"/>
              </w:rPr>
            </w:pPr>
            <w:r>
              <w:rPr>
                <w:rFonts w:ascii="Arial" w:cs="Arial" w:eastAsia="Arial" w:hAnsi="Arial"/>
                <w:sz w:val="18"/>
                <w:szCs w:val="18"/>
                <w:color w:val="auto"/>
              </w:rPr>
              <w:t>Banking Services Obligations and Secured Hedging Obligations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324"/>
        </w:trPr>
        <w:tc>
          <w:tcPr>
            <w:tcW w:w="1440" w:type="dxa"/>
            <w:vAlign w:val="bottom"/>
          </w:tcPr>
          <w:p>
            <w:pPr>
              <w:spacing w:after="0"/>
              <w:rPr>
                <w:sz w:val="24"/>
                <w:szCs w:val="24"/>
                <w:color w:val="auto"/>
              </w:rPr>
            </w:pPr>
          </w:p>
        </w:tc>
        <w:tc>
          <w:tcPr>
            <w:tcW w:w="7600" w:type="dxa"/>
            <w:vAlign w:val="bottom"/>
          </w:tcPr>
          <w:p>
            <w:pPr>
              <w:jc w:val="center"/>
              <w:ind w:left="390"/>
              <w:spacing w:after="0"/>
              <w:rPr>
                <w:sz w:val="20"/>
                <w:szCs w:val="20"/>
                <w:color w:val="auto"/>
              </w:rPr>
            </w:pPr>
            <w:r>
              <w:rPr>
                <w:rFonts w:ascii="Arial" w:cs="Arial" w:eastAsia="Arial" w:hAnsi="Arial"/>
                <w:sz w:val="18"/>
                <w:szCs w:val="18"/>
                <w:color w:val="auto"/>
                <w:w w:val="96"/>
              </w:rPr>
              <w:t>ARTICLE 9</w:t>
            </w:r>
          </w:p>
        </w:tc>
        <w:tc>
          <w:tcPr>
            <w:tcW w:w="192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7600" w:type="dxa"/>
            <w:vAlign w:val="bottom"/>
          </w:tcPr>
          <w:p>
            <w:pPr>
              <w:jc w:val="center"/>
              <w:ind w:left="370"/>
              <w:spacing w:after="0"/>
              <w:rPr>
                <w:sz w:val="20"/>
                <w:szCs w:val="20"/>
                <w:color w:val="auto"/>
              </w:rPr>
            </w:pPr>
            <w:r>
              <w:rPr>
                <w:rFonts w:ascii="Arial" w:cs="Arial" w:eastAsia="Arial" w:hAnsi="Arial"/>
                <w:sz w:val="18"/>
                <w:szCs w:val="18"/>
                <w:color w:val="auto"/>
                <w:w w:val="97"/>
              </w:rPr>
              <w:t>MISCELLANEOUS</w:t>
            </w:r>
          </w:p>
        </w:tc>
        <w:tc>
          <w:tcPr>
            <w:tcW w:w="1920" w:type="dxa"/>
            <w:vAlign w:val="bottom"/>
          </w:tcPr>
          <w:p>
            <w:pPr>
              <w:spacing w:after="0"/>
              <w:rPr>
                <w:sz w:val="24"/>
                <w:szCs w:val="24"/>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9.01.</w:t>
            </w:r>
          </w:p>
        </w:tc>
        <w:tc>
          <w:tcPr>
            <w:tcW w:w="7600" w:type="dxa"/>
            <w:vAlign w:val="bottom"/>
          </w:tcPr>
          <w:p>
            <w:pPr>
              <w:ind w:left="520"/>
              <w:spacing w:after="0"/>
              <w:rPr>
                <w:sz w:val="20"/>
                <w:szCs w:val="20"/>
                <w:color w:val="auto"/>
              </w:rPr>
            </w:pPr>
            <w:r>
              <w:rPr>
                <w:rFonts w:ascii="Arial" w:cs="Arial" w:eastAsia="Arial" w:hAnsi="Arial"/>
                <w:sz w:val="18"/>
                <w:szCs w:val="18"/>
                <w:color w:val="auto"/>
              </w:rPr>
              <w:t>Notices</w:t>
            </w:r>
          </w:p>
        </w:tc>
        <w:tc>
          <w:tcPr>
            <w:tcW w:w="19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9.02.</w:t>
            </w:r>
          </w:p>
        </w:tc>
        <w:tc>
          <w:tcPr>
            <w:tcW w:w="7600" w:type="dxa"/>
            <w:vAlign w:val="bottom"/>
          </w:tcPr>
          <w:p>
            <w:pPr>
              <w:ind w:left="520"/>
              <w:spacing w:after="0"/>
              <w:rPr>
                <w:sz w:val="20"/>
                <w:szCs w:val="20"/>
                <w:color w:val="auto"/>
              </w:rPr>
            </w:pPr>
            <w:r>
              <w:rPr>
                <w:rFonts w:ascii="Arial" w:cs="Arial" w:eastAsia="Arial" w:hAnsi="Arial"/>
                <w:sz w:val="18"/>
                <w:szCs w:val="18"/>
                <w:color w:val="auto"/>
              </w:rPr>
              <w:t>Waivers; Amendments</w:t>
            </w:r>
          </w:p>
        </w:tc>
        <w:tc>
          <w:tcPr>
            <w:tcW w:w="19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9.03.</w:t>
            </w:r>
          </w:p>
        </w:tc>
        <w:tc>
          <w:tcPr>
            <w:tcW w:w="7600" w:type="dxa"/>
            <w:vAlign w:val="bottom"/>
          </w:tcPr>
          <w:p>
            <w:pPr>
              <w:ind w:left="520"/>
              <w:spacing w:after="0"/>
              <w:rPr>
                <w:sz w:val="20"/>
                <w:szCs w:val="20"/>
                <w:color w:val="auto"/>
              </w:rPr>
            </w:pPr>
            <w:r>
              <w:rPr>
                <w:rFonts w:ascii="Arial" w:cs="Arial" w:eastAsia="Arial" w:hAnsi="Arial"/>
                <w:sz w:val="18"/>
                <w:szCs w:val="18"/>
                <w:color w:val="auto"/>
              </w:rPr>
              <w:t>Expenses; Indemnity</w:t>
            </w:r>
          </w:p>
        </w:tc>
        <w:tc>
          <w:tcPr>
            <w:tcW w:w="192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9.04.</w:t>
            </w:r>
          </w:p>
        </w:tc>
        <w:tc>
          <w:tcPr>
            <w:tcW w:w="7600" w:type="dxa"/>
            <w:vAlign w:val="bottom"/>
          </w:tcPr>
          <w:p>
            <w:pPr>
              <w:ind w:left="520"/>
              <w:spacing w:after="0"/>
              <w:rPr>
                <w:sz w:val="20"/>
                <w:szCs w:val="20"/>
                <w:color w:val="auto"/>
              </w:rPr>
            </w:pPr>
            <w:r>
              <w:rPr>
                <w:rFonts w:ascii="Arial" w:cs="Arial" w:eastAsia="Arial" w:hAnsi="Arial"/>
                <w:sz w:val="18"/>
                <w:szCs w:val="18"/>
                <w:color w:val="auto"/>
              </w:rPr>
              <w:t>Waiver of Claim</w:t>
            </w:r>
          </w:p>
        </w:tc>
        <w:tc>
          <w:tcPr>
            <w:tcW w:w="19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9.05.</w:t>
            </w:r>
          </w:p>
        </w:tc>
        <w:tc>
          <w:tcPr>
            <w:tcW w:w="7600" w:type="dxa"/>
            <w:vAlign w:val="bottom"/>
          </w:tcPr>
          <w:p>
            <w:pPr>
              <w:ind w:left="520"/>
              <w:spacing w:after="0"/>
              <w:rPr>
                <w:sz w:val="20"/>
                <w:szCs w:val="20"/>
                <w:color w:val="auto"/>
              </w:rPr>
            </w:pPr>
            <w:r>
              <w:rPr>
                <w:rFonts w:ascii="Arial" w:cs="Arial" w:eastAsia="Arial" w:hAnsi="Arial"/>
                <w:sz w:val="18"/>
                <w:szCs w:val="18"/>
                <w:color w:val="auto"/>
              </w:rPr>
              <w:t>Successors and Assigns</w:t>
            </w:r>
          </w:p>
        </w:tc>
        <w:tc>
          <w:tcPr>
            <w:tcW w:w="1920" w:type="dxa"/>
            <w:vAlign w:val="bottom"/>
          </w:tcPr>
          <w:p>
            <w:pPr>
              <w:jc w:val="right"/>
              <w:spacing w:after="0"/>
              <w:rPr>
                <w:sz w:val="20"/>
                <w:szCs w:val="20"/>
                <w:color w:val="auto"/>
              </w:rPr>
            </w:pPr>
            <w:r>
              <w:rPr>
                <w:rFonts w:ascii="Arial" w:cs="Arial" w:eastAsia="Arial" w:hAnsi="Arial"/>
                <w:sz w:val="18"/>
                <w:szCs w:val="18"/>
                <w:color w:val="auto"/>
              </w:rPr>
              <w:t>181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382"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9.06.</w:t>
            </w:r>
          </w:p>
        </w:tc>
        <w:tc>
          <w:tcPr>
            <w:tcW w:w="7620" w:type="dxa"/>
            <w:vAlign w:val="bottom"/>
          </w:tcPr>
          <w:p>
            <w:pPr>
              <w:ind w:left="520"/>
              <w:spacing w:after="0"/>
              <w:rPr>
                <w:sz w:val="20"/>
                <w:szCs w:val="20"/>
                <w:color w:val="auto"/>
              </w:rPr>
            </w:pPr>
            <w:r>
              <w:rPr>
                <w:rFonts w:ascii="Arial" w:cs="Arial" w:eastAsia="Arial" w:hAnsi="Arial"/>
                <w:sz w:val="18"/>
                <w:szCs w:val="18"/>
                <w:color w:val="auto"/>
              </w:rPr>
              <w:t>Survival</w:t>
            </w:r>
          </w:p>
        </w:tc>
        <w:tc>
          <w:tcPr>
            <w:tcW w:w="19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9.07.</w:t>
            </w:r>
          </w:p>
        </w:tc>
        <w:tc>
          <w:tcPr>
            <w:tcW w:w="7620" w:type="dxa"/>
            <w:vAlign w:val="bottom"/>
          </w:tcPr>
          <w:p>
            <w:pPr>
              <w:ind w:left="520"/>
              <w:spacing w:after="0"/>
              <w:rPr>
                <w:sz w:val="20"/>
                <w:szCs w:val="20"/>
                <w:color w:val="auto"/>
              </w:rPr>
            </w:pPr>
            <w:r>
              <w:rPr>
                <w:rFonts w:ascii="Arial" w:cs="Arial" w:eastAsia="Arial" w:hAnsi="Arial"/>
                <w:sz w:val="18"/>
                <w:szCs w:val="18"/>
                <w:color w:val="auto"/>
              </w:rPr>
              <w:t>Counterparts; Integration; Effectiveness</w:t>
            </w:r>
          </w:p>
        </w:tc>
        <w:tc>
          <w:tcPr>
            <w:tcW w:w="19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9.08.</w:t>
            </w:r>
          </w:p>
        </w:tc>
        <w:tc>
          <w:tcPr>
            <w:tcW w:w="7620" w:type="dxa"/>
            <w:vAlign w:val="bottom"/>
          </w:tcPr>
          <w:p>
            <w:pPr>
              <w:ind w:left="520"/>
              <w:spacing w:after="0"/>
              <w:rPr>
                <w:sz w:val="20"/>
                <w:szCs w:val="20"/>
                <w:color w:val="auto"/>
              </w:rPr>
            </w:pPr>
            <w:r>
              <w:rPr>
                <w:rFonts w:ascii="Arial" w:cs="Arial" w:eastAsia="Arial" w:hAnsi="Arial"/>
                <w:sz w:val="18"/>
                <w:szCs w:val="18"/>
                <w:color w:val="auto"/>
              </w:rPr>
              <w:t>Severability</w:t>
            </w:r>
          </w:p>
        </w:tc>
        <w:tc>
          <w:tcPr>
            <w:tcW w:w="19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9.09.</w:t>
            </w:r>
          </w:p>
        </w:tc>
        <w:tc>
          <w:tcPr>
            <w:tcW w:w="7620" w:type="dxa"/>
            <w:vAlign w:val="bottom"/>
          </w:tcPr>
          <w:p>
            <w:pPr>
              <w:ind w:left="520"/>
              <w:spacing w:after="0"/>
              <w:rPr>
                <w:sz w:val="20"/>
                <w:szCs w:val="20"/>
                <w:color w:val="auto"/>
              </w:rPr>
            </w:pPr>
            <w:r>
              <w:rPr>
                <w:rFonts w:ascii="Arial" w:cs="Arial" w:eastAsia="Arial" w:hAnsi="Arial"/>
                <w:sz w:val="18"/>
                <w:szCs w:val="18"/>
                <w:color w:val="auto"/>
              </w:rPr>
              <w:t>Right of Setoff</w:t>
            </w:r>
          </w:p>
        </w:tc>
        <w:tc>
          <w:tcPr>
            <w:tcW w:w="19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9.10.</w:t>
            </w:r>
          </w:p>
        </w:tc>
        <w:tc>
          <w:tcPr>
            <w:tcW w:w="7620" w:type="dxa"/>
            <w:vAlign w:val="bottom"/>
          </w:tcPr>
          <w:p>
            <w:pPr>
              <w:ind w:left="520"/>
              <w:spacing w:after="0"/>
              <w:rPr>
                <w:sz w:val="20"/>
                <w:szCs w:val="20"/>
                <w:color w:val="auto"/>
              </w:rPr>
            </w:pPr>
            <w:r>
              <w:rPr>
                <w:rFonts w:ascii="Arial" w:cs="Arial" w:eastAsia="Arial" w:hAnsi="Arial"/>
                <w:sz w:val="18"/>
                <w:szCs w:val="18"/>
                <w:color w:val="auto"/>
              </w:rPr>
              <w:t>Governing Law; Jurisdiction; Consent to Service of Process</w:t>
            </w:r>
          </w:p>
        </w:tc>
        <w:tc>
          <w:tcPr>
            <w:tcW w:w="19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9.11.</w:t>
            </w:r>
          </w:p>
        </w:tc>
        <w:tc>
          <w:tcPr>
            <w:tcW w:w="7620" w:type="dxa"/>
            <w:vAlign w:val="bottom"/>
          </w:tcPr>
          <w:p>
            <w:pPr>
              <w:ind w:left="520"/>
              <w:spacing w:after="0"/>
              <w:rPr>
                <w:sz w:val="20"/>
                <w:szCs w:val="20"/>
                <w:color w:val="auto"/>
              </w:rPr>
            </w:pPr>
            <w:r>
              <w:rPr>
                <w:rFonts w:ascii="Arial" w:cs="Arial" w:eastAsia="Arial" w:hAnsi="Arial"/>
                <w:sz w:val="18"/>
                <w:szCs w:val="18"/>
                <w:color w:val="auto"/>
              </w:rPr>
              <w:t>Waiver of Jury Trial</w:t>
            </w:r>
          </w:p>
        </w:tc>
        <w:tc>
          <w:tcPr>
            <w:tcW w:w="190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9.12.</w:t>
            </w:r>
          </w:p>
        </w:tc>
        <w:tc>
          <w:tcPr>
            <w:tcW w:w="7620" w:type="dxa"/>
            <w:vAlign w:val="bottom"/>
          </w:tcPr>
          <w:p>
            <w:pPr>
              <w:ind w:left="520"/>
              <w:spacing w:after="0"/>
              <w:rPr>
                <w:sz w:val="20"/>
                <w:szCs w:val="20"/>
                <w:color w:val="auto"/>
              </w:rPr>
            </w:pPr>
            <w:r>
              <w:rPr>
                <w:rFonts w:ascii="Arial" w:cs="Arial" w:eastAsia="Arial" w:hAnsi="Arial"/>
                <w:sz w:val="18"/>
                <w:szCs w:val="18"/>
                <w:color w:val="auto"/>
              </w:rPr>
              <w:t>Headings</w:t>
            </w:r>
          </w:p>
        </w:tc>
        <w:tc>
          <w:tcPr>
            <w:tcW w:w="190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9.13.</w:t>
            </w:r>
          </w:p>
        </w:tc>
        <w:tc>
          <w:tcPr>
            <w:tcW w:w="7620" w:type="dxa"/>
            <w:vAlign w:val="bottom"/>
          </w:tcPr>
          <w:p>
            <w:pPr>
              <w:ind w:left="520"/>
              <w:spacing w:after="0"/>
              <w:rPr>
                <w:sz w:val="20"/>
                <w:szCs w:val="20"/>
                <w:color w:val="auto"/>
              </w:rPr>
            </w:pPr>
            <w:r>
              <w:rPr>
                <w:rFonts w:ascii="Arial" w:cs="Arial" w:eastAsia="Arial" w:hAnsi="Arial"/>
                <w:sz w:val="18"/>
                <w:szCs w:val="18"/>
                <w:color w:val="auto"/>
              </w:rPr>
              <w:t>Confidentiality</w:t>
            </w:r>
          </w:p>
        </w:tc>
        <w:tc>
          <w:tcPr>
            <w:tcW w:w="190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9.14.</w:t>
            </w:r>
          </w:p>
        </w:tc>
        <w:tc>
          <w:tcPr>
            <w:tcW w:w="7620" w:type="dxa"/>
            <w:vAlign w:val="bottom"/>
          </w:tcPr>
          <w:p>
            <w:pPr>
              <w:ind w:left="520"/>
              <w:spacing w:after="0"/>
              <w:rPr>
                <w:sz w:val="20"/>
                <w:szCs w:val="20"/>
                <w:color w:val="auto"/>
              </w:rPr>
            </w:pPr>
            <w:r>
              <w:rPr>
                <w:rFonts w:ascii="Arial" w:cs="Arial" w:eastAsia="Arial" w:hAnsi="Arial"/>
                <w:sz w:val="18"/>
                <w:szCs w:val="18"/>
                <w:color w:val="auto"/>
              </w:rPr>
              <w:t>No Fiduciary Duty</w:t>
            </w:r>
          </w:p>
        </w:tc>
        <w:tc>
          <w:tcPr>
            <w:tcW w:w="19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9.15.</w:t>
            </w:r>
          </w:p>
        </w:tc>
        <w:tc>
          <w:tcPr>
            <w:tcW w:w="7620" w:type="dxa"/>
            <w:vAlign w:val="bottom"/>
          </w:tcPr>
          <w:p>
            <w:pPr>
              <w:ind w:left="520"/>
              <w:spacing w:after="0"/>
              <w:rPr>
                <w:sz w:val="20"/>
                <w:szCs w:val="20"/>
                <w:color w:val="auto"/>
              </w:rPr>
            </w:pPr>
            <w:r>
              <w:rPr>
                <w:rFonts w:ascii="Arial" w:cs="Arial" w:eastAsia="Arial" w:hAnsi="Arial"/>
                <w:sz w:val="18"/>
                <w:szCs w:val="18"/>
                <w:color w:val="auto"/>
              </w:rPr>
              <w:t>Several Obligations</w:t>
            </w:r>
          </w:p>
        </w:tc>
        <w:tc>
          <w:tcPr>
            <w:tcW w:w="19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9.16.</w:t>
            </w:r>
          </w:p>
        </w:tc>
        <w:tc>
          <w:tcPr>
            <w:tcW w:w="7620" w:type="dxa"/>
            <w:vAlign w:val="bottom"/>
          </w:tcPr>
          <w:p>
            <w:pPr>
              <w:ind w:left="520"/>
              <w:spacing w:after="0"/>
              <w:rPr>
                <w:sz w:val="20"/>
                <w:szCs w:val="20"/>
                <w:color w:val="auto"/>
              </w:rPr>
            </w:pPr>
            <w:r>
              <w:rPr>
                <w:rFonts w:ascii="Arial" w:cs="Arial" w:eastAsia="Arial" w:hAnsi="Arial"/>
                <w:sz w:val="18"/>
                <w:szCs w:val="18"/>
                <w:color w:val="auto"/>
              </w:rPr>
              <w:t>USA PATRIOT Act</w:t>
            </w:r>
          </w:p>
        </w:tc>
        <w:tc>
          <w:tcPr>
            <w:tcW w:w="19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9.17.</w:t>
            </w:r>
          </w:p>
        </w:tc>
        <w:tc>
          <w:tcPr>
            <w:tcW w:w="7620" w:type="dxa"/>
            <w:vAlign w:val="bottom"/>
          </w:tcPr>
          <w:p>
            <w:pPr>
              <w:ind w:left="520"/>
              <w:spacing w:after="0"/>
              <w:rPr>
                <w:sz w:val="20"/>
                <w:szCs w:val="20"/>
                <w:color w:val="auto"/>
              </w:rPr>
            </w:pPr>
            <w:r>
              <w:rPr>
                <w:rFonts w:ascii="Arial" w:cs="Arial" w:eastAsia="Arial" w:hAnsi="Arial"/>
                <w:sz w:val="18"/>
                <w:szCs w:val="18"/>
                <w:color w:val="auto"/>
              </w:rPr>
              <w:t>Disclosure of Agent Conflicts</w:t>
            </w:r>
          </w:p>
        </w:tc>
        <w:tc>
          <w:tcPr>
            <w:tcW w:w="19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9.18.</w:t>
            </w:r>
          </w:p>
        </w:tc>
        <w:tc>
          <w:tcPr>
            <w:tcW w:w="7620" w:type="dxa"/>
            <w:vAlign w:val="bottom"/>
          </w:tcPr>
          <w:p>
            <w:pPr>
              <w:ind w:left="520"/>
              <w:spacing w:after="0"/>
              <w:rPr>
                <w:sz w:val="20"/>
                <w:szCs w:val="20"/>
                <w:color w:val="auto"/>
              </w:rPr>
            </w:pPr>
            <w:r>
              <w:rPr>
                <w:rFonts w:ascii="Arial" w:cs="Arial" w:eastAsia="Arial" w:hAnsi="Arial"/>
                <w:sz w:val="18"/>
                <w:szCs w:val="18"/>
                <w:color w:val="auto"/>
              </w:rPr>
              <w:t>Appointment for Perfection</w:t>
            </w:r>
          </w:p>
        </w:tc>
        <w:tc>
          <w:tcPr>
            <w:tcW w:w="19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9.19.</w:t>
            </w:r>
          </w:p>
        </w:tc>
        <w:tc>
          <w:tcPr>
            <w:tcW w:w="7620" w:type="dxa"/>
            <w:vAlign w:val="bottom"/>
          </w:tcPr>
          <w:p>
            <w:pPr>
              <w:ind w:left="520"/>
              <w:spacing w:after="0"/>
              <w:rPr>
                <w:sz w:val="20"/>
                <w:szCs w:val="20"/>
                <w:color w:val="auto"/>
              </w:rPr>
            </w:pPr>
            <w:r>
              <w:rPr>
                <w:rFonts w:ascii="Arial" w:cs="Arial" w:eastAsia="Arial" w:hAnsi="Arial"/>
                <w:sz w:val="18"/>
                <w:szCs w:val="18"/>
                <w:color w:val="auto"/>
              </w:rPr>
              <w:t>Interest Rate Limitation</w:t>
            </w:r>
          </w:p>
        </w:tc>
        <w:tc>
          <w:tcPr>
            <w:tcW w:w="19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9.20.</w:t>
            </w:r>
          </w:p>
        </w:tc>
        <w:tc>
          <w:tcPr>
            <w:tcW w:w="7620" w:type="dxa"/>
            <w:vAlign w:val="bottom"/>
          </w:tcPr>
          <w:p>
            <w:pPr>
              <w:ind w:left="520"/>
              <w:spacing w:after="0"/>
              <w:rPr>
                <w:sz w:val="20"/>
                <w:szCs w:val="20"/>
                <w:color w:val="auto"/>
              </w:rPr>
            </w:pPr>
            <w:r>
              <w:rPr>
                <w:rFonts w:ascii="Arial" w:cs="Arial" w:eastAsia="Arial" w:hAnsi="Arial"/>
                <w:sz w:val="18"/>
                <w:szCs w:val="18"/>
                <w:color w:val="auto"/>
              </w:rPr>
              <w:t>Intercreditor Agreements</w:t>
            </w:r>
          </w:p>
        </w:tc>
        <w:tc>
          <w:tcPr>
            <w:tcW w:w="19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9.21.</w:t>
            </w:r>
          </w:p>
        </w:tc>
        <w:tc>
          <w:tcPr>
            <w:tcW w:w="7620" w:type="dxa"/>
            <w:vAlign w:val="bottom"/>
          </w:tcPr>
          <w:p>
            <w:pPr>
              <w:ind w:left="520"/>
              <w:spacing w:after="0"/>
              <w:rPr>
                <w:sz w:val="20"/>
                <w:szCs w:val="20"/>
                <w:color w:val="auto"/>
              </w:rPr>
            </w:pPr>
            <w:r>
              <w:rPr>
                <w:rFonts w:ascii="Arial" w:cs="Arial" w:eastAsia="Arial" w:hAnsi="Arial"/>
                <w:sz w:val="18"/>
                <w:szCs w:val="18"/>
                <w:color w:val="auto"/>
              </w:rPr>
              <w:t>Conflicts</w:t>
            </w:r>
          </w:p>
        </w:tc>
        <w:tc>
          <w:tcPr>
            <w:tcW w:w="19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9.22.</w:t>
            </w:r>
          </w:p>
        </w:tc>
        <w:tc>
          <w:tcPr>
            <w:tcW w:w="7620" w:type="dxa"/>
            <w:vAlign w:val="bottom"/>
          </w:tcPr>
          <w:p>
            <w:pPr>
              <w:ind w:left="520"/>
              <w:spacing w:after="0"/>
              <w:rPr>
                <w:sz w:val="20"/>
                <w:szCs w:val="20"/>
                <w:color w:val="auto"/>
              </w:rPr>
            </w:pPr>
            <w:r>
              <w:rPr>
                <w:rFonts w:ascii="Arial" w:cs="Arial" w:eastAsia="Arial" w:hAnsi="Arial"/>
                <w:sz w:val="18"/>
                <w:szCs w:val="18"/>
                <w:color w:val="auto"/>
              </w:rPr>
              <w:t>Release of Guarantors</w:t>
            </w:r>
          </w:p>
        </w:tc>
        <w:tc>
          <w:tcPr>
            <w:tcW w:w="19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9.23.</w:t>
            </w:r>
          </w:p>
        </w:tc>
        <w:tc>
          <w:tcPr>
            <w:tcW w:w="7620" w:type="dxa"/>
            <w:vAlign w:val="bottom"/>
          </w:tcPr>
          <w:p>
            <w:pPr>
              <w:ind w:left="52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19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9.24.</w:t>
            </w:r>
          </w:p>
        </w:tc>
        <w:tc>
          <w:tcPr>
            <w:tcW w:w="7620" w:type="dxa"/>
            <w:vAlign w:val="bottom"/>
          </w:tcPr>
          <w:p>
            <w:pPr>
              <w:ind w:left="520"/>
              <w:spacing w:after="0"/>
              <w:rPr>
                <w:sz w:val="20"/>
                <w:szCs w:val="20"/>
                <w:color w:val="auto"/>
              </w:rPr>
            </w:pPr>
            <w:r>
              <w:rPr>
                <w:rFonts w:ascii="Arial" w:cs="Arial" w:eastAsia="Arial" w:hAnsi="Arial"/>
                <w:sz w:val="18"/>
                <w:szCs w:val="18"/>
                <w:color w:val="auto"/>
              </w:rPr>
              <w:t>Certain ERISA Matters</w:t>
            </w:r>
          </w:p>
        </w:tc>
        <w:tc>
          <w:tcPr>
            <w:tcW w:w="19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9.25.</w:t>
            </w:r>
          </w:p>
        </w:tc>
        <w:tc>
          <w:tcPr>
            <w:tcW w:w="7620" w:type="dxa"/>
            <w:vAlign w:val="bottom"/>
          </w:tcPr>
          <w:p>
            <w:pPr>
              <w:ind w:left="520"/>
              <w:spacing w:after="0"/>
              <w:rPr>
                <w:sz w:val="20"/>
                <w:szCs w:val="20"/>
                <w:color w:val="auto"/>
              </w:rPr>
            </w:pPr>
            <w:r>
              <w:rPr>
                <w:rFonts w:ascii="Arial" w:cs="Arial" w:eastAsia="Arial" w:hAnsi="Arial"/>
                <w:sz w:val="18"/>
                <w:szCs w:val="18"/>
                <w:color w:val="auto"/>
              </w:rPr>
              <w:t>Judgment Currency</w:t>
            </w:r>
          </w:p>
        </w:tc>
        <w:tc>
          <w:tcPr>
            <w:tcW w:w="190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9.26.</w:t>
            </w:r>
          </w:p>
        </w:tc>
        <w:tc>
          <w:tcPr>
            <w:tcW w:w="7620" w:type="dxa"/>
            <w:vAlign w:val="bottom"/>
          </w:tcPr>
          <w:p>
            <w:pPr>
              <w:ind w:left="520"/>
              <w:spacing w:after="0"/>
              <w:rPr>
                <w:sz w:val="20"/>
                <w:szCs w:val="20"/>
                <w:color w:val="auto"/>
              </w:rPr>
            </w:pPr>
            <w:r>
              <w:rPr>
                <w:rFonts w:ascii="Arial" w:cs="Arial" w:eastAsia="Arial" w:hAnsi="Arial"/>
                <w:sz w:val="18"/>
                <w:szCs w:val="18"/>
                <w:color w:val="auto"/>
              </w:rPr>
              <w:t>Acknowledgement Regarding Any Supported QFCs</w:t>
            </w:r>
          </w:p>
        </w:tc>
        <w:tc>
          <w:tcPr>
            <w:tcW w:w="1900" w:type="dxa"/>
            <w:vAlign w:val="bottom"/>
          </w:tcPr>
          <w:p>
            <w:pPr>
              <w:jc w:val="right"/>
              <w:spacing w:after="0"/>
              <w:rPr>
                <w:sz w:val="20"/>
                <w:szCs w:val="20"/>
                <w:color w:val="auto"/>
              </w:rPr>
            </w:pPr>
            <w:r>
              <w:rPr>
                <w:rFonts w:ascii="Arial" w:cs="Arial" w:eastAsia="Arial" w:hAnsi="Arial"/>
                <w:sz w:val="18"/>
                <w:szCs w:val="18"/>
                <w:color w:val="auto"/>
              </w:rPr>
              <w:t>197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SCHEDULES:</w:t>
            </w:r>
          </w:p>
        </w:tc>
        <w:tc>
          <w:tcPr>
            <w:tcW w:w="600" w:type="dxa"/>
            <w:vAlign w:val="bottom"/>
          </w:tcPr>
          <w:p>
            <w:pPr>
              <w:spacing w:after="0"/>
              <w:rPr>
                <w:sz w:val="20"/>
                <w:szCs w:val="20"/>
                <w:color w:val="auto"/>
              </w:rPr>
            </w:pPr>
          </w:p>
        </w:tc>
        <w:tc>
          <w:tcPr>
            <w:tcW w:w="8740" w:type="dxa"/>
            <w:vAlign w:val="bottom"/>
          </w:tcPr>
          <w:p>
            <w:pPr>
              <w:spacing w:after="0"/>
              <w:rPr>
                <w:sz w:val="20"/>
                <w:szCs w:val="20"/>
                <w:color w:val="auto"/>
              </w:rPr>
            </w:pPr>
          </w:p>
        </w:tc>
      </w:tr>
      <w:tr>
        <w:trPr>
          <w:trHeight w:val="445"/>
        </w:trPr>
        <w:tc>
          <w:tcPr>
            <w:tcW w:w="1600" w:type="dxa"/>
            <w:vAlign w:val="bottom"/>
          </w:tcPr>
          <w:p>
            <w:pPr>
              <w:spacing w:after="0"/>
              <w:rPr>
                <w:sz w:val="20"/>
                <w:szCs w:val="20"/>
                <w:color w:val="auto"/>
              </w:rPr>
            </w:pPr>
            <w:r>
              <w:rPr>
                <w:rFonts w:ascii="Arial" w:cs="Arial" w:eastAsia="Arial" w:hAnsi="Arial"/>
                <w:sz w:val="18"/>
                <w:szCs w:val="18"/>
                <w:color w:val="auto"/>
              </w:rPr>
              <w:t>Schedule 1.01(a)</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8740" w:type="dxa"/>
            <w:vAlign w:val="bottom"/>
          </w:tcPr>
          <w:p>
            <w:pPr>
              <w:ind w:left="120"/>
              <w:spacing w:after="0"/>
              <w:rPr>
                <w:sz w:val="20"/>
                <w:szCs w:val="20"/>
                <w:color w:val="auto"/>
              </w:rPr>
            </w:pPr>
            <w:r>
              <w:rPr>
                <w:rFonts w:ascii="Arial" w:cs="Arial" w:eastAsia="Arial" w:hAnsi="Arial"/>
                <w:sz w:val="18"/>
                <w:szCs w:val="18"/>
                <w:color w:val="auto"/>
              </w:rPr>
              <w:t>Commitment Schedule</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1.01(b)</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8740" w:type="dxa"/>
            <w:vAlign w:val="bottom"/>
          </w:tcPr>
          <w:p>
            <w:pPr>
              <w:ind w:left="120"/>
              <w:spacing w:after="0"/>
              <w:rPr>
                <w:sz w:val="20"/>
                <w:szCs w:val="20"/>
                <w:color w:val="auto"/>
              </w:rPr>
            </w:pPr>
            <w:r>
              <w:rPr>
                <w:rFonts w:ascii="Arial" w:cs="Arial" w:eastAsia="Arial" w:hAnsi="Arial"/>
                <w:sz w:val="18"/>
                <w:szCs w:val="18"/>
                <w:color w:val="auto"/>
              </w:rPr>
              <w:t>Dutch Auction</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1.01(c)</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Existing Letters of Credit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1.01(d)</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Closing Date Collateral Documents and Loan Guarantees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3.13</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8740" w:type="dxa"/>
            <w:vAlign w:val="bottom"/>
          </w:tcPr>
          <w:p>
            <w:pPr>
              <w:ind w:left="120"/>
              <w:spacing w:after="0"/>
              <w:rPr>
                <w:sz w:val="20"/>
                <w:szCs w:val="20"/>
                <w:color w:val="auto"/>
              </w:rPr>
            </w:pPr>
            <w:r>
              <w:rPr>
                <w:rFonts w:ascii="Arial" w:cs="Arial" w:eastAsia="Arial" w:hAnsi="Arial"/>
                <w:sz w:val="18"/>
                <w:szCs w:val="18"/>
                <w:color w:val="auto"/>
              </w:rPr>
              <w:t>Subsidiaries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5.01</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Borrower’s Website Address for Electronic Delivery</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5.10</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8740" w:type="dxa"/>
            <w:vAlign w:val="bottom"/>
          </w:tcPr>
          <w:p>
            <w:pPr>
              <w:ind w:left="120"/>
              <w:spacing w:after="0"/>
              <w:rPr>
                <w:sz w:val="20"/>
                <w:szCs w:val="20"/>
                <w:color w:val="auto"/>
              </w:rPr>
            </w:pPr>
            <w:r>
              <w:rPr>
                <w:rFonts w:ascii="Arial" w:cs="Arial" w:eastAsia="Arial" w:hAnsi="Arial"/>
                <w:sz w:val="18"/>
                <w:szCs w:val="18"/>
                <w:color w:val="auto"/>
              </w:rPr>
              <w:t>Unrestricted Subsidiaries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5.15</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8740" w:type="dxa"/>
            <w:vAlign w:val="bottom"/>
          </w:tcPr>
          <w:p>
            <w:pPr>
              <w:ind w:left="120"/>
              <w:spacing w:after="0"/>
              <w:rPr>
                <w:sz w:val="20"/>
                <w:szCs w:val="20"/>
                <w:color w:val="auto"/>
              </w:rPr>
            </w:pPr>
            <w:r>
              <w:rPr>
                <w:rFonts w:ascii="Arial" w:cs="Arial" w:eastAsia="Arial" w:hAnsi="Arial"/>
                <w:sz w:val="18"/>
                <w:szCs w:val="18"/>
                <w:color w:val="auto"/>
              </w:rPr>
              <w:t>Post-Closing Obligations</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Schedule 9.01</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Issuing Bank Notice Information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EXHIBITS:</w:t>
            </w:r>
          </w:p>
        </w:tc>
        <w:tc>
          <w:tcPr>
            <w:tcW w:w="600" w:type="dxa"/>
            <w:vAlign w:val="bottom"/>
          </w:tcPr>
          <w:p>
            <w:pPr>
              <w:spacing w:after="0"/>
              <w:rPr>
                <w:sz w:val="24"/>
                <w:szCs w:val="24"/>
                <w:color w:val="auto"/>
              </w:rPr>
            </w:pPr>
          </w:p>
        </w:tc>
        <w:tc>
          <w:tcPr>
            <w:tcW w:w="8740" w:type="dxa"/>
            <w:vAlign w:val="bottom"/>
          </w:tcPr>
          <w:p>
            <w:pPr>
              <w:spacing w:after="0"/>
              <w:rPr>
                <w:sz w:val="24"/>
                <w:szCs w:val="24"/>
                <w:color w:val="auto"/>
              </w:rPr>
            </w:pPr>
          </w:p>
        </w:tc>
      </w:tr>
      <w:tr>
        <w:trPr>
          <w:trHeight w:val="323"/>
        </w:trPr>
        <w:tc>
          <w:tcPr>
            <w:tcW w:w="1600" w:type="dxa"/>
            <w:vAlign w:val="bottom"/>
          </w:tcPr>
          <w:p>
            <w:pPr>
              <w:spacing w:after="0"/>
              <w:rPr>
                <w:sz w:val="20"/>
                <w:szCs w:val="20"/>
                <w:color w:val="auto"/>
              </w:rPr>
            </w:pPr>
            <w:r>
              <w:rPr>
                <w:rFonts w:ascii="Arial" w:cs="Arial" w:eastAsia="Arial" w:hAnsi="Arial"/>
                <w:sz w:val="18"/>
                <w:szCs w:val="18"/>
                <w:color w:val="auto"/>
              </w:rPr>
              <w:t>Exhibit A-1</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Form of Affiliated Lender Assignment and Assumption</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A-2</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Form of Assignment and Assumption</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B</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Form of Borrowing Request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C</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Form of Intellectual Property Security Agreement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D</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Form of Compliance Certificate</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E</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Form of Pari Passu Intercreditor Agreement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F</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Form of Intercompany Note</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G</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Form of Junior Lien Intercreditor Agreement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H</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Form of Interest Election Request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I</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Form of Loan Guaranty</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J</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Form of Perfection Certificate</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K</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Form of Joinder Agreement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L</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Form of Promissory Note</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M</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Form of Pledge and Security Agreement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N</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Form of Letter of Credit Request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O-1</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w w:val="96"/>
              </w:rPr>
              <w:t>–   Form of Tax Compliance Certificate (For Foreign Lenders That Are Not Partnerships For US Federal Income Tax</w:t>
            </w:r>
          </w:p>
        </w:tc>
      </w:tr>
      <w:tr>
        <w:trPr>
          <w:trHeight w:val="216"/>
        </w:trPr>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740" w:type="dxa"/>
            <w:vAlign w:val="bottom"/>
          </w:tcPr>
          <w:p>
            <w:pPr>
              <w:ind w:left="120"/>
              <w:spacing w:after="0"/>
              <w:rPr>
                <w:sz w:val="20"/>
                <w:szCs w:val="20"/>
                <w:color w:val="auto"/>
              </w:rPr>
            </w:pPr>
            <w:r>
              <w:rPr>
                <w:rFonts w:ascii="Arial" w:cs="Arial" w:eastAsia="Arial" w:hAnsi="Arial"/>
                <w:sz w:val="18"/>
                <w:szCs w:val="18"/>
                <w:color w:val="auto"/>
              </w:rPr>
              <w:t>Purposes)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O-2</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w w:val="93"/>
              </w:rPr>
              <w:t>–   Form of Tax Compliance Certificate (For Foreign Participants That Are Not Partnerships For US Federal Income Tax</w:t>
            </w:r>
          </w:p>
        </w:tc>
      </w:tr>
      <w:tr>
        <w:trPr>
          <w:trHeight w:val="216"/>
        </w:trPr>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740" w:type="dxa"/>
            <w:vAlign w:val="bottom"/>
          </w:tcPr>
          <w:p>
            <w:pPr>
              <w:ind w:left="120"/>
              <w:spacing w:after="0"/>
              <w:rPr>
                <w:sz w:val="20"/>
                <w:szCs w:val="20"/>
                <w:color w:val="auto"/>
              </w:rPr>
            </w:pPr>
            <w:r>
              <w:rPr>
                <w:rFonts w:ascii="Arial" w:cs="Arial" w:eastAsia="Arial" w:hAnsi="Arial"/>
                <w:sz w:val="18"/>
                <w:szCs w:val="18"/>
                <w:color w:val="auto"/>
              </w:rPr>
              <w:t>Purposes)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O-3</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w w:val="91"/>
              </w:rPr>
              <w:t>–   Form of Tax Compliance Certificate (For Foreign Lenders That Are Partnerships For US Federal Income Tax Purposes)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O-4</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w w:val="97"/>
              </w:rPr>
              <w:t>–   Form of Tax Compliance Certificate (For Foreign Participants That Are Partnerships For US Federal Income Tax</w:t>
            </w:r>
          </w:p>
        </w:tc>
      </w:tr>
      <w:tr>
        <w:trPr>
          <w:trHeight w:val="216"/>
        </w:trPr>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740" w:type="dxa"/>
            <w:vAlign w:val="bottom"/>
          </w:tcPr>
          <w:p>
            <w:pPr>
              <w:ind w:left="120"/>
              <w:spacing w:after="0"/>
              <w:rPr>
                <w:sz w:val="20"/>
                <w:szCs w:val="20"/>
                <w:color w:val="auto"/>
              </w:rPr>
            </w:pPr>
            <w:r>
              <w:rPr>
                <w:rFonts w:ascii="Arial" w:cs="Arial" w:eastAsia="Arial" w:hAnsi="Arial"/>
                <w:sz w:val="18"/>
                <w:szCs w:val="18"/>
                <w:color w:val="auto"/>
              </w:rPr>
              <w:t>Purposes)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P</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Form of Solvency Certificate</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Q</w:t>
            </w:r>
          </w:p>
        </w:tc>
        <w:tc>
          <w:tcPr>
            <w:tcW w:w="9340" w:type="dxa"/>
            <w:vAlign w:val="bottom"/>
            <w:gridSpan w:val="2"/>
          </w:tcPr>
          <w:p>
            <w:pPr>
              <w:ind w:left="400"/>
              <w:spacing w:after="0"/>
              <w:rPr>
                <w:sz w:val="20"/>
                <w:szCs w:val="20"/>
                <w:color w:val="auto"/>
              </w:rPr>
            </w:pPr>
            <w:r>
              <w:rPr>
                <w:rFonts w:ascii="Arial" w:cs="Arial" w:eastAsia="Arial" w:hAnsi="Arial"/>
                <w:sz w:val="18"/>
                <w:szCs w:val="18"/>
                <w:color w:val="auto"/>
              </w:rPr>
              <w:t>–   Form of Notice of Loan Prepayment</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940"/>
          </w:cols>
          <w:pgMar w:left="440" w:top="274" w:right="5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AGREEMENT</w:t>
      </w:r>
    </w:p>
    <w:p>
      <w:pPr>
        <w:spacing w:after="0" w:line="225"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CREDIT AGREEMENT, dated as of September 17, 2021 (this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Definitive Healthcare Holdings, LLC, a Delaware limited liability company (the “</w:t>
      </w:r>
      <w:r>
        <w:rPr>
          <w:rFonts w:ascii="Arial" w:cs="Arial" w:eastAsia="Arial" w:hAnsi="Arial"/>
          <w:sz w:val="17"/>
          <w:szCs w:val="17"/>
          <w:u w:val="single" w:color="auto"/>
          <w:color w:val="auto"/>
        </w:rPr>
        <w:t>Borrower</w:t>
      </w:r>
      <w:r>
        <w:rPr>
          <w:rFonts w:ascii="Arial" w:cs="Arial" w:eastAsia="Arial" w:hAnsi="Arial"/>
          <w:sz w:val="17"/>
          <w:szCs w:val="17"/>
          <w:color w:val="auto"/>
        </w:rPr>
        <w:t>”), AIDH Buyer, LLC, a Delaware limited liability company (“</w:t>
      </w:r>
      <w:r>
        <w:rPr>
          <w:rFonts w:ascii="Arial" w:cs="Arial" w:eastAsia="Arial" w:hAnsi="Arial"/>
          <w:sz w:val="17"/>
          <w:szCs w:val="17"/>
          <w:u w:val="single" w:color="auto"/>
          <w:color w:val="auto"/>
        </w:rPr>
        <w:t>Holdings</w:t>
      </w:r>
      <w:r>
        <w:rPr>
          <w:rFonts w:ascii="Arial" w:cs="Arial" w:eastAsia="Arial" w:hAnsi="Arial"/>
          <w:sz w:val="17"/>
          <w:szCs w:val="17"/>
          <w:color w:val="auto"/>
        </w:rPr>
        <w:t>”), the Lenders from time to time party hereto, the Issuing Banks from time to time party hereto and Bank of America, N.A. (including its branches and correspondents) (“</w:t>
      </w:r>
      <w:r>
        <w:rPr>
          <w:rFonts w:ascii="Arial" w:cs="Arial" w:eastAsia="Arial" w:hAnsi="Arial"/>
          <w:sz w:val="17"/>
          <w:szCs w:val="17"/>
          <w:u w:val="single" w:color="auto"/>
          <w:color w:val="auto"/>
        </w:rPr>
        <w:t>Bank of America</w:t>
      </w:r>
      <w:r>
        <w:rPr>
          <w:rFonts w:ascii="Arial" w:cs="Arial" w:eastAsia="Arial" w:hAnsi="Arial"/>
          <w:sz w:val="17"/>
          <w:szCs w:val="17"/>
          <w:color w:val="auto"/>
        </w:rPr>
        <w:t>”), in its capacities as administrative agent for the Lenders and collateral agent for the Secured Parties (in such capacities and together with its permitted successors and assigns,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as an Issuing Bank and the Swingline Lender.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A. Substantially concurrently with the occurrence of the Closing Date, (x) all outstanding indebtedness for borrowed money of the Borrower and its subsidiaries under that certain Credit Agreement, dated as of July 16, 2019 (as amended, supplemented or otherwise modified from time to time prior to the date hereof,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xml:space="preserve">”), among, </w:t>
      </w:r>
      <w:r>
        <w:rPr>
          <w:rFonts w:ascii="Arial" w:cs="Arial" w:eastAsia="Arial" w:hAnsi="Arial"/>
          <w:sz w:val="17"/>
          <w:szCs w:val="17"/>
          <w:i w:val="1"/>
          <w:iCs w:val="1"/>
          <w:color w:val="auto"/>
        </w:rPr>
        <w:t>inter alios</w:t>
      </w:r>
      <w:r>
        <w:rPr>
          <w:rFonts w:ascii="Arial" w:cs="Arial" w:eastAsia="Arial" w:hAnsi="Arial"/>
          <w:sz w:val="17"/>
          <w:szCs w:val="17"/>
          <w:color w:val="auto"/>
        </w:rPr>
        <w:t>, Holdings, the Borrower, the lenders from time to time party thereto, and Owl Rock Capital Corporation, as administrative agent (other than letters of credit that are replaced, backstopped, cash collateralized or with respect to which other arrangements have been made in accordance with the terms of such credit agreement), will be repaid, redeemed, discharged, refinanced, replaced or terminated and in each case, the liens (other than with respect to any cash collateral agreement relating to any letter of credit that will remain outstanding after the Closing Date) and guarantees in support thereof shall be released or terminated (the “</w:t>
      </w:r>
      <w:r>
        <w:rPr>
          <w:rFonts w:ascii="Arial" w:cs="Arial" w:eastAsia="Arial" w:hAnsi="Arial"/>
          <w:sz w:val="17"/>
          <w:szCs w:val="17"/>
          <w:u w:val="single" w:color="auto"/>
          <w:color w:val="auto"/>
        </w:rPr>
        <w:t>Closing Date Refinancing</w:t>
      </w:r>
      <w:r>
        <w:rPr>
          <w:rFonts w:ascii="Arial" w:cs="Arial" w:eastAsia="Arial" w:hAnsi="Arial"/>
          <w:sz w:val="17"/>
          <w:szCs w:val="17"/>
          <w:color w:val="auto"/>
        </w:rPr>
        <w:t>”) and (y) Definitive Healthcare Corp., a Delaware corporation (the “</w:t>
      </w:r>
      <w:r>
        <w:rPr>
          <w:rFonts w:ascii="Arial" w:cs="Arial" w:eastAsia="Arial" w:hAnsi="Arial"/>
          <w:sz w:val="17"/>
          <w:szCs w:val="17"/>
          <w:u w:val="single" w:color="auto"/>
          <w:color w:val="auto"/>
        </w:rPr>
        <w:t>Parent</w:t>
      </w:r>
      <w:r>
        <w:rPr>
          <w:rFonts w:ascii="Arial" w:cs="Arial" w:eastAsia="Arial" w:hAnsi="Arial"/>
          <w:sz w:val="17"/>
          <w:szCs w:val="17"/>
          <w:color w:val="auto"/>
        </w:rPr>
        <w:t>”), an indirect parent entity of the Borrower, will consummate an initial public offering of its Capital Stock (the “</w:t>
      </w:r>
      <w:r>
        <w:rPr>
          <w:rFonts w:ascii="Arial" w:cs="Arial" w:eastAsia="Arial" w:hAnsi="Arial"/>
          <w:sz w:val="17"/>
          <w:szCs w:val="17"/>
          <w:u w:val="single" w:color="auto"/>
          <w:color w:val="auto"/>
        </w:rPr>
        <w:t>IPO</w:t>
      </w:r>
      <w:r>
        <w:rPr>
          <w:rFonts w:ascii="Arial" w:cs="Arial" w:eastAsia="Arial" w:hAnsi="Arial"/>
          <w:sz w:val="17"/>
          <w:szCs w:val="17"/>
          <w:color w:val="auto"/>
        </w:rPr>
        <w:t>”).</w:t>
      </w:r>
    </w:p>
    <w:p>
      <w:pPr>
        <w:spacing w:after="0" w:line="73"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B. To fund a portion of the Closing Date Refinancing, the Borrower has requested that the Lenders extend credit under this Agreement in the form of (x) Initial Term Loans in an aggregate principal amount on the Closing Date of $275,000,000 and (y) an Initial Revolving Facility with an available amount of $75,000,000.</w:t>
      </w:r>
    </w:p>
    <w:p>
      <w:pPr>
        <w:spacing w:after="0" w:line="76"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C. The Lenders are willing to extend such credit to the Borrower on the terms and subject to the conditions set forth herein. Accordingly, the parties hereto agree 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117"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22C Capital</w:t>
      </w:r>
      <w:r>
        <w:rPr>
          <w:rFonts w:ascii="Arial" w:cs="Arial" w:eastAsia="Arial" w:hAnsi="Arial"/>
          <w:sz w:val="17"/>
          <w:szCs w:val="17"/>
          <w:color w:val="auto"/>
        </w:rPr>
        <w:t>” means, collectively, 22C Capital LLC, together with its controlled or managed Affiliates and funds managed or advised by any of them or their respective controlled or managed Affiliates, including for the avoidance of doubt, 22C Capital I-A LP and 22C Capital I LP.</w:t>
      </w:r>
    </w:p>
    <w:p>
      <w:pPr>
        <w:spacing w:after="0" w:line="14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bear interest at a rate determined by reference to the Alternate Base Rate.</w:t>
      </w:r>
    </w:p>
    <w:p>
      <w:pPr>
        <w:spacing w:after="0" w:line="170"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Debtor-In-Possession Financing</w:t>
      </w:r>
      <w:r>
        <w:rPr>
          <w:rFonts w:ascii="Arial" w:cs="Arial" w:eastAsia="Arial" w:hAnsi="Arial"/>
          <w:sz w:val="18"/>
          <w:szCs w:val="18"/>
          <w:color w:val="auto"/>
        </w:rPr>
        <w:t>” means any debtor-in-possession or similar financing (a) incurred by Holdings, the Borrower or a Restricted Subsidiary following a voluntary petition by Holdings, the Borrower or any of its Restricted Subsidiaries under or in connection with any Debtor Relief Law and (b) approved pursuant to an order of an applicable court under any Debtor Relief Law.</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ACH</w:t>
      </w:r>
      <w:r>
        <w:rPr>
          <w:rFonts w:ascii="Arial" w:cs="Arial" w:eastAsia="Arial" w:hAnsi="Arial"/>
          <w:sz w:val="18"/>
          <w:szCs w:val="18"/>
          <w:color w:val="auto"/>
        </w:rPr>
        <w:t>” means automated clearing house transfers.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4" w:right="45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Additional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8.10</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w:t>
      </w:r>
      <w:r>
        <w:rPr>
          <w:rFonts w:ascii="Arial" w:cs="Arial" w:eastAsia="Arial" w:hAnsi="Arial"/>
          <w:sz w:val="18"/>
          <w:szCs w:val="18"/>
          <w:color w:val="auto"/>
        </w:rPr>
        <w:t xml:space="preserve">” means any commitment hereunder added pursuant to </w:t>
      </w:r>
      <w:r>
        <w:rPr>
          <w:rFonts w:ascii="Arial" w:cs="Arial" w:eastAsia="Arial" w:hAnsi="Arial"/>
          <w:sz w:val="18"/>
          <w:szCs w:val="18"/>
          <w:u w:val="single" w:color="auto"/>
          <w:color w:val="auto"/>
        </w:rPr>
        <w:t>Sections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9.02(c)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Loans</w:t>
      </w:r>
      <w:r>
        <w:rPr>
          <w:rFonts w:ascii="Arial" w:cs="Arial" w:eastAsia="Arial" w:hAnsi="Arial"/>
          <w:sz w:val="18"/>
          <w:szCs w:val="18"/>
          <w:color w:val="auto"/>
        </w:rPr>
        <w:t>” means any Additional Revolving Loan and any Additional Term Loan.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Revolving Credit Commitments</w:t>
      </w:r>
      <w:r>
        <w:rPr>
          <w:rFonts w:ascii="Arial" w:cs="Arial" w:eastAsia="Arial" w:hAnsi="Arial"/>
          <w:sz w:val="16"/>
          <w:szCs w:val="16"/>
          <w:color w:val="auto"/>
        </w:rPr>
        <w:t xml:space="preserve">” means any revolving credit commitment added pursuant to </w:t>
      </w:r>
      <w:r>
        <w:rPr>
          <w:rFonts w:ascii="Arial" w:cs="Arial" w:eastAsia="Arial" w:hAnsi="Arial"/>
          <w:sz w:val="16"/>
          <w:szCs w:val="16"/>
          <w:u w:val="single" w:color="auto"/>
          <w:color w:val="auto"/>
        </w:rPr>
        <w:t>Sections 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9.02(c)(ii)</w:t>
      </w:r>
      <w:r>
        <w:rPr>
          <w:rFonts w:ascii="Arial" w:cs="Arial" w:eastAsia="Arial" w:hAnsi="Arial"/>
          <w:sz w:val="16"/>
          <w:szCs w:val="16"/>
          <w:color w:val="auto"/>
        </w:rPr>
        <w:t>.</w:t>
      </w:r>
    </w:p>
    <w:p>
      <w:pPr>
        <w:spacing w:after="0" w:line="248"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Revolving Credit Exposure</w:t>
      </w:r>
      <w:r>
        <w:rPr>
          <w:rFonts w:ascii="Arial" w:cs="Arial" w:eastAsia="Arial" w:hAnsi="Arial"/>
          <w:sz w:val="18"/>
          <w:szCs w:val="18"/>
          <w:color w:val="auto"/>
        </w:rPr>
        <w:t xml:space="preserve">” means, with respect to any Lender at any time, the aggregate Outstanding Amount at such time of all Additional Revolving Loans of such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outstanding amount at such time of such Lender’s LC Exposure and Swingline Exposure, in each case, attributable to its Additional Revolving Credit Commitment.</w:t>
      </w:r>
    </w:p>
    <w:p>
      <w:pPr>
        <w:spacing w:after="0" w:line="184"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Revolving Lender</w:t>
      </w:r>
      <w:r>
        <w:rPr>
          <w:rFonts w:ascii="Arial" w:cs="Arial" w:eastAsia="Arial" w:hAnsi="Arial"/>
          <w:sz w:val="18"/>
          <w:szCs w:val="18"/>
          <w:color w:val="auto"/>
        </w:rPr>
        <w:t>” means any Lender with an Additional Revolving Credit Commitment or any Additional Revolving Credit Exposure.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Revolving Loans</w:t>
      </w:r>
      <w:r>
        <w:rPr>
          <w:rFonts w:ascii="Arial" w:cs="Arial" w:eastAsia="Arial" w:hAnsi="Arial"/>
          <w:sz w:val="18"/>
          <w:szCs w:val="18"/>
          <w:color w:val="auto"/>
        </w:rPr>
        <w:t xml:space="preserve">” means any revolving loan added hereunder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9.02(c)(ii)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 Lender</w:t>
      </w:r>
      <w:r>
        <w:rPr>
          <w:rFonts w:ascii="Arial" w:cs="Arial" w:eastAsia="Arial" w:hAnsi="Arial"/>
          <w:sz w:val="18"/>
          <w:szCs w:val="18"/>
          <w:color w:val="auto"/>
        </w:rPr>
        <w:t>” means any Lender with an Additional Term Loan Commitment or an outstanding Additional Term Loan.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 Loan Commitment</w:t>
      </w:r>
      <w:r>
        <w:rPr>
          <w:rFonts w:ascii="Arial" w:cs="Arial" w:eastAsia="Arial" w:hAnsi="Arial"/>
          <w:sz w:val="18"/>
          <w:szCs w:val="18"/>
          <w:color w:val="auto"/>
        </w:rPr>
        <w:t xml:space="preserve">” means any term commitment added pursuant to </w:t>
      </w:r>
      <w:r>
        <w:rPr>
          <w:rFonts w:ascii="Arial" w:cs="Arial" w:eastAsia="Arial" w:hAnsi="Arial"/>
          <w:sz w:val="18"/>
          <w:szCs w:val="18"/>
          <w:u w:val="single" w:color="auto"/>
          <w:color w:val="auto"/>
        </w:rPr>
        <w:t>Sections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9.02(c)(i)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 Loans</w:t>
      </w:r>
      <w:r>
        <w:rPr>
          <w:rFonts w:ascii="Arial" w:cs="Arial" w:eastAsia="Arial" w:hAnsi="Arial"/>
          <w:sz w:val="18"/>
          <w:szCs w:val="18"/>
          <w:color w:val="auto"/>
        </w:rPr>
        <w:t xml:space="preserve">” means any term loan added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9.02(c)(i)</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Consolidated Net Income</w:t>
      </w:r>
      <w:r>
        <w:rPr>
          <w:rFonts w:ascii="Arial" w:cs="Arial" w:eastAsia="Arial" w:hAnsi="Arial"/>
          <w:sz w:val="18"/>
          <w:szCs w:val="18"/>
          <w:color w:val="auto"/>
        </w:rPr>
        <w:t xml:space="preserve">” means, in respect of any period, an amount determined for the Borrower and its Restricted Subsidiaries, on a consolidated basis, equal to (a)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sum, without duplication (and to the extent deducted and not added back in calculating Consolidated Net Income for such period), for such period of:</w:t>
      </w:r>
    </w:p>
    <w:p>
      <w:pPr>
        <w:spacing w:after="0" w:line="76" w:lineRule="exact"/>
        <w:rPr>
          <w:sz w:val="20"/>
          <w:szCs w:val="20"/>
          <w:color w:val="auto"/>
        </w:rPr>
      </w:pPr>
    </w:p>
    <w:p>
      <w:pPr>
        <w:ind w:left="980" w:right="180" w:firstLine="408"/>
        <w:spacing w:after="0" w:line="342" w:lineRule="auto"/>
        <w:tabs>
          <w:tab w:leader="none" w:pos="1596" w:val="left"/>
        </w:tabs>
        <w:numPr>
          <w:ilvl w:val="1"/>
          <w:numId w:val="2"/>
        </w:numPr>
        <w:rPr>
          <w:rFonts w:ascii="Arial" w:cs="Arial" w:eastAsia="Arial" w:hAnsi="Arial"/>
          <w:sz w:val="16"/>
          <w:szCs w:val="16"/>
          <w:u w:val="single" w:color="auto"/>
          <w:color w:val="auto"/>
        </w:rPr>
      </w:pPr>
      <w:r>
        <w:rPr>
          <w:rFonts w:ascii="Arial" w:cs="Arial" w:eastAsia="Arial" w:hAnsi="Arial"/>
          <w:sz w:val="16"/>
          <w:szCs w:val="16"/>
          <w:color w:val="auto"/>
        </w:rPr>
        <w:t xml:space="preserve">(A) any depreciation and/or amortization (including, without limitation, amortization of goodwill, software and other intangible assets), (B) any impairment Charge, including any bad debt expense, and (C) any asset write-off and/or write-down; </w:t>
      </w:r>
      <w:r>
        <w:rPr>
          <w:rFonts w:ascii="Arial" w:cs="Arial" w:eastAsia="Arial" w:hAnsi="Arial"/>
          <w:sz w:val="16"/>
          <w:szCs w:val="16"/>
          <w:u w:val="single" w:color="auto"/>
          <w:color w:val="auto"/>
        </w:rPr>
        <w:t>plus</w:t>
      </w:r>
    </w:p>
    <w:p>
      <w:pPr>
        <w:spacing w:after="0" w:line="15" w:lineRule="exact"/>
        <w:rPr>
          <w:rFonts w:ascii="Arial" w:cs="Arial" w:eastAsia="Arial" w:hAnsi="Arial"/>
          <w:sz w:val="16"/>
          <w:szCs w:val="16"/>
          <w:u w:val="single" w:color="auto"/>
          <w:color w:val="auto"/>
        </w:rPr>
      </w:pPr>
    </w:p>
    <w:p>
      <w:pPr>
        <w:ind w:left="1660" w:hanging="272"/>
        <w:spacing w:after="0"/>
        <w:tabs>
          <w:tab w:leader="none" w:pos="1660" w:val="left"/>
        </w:tabs>
        <w:numPr>
          <w:ilvl w:val="1"/>
          <w:numId w:val="2"/>
        </w:numPr>
        <w:rPr>
          <w:rFonts w:ascii="Arial" w:cs="Arial" w:eastAsia="Arial" w:hAnsi="Arial"/>
          <w:sz w:val="16"/>
          <w:szCs w:val="16"/>
          <w:u w:val="single" w:color="auto"/>
          <w:color w:val="auto"/>
        </w:rPr>
      </w:pPr>
      <w:r>
        <w:rPr>
          <w:rFonts w:ascii="Arial" w:cs="Arial" w:eastAsia="Arial" w:hAnsi="Arial"/>
          <w:sz w:val="16"/>
          <w:szCs w:val="16"/>
          <w:color w:val="auto"/>
        </w:rPr>
        <w:t xml:space="preserve">any amount that may be added back in the calculation of Consolidated Adjusted EBITDA for such period pursuant to </w:t>
      </w:r>
      <w:r>
        <w:rPr>
          <w:rFonts w:ascii="Arial" w:cs="Arial" w:eastAsia="Arial" w:hAnsi="Arial"/>
          <w:sz w:val="16"/>
          <w:szCs w:val="16"/>
          <w:u w:val="single" w:color="auto"/>
          <w:color w:val="auto"/>
        </w:rPr>
        <w:t>clause (c)</w:t>
      </w:r>
    </w:p>
    <w:p>
      <w:pPr>
        <w:spacing w:after="0" w:line="46" w:lineRule="exact"/>
        <w:rPr>
          <w:rFonts w:ascii="Arial" w:cs="Arial" w:eastAsia="Arial" w:hAnsi="Arial"/>
          <w:sz w:val="16"/>
          <w:szCs w:val="16"/>
          <w:u w:val="single" w:color="auto"/>
          <w:color w:val="auto"/>
        </w:rPr>
      </w:pPr>
    </w:p>
    <w:p>
      <w:pPr>
        <w:ind w:left="1400" w:hanging="413"/>
        <w:spacing w:after="0"/>
        <w:tabs>
          <w:tab w:leader="none" w:pos="1400" w:val="left"/>
        </w:tabs>
        <w:numPr>
          <w:ilvl w:val="0"/>
          <w:numId w:val="3"/>
        </w:numPr>
        <w:rPr>
          <w:rFonts w:ascii="Arial" w:cs="Arial" w:eastAsia="Arial" w:hAnsi="Arial"/>
          <w:sz w:val="18"/>
          <w:szCs w:val="18"/>
          <w:u w:val="single" w:color="auto"/>
          <w:color w:val="auto"/>
        </w:rPr>
      </w:pPr>
      <w:r>
        <w:rPr>
          <w:rFonts w:ascii="Arial" w:cs="Arial" w:eastAsia="Arial" w:hAnsi="Arial"/>
          <w:sz w:val="18"/>
          <w:szCs w:val="18"/>
          <w:color w:val="auto"/>
        </w:rPr>
        <w:t>of the definition thereof.</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Date</w:t>
      </w:r>
      <w:r>
        <w:rPr>
          <w:rFonts w:ascii="Arial" w:cs="Arial" w:eastAsia="Arial" w:hAnsi="Arial"/>
          <w:sz w:val="18"/>
          <w:szCs w:val="18"/>
          <w:color w:val="auto"/>
        </w:rPr>
        <w:t xml:space="preserve">” means the date of delivery of financial statements required to be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5.01(b)</w:t>
      </w:r>
      <w:r>
        <w:rPr>
          <w:rFonts w:ascii="Arial" w:cs="Arial" w:eastAsia="Arial" w:hAnsi="Arial"/>
          <w:sz w:val="18"/>
          <w:szCs w:val="18"/>
          <w:color w:val="auto"/>
        </w:rPr>
        <w:t>,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 customary administrative questionnaire in the form provided by the Administrative Agent.</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Advent</w:t>
      </w:r>
      <w:r>
        <w:rPr>
          <w:rFonts w:ascii="Arial" w:cs="Arial" w:eastAsia="Arial" w:hAnsi="Arial"/>
          <w:sz w:val="18"/>
          <w:szCs w:val="18"/>
          <w:color w:val="auto"/>
        </w:rPr>
        <w:t>” means Advent International Corporation, together with its controlled Affiliates and funds managed or advised by any of them or any of their respective controlled Affiliates.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2" w:name="page13"/>
    <w:bookmarkEnd w:id="12"/>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Adverse Proceeding</w:t>
      </w:r>
      <w:r>
        <w:rPr>
          <w:rFonts w:ascii="Arial" w:cs="Arial" w:eastAsia="Arial" w:hAnsi="Arial"/>
          <w:sz w:val="18"/>
          <w:szCs w:val="18"/>
          <w:color w:val="auto"/>
        </w:rPr>
        <w:t>” means any action, suit, proceeding (whether administrative, judicial or otherwise), governmental investigation or arbitration (whether or not purportedly on behalf of Holdings, the Borrower or any of its Restricted Subsidiaries) at law or in equity, or before or by any Governmental Authority, domestic or foreign (including any Environmental Claim), whether pending or, to the knowledge of Holdings, the Borrower or any of its Restricted Subsidiaries, threatened in writing, against or affecting Holdings, the Borrower or any of its Restricted Subsidiaries or any property of Holdings, the Borrower or any of its Restricted Subsidiaries.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r>
        <w:rPr>
          <w:rFonts w:ascii="Arial" w:cs="Arial" w:eastAsia="Arial" w:hAnsi="Arial"/>
          <w:sz w:val="18"/>
          <w:szCs w:val="18"/>
          <w:i w:val="1"/>
          <w:iCs w:val="1"/>
          <w:color w:val="auto"/>
        </w:rPr>
        <w:t>.</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as applied to any Person, any other Person directly or indirectly Controlling, Controlled by, or under common Control with, that Person. No Person shall be an “Affiliate” of the Borrower and/or any Restricted Subsidiary solely because it is an unrelated portfolio company of any Sponsor and none of the Administrative Agent, the Arrangers, any Lender (other than any Affiliated Lender or any Debt Fund Affiliate) or any of their respective Affiliates shall be considered an Affiliate of the Borrower or any subsidiary thereof.</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Lender</w:t>
      </w:r>
      <w:r>
        <w:rPr>
          <w:rFonts w:ascii="Arial" w:cs="Arial" w:eastAsia="Arial" w:hAnsi="Arial"/>
          <w:sz w:val="18"/>
          <w:szCs w:val="18"/>
          <w:color w:val="auto"/>
        </w:rPr>
        <w:t>” means any Non-Debt Fund Affiliate, Holdings, the Borrower and/or any subsidiary of the Borrower.</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Lender Assignment and Assumption</w:t>
      </w:r>
      <w:r>
        <w:rPr>
          <w:rFonts w:ascii="Arial" w:cs="Arial" w:eastAsia="Arial" w:hAnsi="Arial"/>
          <w:sz w:val="18"/>
          <w:szCs w:val="18"/>
          <w:color w:val="auto"/>
        </w:rPr>
        <w:t xml:space="preserve">” means (a) an assignment and assumption entered into by a Lender and an Affiliated Lender (with the consent of any party whose consent is required by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and/or (b) any other form approved by the Administrative Agent and the Borrower.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Lender Cap</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9.05(g)(iv)</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to this Credit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9.25</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xml:space="preserve">” means, for any day, a rate per annum equal to the highest of (a) the Federal Funds Effective Rate in effect on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0.50%, (b) to the extent ascertainable, the Published LIBO Rate (which rate shall be calculated based upon an Interest Period of one month and shall be determined on a daily basis and, for the avoidance of doubt, the Published LIBO Rate for any day shall be based on the rate determined on such day at 11 a.m. (London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1.00%, (c) the Prime Rate and (d) solely in the case of Initial Revolving Loans and Initial Term Loans, 1.00%. Any change in the Alternate Base Rate due to a change in the Prime Rate, the Federal Funds Effective Rate or the Published LIBO Rate, as the case may be, shall be effective from and including the effective date of such change in the Prime Rate, the Federal Funds Effective Rate or the Published LIBO Rate, as the case may be.</w:t>
      </w:r>
    </w:p>
    <w:p>
      <w:pPr>
        <w:spacing w:after="0" w:line="195"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w:t>
      </w:r>
      <w:r>
        <w:rPr>
          <w:rFonts w:ascii="Arial" w:cs="Arial" w:eastAsia="Arial" w:hAnsi="Arial"/>
          <w:sz w:val="18"/>
          <w:szCs w:val="18"/>
          <w:color w:val="auto"/>
        </w:rPr>
        <w:t xml:space="preserve">” means in each case of Revolving Loans and Letters of Credit, each currency other than Dollars that is approved in accordance </w:t>
      </w:r>
      <w:r>
        <w:rPr>
          <w:rFonts w:ascii="Arial" w:cs="Arial" w:eastAsia="Arial" w:hAnsi="Arial"/>
          <w:sz w:val="18"/>
          <w:szCs w:val="18"/>
          <w:u w:val="single" w:color="auto"/>
          <w:color w:val="auto"/>
        </w:rPr>
        <w:t>Section 1.10</w:t>
      </w:r>
      <w:r>
        <w:rPr>
          <w:rFonts w:ascii="Arial" w:cs="Arial" w:eastAsia="Arial" w:hAnsi="Arial"/>
          <w:sz w:val="18"/>
          <w:szCs w:val="18"/>
          <w:color w:val="auto"/>
        </w:rPr>
        <w:t>.</w:t>
      </w:r>
    </w:p>
    <w:p>
      <w:pPr>
        <w:spacing w:after="0" w:line="170"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(a) with respect to any Term Lender of any Class, a percentage equal to a fraction the numerator of which is the aggregate outstanding principal amount of the Term Loans and unused Additional Term Loan Commitments of such Term Lender under the applicable Class and the denominator of which is the aggregate outstanding principal amount of the Term Loans and unused Term Commitments of all Term Lenders under the applicable Class and (b) with respect to any Revolving Lender of any Class, the percentage of the aggregate amount of the Revolving Credit Commitments of such Class represented by such Lender’s Revolving Credit Commitment of such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and otherwise herein (except with respect to </w:t>
      </w:r>
      <w:r>
        <w:rPr>
          <w:rFonts w:ascii="Arial" w:cs="Arial" w:eastAsia="Arial" w:hAnsi="Arial"/>
          <w:sz w:val="16"/>
          <w:szCs w:val="16"/>
          <w:u w:val="single" w:color="auto"/>
          <w:color w:val="auto"/>
        </w:rPr>
        <w:t>Section 2.11(a)(ii)</w:t>
      </w:r>
      <w:r>
        <w:rPr>
          <w:rFonts w:ascii="Arial" w:cs="Arial" w:eastAsia="Arial" w:hAnsi="Arial"/>
          <w:sz w:val="16"/>
          <w:szCs w:val="16"/>
          <w:color w:val="auto"/>
        </w:rPr>
        <w:t>), when there is a Defaulting Lender, such Defaulting Lender’s</w:t>
      </w:r>
    </w:p>
    <w:p>
      <w:pPr>
        <w:spacing w:after="0" w:line="9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3" w:name="page14"/>
    <w:bookmarkEnd w:id="13"/>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Revolving Credit Commitment shall be disregarded for any relevant calculation. In the case of </w:t>
      </w:r>
      <w:r>
        <w:rPr>
          <w:rFonts w:ascii="Arial" w:cs="Arial" w:eastAsia="Arial" w:hAnsi="Arial"/>
          <w:sz w:val="18"/>
          <w:szCs w:val="18"/>
          <w:u w:val="single" w:color="auto"/>
          <w:color w:val="auto"/>
        </w:rPr>
        <w:t>clause (b)</w:t>
      </w:r>
      <w:r>
        <w:rPr>
          <w:rFonts w:ascii="Arial" w:cs="Arial" w:eastAsia="Arial" w:hAnsi="Arial"/>
          <w:sz w:val="18"/>
          <w:szCs w:val="18"/>
          <w:color w:val="auto"/>
        </w:rPr>
        <w:t>, in the event that the Revolving Credit Commitments of any Class have expired or been terminated, the Applicable Percentage of any Revolving Lender of such Class shall be determined on the basis of the Revolving Credit Exposure of such Revolving Lender attributable to its Revolving Credit Commitment of such Class, giving effect to any assignment thereof.</w:t>
      </w:r>
    </w:p>
    <w:p>
      <w:pPr>
        <w:spacing w:after="0" w:line="18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Rate</w:t>
      </w:r>
      <w:r>
        <w:rPr>
          <w:rFonts w:ascii="Arial" w:cs="Arial" w:eastAsia="Arial" w:hAnsi="Arial"/>
          <w:sz w:val="17"/>
          <w:szCs w:val="17"/>
          <w:color w:val="auto"/>
        </w:rPr>
        <w:t xml:space="preserve">” means, for any day, (a) with respect to any Initial Term Loan, the rate per annum applicable to the relevant Class of Loans in the table set forth below under the caption “ABR Spread for Initial Term Loans” or “LIBO Rate Spread for Initial Term Loans”, as the case may be, based upon the Total Net Leverage Ratio and (b) with respect to any Initial Revolving Loan, the rate per annum applicable to the relevant Class of Loans in the table set forth below under the caption “ABR Spread for Initial Revolving Loans” or “LIBO Rate Spread for Initial Revolving Loans”, as the case may be, based upon the Total Net Leverage Ratio;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until the first Adjustment Date following the completion of at least three full Fiscal Quarters ending after the Closing Date, the “Applicable Rate” for any Initial Term Loan and/or any Initial Revolving Loan shall be the applicable rate per annum set forth below in </w:t>
      </w:r>
      <w:r>
        <w:rPr>
          <w:rFonts w:ascii="Arial" w:cs="Arial" w:eastAsia="Arial" w:hAnsi="Arial"/>
          <w:sz w:val="17"/>
          <w:szCs w:val="17"/>
          <w:u w:val="single" w:color="auto"/>
          <w:color w:val="auto"/>
        </w:rPr>
        <w:t>Category 1</w:t>
      </w:r>
      <w:r>
        <w:rPr>
          <w:rFonts w:ascii="Arial" w:cs="Arial" w:eastAsia="Arial" w:hAnsi="Arial"/>
          <w:sz w:val="17"/>
          <w:szCs w:val="17"/>
          <w:color w:val="auto"/>
        </w:rPr>
        <w:t xml:space="preserve"> of the table set forth below:</w:t>
      </w:r>
    </w:p>
    <w:p>
      <w:pPr>
        <w:sectPr>
          <w:pgSz w:w="11900" w:h="16838" w:orient="portrait"/>
          <w:cols w:equalWidth="0" w:num="1">
            <w:col w:w="11000"/>
          </w:cols>
          <w:pgMar w:left="440" w:top="274" w:right="45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Net Leverage</w:t>
      </w:r>
    </w:p>
    <w:p>
      <w:pPr>
        <w:ind w:left="440"/>
        <w:spacing w:after="0"/>
        <w:rPr>
          <w:sz w:val="20"/>
          <w:szCs w:val="20"/>
          <w:color w:val="auto"/>
        </w:rPr>
      </w:pPr>
      <w:r>
        <w:rPr>
          <w:rFonts w:ascii="Arial" w:cs="Arial" w:eastAsia="Arial" w:hAnsi="Arial"/>
          <w:sz w:val="14"/>
          <w:szCs w:val="14"/>
          <w:u w:val="single" w:color="auto"/>
          <w:color w:val="auto"/>
        </w:rPr>
        <w:t>Ratio</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Category 1</w:t>
      </w:r>
    </w:p>
    <w:p>
      <w:pPr>
        <w:spacing w:after="0" w:line="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Greater than</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2.75 to 1.00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Category 2</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Greater than</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2.25 to 1.00 but</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less than or</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equal to 2.75 to</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Category 3</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Less than or</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equal to 2.25 to</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58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gridSpan w:val="2"/>
          </w:tcPr>
          <w:p>
            <w:pPr>
              <w:jc w:val="center"/>
              <w:ind w:right="720"/>
              <w:spacing w:after="0"/>
              <w:rPr>
                <w:sz w:val="20"/>
                <w:szCs w:val="20"/>
                <w:color w:val="auto"/>
              </w:rPr>
            </w:pPr>
            <w:r>
              <w:rPr>
                <w:rFonts w:ascii="Arial" w:cs="Arial" w:eastAsia="Arial" w:hAnsi="Arial"/>
                <w:sz w:val="14"/>
                <w:szCs w:val="14"/>
                <w:color w:val="auto"/>
                <w:w w:val="93"/>
              </w:rPr>
              <w:t>ABR Spread for</w:t>
            </w:r>
          </w:p>
        </w:tc>
        <w:tc>
          <w:tcPr>
            <w:tcW w:w="1280" w:type="dxa"/>
            <w:vAlign w:val="bottom"/>
          </w:tcPr>
          <w:p>
            <w:pPr>
              <w:spacing w:after="0"/>
              <w:rPr>
                <w:sz w:val="14"/>
                <w:szCs w:val="14"/>
                <w:color w:val="auto"/>
              </w:rPr>
            </w:pPr>
          </w:p>
        </w:tc>
      </w:tr>
      <w:tr>
        <w:trPr>
          <w:trHeight w:val="149"/>
        </w:trPr>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7"/>
              </w:rPr>
              <w:t>Initial Revolving</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5"/>
              </w:rPr>
              <w:t>LIBO Rate Spread for</w:t>
            </w:r>
          </w:p>
        </w:tc>
      </w:tr>
      <w:tr>
        <w:trPr>
          <w:trHeight w:val="148"/>
        </w:trPr>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3"/>
              </w:rPr>
              <w:t>ABR Spread for</w:t>
            </w:r>
          </w:p>
        </w:tc>
        <w:tc>
          <w:tcPr>
            <w:tcW w:w="200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3"/>
              </w:rPr>
              <w:t>LIBO Rate Spread for</w:t>
            </w: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4"/>
              </w:rPr>
              <w:t>Loans (including</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9"/>
              </w:rPr>
              <w:t>Initial Revolving</w:t>
            </w:r>
          </w:p>
        </w:tc>
      </w:tr>
      <w:tr>
        <w:trPr>
          <w:trHeight w:val="167"/>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Initial Term Loans</w:t>
            </w:r>
          </w:p>
        </w:tc>
        <w:tc>
          <w:tcPr>
            <w:tcW w:w="7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Initial Term Loans</w:t>
            </w:r>
          </w:p>
        </w:tc>
        <w:tc>
          <w:tcPr>
            <w:tcW w:w="7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Swingline Loans)</w:t>
            </w:r>
          </w:p>
        </w:tc>
        <w:tc>
          <w:tcPr>
            <w:tcW w:w="72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Loans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-1598930</wp:posOffset>
            </wp:positionH>
            <wp:positionV relativeFrom="paragraph">
              <wp:posOffset>-7620</wp:posOffset>
            </wp:positionV>
            <wp:extent cx="6429375" cy="420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29375" cy="420370"/>
                    </a:xfrm>
                    <a:prstGeom prst="rect">
                      <a:avLst/>
                    </a:prstGeom>
                    <a:noFill/>
                  </pic:spPr>
                </pic:pic>
              </a:graphicData>
            </a:graphic>
          </wp:anchor>
        </w:drawing>
      </w:r>
    </w:p>
    <w:p>
      <w:pPr>
        <w:spacing w:after="0" w:line="398" w:lineRule="exact"/>
        <w:rPr>
          <w:sz w:val="20"/>
          <w:szCs w:val="20"/>
          <w:color w:val="auto"/>
        </w:rPr>
      </w:pPr>
    </w:p>
    <w:p>
      <w:pPr>
        <w:ind w:left="1340"/>
        <w:spacing w:after="0"/>
        <w:tabs>
          <w:tab w:leader="none" w:pos="3320" w:val="left"/>
          <w:tab w:leader="none" w:pos="5060" w:val="left"/>
          <w:tab w:leader="none" w:pos="70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2.25%</w:t>
      </w:r>
      <w:r>
        <w:rPr>
          <w:sz w:val="20"/>
          <w:szCs w:val="20"/>
          <w:color w:val="auto"/>
        </w:rPr>
        <w:tab/>
      </w: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2.25%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jc w:val="right"/>
              <w:ind w:right="670"/>
              <w:spacing w:after="0"/>
              <w:rPr>
                <w:sz w:val="20"/>
                <w:szCs w:val="20"/>
                <w:color w:val="auto"/>
              </w:rPr>
            </w:pPr>
            <w:r>
              <w:rPr>
                <w:rFonts w:ascii="Arial" w:cs="Arial" w:eastAsia="Arial" w:hAnsi="Arial"/>
                <w:sz w:val="18"/>
                <w:szCs w:val="18"/>
                <w:color w:val="auto"/>
              </w:rPr>
              <w:t>1.00%</w:t>
            </w:r>
          </w:p>
        </w:tc>
        <w:tc>
          <w:tcPr>
            <w:tcW w:w="1880" w:type="dxa"/>
            <w:vAlign w:val="bottom"/>
          </w:tcPr>
          <w:p>
            <w:pPr>
              <w:jc w:val="right"/>
              <w:ind w:right="550"/>
              <w:spacing w:after="0"/>
              <w:rPr>
                <w:sz w:val="20"/>
                <w:szCs w:val="20"/>
                <w:color w:val="auto"/>
              </w:rPr>
            </w:pPr>
            <w:r>
              <w:rPr>
                <w:rFonts w:ascii="Arial" w:cs="Arial" w:eastAsia="Arial" w:hAnsi="Arial"/>
                <w:sz w:val="18"/>
                <w:szCs w:val="18"/>
                <w:color w:val="auto"/>
              </w:rPr>
              <w:t>2.00%</w:t>
            </w:r>
          </w:p>
        </w:tc>
        <w:tc>
          <w:tcPr>
            <w:tcW w:w="1880" w:type="dxa"/>
            <w:vAlign w:val="bottom"/>
          </w:tcPr>
          <w:p>
            <w:pPr>
              <w:jc w:val="right"/>
              <w:ind w:right="690"/>
              <w:spacing w:after="0"/>
              <w:rPr>
                <w:sz w:val="20"/>
                <w:szCs w:val="20"/>
                <w:color w:val="auto"/>
              </w:rPr>
            </w:pPr>
            <w:r>
              <w:rPr>
                <w:rFonts w:ascii="Arial" w:cs="Arial" w:eastAsia="Arial" w:hAnsi="Arial"/>
                <w:sz w:val="18"/>
                <w:szCs w:val="18"/>
                <w:color w:val="auto"/>
              </w:rPr>
              <w:t>1.00%</w:t>
            </w: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662"/>
        </w:trPr>
        <w:tc>
          <w:tcPr>
            <w:tcW w:w="25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0.75%</w:t>
            </w:r>
          </w:p>
        </w:tc>
        <w:tc>
          <w:tcPr>
            <w:tcW w:w="18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1.75%</w:t>
            </w:r>
          </w:p>
        </w:tc>
        <w:tc>
          <w:tcPr>
            <w:tcW w:w="1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0.75%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-1598930</wp:posOffset>
            </wp:positionH>
            <wp:positionV relativeFrom="paragraph">
              <wp:posOffset>-556895</wp:posOffset>
            </wp:positionV>
            <wp:extent cx="6429375" cy="557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29375" cy="5575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040"/>
          </w:cols>
          <w:pgMar w:left="440" w:top="274" w:right="459" w:bottom="1440" w:gutter="0" w:footer="0" w:header="0"/>
          <w:type w:val="continuous"/>
        </w:sectPr>
      </w:pPr>
    </w:p>
    <w:p>
      <w:pPr>
        <w:spacing w:after="0" w:line="2"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The Applicable Rate with respect to any Initial Term Loan and Initial Revolving Loan (including any Swingline Loan) shall be adjusted quarterly on a prospective basis on each Adjustment Date based upon the Total Net Leverage Ratio in accordance with the table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election of the Required Lenders or the Required Revolving Lenders, as applicable, if financial statements are not delivered when required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as applicable, the “Applicable Rate” for any Initial Term Loan or Initial Revolving Loan shall be the rate per annum set forth above in Category 1 until such financial statements are delivered in compliance with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as applicable.</w:t>
      </w:r>
    </w:p>
    <w:p>
      <w:pPr>
        <w:spacing w:after="0" w:line="161"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Revolving Credit Percentage</w:t>
      </w:r>
      <w:r>
        <w:rPr>
          <w:rFonts w:ascii="Arial" w:cs="Arial" w:eastAsia="Arial" w:hAnsi="Arial"/>
          <w:sz w:val="16"/>
          <w:szCs w:val="16"/>
          <w:color w:val="auto"/>
        </w:rPr>
        <w:t xml:space="preserve">” means, with respect to any Revolving Lender at any time, the percentage of the Total Revolving Credit Commitment at such time represented by such Revolving Lender’s Revolving Credit Commitments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when there is a Defaulting Lender, any such Defaulting Lender’s Revolving Credit Commitment shall be disregarded in the relevant calculations. In the event that (a) the Revolving Credit Commitments of any Class have expired or been terminated in accordance with the terms hereof (other than pursuant to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the Applicable Revolving Credit Percentage shall be recalculated without giving effect to the Revolving Credit Commitments of such Class or (b) the Revolving Credit Commitments of all Classes have terminated (or the Revolving Credit Commitments of any Class have terminated pursuant to </w:t>
      </w:r>
      <w:r>
        <w:rPr>
          <w:rFonts w:ascii="Arial" w:cs="Arial" w:eastAsia="Arial" w:hAnsi="Arial"/>
          <w:sz w:val="16"/>
          <w:szCs w:val="16"/>
          <w:u w:val="single" w:color="auto"/>
          <w:color w:val="auto"/>
        </w:rPr>
        <w:t>Article 7</w:t>
      </w:r>
      <w:r>
        <w:rPr>
          <w:rFonts w:ascii="Arial" w:cs="Arial" w:eastAsia="Arial" w:hAnsi="Arial"/>
          <w:sz w:val="16"/>
          <w:szCs w:val="16"/>
          <w:color w:val="auto"/>
        </w:rPr>
        <w:t>), the Applicable Revolving Credit Percentage shall be determined based upon the Revolving Credit Commitments (or the Revolving Credit Commitments of such Class) most recently in effect, giving effect to any assignments thereof.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type w:val="continuous"/>
        </w:sectPr>
      </w:pPr>
    </w:p>
    <w:bookmarkStart w:id="14" w:name="page15"/>
    <w:bookmarkEnd w:id="14"/>
    <w:p>
      <w:pPr>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Approved Fund</w:t>
      </w:r>
      <w:r>
        <w:rPr>
          <w:rFonts w:ascii="Arial" w:cs="Arial" w:eastAsia="Arial" w:hAnsi="Arial"/>
          <w:sz w:val="16"/>
          <w:szCs w:val="16"/>
          <w:color w:val="auto"/>
        </w:rPr>
        <w:t>” means, with respect to any Lender, any Person (other than a natural person (or any holding company, investment vehicle or trust for, or owned and operated by, or for the primary benefit of, one or more natural persons)) that is engaged in making, purchasing, holding or otherwise investing in commercial loans and similar extensions of credit in the ordinary course of its activities and is administered, advised or managed by (a) such Lender, (b) any Affiliate of such Lender or (c) any entity or any Affiliate of any entity that administers, advises or manages such Lender.</w:t>
      </w:r>
    </w:p>
    <w:p>
      <w:pPr>
        <w:spacing w:after="0" w:line="15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BofA Securities, Inc., Barclays Bank PLC, Credit Suisse Loan Funding LLC, Deutsche Bank Securities Inc., Goldman Sachs Bank USA, JPMorgan Chase Bank, N.A., Morgan Stanley Senior Funding, Inc. and Stifel Bank &amp; Trust, in their respective capacities as joint lead arrangers and joint bookrunners hereunder.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Agreement</w:t>
      </w:r>
      <w:r>
        <w:rPr>
          <w:rFonts w:ascii="Arial" w:cs="Arial" w:eastAsia="Arial" w:hAnsi="Arial"/>
          <w:sz w:val="17"/>
          <w:szCs w:val="17"/>
          <w:color w:val="auto"/>
        </w:rPr>
        <w:t>” means, collectively, each Assignment and Assumption and each Affiliated Lender Assignment and Assumption.</w:t>
      </w:r>
    </w:p>
    <w:p>
      <w:pPr>
        <w:spacing w:after="0" w:line="23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 an assignment and assumption entered into by a Lender and an assignee (with the consent of any party whose consent is required by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and/or (b) any other form approved by the Administrative Agent and the Borrower.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means, at any time, an amount equal to, without duplication:</w:t>
      </w:r>
    </w:p>
    <w:p>
      <w:pPr>
        <w:spacing w:after="0" w:line="117" w:lineRule="exact"/>
        <w:rPr>
          <w:sz w:val="20"/>
          <w:szCs w:val="20"/>
          <w:color w:val="auto"/>
        </w:rPr>
      </w:pPr>
    </w:p>
    <w:p>
      <w:pPr>
        <w:ind w:left="1100" w:hanging="241"/>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4"/>
        </w:numPr>
        <w:rPr>
          <w:rFonts w:ascii="Arial" w:cs="Arial" w:eastAsia="Arial" w:hAnsi="Arial"/>
          <w:sz w:val="18"/>
          <w:szCs w:val="18"/>
          <w:u w:val="single" w:color="auto"/>
          <w:color w:val="auto"/>
        </w:rPr>
      </w:pPr>
      <w:r>
        <w:rPr>
          <w:rFonts w:ascii="Arial" w:cs="Arial" w:eastAsia="Arial" w:hAnsi="Arial"/>
          <w:sz w:val="18"/>
          <w:szCs w:val="18"/>
          <w:color w:val="auto"/>
        </w:rPr>
        <w:t xml:space="preserve">[reserved];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u w:val="single" w:color="auto"/>
          <w:color w:val="auto"/>
        </w:rPr>
      </w:pPr>
    </w:p>
    <w:p>
      <w:pPr>
        <w:ind w:left="980" w:right="460" w:firstLine="408"/>
        <w:spacing w:after="0" w:line="311" w:lineRule="auto"/>
        <w:tabs>
          <w:tab w:leader="none" w:pos="1646" w:val="left"/>
        </w:tabs>
        <w:numPr>
          <w:ilvl w:val="1"/>
          <w:numId w:val="4"/>
        </w:numPr>
        <w:rPr>
          <w:rFonts w:ascii="Arial" w:cs="Arial" w:eastAsia="Arial" w:hAnsi="Arial"/>
          <w:sz w:val="16"/>
          <w:szCs w:val="16"/>
          <w:u w:val="single" w:color="auto"/>
          <w:color w:val="auto"/>
        </w:rPr>
      </w:pPr>
      <w:r>
        <w:rPr>
          <w:rFonts w:ascii="Arial" w:cs="Arial" w:eastAsia="Arial" w:hAnsi="Arial"/>
          <w:sz w:val="16"/>
          <w:szCs w:val="16"/>
          <w:color w:val="auto"/>
        </w:rPr>
        <w:t>an amount, not less than zero for any period, equal to the CNI Growth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amount shall be available pursuant to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(x) unless the Total Net Leverage Ratio does not exceed 3.25:1.00 on a Pro Forma Basis and (y) for any Restricted Payment made in reliance on </w:t>
      </w:r>
      <w:r>
        <w:rPr>
          <w:rFonts w:ascii="Arial" w:cs="Arial" w:eastAsia="Arial" w:hAnsi="Arial"/>
          <w:sz w:val="16"/>
          <w:szCs w:val="16"/>
          <w:u w:val="single" w:color="auto"/>
          <w:color w:val="auto"/>
        </w:rPr>
        <w:t>Section 6.04(a)(iii)(A)</w:t>
      </w:r>
      <w:r>
        <w:rPr>
          <w:rFonts w:ascii="Arial" w:cs="Arial" w:eastAsia="Arial" w:hAnsi="Arial"/>
          <w:sz w:val="16"/>
          <w:szCs w:val="16"/>
          <w:color w:val="auto"/>
        </w:rPr>
        <w:t xml:space="preserve"> if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exists); </w:t>
      </w:r>
      <w:r>
        <w:rPr>
          <w:rFonts w:ascii="Arial" w:cs="Arial" w:eastAsia="Arial" w:hAnsi="Arial"/>
          <w:sz w:val="16"/>
          <w:szCs w:val="16"/>
          <w:u w:val="single" w:color="auto"/>
          <w:color w:val="auto"/>
        </w:rPr>
        <w:t>plus</w:t>
      </w:r>
    </w:p>
    <w:p>
      <w:pPr>
        <w:spacing w:after="0" w:line="40" w:lineRule="exact"/>
        <w:rPr>
          <w:rFonts w:ascii="Arial" w:cs="Arial" w:eastAsia="Arial" w:hAnsi="Arial"/>
          <w:sz w:val="16"/>
          <w:szCs w:val="16"/>
          <w:u w:val="single" w:color="auto"/>
          <w:color w:val="auto"/>
        </w:rPr>
      </w:pPr>
    </w:p>
    <w:p>
      <w:pPr>
        <w:ind w:left="980" w:firstLine="408"/>
        <w:spacing w:after="0" w:line="289" w:lineRule="auto"/>
        <w:tabs>
          <w:tab w:leader="none" w:pos="1696" w:val="left"/>
        </w:tabs>
        <w:numPr>
          <w:ilvl w:val="1"/>
          <w:numId w:val="4"/>
        </w:numPr>
        <w:rPr>
          <w:rFonts w:ascii="Arial" w:cs="Arial" w:eastAsia="Arial" w:hAnsi="Arial"/>
          <w:sz w:val="16"/>
          <w:szCs w:val="16"/>
          <w:u w:val="single" w:color="auto"/>
          <w:color w:val="auto"/>
        </w:rPr>
      </w:pPr>
      <w:r>
        <w:rPr>
          <w:rFonts w:ascii="Arial" w:cs="Arial" w:eastAsia="Arial" w:hAnsi="Arial"/>
          <w:sz w:val="16"/>
          <w:szCs w:val="16"/>
          <w:color w:val="auto"/>
        </w:rPr>
        <w:t xml:space="preserve">(A) the amount of any capital contribution in respect of Qualified Capital Stock or the proceeds of any issuance of Qualified Capital Stock after the Closing Date that are Not Otherwise Applied (other than any amount (1) constituting a Cure Amount or an Available Excluded Contribution Amount, (2) received from the Borrower or any Restricted Subsidiary or (3) consisting of the proceeds of any loan or advance made pursuant to </w:t>
      </w:r>
      <w:r>
        <w:rPr>
          <w:rFonts w:ascii="Arial" w:cs="Arial" w:eastAsia="Arial" w:hAnsi="Arial"/>
          <w:sz w:val="16"/>
          <w:szCs w:val="16"/>
          <w:u w:val="single" w:color="auto"/>
          <w:color w:val="auto"/>
        </w:rPr>
        <w:t>Section 6.06(h)(ii)</w:t>
      </w:r>
      <w:r>
        <w:rPr>
          <w:rFonts w:ascii="Arial" w:cs="Arial" w:eastAsia="Arial" w:hAnsi="Arial"/>
          <w:sz w:val="16"/>
          <w:szCs w:val="16"/>
          <w:color w:val="auto"/>
        </w:rPr>
        <w:t xml:space="preserve">) received or deemed to be received as Cash equity by the Borrower or any of its Restricted Subsidiaries),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fair market value, as determined by the Borrower in good faith, of Cash Equivalents, marketable securities or other property received or deemed to be received by the Borrower as a capital contribution in respect of Qualified Capital Stock or in return for any issuance of Qualified Capital Stock that are Not Otherwise Applied (other than any amount (1) constituting a Cure Amount or an Available Excluded Contribution Amount or (2) received from the Borrower or any Restricted Subsidiary), in each case, during the period from and including the day immediately following the Closing Date through and including such time; </w:t>
      </w:r>
      <w:r>
        <w:rPr>
          <w:rFonts w:ascii="Arial" w:cs="Arial" w:eastAsia="Arial" w:hAnsi="Arial"/>
          <w:sz w:val="16"/>
          <w:szCs w:val="16"/>
          <w:u w:val="single" w:color="auto"/>
          <w:color w:val="auto"/>
        </w:rPr>
        <w:t>plus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5" w:name="page16"/>
    <w:bookmarkEnd w:id="15"/>
    <w:p>
      <w:pPr>
        <w:ind w:left="-20" w:firstLine="408"/>
        <w:spacing w:after="0" w:line="254" w:lineRule="auto"/>
        <w:tabs>
          <w:tab w:leader="none" w:pos="686"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aggregate principal amount of any Indebtedness (including any Disqualified Capital Stock), of the Borrower or any Restricted Subsidiary issued after the Closing Date (other than Indebtedness or such Disqualified Capital Stock issued to the Borrower or any Restricted Subsidiary), which has been converted into or exchanged for Capital Stock of the Borrower or any Parent Company that does not constitute Disqualified Capital Stock, together with the fair market value of any Cash Equivalents and the fair market value (as determined by the Borrower in good faith) of any assets received by the Borrower or such Restricted Subsidiary upon such exchange or conversion, in each case, during the period from and including the day immediately following the Closing Date through and including such time; </w:t>
      </w:r>
      <w:r>
        <w:rPr>
          <w:rFonts w:ascii="Arial" w:cs="Arial" w:eastAsia="Arial" w:hAnsi="Arial"/>
          <w:sz w:val="18"/>
          <w:szCs w:val="18"/>
          <w:u w:val="single" w:color="auto"/>
          <w:color w:val="auto"/>
        </w:rPr>
        <w:t>plus</w:t>
      </w:r>
    </w:p>
    <w:p>
      <w:pPr>
        <w:spacing w:after="0" w:line="86" w:lineRule="exact"/>
        <w:rPr>
          <w:rFonts w:ascii="Arial" w:cs="Arial" w:eastAsia="Arial" w:hAnsi="Arial"/>
          <w:sz w:val="18"/>
          <w:szCs w:val="18"/>
          <w:color w:val="auto"/>
        </w:rPr>
      </w:pPr>
    </w:p>
    <w:p>
      <w:pPr>
        <w:ind w:left="-20" w:right="40" w:firstLine="408"/>
        <w:spacing w:after="0" w:line="259" w:lineRule="auto"/>
        <w:tabs>
          <w:tab w:leader="none" w:pos="635" w:val="left"/>
        </w:tabs>
        <w:numPr>
          <w:ilvl w:val="0"/>
          <w:numId w:val="5"/>
        </w:numPr>
        <w:rPr>
          <w:rFonts w:ascii="Arial" w:cs="Arial" w:eastAsia="Arial" w:hAnsi="Arial"/>
          <w:sz w:val="18"/>
          <w:szCs w:val="18"/>
          <w:u w:val="single" w:color="auto"/>
          <w:color w:val="auto"/>
        </w:rPr>
      </w:pPr>
      <w:r>
        <w:rPr>
          <w:rFonts w:ascii="Arial" w:cs="Arial" w:eastAsia="Arial" w:hAnsi="Arial"/>
          <w:sz w:val="18"/>
          <w:szCs w:val="18"/>
          <w:color w:val="auto"/>
        </w:rPr>
        <w:t xml:space="preserve">the Net Proceeds received by the Borrower or any Restricted Subsidiary during the period from and including the day immediately following the Closing Date through and including such time in connection with the Disposition to any Person (other than the Borrower or any Restricted Subsidiary) of any Investment made pursuant to </w:t>
      </w:r>
      <w:r>
        <w:rPr>
          <w:rFonts w:ascii="Arial" w:cs="Arial" w:eastAsia="Arial" w:hAnsi="Arial"/>
          <w:sz w:val="18"/>
          <w:szCs w:val="18"/>
          <w:u w:val="single" w:color="auto"/>
          <w:color w:val="auto"/>
        </w:rPr>
        <w:t>Section 6.06(r)(i)</w:t>
      </w:r>
      <w:r>
        <w:rPr>
          <w:rFonts w:ascii="Arial" w:cs="Arial" w:eastAsia="Arial" w:hAnsi="Arial"/>
          <w:sz w:val="18"/>
          <w:szCs w:val="18"/>
          <w:color w:val="auto"/>
        </w:rPr>
        <w:t xml:space="preserve"> (up to the original amount of the Investment permitted in reliance on such clause); </w:t>
      </w:r>
      <w:r>
        <w:rPr>
          <w:rFonts w:ascii="Arial" w:cs="Arial" w:eastAsia="Arial" w:hAnsi="Arial"/>
          <w:sz w:val="18"/>
          <w:szCs w:val="18"/>
          <w:u w:val="single" w:color="auto"/>
          <w:color w:val="auto"/>
        </w:rPr>
        <w:t>plus</w:t>
      </w:r>
    </w:p>
    <w:p>
      <w:pPr>
        <w:spacing w:after="0" w:line="78" w:lineRule="exact"/>
        <w:rPr>
          <w:rFonts w:ascii="Arial" w:cs="Arial" w:eastAsia="Arial" w:hAnsi="Arial"/>
          <w:sz w:val="18"/>
          <w:szCs w:val="18"/>
          <w:u w:val="single" w:color="auto"/>
          <w:color w:val="auto"/>
        </w:rPr>
      </w:pPr>
    </w:p>
    <w:p>
      <w:pPr>
        <w:ind w:left="-20" w:right="20" w:firstLine="408"/>
        <w:spacing w:after="0" w:line="273" w:lineRule="auto"/>
        <w:tabs>
          <w:tab w:leader="none" w:pos="685" w:val="left"/>
        </w:tabs>
        <w:numPr>
          <w:ilvl w:val="0"/>
          <w:numId w:val="5"/>
        </w:numPr>
        <w:rPr>
          <w:rFonts w:ascii="Arial" w:cs="Arial" w:eastAsia="Arial" w:hAnsi="Arial"/>
          <w:sz w:val="17"/>
          <w:szCs w:val="17"/>
          <w:u w:val="single" w:color="auto"/>
          <w:color w:val="auto"/>
        </w:rPr>
      </w:pPr>
      <w:r>
        <w:rPr>
          <w:rFonts w:ascii="Arial" w:cs="Arial" w:eastAsia="Arial" w:hAnsi="Arial"/>
          <w:sz w:val="17"/>
          <w:szCs w:val="17"/>
          <w:color w:val="auto"/>
        </w:rPr>
        <w:t xml:space="preserve">to the extent not already reflected as a return of capital with respect to such Investment for purposes of determining the amount of such Investment (pursuant to the definition thereof), the proceeds received (or deemed to be received) by the Borrower or any Restricted Subsidiary during the period from and including the day immediately following the Closing Date through and including such time in connection with cash returns, cash profits, cash distributions and similar cash amounts, including cash principal repayments and interest payments of loans, in each case, received in respect of any Investment made after the Closing Date pursuant to </w:t>
      </w:r>
      <w:r>
        <w:rPr>
          <w:rFonts w:ascii="Arial" w:cs="Arial" w:eastAsia="Arial" w:hAnsi="Arial"/>
          <w:sz w:val="17"/>
          <w:szCs w:val="17"/>
          <w:u w:val="single" w:color="auto"/>
          <w:color w:val="auto"/>
        </w:rPr>
        <w:t>Section 6.06(r)(i)</w:t>
      </w:r>
      <w:r>
        <w:rPr>
          <w:rFonts w:ascii="Arial" w:cs="Arial" w:eastAsia="Arial" w:hAnsi="Arial"/>
          <w:sz w:val="17"/>
          <w:szCs w:val="17"/>
          <w:color w:val="auto"/>
        </w:rPr>
        <w:t xml:space="preserve"> (up to the original amount of the Investment permitted in reliance on such clause); </w:t>
      </w:r>
      <w:r>
        <w:rPr>
          <w:rFonts w:ascii="Arial" w:cs="Arial" w:eastAsia="Arial" w:hAnsi="Arial"/>
          <w:sz w:val="17"/>
          <w:szCs w:val="17"/>
          <w:u w:val="single" w:color="auto"/>
          <w:color w:val="auto"/>
        </w:rPr>
        <w:t>plus</w:t>
      </w:r>
    </w:p>
    <w:p>
      <w:pPr>
        <w:spacing w:after="0" w:line="69" w:lineRule="exact"/>
        <w:rPr>
          <w:rFonts w:ascii="Arial" w:cs="Arial" w:eastAsia="Arial" w:hAnsi="Arial"/>
          <w:sz w:val="17"/>
          <w:szCs w:val="17"/>
          <w:u w:val="single" w:color="auto"/>
          <w:color w:val="auto"/>
        </w:rPr>
      </w:pPr>
    </w:p>
    <w:p>
      <w:pPr>
        <w:ind w:left="-20" w:right="20" w:firstLine="408"/>
        <w:spacing w:after="0" w:line="270" w:lineRule="auto"/>
        <w:tabs>
          <w:tab w:leader="none" w:pos="735" w:val="left"/>
        </w:tabs>
        <w:numPr>
          <w:ilvl w:val="0"/>
          <w:numId w:val="5"/>
        </w:numPr>
        <w:rPr>
          <w:rFonts w:ascii="Arial" w:cs="Arial" w:eastAsia="Arial" w:hAnsi="Arial"/>
          <w:sz w:val="17"/>
          <w:szCs w:val="17"/>
          <w:u w:val="single" w:color="auto"/>
          <w:color w:val="auto"/>
        </w:rPr>
      </w:pPr>
      <w:r>
        <w:rPr>
          <w:rFonts w:ascii="Arial" w:cs="Arial" w:eastAsia="Arial" w:hAnsi="Arial"/>
          <w:sz w:val="17"/>
          <w:szCs w:val="17"/>
          <w:color w:val="auto"/>
        </w:rPr>
        <w:t xml:space="preserve">an amount equal to the sum of (A) the amount of any Investment made by the Borrower or any Restricted Subsidiary in any Unrestricted Subsidiary or any other Person (other than the Borrower or any Restricted Subsidiary) that has been re-designated as or has become, as applicable, a Restricted Subsidiary or has been merged, consolidated or amalgamated with or into, or is liquidated, wound up or dissolved into, the Borrower or any Restricted Subsidiary and (B) an amount equal to the fair market value (as determined by the Borrower in good faith) of the assets (including cash or Cash Equivalents) of any Unrestricted Subsidiary or any other Person (other than the Borrower or any Restricted Subsidiary) that have been distributed, conveyed or otherwise transferred to the Borrower or any Restricted Subsidiary, in each case, during the period from and including the day immediately following the Closing Date through and including such time, in case of clauses (A) and (B), to the extent the original Investment in such Person was made pursuant </w:t>
      </w:r>
      <w:r>
        <w:rPr>
          <w:rFonts w:ascii="Arial" w:cs="Arial" w:eastAsia="Arial" w:hAnsi="Arial"/>
          <w:sz w:val="17"/>
          <w:szCs w:val="17"/>
          <w:u w:val="single" w:color="auto"/>
          <w:color w:val="auto"/>
        </w:rPr>
        <w:t>Section 6.06(r)(i)</w:t>
      </w:r>
      <w:r>
        <w:rPr>
          <w:rFonts w:ascii="Arial" w:cs="Arial" w:eastAsia="Arial" w:hAnsi="Arial"/>
          <w:sz w:val="17"/>
          <w:szCs w:val="17"/>
          <w:color w:val="auto"/>
        </w:rPr>
        <w:t xml:space="preserve"> (up to the original amount of the Investment permitted in reliance on such clause); </w:t>
      </w:r>
      <w:r>
        <w:rPr>
          <w:rFonts w:ascii="Arial" w:cs="Arial" w:eastAsia="Arial" w:hAnsi="Arial"/>
          <w:sz w:val="17"/>
          <w:szCs w:val="17"/>
          <w:u w:val="single" w:color="auto"/>
          <w:color w:val="auto"/>
        </w:rPr>
        <w:t>plus</w:t>
      </w:r>
    </w:p>
    <w:p>
      <w:pPr>
        <w:spacing w:after="0" w:line="72" w:lineRule="exact"/>
        <w:rPr>
          <w:rFonts w:ascii="Arial" w:cs="Arial" w:eastAsia="Arial" w:hAnsi="Arial"/>
          <w:sz w:val="17"/>
          <w:szCs w:val="17"/>
          <w:u w:val="single" w:color="auto"/>
          <w:color w:val="auto"/>
        </w:rPr>
      </w:pPr>
    </w:p>
    <w:p>
      <w:pPr>
        <w:jc w:val="both"/>
        <w:ind w:left="-20" w:right="560" w:firstLine="408"/>
        <w:spacing w:after="0" w:line="286" w:lineRule="auto"/>
        <w:tabs>
          <w:tab w:leader="none" w:pos="785" w:val="left"/>
        </w:tabs>
        <w:numPr>
          <w:ilvl w:val="0"/>
          <w:numId w:val="5"/>
        </w:numPr>
        <w:rPr>
          <w:rFonts w:ascii="Arial" w:cs="Arial" w:eastAsia="Arial" w:hAnsi="Arial"/>
          <w:sz w:val="17"/>
          <w:szCs w:val="17"/>
          <w:u w:val="single" w:color="auto"/>
          <w:color w:val="auto"/>
        </w:rPr>
      </w:pPr>
      <w:r>
        <w:rPr>
          <w:rFonts w:ascii="Arial" w:cs="Arial" w:eastAsia="Arial" w:hAnsi="Arial"/>
          <w:sz w:val="17"/>
          <w:szCs w:val="17"/>
          <w:color w:val="auto"/>
        </w:rPr>
        <w:t xml:space="preserve">to the extent not already included in the CNI Growth Amount, the aggregate amount of any Cash dividend or other Cash distribution received (or deemed received) by the Borrower or any Restricted Subsidiary from any Unrestricted Subsidiary after the Closing Date (up to the original amount of the Investment permitted in reliance on </w:t>
      </w:r>
      <w:r>
        <w:rPr>
          <w:rFonts w:ascii="Arial" w:cs="Arial" w:eastAsia="Arial" w:hAnsi="Arial"/>
          <w:sz w:val="17"/>
          <w:szCs w:val="17"/>
          <w:u w:val="single" w:color="auto"/>
          <w:color w:val="auto"/>
        </w:rPr>
        <w:t>Section 6.06(r)(i)</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p>
    <w:p>
      <w:pPr>
        <w:spacing w:after="0" w:line="57" w:lineRule="exact"/>
        <w:rPr>
          <w:rFonts w:ascii="Arial" w:cs="Arial" w:eastAsia="Arial" w:hAnsi="Arial"/>
          <w:sz w:val="17"/>
          <w:szCs w:val="17"/>
          <w:u w:val="single" w:color="auto"/>
          <w:color w:val="auto"/>
        </w:rPr>
      </w:pPr>
    </w:p>
    <w:p>
      <w:pPr>
        <w:ind w:left="700" w:hanging="312"/>
        <w:spacing w:after="0"/>
        <w:tabs>
          <w:tab w:leader="none" w:pos="700" w:val="left"/>
        </w:tabs>
        <w:numPr>
          <w:ilvl w:val="0"/>
          <w:numId w:val="5"/>
        </w:numPr>
        <w:rPr>
          <w:rFonts w:ascii="Arial" w:cs="Arial" w:eastAsia="Arial" w:hAnsi="Arial"/>
          <w:sz w:val="18"/>
          <w:szCs w:val="18"/>
          <w:u w:val="single" w:color="auto"/>
          <w:color w:val="auto"/>
        </w:rPr>
      </w:pPr>
      <w:r>
        <w:rPr>
          <w:rFonts w:ascii="Arial" w:cs="Arial" w:eastAsia="Arial" w:hAnsi="Arial"/>
          <w:sz w:val="18"/>
          <w:szCs w:val="18"/>
          <w:color w:val="auto"/>
        </w:rPr>
        <w:t xml:space="preserve">the amount of any Declined Proceeds;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u w:val="single" w:color="auto"/>
          <w:color w:val="auto"/>
        </w:rPr>
      </w:pPr>
    </w:p>
    <w:p>
      <w:pPr>
        <w:ind w:left="640" w:hanging="252"/>
        <w:spacing w:after="0"/>
        <w:tabs>
          <w:tab w:leader="none" w:pos="640" w:val="left"/>
        </w:tabs>
        <w:numPr>
          <w:ilvl w:val="0"/>
          <w:numId w:val="5"/>
        </w:numPr>
        <w:rPr>
          <w:rFonts w:ascii="Arial" w:cs="Arial" w:eastAsia="Arial" w:hAnsi="Arial"/>
          <w:sz w:val="18"/>
          <w:szCs w:val="18"/>
          <w:u w:val="single" w:color="auto"/>
          <w:color w:val="auto"/>
        </w:rPr>
      </w:pPr>
      <w:r>
        <w:rPr>
          <w:rFonts w:ascii="Arial" w:cs="Arial" w:eastAsia="Arial" w:hAnsi="Arial"/>
          <w:sz w:val="18"/>
          <w:szCs w:val="18"/>
          <w:color w:val="auto"/>
        </w:rPr>
        <w:t xml:space="preserve">[reserved];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u w:val="single" w:color="auto"/>
          <w:color w:val="auto"/>
        </w:rPr>
      </w:pPr>
    </w:p>
    <w:p>
      <w:pPr>
        <w:ind w:left="700" w:hanging="312"/>
        <w:spacing w:after="0"/>
        <w:tabs>
          <w:tab w:leader="none" w:pos="700" w:val="left"/>
        </w:tabs>
        <w:numPr>
          <w:ilvl w:val="0"/>
          <w:numId w:val="5"/>
        </w:numPr>
        <w:rPr>
          <w:rFonts w:ascii="Arial" w:cs="Arial" w:eastAsia="Arial" w:hAnsi="Arial"/>
          <w:sz w:val="18"/>
          <w:szCs w:val="18"/>
          <w:u w:val="single" w:color="auto"/>
          <w:color w:val="auto"/>
        </w:rPr>
      </w:pPr>
      <w:r>
        <w:rPr>
          <w:rFonts w:ascii="Arial" w:cs="Arial" w:eastAsia="Arial" w:hAnsi="Arial"/>
          <w:sz w:val="18"/>
          <w:szCs w:val="18"/>
          <w:color w:val="auto"/>
        </w:rPr>
        <w:t xml:space="preserve">[reserved];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u w:val="single" w:color="auto"/>
          <w:color w:val="auto"/>
        </w:rPr>
      </w:pPr>
    </w:p>
    <w:p>
      <w:pPr>
        <w:ind w:left="-20" w:right="120" w:firstLine="408"/>
        <w:spacing w:after="0" w:line="263" w:lineRule="auto"/>
        <w:tabs>
          <w:tab w:leader="none" w:pos="735" w:val="left"/>
        </w:tabs>
        <w:numPr>
          <w:ilvl w:val="0"/>
          <w:numId w:val="5"/>
        </w:numPr>
        <w:rPr>
          <w:rFonts w:ascii="Arial" w:cs="Arial" w:eastAsia="Arial" w:hAnsi="Arial"/>
          <w:sz w:val="18"/>
          <w:szCs w:val="18"/>
          <w:u w:val="single" w:color="auto"/>
          <w:color w:val="auto"/>
        </w:rPr>
      </w:pPr>
      <w:r>
        <w:rPr>
          <w:rFonts w:ascii="Arial" w:cs="Arial" w:eastAsia="Arial" w:hAnsi="Arial"/>
          <w:sz w:val="18"/>
          <w:szCs w:val="18"/>
          <w:color w:val="auto"/>
        </w:rPr>
        <w:t xml:space="preserve">the fair market value of any First Lien Debt and/or Junior Lien Debt that has been contributed to the Borrower and/or any of its Restricted Subsidiaries in accordance with </w:t>
      </w:r>
      <w:r>
        <w:rPr>
          <w:rFonts w:ascii="Arial" w:cs="Arial" w:eastAsia="Arial" w:hAnsi="Arial"/>
          <w:sz w:val="18"/>
          <w:szCs w:val="18"/>
          <w:u w:val="single" w:color="auto"/>
          <w:color w:val="auto"/>
        </w:rPr>
        <w:t>Section 9.05(g)</w:t>
      </w:r>
      <w:r>
        <w:rPr>
          <w:rFonts w:ascii="Arial" w:cs="Arial" w:eastAsia="Arial" w:hAnsi="Arial"/>
          <w:sz w:val="18"/>
          <w:szCs w:val="18"/>
          <w:color w:val="auto"/>
        </w:rPr>
        <w:t xml:space="preserve"> (or any comparable provision under any definitive documentation governing such First Lien Debt or Junior Lien Debt, as applicable); </w:t>
      </w:r>
      <w:r>
        <w:rPr>
          <w:rFonts w:ascii="Arial" w:cs="Arial" w:eastAsia="Arial" w:hAnsi="Arial"/>
          <w:sz w:val="18"/>
          <w:szCs w:val="18"/>
          <w:u w:val="single" w:color="auto"/>
          <w:color w:val="auto"/>
        </w:rPr>
        <w:t>plus</w:t>
      </w:r>
    </w:p>
    <w:p>
      <w:pPr>
        <w:spacing w:after="0" w:line="1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20"/>
          </w:cols>
          <w:pgMar w:left="1440" w:top="274" w:right="439" w:bottom="1440" w:gutter="0" w:footer="0" w:header="0"/>
        </w:sectPr>
      </w:pPr>
    </w:p>
    <w:bookmarkStart w:id="16" w:name="page17"/>
    <w:bookmarkEnd w:id="16"/>
    <w:p>
      <w:pPr>
        <w:ind w:left="980" w:firstLine="408"/>
        <w:spacing w:after="0" w:line="263" w:lineRule="auto"/>
        <w:tabs>
          <w:tab w:leader="none" w:pos="1785" w:val="left"/>
        </w:tabs>
        <w:numPr>
          <w:ilvl w:val="1"/>
          <w:numId w:val="6"/>
        </w:numPr>
        <w:rPr>
          <w:rFonts w:ascii="Arial" w:cs="Arial" w:eastAsia="Arial" w:hAnsi="Arial"/>
          <w:sz w:val="18"/>
          <w:szCs w:val="18"/>
          <w:u w:val="single" w:color="auto"/>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aggregate face amount of any Indebtedness of the Borrower and/or any Restricted Subsidiary that is cancelled, released or otherwise terminated by virtue of the incurrence or assumption by any Unrestricted Subsidiary of any such Indebtedness, including by way of an “exchange” or similar transaction; </w:t>
      </w:r>
      <w:r>
        <w:rPr>
          <w:rFonts w:ascii="Arial" w:cs="Arial" w:eastAsia="Arial" w:hAnsi="Arial"/>
          <w:sz w:val="18"/>
          <w:szCs w:val="18"/>
          <w:u w:val="single" w:color="auto"/>
          <w:color w:val="auto"/>
        </w:rPr>
        <w:t>plus</w:t>
      </w:r>
    </w:p>
    <w:p>
      <w:pPr>
        <w:spacing w:after="0" w:line="75" w:lineRule="exact"/>
        <w:rPr>
          <w:rFonts w:ascii="Arial" w:cs="Arial" w:eastAsia="Arial" w:hAnsi="Arial"/>
          <w:sz w:val="18"/>
          <w:szCs w:val="18"/>
          <w:u w:val="single" w:color="auto"/>
          <w:color w:val="auto"/>
        </w:rPr>
      </w:pPr>
    </w:p>
    <w:p>
      <w:pPr>
        <w:ind w:left="980" w:right="100" w:firstLine="408"/>
        <w:spacing w:after="0" w:line="257" w:lineRule="auto"/>
        <w:tabs>
          <w:tab w:leader="none" w:pos="1776" w:val="left"/>
        </w:tabs>
        <w:numPr>
          <w:ilvl w:val="1"/>
          <w:numId w:val="6"/>
        </w:numPr>
        <w:rPr>
          <w:rFonts w:ascii="Arial" w:cs="Arial" w:eastAsia="Arial" w:hAnsi="Arial"/>
          <w:sz w:val="18"/>
          <w:szCs w:val="18"/>
          <w:u w:val="single" w:color="auto"/>
          <w:color w:val="auto"/>
        </w:rPr>
      </w:pPr>
      <w:r>
        <w:rPr>
          <w:rFonts w:ascii="Arial" w:cs="Arial" w:eastAsia="Arial" w:hAnsi="Arial"/>
          <w:sz w:val="18"/>
          <w:szCs w:val="18"/>
          <w:color w:val="auto"/>
        </w:rPr>
        <w:t xml:space="preserve">the value of any transaction consideration in any Permitted Acquisition or other Investment attributable in the good faith determination of the Borrower to the Qualified Capital Stock of the Borrower or its applicable Parent Company issued in connection with such Permitted Acquisition or other Investment that is Not Otherwise Applied up to the fair market value (as determined by the Borrower in good faith) of the assets acquired by the Borrower and its Restricted Subsidiaries as a result of such Permitted Acquisition or other Investment; </w:t>
      </w:r>
      <w:r>
        <w:rPr>
          <w:rFonts w:ascii="Arial" w:cs="Arial" w:eastAsia="Arial" w:hAnsi="Arial"/>
          <w:sz w:val="18"/>
          <w:szCs w:val="18"/>
          <w:u w:val="single" w:color="auto"/>
          <w:color w:val="auto"/>
        </w:rPr>
        <w:t>minus</w:t>
      </w:r>
    </w:p>
    <w:p>
      <w:pPr>
        <w:spacing w:after="0" w:line="79" w:lineRule="exact"/>
        <w:rPr>
          <w:rFonts w:ascii="Arial" w:cs="Arial" w:eastAsia="Arial" w:hAnsi="Arial"/>
          <w:sz w:val="18"/>
          <w:szCs w:val="18"/>
          <w:u w:val="single" w:color="auto"/>
          <w:color w:val="auto"/>
        </w:rPr>
      </w:pPr>
    </w:p>
    <w:p>
      <w:pPr>
        <w:jc w:val="both"/>
        <w:ind w:left="440" w:firstLine="419"/>
        <w:spacing w:after="0" w:line="263" w:lineRule="auto"/>
        <w:tabs>
          <w:tab w:leader="none" w:pos="1118"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an amount equal to the sum of (i) Restricted Payments made pursuant to </w:t>
      </w:r>
      <w:r>
        <w:rPr>
          <w:rFonts w:ascii="Arial" w:cs="Arial" w:eastAsia="Arial" w:hAnsi="Arial"/>
          <w:sz w:val="18"/>
          <w:szCs w:val="18"/>
          <w:u w:val="single" w:color="auto"/>
          <w:color w:val="auto"/>
        </w:rPr>
        <w:t>Section 6.04(a)(iii)(A)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Restricted Debt Payments made pursuant to </w:t>
      </w:r>
      <w:r>
        <w:rPr>
          <w:rFonts w:ascii="Arial" w:cs="Arial" w:eastAsia="Arial" w:hAnsi="Arial"/>
          <w:sz w:val="18"/>
          <w:szCs w:val="18"/>
          <w:u w:val="single" w:color="auto"/>
          <w:color w:val="auto"/>
        </w:rPr>
        <w:t>Section 6.04(b)(vi)(A)</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Investments made pursuant to </w:t>
      </w:r>
      <w:r>
        <w:rPr>
          <w:rFonts w:ascii="Arial" w:cs="Arial" w:eastAsia="Arial" w:hAnsi="Arial"/>
          <w:sz w:val="18"/>
          <w:szCs w:val="18"/>
          <w:u w:val="single" w:color="auto"/>
          <w:color w:val="auto"/>
        </w:rPr>
        <w:t>Section 6.06(r)(i)</w:t>
      </w:r>
      <w:r>
        <w:rPr>
          <w:rFonts w:ascii="Arial" w:cs="Arial" w:eastAsia="Arial" w:hAnsi="Arial"/>
          <w:sz w:val="18"/>
          <w:szCs w:val="18"/>
          <w:color w:val="auto"/>
        </w:rPr>
        <w:t>, in each case, after the Closing Date and prior to such time or contemporaneously therewith.</w:t>
      </w:r>
    </w:p>
    <w:p>
      <w:pPr>
        <w:spacing w:after="0" w:line="18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Excluded Contribution Amount</w:t>
      </w:r>
      <w:r>
        <w:rPr>
          <w:rFonts w:ascii="Arial" w:cs="Arial" w:eastAsia="Arial" w:hAnsi="Arial"/>
          <w:sz w:val="18"/>
          <w:szCs w:val="18"/>
          <w:color w:val="auto"/>
        </w:rPr>
        <w:t>” means the aggregate amount of Cash or Cash Equivalents or the fair market value of other assets (as determined by the Borrower in good faith, but excluding any Cure Amount) received (or deemed received) by the Borrower or any of its Restricted Subsidiaries after the Closing Date from:</w:t>
      </w:r>
    </w:p>
    <w:p>
      <w:pPr>
        <w:spacing w:after="0" w:line="76" w:lineRule="exact"/>
        <w:rPr>
          <w:sz w:val="20"/>
          <w:szCs w:val="20"/>
          <w:color w:val="auto"/>
        </w:rPr>
      </w:pPr>
    </w:p>
    <w:p>
      <w:pPr>
        <w:ind w:left="440" w:right="160" w:firstLine="419"/>
        <w:spacing w:after="0" w:line="277" w:lineRule="auto"/>
        <w:tabs>
          <w:tab w:leader="none" w:pos="1108"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contributions (or deemed contributions) of assets (including cash) in respect of Qualified Capital Stock of the Borrower (other than any amount received from any Restricted Subsidiary) that are Not Otherwise Applied; and</w:t>
      </w:r>
    </w:p>
    <w:p>
      <w:pPr>
        <w:spacing w:after="0" w:line="62" w:lineRule="exact"/>
        <w:rPr>
          <w:rFonts w:ascii="Arial" w:cs="Arial" w:eastAsia="Arial" w:hAnsi="Arial"/>
          <w:sz w:val="18"/>
          <w:szCs w:val="18"/>
          <w:color w:val="auto"/>
        </w:rPr>
      </w:pPr>
    </w:p>
    <w:p>
      <w:pPr>
        <w:ind w:left="440" w:right="280" w:firstLine="419"/>
        <w:spacing w:after="0" w:line="263" w:lineRule="auto"/>
        <w:tabs>
          <w:tab w:leader="none" w:pos="1118"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sale or issuance of Qualified Capital Stock of the Borrower that are Not Otherwise Applied (other than (x) to any Restricted Subsidiary, (y) pursuant to any management equity plan or stock option plan or any other management or employee benefit plan or (z) with the proceeds of any loan or advance made pursuant to </w:t>
      </w:r>
      <w:r>
        <w:rPr>
          <w:rFonts w:ascii="Arial" w:cs="Arial" w:eastAsia="Arial" w:hAnsi="Arial"/>
          <w:sz w:val="18"/>
          <w:szCs w:val="18"/>
          <w:u w:val="single" w:color="auto"/>
          <w:color w:val="auto"/>
        </w:rPr>
        <w:t>Section 6.06(h)(ii)</w:t>
      </w:r>
      <w:r>
        <w:rPr>
          <w:rFonts w:ascii="Arial" w:cs="Arial" w:eastAsia="Arial" w:hAnsi="Arial"/>
          <w:sz w:val="18"/>
          <w:szCs w:val="18"/>
          <w:color w:val="auto"/>
        </w:rPr>
        <w:t>),</w:t>
      </w:r>
    </w:p>
    <w:p>
      <w:pPr>
        <w:spacing w:after="0" w:line="18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each case, designated by the Borrower as an Available Excluded Contribution Amount on or promptly after the date on which the relevant capital contribution is made (or deemed to be made) or the relevant proceeds are received (or deemed to be received), as the case may be, and which are excluded from the calculation of the Available Amount.</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 (other than through liquidation, administration or other insolvency proceedings).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right="3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w:t>
      </w:r>
      <w:r>
        <w:rPr>
          <w:rFonts w:ascii="Arial" w:cs="Arial" w:eastAsia="Arial" w:hAnsi="Arial"/>
          <w:sz w:val="18"/>
          <w:szCs w:val="18"/>
          <w:color w:val="auto"/>
        </w:rPr>
        <w:t>” means each and any of the following services: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supply chain and/or supplier financing services and any arrangement and/or service similar to any of the foregoing and/or otherwise in connection with Cash management and Deposit Accounts.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7" w:name="page18"/>
    <w:bookmarkEnd w:id="17"/>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Banking Services Obligations</w:t>
      </w:r>
      <w:r>
        <w:rPr>
          <w:rFonts w:ascii="Arial" w:cs="Arial" w:eastAsia="Arial" w:hAnsi="Arial"/>
          <w:sz w:val="17"/>
          <w:szCs w:val="17"/>
          <w:color w:val="auto"/>
        </w:rPr>
        <w:t xml:space="preserve">” means any and all obligations of any Loan Party, whether absolute or contingent and however and whenever created, arising, evidenced or acquired (including all renewals, extensions and modifications thereof and substitutions therefor), under any arrangement in connection with Banking Services that is in effect on the Closing Date or entered into at any time on or after the Closing Date between any Loan Party and (a) a counterparty that is (or is an Affiliate of) the Administrative Agent, any Lender or any Arranger as of the Closing Date or at the time such arrangement is entered into and/or (b) any other Person, in each case of the Persons described in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that is designated in writing by the Borrower to the Administrative Agent as a provider of Banking Services Obligations for purposes of the Loan Documents, it being understood that each counterparty provider of Banking Services Obligations shall be deemed (A) to appoint the Administrative Agent as its agent under the applicable Loan Documents and (B) to agree to be bound by the provisions of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and any applicable Intercreditor Agreement as if it were a Lender.</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Code</w:t>
      </w:r>
      <w:r>
        <w:rPr>
          <w:rFonts w:ascii="Arial" w:cs="Arial" w:eastAsia="Arial" w:hAnsi="Arial"/>
          <w:sz w:val="17"/>
          <w:szCs w:val="17"/>
          <w:color w:val="auto"/>
        </w:rPr>
        <w:t xml:space="preserve">” means Title 11 of the United States Code (11 USC § 101 </w:t>
      </w:r>
      <w:r>
        <w:rPr>
          <w:rFonts w:ascii="Arial" w:cs="Arial" w:eastAsia="Arial" w:hAnsi="Arial"/>
          <w:sz w:val="17"/>
          <w:szCs w:val="17"/>
          <w:i w:val="1"/>
          <w:iCs w:val="1"/>
          <w:color w:val="auto"/>
        </w:rPr>
        <w:t>et seq</w:t>
      </w:r>
      <w:r>
        <w:rPr>
          <w:rFonts w:ascii="Arial" w:cs="Arial" w:eastAsia="Arial" w:hAnsi="Arial"/>
          <w:sz w:val="17"/>
          <w:szCs w:val="17"/>
          <w:color w:val="auto"/>
        </w:rPr>
        <w:t>.), as it has been, or may be, amended, from time to time.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required by the Beneficial Ownership Regulation.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US.</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preamble to this Agreement and shall, for the avoidance of doubt, include any Successor Borrower.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9.01(d)</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any Loans of the same Type and Class made, converted or continued on the same date and, in the case of LIBO Rate Loans, as to which a single Interest Period is in effect.</w:t>
      </w:r>
    </w:p>
    <w:p>
      <w:pPr>
        <w:spacing w:after="0" w:line="17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and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that is reasonably acceptable to the Administrative Agent and the Borrower, including any form on an electronic platform or electronic transmission system as shall be approved by the Administrative Agent and the Borrower, in each case, appropriately completed and signed by a Responsible Officer of the Borrower.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Burdensome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225"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that is not a Saturday, Sunday or other day on which commercial banks in New York City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when used in connection with a LIBO Rate Loan, the term “Business Day” shall also exclude any day on which banks are not open for dealings in Dollar deposits (or deposits in the applicable Alternate Currency) in the London interbank market.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Business Optimization Initiative</w:t>
      </w:r>
      <w:r>
        <w:rPr>
          <w:rFonts w:ascii="Arial" w:cs="Arial" w:eastAsia="Arial" w:hAnsi="Arial"/>
          <w:sz w:val="18"/>
          <w:szCs w:val="18"/>
          <w:color w:val="auto"/>
        </w:rPr>
        <w:t>” has the meaning assigned to such term in the definition of “Consolidated Adjusted EBITDA”.</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with respect to the Borrower and its Restricted Subsidiaries for any period, the aggregate amount, without duplication, of all expenditures (whether paid in cash or accrued as liabilities and including in all events all amounts expended or capitalized under Capital Leases) that would, in accordance with GAAP, are, or are required to be included as, capital expenditures on the consolidated statement of cash flows of the Borrower and its Restricted Subsidiaries for such period.</w:t>
      </w:r>
    </w:p>
    <w:p>
      <w:pPr>
        <w:spacing w:after="0" w:line="187"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w:t>
      </w:r>
      <w:r>
        <w:rPr>
          <w:rFonts w:ascii="Arial" w:cs="Arial" w:eastAsia="Arial" w:hAnsi="Arial"/>
          <w:sz w:val="16"/>
          <w:szCs w:val="16"/>
          <w:color w:val="auto"/>
        </w:rPr>
        <w:t xml:space="preserve">” means, as applied to any Person, any lease of any property (whether real, personal or mixed) by that Person as lessee that, in conformity with GAAP, is or should be accounted for as a capital lease on the balance sheet of that Person;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avoidance of doubt, the amount of obligations attributable to any Capital Lease shall be the amount thereof accounted for as a liability in accordance with GAAP.</w:t>
      </w:r>
    </w:p>
    <w:p>
      <w:pPr>
        <w:spacing w:after="0" w:line="149" w:lineRule="exact"/>
        <w:rPr>
          <w:sz w:val="20"/>
          <w:szCs w:val="20"/>
          <w:color w:val="auto"/>
        </w:rPr>
      </w:pPr>
    </w:p>
    <w:p>
      <w:pPr>
        <w:ind w:right="2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means any and all shares, interests, participations, preferred equity certificates, convertible preferred equity certificates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 but excluding for the avoidance of doubt any Indebtedness convertible into or exchangeable for any of the foregoing.</w:t>
      </w:r>
    </w:p>
    <w:p>
      <w:pPr>
        <w:spacing w:after="0" w:line="15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Captive Insurance Subsidiary</w:t>
      </w:r>
      <w:r>
        <w:rPr>
          <w:rFonts w:ascii="Arial" w:cs="Arial" w:eastAsia="Arial" w:hAnsi="Arial"/>
          <w:sz w:val="18"/>
          <w:szCs w:val="18"/>
          <w:color w:val="auto"/>
        </w:rPr>
        <w:t>” means any Restricted Subsidiary of the Borrower that is subject to regulation as an insurance company (or any Restricted Subsidiary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money, currency or a credit balance in any Deposit Account, in each case determined in accordance with GAAP.</w:t>
      </w:r>
    </w:p>
    <w:p>
      <w:pPr>
        <w:spacing w:after="0" w:line="225"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xml:space="preserve">” means, as at any date of determination, (a) readily marketable securities (i) issued or directly and unconditionally guaranteed or insured as to interest and principal by the US government or (ii) issued by any agency or instrumentality of the US the obligations of which are backed by the full faith and credit of the US, in each case maturing within one year after such date and, in each case, repurchase agreements and reverse repurchase agreements relating thereto, (b) readily marketable direct obligations issued by any state of the US or any political subdivision of any such state or any public instrumentality thereof or by any foreign government, in each case maturing within one year after such date and having, at the time of the acquisition thereof, a rating of at least A-2 from S&amp;P or at least P-2 from Moody’s or at least “A” from Fitch (or, if at any time none of S&amp;P, Moody’s or Fitch rates such obligations, an equivalent rating from another nationally recognized statistical rating agency) and, in each case, repurchase agreements and reverse repurchase agreements relating thereto, (c) commercial paper maturing no more than one year from the date of creation thereof and having, at the time of the acquisition thereof, a rating of at least A-2 from S&amp;P, at least P-2 from Moody’s or at least “F2” from Fitch (or, if at any time none of S&amp;P, Moody’s or Fitch rates such obligations, an equivalent rating from another nationally recognized statistical rating agency), (d) deposits, money market deposits, time deposit accounts, certificates of deposit or bankers’ acceptances (or similar instruments) maturing within one year after such date and issued or accepted by any Lender or by any bank organized under, or authorized to operate as a bank under, the laws of the US, any state thereof or the District of Columbia or any political subdivision thereof or any foreign bank or its branches or agencies in each case organized under, or authorized to operate as bank under, the laws of any jurisdiction in which any subsidiary is organized or has operations and that has capital and surplus of not less than $100,000,000 and, in each case, repurchase agreements and reverse repurchase agreements relating thereto, (e) securities with maturities of six months or less from the date of acquisition backed by standby letters of credit issued by any commercial bank having capital and surplus of not less than $100,000,000, (f) shares of any investment fund that has (i) substantially all of its assets invested in the types of investments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(e)</w:t>
      </w:r>
      <w:r>
        <w:rPr>
          <w:rFonts w:ascii="Arial" w:cs="Arial" w:eastAsia="Arial" w:hAnsi="Arial"/>
          <w:sz w:val="16"/>
          <w:szCs w:val="16"/>
          <w:color w:val="auto"/>
        </w:rPr>
        <w:t xml:space="preserve"> above, (ii) net assets of not less than $250,000,000 and (iii) a rating of at least A-2 from S&amp;P, at least P-2 from Moody’s or at least “A” from Fitch (or, if at any time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9" w:name="page20"/>
    <w:bookmarkEnd w:id="19"/>
    <w:p>
      <w:pPr>
        <w:ind w:right="1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either S&amp;P, Moody’s or Fitch are not rating such fund, an equivalent rating from another nationally recognized statistical rating agency) and (g) solely with respect to any Captive Insurance Subsidiary, any investment that such Captive Insurance Subsidiary is not prohibited to make in accordance with applicable law. “Cash Equivalents” shall also include (x) Investments of the type and maturity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(g)</w:t>
      </w:r>
      <w:r>
        <w:rPr>
          <w:rFonts w:ascii="Arial" w:cs="Arial" w:eastAsia="Arial" w:hAnsi="Arial"/>
          <w:sz w:val="16"/>
          <w:szCs w:val="16"/>
          <w:color w:val="auto"/>
        </w:rPr>
        <w:t xml:space="preserve"> above of foreign obligors, which Investments or obligors (or the parent companies thereof) have the ratings described in such clauses or equivalent ratings from comparable foreign rating agencies and (y) other short-term Investments utilized by Foreign Subsidiaries in accordance with normal investment practices for cash management in Investments that are analogous to the Investments described in clauses (a) through (g) and in this paragraph.</w:t>
      </w:r>
    </w:p>
    <w:p>
      <w:pPr>
        <w:spacing w:after="0" w:line="16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(a) the adoption of any law, treaty, rule or regulation after the Closing Date, (b) any change in any law, treaty, rule or regulation or in the interpretation or application thereof by any Governmental Authority after the Closing Date or (c) compliance by any Lender or any Issuing Bank (or, for purposes of </w:t>
      </w:r>
      <w:r>
        <w:rPr>
          <w:rFonts w:ascii="Arial" w:cs="Arial" w:eastAsia="Arial" w:hAnsi="Arial"/>
          <w:sz w:val="16"/>
          <w:szCs w:val="16"/>
          <w:u w:val="single" w:color="auto"/>
          <w:color w:val="auto"/>
        </w:rPr>
        <w:t>Section 2.15(b)</w:t>
      </w:r>
      <w:r>
        <w:rPr>
          <w:rFonts w:ascii="Arial" w:cs="Arial" w:eastAsia="Arial" w:hAnsi="Arial"/>
          <w:sz w:val="16"/>
          <w:szCs w:val="16"/>
          <w:color w:val="auto"/>
        </w:rPr>
        <w:t xml:space="preserve">, by any lending office of such Lender or such Issuing Bank or by such Lender’s or such Issuing Bank’s holding company, if any) with any request, guideline or directive (whether or not having the force of law) of any Governmental Authority made or issued after the Closing Date (other than any such request, guideline or directive to comply with any law, rule or regulation that was in effect on the Closing Date). For purposes of this definition and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(x) the Dodd-Frank Wall Street Reform and Consumer Protection Act and all requests, rules, guidelines, requirements and directives thereunder or issued in connection therewith or in implementation thereof and (y) all requests, rules, guidelines, requirements or directives promulgated by the Bank for International Settlements, the Basel Committee on Banking Supervision (or any successor or similar authority) or US or foreign regulatory authorities, in each case pursuant to Basel III, shall in each case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be deemed to be a Change in Law, regardless of the date enacted, adopted, issued or implemented.</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117" w:lineRule="exact"/>
        <w:rPr>
          <w:sz w:val="20"/>
          <w:szCs w:val="20"/>
          <w:color w:val="auto"/>
        </w:rPr>
      </w:pPr>
    </w:p>
    <w:p>
      <w:pPr>
        <w:ind w:left="440" w:right="120" w:firstLine="419"/>
        <w:spacing w:after="0" w:line="286" w:lineRule="auto"/>
        <w:tabs>
          <w:tab w:leader="none" w:pos="1107" w:val="left"/>
        </w:tabs>
        <w:numPr>
          <w:ilvl w:val="1"/>
          <w:numId w:val="9"/>
        </w:numPr>
        <w:rPr>
          <w:rFonts w:ascii="Arial" w:cs="Arial" w:eastAsia="Arial" w:hAnsi="Arial"/>
          <w:sz w:val="16"/>
          <w:szCs w:val="16"/>
          <w:u w:val="single" w:color="auto"/>
          <w:color w:val="auto"/>
        </w:rPr>
      </w:pPr>
      <w:r>
        <w:rPr>
          <w:rFonts w:ascii="Arial" w:cs="Arial" w:eastAsia="Arial" w:hAnsi="Arial"/>
          <w:sz w:val="16"/>
          <w:szCs w:val="16"/>
          <w:color w:val="auto"/>
        </w:rPr>
        <w:t>a Responsible Officer of the Borrower becomes aware of the acquisition of the beneficial ownership by any Person or group (as used in this definition, within the meaning of Section 13(d)(3) or Section 14(d)(2) of the Exchange Act) (including any group acting for the purpose of acquiring, holding or disposing of Securities (within the meaning of Rule 13d-5(b)(1) under the Exchange Act), but excluding (i) any employee benefit plan and/or Person acting as the trustee, agent or other fiduciary or administrator therefor, (ii) one or more Permitted Holders and</w:t>
      </w:r>
    </w:p>
    <w:p>
      <w:pPr>
        <w:spacing w:after="0" w:line="1" w:lineRule="exact"/>
        <w:rPr>
          <w:rFonts w:ascii="Arial" w:cs="Arial" w:eastAsia="Arial" w:hAnsi="Arial"/>
          <w:sz w:val="16"/>
          <w:szCs w:val="16"/>
          <w:u w:val="single" w:color="auto"/>
          <w:color w:val="auto"/>
        </w:rPr>
      </w:pPr>
    </w:p>
    <w:p>
      <w:pPr>
        <w:ind w:left="440" w:right="100" w:hanging="4"/>
        <w:spacing w:after="0" w:line="252" w:lineRule="auto"/>
        <w:tabs>
          <w:tab w:leader="none" w:pos="7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underwriters in connection with any offering of Capital Stock), of voting common stock representing more than the greater of (x) 35% of the total voting power of all of the outstanding voting common stock of the Parent and (y) the percentage of the total voting power of all of the outstanding voting common stock of the Parent owned, directly or indirectly, beneficially by the Permitted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provisions of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no “Change of Control” shall be deemed to have occurred under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if the Permitted Holders have the right, by voting power, contract or otherwise, to elect or designate for election at least a majority of the board of directors of the Parent; and</w:t>
      </w:r>
    </w:p>
    <w:p>
      <w:pPr>
        <w:spacing w:after="0" w:line="85"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Parent ceasing to control, directly or indirectly, 100% of the voting Capital Stock of the Borrower (other than as a result of a merger of the Borrower into the Parent or of the Parent into the Borrower).</w:t>
      </w:r>
    </w:p>
    <w:p>
      <w:pPr>
        <w:spacing w:after="0" w:line="170"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For purposes of this definition, (1) a Person or group shall not be deemed to beneficially own Capital Stock or voting power subject to a stock or asset purchase agreement, merger agreement or similar agreement (or voting or similar agreement related thereto) until the consummation of the acquisition of the Capital Stock or voting power pursuant to the transactions contemplated by such agreement, (2) if any group includes one or more Permitted Holders, the issued and outstanding Capital Stock of the relevant Person that is directly or indirectly owned by the Permitted Holders that are part of such group shall not be treated as being beneficially owned by such group or any other member of such group for purposes of this definition, (3) a Person or group</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0" w:name="page21"/>
    <w:bookmarkEnd w:id="20"/>
    <w:p>
      <w:pPr>
        <w:ind w:left="4" w:right="2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not be deemed to beneficially own the Capital Stock of another Person as a result of its ownership of the Capital Stock or other securities of such other Person’s parent company (or any related contractual right) unless it beneficially owns or controls 50% or more of the total voting power of the Capital Stock entitled to vote for the election of directors of such Person’s parent company having a majority of the aggregate votes on the board of directors (or equivalent governing body) of such Person’s parent company and (4) it is understood and agreed that any transaction resulting in a Successor Borrower or Successor Holdings in accordance with the terms hereof shall not give rise to a Change of Control.</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w:t>
      </w:r>
      <w:r>
        <w:rPr>
          <w:rFonts w:ascii="Arial" w:cs="Arial" w:eastAsia="Arial" w:hAnsi="Arial"/>
          <w:sz w:val="18"/>
          <w:szCs w:val="18"/>
          <w:color w:val="auto"/>
        </w:rPr>
        <w:t>” means any fee, charge, expense, cost, accrual, reserve or loss of any kind.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Charged Amounts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9.19</w:t>
      </w:r>
      <w:r>
        <w:rPr>
          <w:rFonts w:ascii="Arial" w:cs="Arial" w:eastAsia="Arial" w:hAnsi="Arial"/>
          <w:sz w:val="18"/>
          <w:szCs w:val="18"/>
          <w:color w:val="auto"/>
        </w:rPr>
        <w:t>.</w:t>
      </w:r>
    </w:p>
    <w:p>
      <w:pPr>
        <w:spacing w:after="0" w:line="225" w:lineRule="exact"/>
        <w:rPr>
          <w:sz w:val="20"/>
          <w:szCs w:val="20"/>
          <w:color w:val="auto"/>
        </w:rPr>
      </w:pPr>
    </w:p>
    <w:p>
      <w:pPr>
        <w:ind w:left="4" w:right="8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w:t>
      </w:r>
      <w:r>
        <w:rPr>
          <w:rFonts w:ascii="Arial" w:cs="Arial" w:eastAsia="Arial" w:hAnsi="Arial"/>
          <w:sz w:val="16"/>
          <w:szCs w:val="16"/>
          <w:color w:val="auto"/>
        </w:rPr>
        <w:t xml:space="preserve">”, when used with respect to (a) any Loan or Borrowing, refers to whether such Loan, or the Loans comprising such Borrowing, are Initial Term Loans, Additional Term Loans of any series established as a separate “Class” pursuant 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9.02(c)(i)</w:t>
      </w:r>
      <w:r>
        <w:rPr>
          <w:rFonts w:ascii="Arial" w:cs="Arial" w:eastAsia="Arial" w:hAnsi="Arial"/>
          <w:sz w:val="16"/>
          <w:szCs w:val="16"/>
          <w:color w:val="auto"/>
        </w:rPr>
        <w:t xml:space="preserve">, Initial Revolving Loans, Additional Revolving Loans of any series established as a separate “Class” pursuant 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9.02(c)(ii)</w:t>
      </w:r>
      <w:r>
        <w:rPr>
          <w:rFonts w:ascii="Arial" w:cs="Arial" w:eastAsia="Arial" w:hAnsi="Arial"/>
          <w:sz w:val="16"/>
          <w:szCs w:val="16"/>
          <w:color w:val="auto"/>
        </w:rPr>
        <w:t xml:space="preserve"> or Swingline Loans,</w:t>
      </w:r>
    </w:p>
    <w:p>
      <w:pPr>
        <w:spacing w:after="0" w:line="2" w:lineRule="exact"/>
        <w:rPr>
          <w:sz w:val="20"/>
          <w:szCs w:val="20"/>
          <w:color w:val="auto"/>
        </w:rPr>
      </w:pPr>
    </w:p>
    <w:p>
      <w:pPr>
        <w:ind w:left="4" w:right="40" w:hanging="4"/>
        <w:spacing w:after="0" w:line="271" w:lineRule="auto"/>
        <w:tabs>
          <w:tab w:leader="none" w:pos="259"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any Commitment, refers to whether such Commitment is an Initial Term Loan Commitment, an Additional Term Loan Commitment of any series established as a separate “Class”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9.02(c)(i)</w:t>
      </w:r>
      <w:r>
        <w:rPr>
          <w:rFonts w:ascii="Arial" w:cs="Arial" w:eastAsia="Arial" w:hAnsi="Arial"/>
          <w:sz w:val="17"/>
          <w:szCs w:val="17"/>
          <w:color w:val="auto"/>
        </w:rPr>
        <w:t xml:space="preserve">, an Initial Revolving Credit Commitment, an Additional Revolving Credit Commitment of any series established as a separate “Class”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9.02(c)(ii)</w:t>
      </w:r>
      <w:r>
        <w:rPr>
          <w:rFonts w:ascii="Arial" w:cs="Arial" w:eastAsia="Arial" w:hAnsi="Arial"/>
          <w:sz w:val="17"/>
          <w:szCs w:val="17"/>
          <w:color w:val="auto"/>
        </w:rPr>
        <w:t xml:space="preserve"> or a commitment to make Swingline Loans, (c) any Lender, refers to whether such Lender has a Loan or Commitment of a particular Class and (d) any Revolving Credit Exposure, refers to whether such Revolving Credit Exposure is attributable to a Revolving Credit Commitment of a particular Class.</w:t>
      </w:r>
    </w:p>
    <w:p>
      <w:pPr>
        <w:spacing w:after="0" w:line="178"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September 17, 2021, the date on which the conditions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were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Refinancing</w:t>
      </w:r>
      <w:r>
        <w:rPr>
          <w:rFonts w:ascii="Arial" w:cs="Arial" w:eastAsia="Arial" w:hAnsi="Arial"/>
          <w:sz w:val="18"/>
          <w:szCs w:val="18"/>
          <w:color w:val="auto"/>
        </w:rPr>
        <w:t>” has the meaning assigned to such term in the recitals to this Agreement.</w:t>
      </w:r>
    </w:p>
    <w:p>
      <w:pPr>
        <w:spacing w:after="0" w:line="225"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CNI Growth Amount</w:t>
      </w:r>
      <w:r>
        <w:rPr>
          <w:rFonts w:ascii="Arial" w:cs="Arial" w:eastAsia="Arial" w:hAnsi="Arial"/>
          <w:sz w:val="18"/>
          <w:szCs w:val="18"/>
          <w:color w:val="auto"/>
        </w:rPr>
        <w:t>” means, at any date of determination, for the period (treated as one accounting period) from the first day of the Fiscal Quarter of the Borrower during which the Closing Date occurs and ending with the last Fiscal Quarter of the Borrower included in the most recently ended Test Period, an amount (which amount shall not be less than zero for any Fiscal Quarter) determined on a cumulative basis equal to 50% of Adjusted Consolidated Net Income for each such Fiscal Quarter included in such period (if Adjusted Consolidated Net Income for such Fiscal Quarter is positive).</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left="4" w:right="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means any and all property of any Loan Party subject (or purported to be subject) to a Lien under any Collateral Document and any and all other property of any Loan Party, now existing or hereafter acquired, that is or becomes subject (or purported to be subject) to a Lien pursuant to any Collateral Document to secure the Secured Obligations. For the avoidance of doubt, in no event shall “Collateral” include any Excluded Asset.</w:t>
      </w:r>
    </w:p>
    <w:p>
      <w:pPr>
        <w:spacing w:after="0" w:line="149"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and Guarantee Requirement</w:t>
      </w:r>
      <w:r>
        <w:rPr>
          <w:rFonts w:ascii="Arial" w:cs="Arial" w:eastAsia="Arial" w:hAnsi="Arial"/>
          <w:sz w:val="18"/>
          <w:szCs w:val="18"/>
          <w:color w:val="auto"/>
        </w:rPr>
        <w:t xml:space="preserve">” means, at any time, subject to (x) the applicable limitations set forth in this Agreement and/or any other Loan Document and the terms of any applicable Intercreditor Agreement and (y) the time periods (and extensions thereof) set forth in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5.15</w:t>
      </w:r>
      <w:r>
        <w:rPr>
          <w:rFonts w:ascii="Arial" w:cs="Arial" w:eastAsia="Arial" w:hAnsi="Arial"/>
          <w:sz w:val="18"/>
          <w:szCs w:val="18"/>
          <w:color w:val="auto"/>
        </w:rPr>
        <w:t>, as applicable, the requirement that: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21" w:name="page22"/>
    <w:bookmarkEnd w:id="21"/>
    <w:p>
      <w:pPr>
        <w:ind w:left="440" w:right="100" w:firstLine="419"/>
        <w:spacing w:after="0" w:line="273" w:lineRule="auto"/>
        <w:tabs>
          <w:tab w:leader="none" w:pos="1108" w:val="left"/>
        </w:tabs>
        <w:numPr>
          <w:ilvl w:val="0"/>
          <w:numId w:val="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 the Closing Date, the Administrative Agent shall have received (A) each Collateral Document and Loan Guaranty listed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1.01(d)</w:t>
      </w:r>
      <w:r>
        <w:rPr>
          <w:rFonts w:ascii="Arial" w:cs="Arial" w:eastAsia="Arial" w:hAnsi="Arial"/>
          <w:sz w:val="17"/>
          <w:szCs w:val="17"/>
          <w:color w:val="auto"/>
        </w:rPr>
        <w:t xml:space="preserve">, duly executed by each Loan Party party thereto, (B) a pledge of all of the Capital Stock (together, in the case of Capital Stock that is certificated, with undated stock or similar powers for each such certificate executed in blank by a Responsible Officer of the pledgor thereof) listed on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to the Perfection Certificate, (C) each Material Debt Instrument listed on </w:t>
      </w:r>
      <w:r>
        <w:rPr>
          <w:rFonts w:ascii="Arial" w:cs="Arial" w:eastAsia="Arial" w:hAnsi="Arial"/>
          <w:sz w:val="17"/>
          <w:szCs w:val="17"/>
          <w:u w:val="single" w:color="auto"/>
          <w:color w:val="auto"/>
        </w:rPr>
        <w:t>Schedule 4</w:t>
      </w:r>
      <w:r>
        <w:rPr>
          <w:rFonts w:ascii="Arial" w:cs="Arial" w:eastAsia="Arial" w:hAnsi="Arial"/>
          <w:sz w:val="17"/>
          <w:szCs w:val="17"/>
          <w:color w:val="auto"/>
        </w:rPr>
        <w:t xml:space="preserve"> to the Perfection Certificate, endorsed (without recourse) in blank or accompanied by executed transfer form in blank by the pledgor thereof and (D) Uniform Commercial Code financing statements in appropriate form for filing in the jurisdiction of organization of each Loan Party; and</w:t>
      </w:r>
    </w:p>
    <w:p>
      <w:pPr>
        <w:spacing w:after="0" w:line="69" w:lineRule="exact"/>
        <w:rPr>
          <w:rFonts w:ascii="Arial" w:cs="Arial" w:eastAsia="Arial" w:hAnsi="Arial"/>
          <w:sz w:val="17"/>
          <w:szCs w:val="17"/>
          <w:color w:val="auto"/>
        </w:rPr>
      </w:pPr>
    </w:p>
    <w:p>
      <w:pPr>
        <w:ind w:left="440" w:right="120" w:firstLine="419"/>
        <w:spacing w:after="0" w:line="277" w:lineRule="auto"/>
        <w:tabs>
          <w:tab w:leader="none" w:pos="11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after the Closing Date, in the case of any Restricted Subsidiary that is required to become (or otherwise becomes) a Loan Party after the Closing Date the Administrative Agent shall have received:</w:t>
      </w:r>
    </w:p>
    <w:p>
      <w:pPr>
        <w:spacing w:after="0" w:line="62" w:lineRule="exact"/>
        <w:rPr>
          <w:rFonts w:ascii="Arial" w:cs="Arial" w:eastAsia="Arial" w:hAnsi="Arial"/>
          <w:sz w:val="18"/>
          <w:szCs w:val="18"/>
          <w:color w:val="auto"/>
        </w:rPr>
      </w:pPr>
    </w:p>
    <w:p>
      <w:pPr>
        <w:ind w:left="980" w:right="100" w:firstLine="408"/>
        <w:spacing w:after="0" w:line="255" w:lineRule="auto"/>
        <w:tabs>
          <w:tab w:leader="none" w:pos="15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(A) a Joinder Agreement, (B) if the respective Restricted Subsidiary required to comply with the requirements set forth in this definition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owns registrations of or applications for US Patents, Trademarks and/or Copyrights that constitute Collateral, an Intellectual Property Security Agreement, (C) a completed Perfection Certificate, (D) Uniform Commercial Code financing statements in appropriate form for filing in such jurisdictions as the Administrative Agent may reasonably request and (E) an executed joinder to each applicable Intercreditor Agreement in substantially the form attached as an exhibit thereto or such other form to which the Administrative Agent may reasonably agree;</w:t>
      </w:r>
    </w:p>
    <w:p>
      <w:pPr>
        <w:spacing w:after="0" w:line="84" w:lineRule="exact"/>
        <w:rPr>
          <w:rFonts w:ascii="Arial" w:cs="Arial" w:eastAsia="Arial" w:hAnsi="Arial"/>
          <w:sz w:val="18"/>
          <w:szCs w:val="18"/>
          <w:color w:val="auto"/>
        </w:rPr>
      </w:pPr>
    </w:p>
    <w:p>
      <w:pPr>
        <w:ind w:left="980" w:right="540" w:firstLine="408"/>
        <w:spacing w:after="0" w:line="308" w:lineRule="auto"/>
        <w:tabs>
          <w:tab w:leader="none" w:pos="1646" w:val="left"/>
        </w:tabs>
        <w:numPr>
          <w:ilvl w:val="1"/>
          <w:numId w:val="12"/>
        </w:numPr>
        <w:rPr>
          <w:rFonts w:ascii="Arial" w:cs="Arial" w:eastAsia="Arial" w:hAnsi="Arial"/>
          <w:sz w:val="17"/>
          <w:szCs w:val="17"/>
          <w:color w:val="auto"/>
        </w:rPr>
      </w:pPr>
      <w:r>
        <w:rPr>
          <w:rFonts w:ascii="Arial" w:cs="Arial" w:eastAsia="Arial" w:hAnsi="Arial"/>
          <w:sz w:val="17"/>
          <w:szCs w:val="17"/>
          <w:color w:val="auto"/>
        </w:rPr>
        <w:t xml:space="preserve">each item of Collateral that such Restricted Subsidiary is required to deliver under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of the Security Agreement (which, for the avoidance of doubt, shall be delivered within the time periods set forth in </w:t>
      </w:r>
      <w:r>
        <w:rPr>
          <w:rFonts w:ascii="Arial" w:cs="Arial" w:eastAsia="Arial" w:hAnsi="Arial"/>
          <w:sz w:val="17"/>
          <w:szCs w:val="17"/>
          <w:u w:val="single" w:color="auto"/>
          <w:color w:val="auto"/>
        </w:rPr>
        <w:t>Section 5.12(a)</w:t>
      </w:r>
      <w:r>
        <w:rPr>
          <w:rFonts w:ascii="Arial" w:cs="Arial" w:eastAsia="Arial" w:hAnsi="Arial"/>
          <w:sz w:val="17"/>
          <w:szCs w:val="17"/>
          <w:color w:val="auto"/>
        </w:rPr>
        <w:t>); and</w:t>
      </w:r>
    </w:p>
    <w:p>
      <w:pPr>
        <w:spacing w:after="0" w:line="38" w:lineRule="exact"/>
        <w:rPr>
          <w:rFonts w:ascii="Arial" w:cs="Arial" w:eastAsia="Arial" w:hAnsi="Arial"/>
          <w:sz w:val="17"/>
          <w:szCs w:val="17"/>
          <w:color w:val="auto"/>
        </w:rPr>
      </w:pPr>
    </w:p>
    <w:p>
      <w:pPr>
        <w:ind w:left="980" w:firstLine="408"/>
        <w:spacing w:after="0" w:line="259" w:lineRule="auto"/>
        <w:tabs>
          <w:tab w:leader="none" w:pos="16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in the case of any subsidiary that has been designated as a Discretionary Guarantor (A) with respect to any such subsidiary that is a Domestic Subsidiary, the documents described in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above and (B) with respect to any such subsidiary that is a Foreign Subsidiary, (1) a Joinder Agreement and (2) such other documentation relating to such categories of assets (other than Excluded Assets) as the Borrower and Administrative Agent may reasonably agree;</w:t>
      </w:r>
    </w:p>
    <w:p>
      <w:pPr>
        <w:spacing w:after="0" w:line="18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collectively, (a) the Security Agreement (and any supplement thereto delivered to the Administrative Agent), (b) each Intellectual Property Security Agreement, and (c) each of the other instruments and documents pursuant to which any Loan Party grants (or purports to grant) a Lien on any Collateral as security for payment of the Secured Obligations.</w:t>
      </w:r>
    </w:p>
    <w:p>
      <w:pPr>
        <w:spacing w:after="0" w:line="184"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Letter of Credit</w:t>
      </w:r>
      <w:r>
        <w:rPr>
          <w:rFonts w:ascii="Arial" w:cs="Arial" w:eastAsia="Arial" w:hAnsi="Arial"/>
          <w:sz w:val="18"/>
          <w:szCs w:val="18"/>
          <w:color w:val="auto"/>
        </w:rPr>
        <w:t>” means any letter of credit issued pursuant to this Agreement for the purpose of providing the primary payment mechanism in connection with the purchase of any materials, goods or services by the Borrower or any of its subsidiaries in the ordinary course of business of such Person.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Tort Claim</w:t>
      </w:r>
      <w:r>
        <w:rPr>
          <w:rFonts w:ascii="Arial" w:cs="Arial" w:eastAsia="Arial" w:hAnsi="Arial"/>
          <w:sz w:val="18"/>
          <w:szCs w:val="18"/>
          <w:color w:val="auto"/>
        </w:rPr>
        <w:t>” has the meaning set forth in Article 9 of the UCC.</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with respect to each Lender, such Lender’s Initial Term Loan Commitment, Initial Revolving Credit Commitment and any Additional Commitment, as applicable, in effect as of such time.</w:t>
      </w:r>
    </w:p>
    <w:p>
      <w:pPr>
        <w:spacing w:after="0" w:line="17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 Rate</w:t>
      </w:r>
      <w:r>
        <w:rPr>
          <w:rFonts w:ascii="Arial" w:cs="Arial" w:eastAsia="Arial" w:hAnsi="Arial"/>
          <w:sz w:val="18"/>
          <w:szCs w:val="18"/>
          <w:color w:val="auto"/>
        </w:rPr>
        <w:t xml:space="preserve">” means, on any date (a) with respect to the Initial Revolving Credit Commitments, the applicable rate per annum set forth below based upon the Total Net Leverage Ratio;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the first Adjustment Date following the completion of at least three full Fiscal Quarters after the Closing Date, “Commitment Fee Rate” shall be the applicable rate per annum set forth below in </w:t>
      </w:r>
      <w:r>
        <w:rPr>
          <w:rFonts w:ascii="Arial" w:cs="Arial" w:eastAsia="Arial" w:hAnsi="Arial"/>
          <w:sz w:val="18"/>
          <w:szCs w:val="18"/>
          <w:u w:val="single" w:color="auto"/>
          <w:color w:val="auto"/>
        </w:rPr>
        <w:t>Category 1</w:t>
      </w:r>
      <w:r>
        <w:rPr>
          <w:rFonts w:ascii="Arial" w:cs="Arial" w:eastAsia="Arial" w:hAnsi="Arial"/>
          <w:sz w:val="18"/>
          <w:szCs w:val="18"/>
          <w:color w:val="auto"/>
        </w:rPr>
        <w:t xml:space="preserve"> and (b) with respect to Additional Revolving Credit Commitments of any Class, the rate or rates per annum specified in the applicable Refinancing Amendment, Incremental Facility Amendment or Extension Amendment: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2" w:name="page23"/>
    <w:bookmarkEnd w:id="22"/>
    <w:tbl>
      <w:tblPr>
        <w:tblLayout w:type="fixed"/>
        <w:tblInd w:w="1764" w:type="dxa"/>
        <w:tblCellMar>
          <w:top w:w="0" w:type="dxa"/>
          <w:left w:w="0" w:type="dxa"/>
          <w:bottom w:w="0" w:type="dxa"/>
          <w:right w:w="0" w:type="dxa"/>
        </w:tblCellMar>
      </w:tblPr>
      <w:tr>
        <w:trPr>
          <w:trHeight w:val="187"/>
        </w:trPr>
        <w:tc>
          <w:tcPr>
            <w:tcW w:w="4860" w:type="dxa"/>
            <w:vAlign w:val="bottom"/>
            <w:gridSpan w:val="3"/>
          </w:tcPr>
          <w:p>
            <w:pPr>
              <w:spacing w:after="0"/>
              <w:rPr>
                <w:sz w:val="20"/>
                <w:szCs w:val="20"/>
                <w:color w:val="auto"/>
              </w:rPr>
            </w:pPr>
            <w:r>
              <w:rPr>
                <w:rFonts w:ascii="Arial" w:cs="Arial" w:eastAsia="Arial" w:hAnsi="Arial"/>
                <w:sz w:val="14"/>
                <w:szCs w:val="14"/>
                <w:color w:val="auto"/>
              </w:rPr>
              <w:t>Total Net Leverage Ratio</w:t>
            </w:r>
          </w:p>
        </w:tc>
        <w:tc>
          <w:tcPr>
            <w:tcW w:w="1120" w:type="dxa"/>
            <w:vAlign w:val="bottom"/>
          </w:tcPr>
          <w:p>
            <w:pPr>
              <w:spacing w:after="0"/>
              <w:rPr>
                <w:sz w:val="16"/>
                <w:szCs w:val="16"/>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w w:val="90"/>
              </w:rPr>
              <w:t>Commitment Fee Rate</w:t>
            </w:r>
          </w:p>
        </w:tc>
      </w:tr>
      <w:tr>
        <w:trPr>
          <w:trHeight w:val="149"/>
        </w:trPr>
        <w:tc>
          <w:tcPr>
            <w:tcW w:w="8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7"/>
                <w:szCs w:val="17"/>
                <w:color w:val="auto"/>
                <w:w w:val="93"/>
              </w:rPr>
              <w:t>Category 1</w:t>
            </w:r>
          </w:p>
        </w:tc>
        <w:tc>
          <w:tcPr>
            <w:tcW w:w="660" w:type="dxa"/>
            <w:vAlign w:val="bottom"/>
            <w:tcBorders>
              <w:top w:val="single" w:sz="8" w:color="auto"/>
              <w:bottom w:val="single" w:sz="8" w:color="CCEEFF"/>
            </w:tcBorders>
            <w:shd w:val="clear" w:color="auto" w:fill="CCEEFF"/>
          </w:tcPr>
          <w:p>
            <w:pPr>
              <w:spacing w:after="0"/>
              <w:rPr>
                <w:sz w:val="12"/>
                <w:szCs w:val="12"/>
                <w:color w:val="auto"/>
              </w:rPr>
            </w:pPr>
          </w:p>
        </w:tc>
        <w:tc>
          <w:tcPr>
            <w:tcW w:w="3400" w:type="dxa"/>
            <w:vAlign w:val="bottom"/>
            <w:tcBorders>
              <w:top w:val="single" w:sz="8" w:color="CCEEFF"/>
              <w:bottom w:val="single" w:sz="8" w:color="CCEEFF"/>
            </w:tcBorders>
            <w:shd w:val="clear" w:color="auto" w:fill="CCEEFF"/>
          </w:tcPr>
          <w:p>
            <w:pPr>
              <w:spacing w:after="0"/>
              <w:rPr>
                <w:sz w:val="12"/>
                <w:szCs w:val="12"/>
                <w:color w:val="auto"/>
              </w:rPr>
            </w:pPr>
          </w:p>
        </w:tc>
        <w:tc>
          <w:tcPr>
            <w:tcW w:w="1120" w:type="dxa"/>
            <w:vAlign w:val="bottom"/>
            <w:tcBorders>
              <w:top w:val="single" w:sz="8" w:color="CCEEFF"/>
              <w:bottom w:val="single" w:sz="8" w:color="CCEEFF"/>
            </w:tcBorders>
            <w:shd w:val="clear" w:color="auto" w:fill="CCEEFF"/>
          </w:tcPr>
          <w:p>
            <w:pPr>
              <w:spacing w:after="0"/>
              <w:rPr>
                <w:sz w:val="12"/>
                <w:szCs w:val="12"/>
                <w:color w:val="auto"/>
              </w:rPr>
            </w:pPr>
          </w:p>
        </w:tc>
        <w:tc>
          <w:tcPr>
            <w:tcW w:w="1300" w:type="dxa"/>
            <w:vAlign w:val="bottom"/>
            <w:tcBorders>
              <w:top w:val="single" w:sz="8" w:color="auto"/>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37"/>
        </w:trPr>
        <w:tc>
          <w:tcPr>
            <w:tcW w:w="48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Greater than 2.75 to 1.00</w:t>
            </w:r>
          </w:p>
        </w:tc>
        <w:tc>
          <w:tcPr>
            <w:tcW w:w="2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r>
      <w:tr>
        <w:trPr>
          <w:trHeight w:val="175"/>
        </w:trPr>
        <w:tc>
          <w:tcPr>
            <w:tcW w:w="80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8"/>
              </w:rPr>
              <w:t>Category 2</w:t>
            </w:r>
          </w:p>
        </w:tc>
        <w:tc>
          <w:tcPr>
            <w:tcW w:w="406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37"/>
        </w:trPr>
        <w:tc>
          <w:tcPr>
            <w:tcW w:w="4860" w:type="dxa"/>
            <w:vAlign w:val="bottom"/>
            <w:gridSpan w:val="3"/>
          </w:tcPr>
          <w:p>
            <w:pPr>
              <w:ind w:left="360"/>
              <w:spacing w:after="0"/>
              <w:rPr>
                <w:sz w:val="20"/>
                <w:szCs w:val="20"/>
                <w:color w:val="auto"/>
              </w:rPr>
            </w:pPr>
            <w:r>
              <w:rPr>
                <w:rFonts w:ascii="Arial" w:cs="Arial" w:eastAsia="Arial" w:hAnsi="Arial"/>
                <w:sz w:val="18"/>
                <w:szCs w:val="18"/>
                <w:color w:val="auto"/>
              </w:rPr>
              <w:t>Equal to or less than 2.75 to 1.00</w:t>
            </w:r>
          </w:p>
        </w:tc>
        <w:tc>
          <w:tcPr>
            <w:tcW w:w="2620" w:type="dxa"/>
            <w:vAlign w:val="bottom"/>
            <w:gridSpan w:val="3"/>
          </w:tcPr>
          <w:p>
            <w:pPr>
              <w:jc w:val="right"/>
              <w:ind w:right="40"/>
              <w:spacing w:after="0"/>
              <w:rPr>
                <w:sz w:val="20"/>
                <w:szCs w:val="20"/>
                <w:color w:val="auto"/>
              </w:rPr>
            </w:pPr>
            <w:r>
              <w:rPr>
                <w:rFonts w:ascii="Arial" w:cs="Arial" w:eastAsia="Arial" w:hAnsi="Arial"/>
                <w:sz w:val="18"/>
                <w:szCs w:val="18"/>
                <w:color w:val="auto"/>
              </w:rPr>
              <w:t>0.25%</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right="100" w:firstLine="440"/>
        <w:spacing w:after="0" w:line="257" w:lineRule="auto"/>
        <w:rPr>
          <w:sz w:val="20"/>
          <w:szCs w:val="20"/>
          <w:color w:val="auto"/>
        </w:rPr>
      </w:pPr>
      <w:r>
        <w:rPr>
          <w:rFonts w:ascii="Arial" w:cs="Arial" w:eastAsia="Arial" w:hAnsi="Arial"/>
          <w:sz w:val="18"/>
          <w:szCs w:val="18"/>
          <w:color w:val="auto"/>
        </w:rPr>
        <w:t xml:space="preserve">The Commitment Fee Rate with respect to the Initial Revolving Credit Commitment shall be adjusted quarterly on a prospective basis on each Adjustment Date based upon the Total Net Leverage Ratio in accordance with the table set forth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financial statements are not delivered when required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at the election of the Required Revolving Lenders, the Commitment Fee Rate shall be the rate per annum set forth above in Category 1 until such financial statements are delivered in compliance with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applicable.</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Schedule</w:t>
      </w:r>
      <w:r>
        <w:rPr>
          <w:rFonts w:ascii="Arial" w:cs="Arial" w:eastAsia="Arial" w:hAnsi="Arial"/>
          <w:sz w:val="18"/>
          <w:szCs w:val="18"/>
          <w:color w:val="auto"/>
        </w:rPr>
        <w:t xml:space="preserve">” means the Schedule attached hereto as </w:t>
      </w:r>
      <w:r>
        <w:rPr>
          <w:rFonts w:ascii="Arial" w:cs="Arial" w:eastAsia="Arial" w:hAnsi="Arial"/>
          <w:sz w:val="18"/>
          <w:szCs w:val="18"/>
          <w:u w:val="single" w:color="auto"/>
          <w:color w:val="auto"/>
        </w:rPr>
        <w:t>Schedule 1.01(a)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xml:space="preserve">” means the Commodity Exchange Act (7 USC. § 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Competitor</w:t>
      </w:r>
      <w:r>
        <w:rPr>
          <w:rFonts w:ascii="Arial" w:cs="Arial" w:eastAsia="Arial" w:hAnsi="Arial"/>
          <w:sz w:val="18"/>
          <w:szCs w:val="18"/>
          <w:color w:val="auto"/>
        </w:rPr>
        <w:t>” means any competitor of the Borrower and/or any of its subsidiaries.</w:t>
      </w:r>
    </w:p>
    <w:p>
      <w:pPr>
        <w:spacing w:after="0" w:line="225" w:lineRule="exact"/>
        <w:rPr>
          <w:sz w:val="20"/>
          <w:szCs w:val="20"/>
          <w:color w:val="auto"/>
        </w:rPr>
      </w:pPr>
    </w:p>
    <w:p>
      <w:pPr>
        <w:ind w:left="4" w:right="2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Competitor Debt Fund Affiliate</w:t>
      </w:r>
      <w:r>
        <w:rPr>
          <w:rFonts w:ascii="Arial" w:cs="Arial" w:eastAsia="Arial" w:hAnsi="Arial"/>
          <w:sz w:val="16"/>
          <w:szCs w:val="16"/>
          <w:color w:val="auto"/>
        </w:rPr>
        <w:t>” means, with respect to any Company Competitor or any Affiliate thereof, any debt fund, investment vehicle, regulated bank entity or unregulated lending entity (in each case, other than any Disqualified Lending Institution or any Excluded Party) that is</w:t>
      </w:r>
    </w:p>
    <w:p>
      <w:pPr>
        <w:ind w:left="4" w:right="40" w:hanging="4"/>
        <w:spacing w:after="0" w:line="268" w:lineRule="auto"/>
        <w:tabs>
          <w:tab w:leader="none" w:pos="249"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primarily engaged in making, purchasing, holding or otherwise investing in commercial loans and similar extensions of credit in the ordinary course of business for financial investment purposes (but not with a view towards (i) owning the borrower or issuer of any such loan or similar extension of credit or (ii) investing in special or opportunistic situations) and (b) managed, sponsored or advised by any person that is controlling, controlled by or under common control with the relevant Company Competitor or Affiliate thereof, but only to the extent that no personnel involved with the investment in the relevant Company Competitor or its Affiliates, or the management, control or operation thereof, (i) makes (or has the right to make or participate with others in making) investment decisions on behalf of, or otherwise cause the direction of the investment policies of, such debt fund, investment vehicle, regulated bank entity or unregulated entity or (ii) has access to any information (other than information that is publicly available) relating to the Borrower and/or any entity that forms part of its business (including any of its subsidiaries).</w:t>
      </w:r>
    </w:p>
    <w:p>
      <w:pPr>
        <w:spacing w:after="0" w:line="183"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Compliance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or such other form to which the Borrower and the Administrative Agent may reasonably agree.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9.13</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Adjusted EBITDA</w:t>
      </w:r>
      <w:r>
        <w:rPr>
          <w:rFonts w:ascii="Arial" w:cs="Arial" w:eastAsia="Arial" w:hAnsi="Arial"/>
          <w:sz w:val="18"/>
          <w:szCs w:val="18"/>
          <w:color w:val="auto"/>
        </w:rPr>
        <w:t>” means, with respect to any Person on a consolidated basis for any period, the sum of:</w:t>
      </w:r>
    </w:p>
    <w:p>
      <w:pPr>
        <w:spacing w:after="0" w:line="117" w:lineRule="exact"/>
        <w:rPr>
          <w:sz w:val="20"/>
          <w:szCs w:val="20"/>
          <w:color w:val="auto"/>
        </w:rPr>
      </w:pPr>
    </w:p>
    <w:p>
      <w:pPr>
        <w:ind w:left="1104" w:hanging="241"/>
        <w:spacing w:after="0"/>
        <w:tabs>
          <w:tab w:leader="none" w:pos="1104" w:val="left"/>
        </w:tabs>
        <w:numPr>
          <w:ilvl w:val="0"/>
          <w:numId w:val="14"/>
        </w:numPr>
        <w:rPr>
          <w:rFonts w:ascii="Arial" w:cs="Arial" w:eastAsia="Arial" w:hAnsi="Arial"/>
          <w:sz w:val="18"/>
          <w:szCs w:val="18"/>
          <w:u w:val="single" w:color="auto"/>
          <w:color w:val="auto"/>
        </w:rPr>
      </w:pPr>
      <w:r>
        <w:rPr>
          <w:rFonts w:ascii="Arial" w:cs="Arial" w:eastAsia="Arial" w:hAnsi="Arial"/>
          <w:sz w:val="18"/>
          <w:szCs w:val="18"/>
          <w:color w:val="auto"/>
        </w:rPr>
        <w:t xml:space="preserve">Consolidated Net Income for such period;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u w:val="single" w:color="auto"/>
          <w:color w:val="auto"/>
        </w:rPr>
      </w:pPr>
    </w:p>
    <w:p>
      <w:pPr>
        <w:ind w:left="444" w:firstLine="419"/>
        <w:spacing w:after="0" w:line="342" w:lineRule="auto"/>
        <w:tabs>
          <w:tab w:leader="none" w:pos="1122"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to the extent not otherwise included in the determination of Consolidated Net Income for such period, the amount of any proceeds of any business interruption insurance policy (whether or not then received so long as such Person in good faith expects to receive such proceeds); </w:t>
      </w:r>
      <w:r>
        <w:rPr>
          <w:rFonts w:ascii="Arial" w:cs="Arial" w:eastAsia="Arial" w:hAnsi="Arial"/>
          <w:sz w:val="16"/>
          <w:szCs w:val="16"/>
          <w:u w:val="single" w:color="auto"/>
          <w:color w:val="auto"/>
        </w:rPr>
        <w:t>plus</w:t>
      </w:r>
    </w:p>
    <w:p>
      <w:pPr>
        <w:spacing w:after="0" w:line="15" w:lineRule="exact"/>
        <w:rPr>
          <w:rFonts w:ascii="Arial" w:cs="Arial" w:eastAsia="Arial" w:hAnsi="Arial"/>
          <w:sz w:val="16"/>
          <w:szCs w:val="16"/>
          <w:color w:val="auto"/>
        </w:rPr>
      </w:pPr>
    </w:p>
    <w:p>
      <w:pPr>
        <w:ind w:left="1104" w:hanging="241"/>
        <w:spacing w:after="0"/>
        <w:tabs>
          <w:tab w:leader="none" w:pos="1104" w:val="left"/>
        </w:tabs>
        <w:numPr>
          <w:ilvl w:val="0"/>
          <w:numId w:val="14"/>
        </w:numPr>
        <w:rPr>
          <w:rFonts w:ascii="Arial" w:cs="Arial" w:eastAsia="Arial" w:hAnsi="Arial"/>
          <w:sz w:val="16"/>
          <w:szCs w:val="16"/>
          <w:color w:val="auto"/>
        </w:rPr>
      </w:pPr>
      <w:r>
        <w:rPr>
          <w:rFonts w:ascii="Arial" w:cs="Arial" w:eastAsia="Arial" w:hAnsi="Arial"/>
          <w:sz w:val="16"/>
          <w:szCs w:val="16"/>
          <w:color w:val="auto"/>
        </w:rPr>
        <w:t>without duplication, those amounts which, in the determination of Consolidated Net Income for such period, have been deducted for:</w:t>
      </w:r>
    </w:p>
    <w:p>
      <w:pPr>
        <w:spacing w:after="0" w:line="140" w:lineRule="exact"/>
        <w:rPr>
          <w:rFonts w:ascii="Arial" w:cs="Arial" w:eastAsia="Arial" w:hAnsi="Arial"/>
          <w:sz w:val="16"/>
          <w:szCs w:val="16"/>
          <w:color w:val="auto"/>
        </w:rPr>
      </w:pPr>
    </w:p>
    <w:p>
      <w:pPr>
        <w:ind w:left="1604" w:hanging="212"/>
        <w:spacing w:after="0"/>
        <w:tabs>
          <w:tab w:leader="none" w:pos="16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Consolidated Interest Expense; </w:t>
      </w:r>
      <w:r>
        <w:rPr>
          <w:rFonts w:ascii="Arial" w:cs="Arial" w:eastAsia="Arial" w:hAnsi="Arial"/>
          <w:sz w:val="18"/>
          <w:szCs w:val="18"/>
          <w:u w:val="single" w:color="auto"/>
          <w:color w:val="auto"/>
        </w:rPr>
        <w:t>plus</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69" w:right="479" w:bottom="1440" w:gutter="0" w:footer="0" w:header="0"/>
        </w:sectPr>
      </w:pPr>
    </w:p>
    <w:bookmarkStart w:id="23" w:name="page24"/>
    <w:bookmarkEnd w:id="23"/>
    <w:p>
      <w:pPr>
        <w:ind w:left="-7" w:right="420" w:firstLine="408"/>
        <w:spacing w:after="0" w:line="277" w:lineRule="auto"/>
        <w:tabs>
          <w:tab w:leader="none" w:pos="658" w:val="left"/>
        </w:tabs>
        <w:numPr>
          <w:ilvl w:val="1"/>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losses or discounts on sales or other payments of Receivables Facility Assets in connection with any Receivables Facility or similar arrangement; </w:t>
      </w:r>
      <w:r>
        <w:rPr>
          <w:rFonts w:ascii="Arial" w:cs="Arial" w:eastAsia="Arial" w:hAnsi="Arial"/>
          <w:sz w:val="18"/>
          <w:szCs w:val="18"/>
          <w:u w:val="single" w:color="auto"/>
          <w:color w:val="auto"/>
        </w:rPr>
        <w:t>plus</w:t>
      </w:r>
    </w:p>
    <w:p>
      <w:pPr>
        <w:spacing w:after="0" w:line="62" w:lineRule="exact"/>
        <w:rPr>
          <w:rFonts w:ascii="Arial" w:cs="Arial" w:eastAsia="Arial" w:hAnsi="Arial"/>
          <w:sz w:val="18"/>
          <w:szCs w:val="18"/>
          <w:color w:val="auto"/>
        </w:rPr>
      </w:pPr>
    </w:p>
    <w:p>
      <w:pPr>
        <w:ind w:left="-7" w:right="140" w:firstLine="408"/>
        <w:spacing w:after="0" w:line="279" w:lineRule="auto"/>
        <w:tabs>
          <w:tab w:leader="none" w:pos="708"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Taxes paid and any provision for Taxes, including income, capital, federal, provincial, state, franchise, excise, value added and similar Taxes, property Taxes, foreign withholding Taxes and foreign unreimbursed value added Taxes (including penalties and interest related to any such Tax or arising from any Tax examination, and including pursuant to any Tax sharing arrangement or as a result of any intercompany distribution) of such Person paid or accrued during such period; </w:t>
      </w:r>
      <w:r>
        <w:rPr>
          <w:rFonts w:ascii="Arial" w:cs="Arial" w:eastAsia="Arial" w:hAnsi="Arial"/>
          <w:sz w:val="17"/>
          <w:szCs w:val="17"/>
          <w:u w:val="single" w:color="auto"/>
          <w:color w:val="auto"/>
        </w:rPr>
        <w:t>plus</w:t>
      </w:r>
    </w:p>
    <w:p>
      <w:pPr>
        <w:spacing w:after="0" w:line="63" w:lineRule="exact"/>
        <w:rPr>
          <w:rFonts w:ascii="Arial" w:cs="Arial" w:eastAsia="Arial" w:hAnsi="Arial"/>
          <w:sz w:val="17"/>
          <w:szCs w:val="17"/>
          <w:color w:val="auto"/>
        </w:rPr>
      </w:pPr>
    </w:p>
    <w:p>
      <w:pPr>
        <w:ind w:left="-7" w:right="120" w:firstLine="408"/>
        <w:spacing w:after="0" w:line="286" w:lineRule="auto"/>
        <w:tabs>
          <w:tab w:leader="none" w:pos="698" w:val="left"/>
        </w:tabs>
        <w:numPr>
          <w:ilvl w:val="1"/>
          <w:numId w:val="15"/>
        </w:numPr>
        <w:rPr>
          <w:rFonts w:ascii="Arial" w:cs="Arial" w:eastAsia="Arial" w:hAnsi="Arial"/>
          <w:sz w:val="16"/>
          <w:szCs w:val="16"/>
          <w:color w:val="auto"/>
        </w:rPr>
      </w:pPr>
      <w:r>
        <w:rPr>
          <w:rFonts w:ascii="Arial" w:cs="Arial" w:eastAsia="Arial" w:hAnsi="Arial"/>
          <w:sz w:val="16"/>
          <w:szCs w:val="16"/>
          <w:color w:val="auto"/>
        </w:rPr>
        <w:t>(A) all depreciation and amortization (including, without limitation, amortization of goodwill, software and other intangible assets), (B) all impairment Charges, including any bad debt expense, and (C) all asset write-offs and/or write-downs, including any amortization or write-off of (1) intangible assets and non-cash organization costs, (2) deferred financing and debt issuance fees, costs and expenses, (3) capitalized expenditures (including capitalized software expenditures), customer acquisition costs and incentive payments,</w:t>
      </w:r>
    </w:p>
    <w:p>
      <w:pPr>
        <w:spacing w:after="0" w:line="1" w:lineRule="exact"/>
        <w:rPr>
          <w:rFonts w:ascii="Arial" w:cs="Arial" w:eastAsia="Arial" w:hAnsi="Arial"/>
          <w:sz w:val="16"/>
          <w:szCs w:val="16"/>
          <w:color w:val="auto"/>
        </w:rPr>
      </w:pPr>
    </w:p>
    <w:p>
      <w:pPr>
        <w:jc w:val="both"/>
        <w:ind w:left="-7" w:firstLine="7"/>
        <w:spacing w:after="0" w:line="281" w:lineRule="auto"/>
        <w:tabs>
          <w:tab w:leader="none" w:pos="247" w:val="left"/>
        </w:tabs>
        <w:numPr>
          <w:ilvl w:val="0"/>
          <w:numId w:val="16"/>
        </w:numPr>
        <w:rPr>
          <w:rFonts w:ascii="Arial" w:cs="Arial" w:eastAsia="Arial" w:hAnsi="Arial"/>
          <w:sz w:val="16"/>
          <w:szCs w:val="16"/>
          <w:color w:val="auto"/>
        </w:rPr>
      </w:pPr>
      <w:r>
        <w:rPr>
          <w:rFonts w:ascii="Arial" w:cs="Arial" w:eastAsia="Arial" w:hAnsi="Arial"/>
          <w:sz w:val="16"/>
          <w:szCs w:val="16"/>
          <w:color w:val="auto"/>
        </w:rPr>
        <w:t>media development costs, conversion costs and contract acquisition costs, (5) the amortization of original issue discount resulting from the issuance or incurrence of Indebtedness at less than par, (6) the amortization of favorable or unfavorable lease assets or liabilities and/or</w:t>
      </w:r>
    </w:p>
    <w:p>
      <w:pPr>
        <w:spacing w:after="0" w:line="1" w:lineRule="exact"/>
        <w:rPr>
          <w:rFonts w:ascii="Arial" w:cs="Arial" w:eastAsia="Arial" w:hAnsi="Arial"/>
          <w:sz w:val="16"/>
          <w:szCs w:val="16"/>
          <w:color w:val="auto"/>
        </w:rPr>
      </w:pPr>
    </w:p>
    <w:p>
      <w:pPr>
        <w:ind w:left="253" w:hanging="253"/>
        <w:spacing w:after="0"/>
        <w:tabs>
          <w:tab w:leader="none" w:pos="2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capitalized fees relating to any Receivables Facility; </w:t>
      </w:r>
      <w:r>
        <w:rPr>
          <w:rFonts w:ascii="Arial" w:cs="Arial" w:eastAsia="Arial" w:hAnsi="Arial"/>
          <w:sz w:val="18"/>
          <w:szCs w:val="18"/>
          <w:u w:val="single" w:color="auto"/>
          <w:color w:val="auto"/>
        </w:rPr>
        <w:t>plus</w:t>
      </w:r>
    </w:p>
    <w:p>
      <w:pPr>
        <w:spacing w:after="0" w:line="102" w:lineRule="exact"/>
        <w:rPr>
          <w:rFonts w:ascii="Arial" w:cs="Arial" w:eastAsia="Arial" w:hAnsi="Arial"/>
          <w:sz w:val="18"/>
          <w:szCs w:val="18"/>
          <w:color w:val="auto"/>
        </w:rPr>
      </w:pPr>
    </w:p>
    <w:p>
      <w:pPr>
        <w:jc w:val="both"/>
        <w:ind w:left="-7" w:right="180" w:firstLine="408"/>
        <w:spacing w:after="0" w:line="286" w:lineRule="auto"/>
        <w:tabs>
          <w:tab w:leader="none" w:pos="648" w:val="left"/>
        </w:tabs>
        <w:numPr>
          <w:ilvl w:val="1"/>
          <w:numId w:val="17"/>
        </w:numPr>
        <w:rPr>
          <w:rFonts w:ascii="Arial" w:cs="Arial" w:eastAsia="Arial" w:hAnsi="Arial"/>
          <w:sz w:val="17"/>
          <w:szCs w:val="17"/>
          <w:color w:val="auto"/>
        </w:rPr>
      </w:pPr>
      <w:r>
        <w:rPr>
          <w:rFonts w:ascii="Arial" w:cs="Arial" w:eastAsia="Arial" w:hAnsi="Arial"/>
          <w:sz w:val="17"/>
          <w:szCs w:val="17"/>
          <w:color w:val="auto"/>
        </w:rPr>
        <w:t xml:space="preserve">any earn-out and/or contingent consideration obligation (including those accounted for as bonuses, compensation or otherwise) and any adjustment thereof incurred in connection with the Transactions and/or any acquisition and/or other Investment (whether or not consummated) which is paid or accrued during such period and, in each case, adjustments thereof; </w:t>
      </w:r>
      <w:r>
        <w:rPr>
          <w:rFonts w:ascii="Arial" w:cs="Arial" w:eastAsia="Arial" w:hAnsi="Arial"/>
          <w:sz w:val="17"/>
          <w:szCs w:val="17"/>
          <w:u w:val="single" w:color="auto"/>
          <w:color w:val="auto"/>
        </w:rPr>
        <w:t>plus</w:t>
      </w:r>
    </w:p>
    <w:p>
      <w:pPr>
        <w:spacing w:after="0" w:line="57" w:lineRule="exact"/>
        <w:rPr>
          <w:rFonts w:ascii="Arial" w:cs="Arial" w:eastAsia="Arial" w:hAnsi="Arial"/>
          <w:sz w:val="17"/>
          <w:szCs w:val="17"/>
          <w:color w:val="auto"/>
        </w:rPr>
      </w:pPr>
    </w:p>
    <w:p>
      <w:pPr>
        <w:ind w:left="-7" w:right="40" w:firstLine="408"/>
        <w:spacing w:after="0" w:line="275" w:lineRule="auto"/>
        <w:tabs>
          <w:tab w:leader="none" w:pos="698"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non-cash Charge, including the excess of GAAP rent expense over actual cash rent paid during such period due to the use of straight line rent for GAAP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such non-cash Charge represents an accrual or reserve for any potential cash item in any future period, (A) such Person may elect not to add back such non-cash Charge in the current period and (B) to the extent such Person elects to add back such non-cash Charge in the current period, the cash payment in respect thereof in such future period shall not be added back to Consolidated Adjusted EBITDA to such extent); </w:t>
      </w:r>
      <w:r>
        <w:rPr>
          <w:rFonts w:ascii="Arial" w:cs="Arial" w:eastAsia="Arial" w:hAnsi="Arial"/>
          <w:sz w:val="17"/>
          <w:szCs w:val="17"/>
          <w:u w:val="single" w:color="auto"/>
          <w:color w:val="auto"/>
        </w:rPr>
        <w:t>plus</w:t>
      </w:r>
    </w:p>
    <w:p>
      <w:pPr>
        <w:spacing w:after="0" w:line="68" w:lineRule="exact"/>
        <w:rPr>
          <w:rFonts w:ascii="Arial" w:cs="Arial" w:eastAsia="Arial" w:hAnsi="Arial"/>
          <w:sz w:val="17"/>
          <w:szCs w:val="17"/>
          <w:color w:val="auto"/>
        </w:rPr>
      </w:pPr>
    </w:p>
    <w:p>
      <w:pPr>
        <w:ind w:left="-7" w:right="180" w:firstLine="408"/>
        <w:spacing w:after="0" w:line="259" w:lineRule="auto"/>
        <w:tabs>
          <w:tab w:leader="none" w:pos="7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any non-cash compensation Charge and/or any other non-cash Charge arising from the granting of any stock option or similar arrangement (including any profits interest), the granting of any stock appreciation right and/or similar arrangement (including any repricing, amendment, modification, substitution or change of any such stock option, stock appreciation right, profits interest or similar arrangement); </w:t>
      </w:r>
      <w:r>
        <w:rPr>
          <w:rFonts w:ascii="Arial" w:cs="Arial" w:eastAsia="Arial" w:hAnsi="Arial"/>
          <w:sz w:val="18"/>
          <w:szCs w:val="18"/>
          <w:u w:val="single" w:color="auto"/>
          <w:color w:val="auto"/>
        </w:rPr>
        <w:t>plus</w:t>
      </w:r>
    </w:p>
    <w:p>
      <w:pPr>
        <w:spacing w:after="0" w:line="78" w:lineRule="exact"/>
        <w:rPr>
          <w:rFonts w:ascii="Arial" w:cs="Arial" w:eastAsia="Arial" w:hAnsi="Arial"/>
          <w:sz w:val="18"/>
          <w:szCs w:val="18"/>
          <w:color w:val="auto"/>
        </w:rPr>
      </w:pPr>
    </w:p>
    <w:p>
      <w:pPr>
        <w:ind w:left="-7" w:right="80" w:firstLine="408"/>
        <w:spacing w:after="0" w:line="270" w:lineRule="auto"/>
        <w:tabs>
          <w:tab w:leader="none" w:pos="798" w:val="left"/>
        </w:tabs>
        <w:numPr>
          <w:ilvl w:val="1"/>
          <w:numId w:val="17"/>
        </w:numPr>
        <w:rPr>
          <w:rFonts w:ascii="Arial" w:cs="Arial" w:eastAsia="Arial" w:hAnsi="Arial"/>
          <w:sz w:val="17"/>
          <w:szCs w:val="17"/>
          <w:color w:val="auto"/>
        </w:rPr>
      </w:pPr>
      <w:r>
        <w:rPr>
          <w:rFonts w:ascii="Arial" w:cs="Arial" w:eastAsia="Arial" w:hAnsi="Arial"/>
          <w:sz w:val="17"/>
          <w:szCs w:val="17"/>
          <w:color w:val="auto"/>
        </w:rPr>
        <w:t>(A) Transaction Costs, (B) any Charge incurred in connection with any transaction (in each case, whether or not consummated and whether or not permitted under this Agreement), including (1) any issuance and/or incurrence of Indebtedness (including any Charge that would constitute a Public Company Cost), any Receivables Facility (including commissions, discounts, yield, interest expense and similar fees and charges relating thereto) and/or any issuance and/or offering of Capital Stock (including, in each case, by any Parent Company), any acquisition or other Investment, any Disposition, any recapitalization, any merger, consolidation or amalgamation, any option buyout or any repayment, redemption, refinancing, amendment or modification of Indebtedness (including any amortization or write-off of debt issuance or deferred financing costs, premiums and prepayment penalties) or any similar transaction, (2) in connection with the IPO, including any Charge that would constitute a Public Company Cost and/or (3) equipment leases and/or equipment financings, (C) the</w:t>
      </w:r>
    </w:p>
    <w:p>
      <w:pPr>
        <w:spacing w:after="0" w:line="113" w:lineRule="exact"/>
        <w:rPr>
          <w:sz w:val="20"/>
          <w:szCs w:val="20"/>
          <w:color w:val="auto"/>
        </w:rPr>
      </w:pPr>
    </w:p>
    <w:p>
      <w:pPr>
        <w:ind w:left="443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993"/>
          </w:cols>
          <w:pgMar w:left="1427" w:top="274" w:right="479" w:bottom="1440" w:gutter="0" w:footer="0" w:header="0"/>
        </w:sectPr>
      </w:pPr>
    </w:p>
    <w:bookmarkStart w:id="24" w:name="page25"/>
    <w:bookmarkEnd w:id="2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amount of any Charge that is actually reimbursed or reimbursable by any third party pursuant to any indemnification or reimbursement provision or similar agreement (including any purchase price adjustment) or insurance;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respect of any Charge that is added back in reliance on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the relevant Person in good faith expects to receive reimbursement for such Charge and/or (D) Public Company Costs; </w:t>
      </w:r>
      <w:r>
        <w:rPr>
          <w:rFonts w:ascii="Arial" w:cs="Arial" w:eastAsia="Arial" w:hAnsi="Arial"/>
          <w:sz w:val="18"/>
          <w:szCs w:val="18"/>
          <w:u w:val="single" w:color="auto"/>
          <w:color w:val="auto"/>
        </w:rPr>
        <w:t>plus</w:t>
      </w:r>
    </w:p>
    <w:p>
      <w:pPr>
        <w:spacing w:after="0" w:line="79" w:lineRule="exact"/>
        <w:rPr>
          <w:sz w:val="20"/>
          <w:szCs w:val="20"/>
          <w:color w:val="auto"/>
        </w:rPr>
      </w:pPr>
    </w:p>
    <w:p>
      <w:pPr>
        <w:ind w:right="120" w:firstLine="408"/>
        <w:spacing w:after="0" w:line="277" w:lineRule="auto"/>
        <w:tabs>
          <w:tab w:leader="none" w:pos="7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any Charge or deduction that is associated with any Restricted Subsidiary and attributable to any non-controlling interest and/or minority interest of any third party; </w:t>
      </w:r>
      <w:r>
        <w:rPr>
          <w:rFonts w:ascii="Arial" w:cs="Arial" w:eastAsia="Arial" w:hAnsi="Arial"/>
          <w:sz w:val="18"/>
          <w:szCs w:val="18"/>
          <w:u w:val="single" w:color="auto"/>
          <w:color w:val="auto"/>
        </w:rPr>
        <w:t>plus</w:t>
      </w:r>
    </w:p>
    <w:p>
      <w:pPr>
        <w:spacing w:after="0" w:line="62" w:lineRule="exact"/>
        <w:rPr>
          <w:rFonts w:ascii="Arial" w:cs="Arial" w:eastAsia="Arial" w:hAnsi="Arial"/>
          <w:sz w:val="18"/>
          <w:szCs w:val="18"/>
          <w:color w:val="auto"/>
        </w:rPr>
      </w:pPr>
    </w:p>
    <w:p>
      <w:pPr>
        <w:ind w:right="40" w:firstLine="408"/>
        <w:spacing w:after="0" w:line="253" w:lineRule="auto"/>
        <w:tabs>
          <w:tab w:leader="none" w:pos="6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without duplication of any amount referred to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the amount of (A) any Charge to the extent that a corresponding amount is received in cash by such Person from a Person other than such Person or any Restricted Subsidiary of such Person under any agreement providing for reimbursement of such Charge or (B) any Charge with respect to any liability or casualty event, business interruption or any product recall, (i) so long as such Person has submitted in good faith, and reasonably expects to receive payment in connection with, a claim for reimbursement of such amounts under its relevant insurance policy or (ii) without duplication of any amount included in a prior period under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above, to the extent such Charge is covered by insurance proceeds received in cash during such period (it being understood that if the amount received in cash under any such agreement in any period exceeds the amount of any Charge paid during such period such excess amounts received may be carried forward and applied against any Charge in any future period); </w:t>
      </w:r>
      <w:r>
        <w:rPr>
          <w:rFonts w:ascii="Arial" w:cs="Arial" w:eastAsia="Arial" w:hAnsi="Arial"/>
          <w:sz w:val="18"/>
          <w:szCs w:val="18"/>
          <w:u w:val="single" w:color="auto"/>
          <w:color w:val="auto"/>
        </w:rPr>
        <w:t>plus</w:t>
      </w:r>
    </w:p>
    <w:p>
      <w:pPr>
        <w:spacing w:after="0" w:line="88" w:lineRule="exact"/>
        <w:rPr>
          <w:rFonts w:ascii="Arial" w:cs="Arial" w:eastAsia="Arial" w:hAnsi="Arial"/>
          <w:sz w:val="18"/>
          <w:szCs w:val="18"/>
          <w:color w:val="auto"/>
        </w:rPr>
      </w:pPr>
    </w:p>
    <w:p>
      <w:pPr>
        <w:ind w:right="60" w:firstLine="408"/>
        <w:spacing w:after="0" w:line="270" w:lineRule="auto"/>
        <w:tabs>
          <w:tab w:leader="none" w:pos="706"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(A) the amount of management, monitoring, consulting, transaction and advisory fees and related indemnities and/or expenses (including reimbursements) pursuant to any sponsor management agreement (including prior to the Closing Date) and any payment made to any Investor (and/or its Affiliates or management companies) for any financial advisory, financing, underwriting or placement services or in respect of other investment banking activities and/or payments to outside directors of the Borrower, Holdings or any other Parent Company actually paid by or on behalf of, or accrued by, such Person or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such payment is permitted under this Agreement and (B) to the extent the relevant payment is permitted hereunder, the amount of any payment to any holder of any option in respect of the Capital Stock of the Borrower, Holdings and/or any other Parent Company in lieu of a Restricted Payment, which payment is made to compensate such optionholder as if it was an equity holder at the time of the relevant Restricted Payment; </w:t>
      </w:r>
      <w:r>
        <w:rPr>
          <w:rFonts w:ascii="Arial" w:cs="Arial" w:eastAsia="Arial" w:hAnsi="Arial"/>
          <w:sz w:val="17"/>
          <w:szCs w:val="17"/>
          <w:u w:val="single" w:color="auto"/>
          <w:color w:val="auto"/>
        </w:rPr>
        <w:t>plus</w:t>
      </w:r>
    </w:p>
    <w:p>
      <w:pPr>
        <w:spacing w:after="0" w:line="72" w:lineRule="exact"/>
        <w:rPr>
          <w:rFonts w:ascii="Arial" w:cs="Arial" w:eastAsia="Arial" w:hAnsi="Arial"/>
          <w:sz w:val="17"/>
          <w:szCs w:val="17"/>
          <w:color w:val="auto"/>
        </w:rPr>
      </w:pPr>
    </w:p>
    <w:p>
      <w:pPr>
        <w:ind w:right="40" w:firstLine="408"/>
        <w:spacing w:after="0" w:line="287" w:lineRule="auto"/>
        <w:tabs>
          <w:tab w:leader="none" w:pos="756"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any Charge attributable to the undertaking and/or implementation of new initiatives, business optimization activities, cost savings initiatives, cost rationalization programs, operating improvements and/or expense reductions and/or synergies and/or similar initiatives and/or programs (including, in connection with any integration, operational improvement, restructuring or transition, any reconstruction, decommissioning, recommissioning or reconfiguration of fixed assets for alternative uses), any inventory optimization program and/or any curtailment, any business optimization Charge, any Charge relating to the destruction of equipment, any restructuring Charge and/or integration Charge (including any Charge relating to any tax restructuring), any Charge relating to the closure or consolidation of any facility (including but not limited to rent termination costs, moving costs and legal costs), any severance Charge, any Charge relating to any non-ordinary course retention or completion bonus, any Charge associated with any modification to any pension and post-retirement employee benefit plan, any Charge in connection with unused warehouse space, any non-software Charge relating to a new contract, any non-software consulting Charge, any Charge in connection with any exit from, wind down or termination of any line of business and/or any Charge related to any customer dispute, in each case, other than any such Charge incurred in the ordinary course of business of the Borrower and its Restricted Subsidiaries (as determined by the Borrower in good faith); </w:t>
      </w:r>
      <w:r>
        <w:rPr>
          <w:rFonts w:ascii="Arial" w:cs="Arial" w:eastAsia="Arial" w:hAnsi="Arial"/>
          <w:sz w:val="16"/>
          <w:szCs w:val="16"/>
          <w:u w:val="single" w:color="auto"/>
          <w:color w:val="auto"/>
        </w:rPr>
        <w:t>plus</w:t>
      </w:r>
    </w:p>
    <w:p>
      <w:pPr>
        <w:spacing w:after="0" w:line="10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020"/>
          </w:cols>
          <w:pgMar w:left="1420" w:top="274" w:right="459" w:bottom="1440" w:gutter="0" w:footer="0" w:header="0"/>
        </w:sectPr>
      </w:pPr>
    </w:p>
    <w:bookmarkStart w:id="25" w:name="page26"/>
    <w:bookmarkEnd w:id="25"/>
    <w:p>
      <w:pPr>
        <w:ind w:left="544" w:firstLine="408"/>
        <w:spacing w:after="0" w:line="257" w:lineRule="auto"/>
        <w:tabs>
          <w:tab w:leader="none" w:pos="1349" w:val="left"/>
        </w:tabs>
        <w:numPr>
          <w:ilvl w:val="2"/>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Charge incurred or accrued in connection with any single or one-time event, including in connection with (A) any acquisition or similar Investment consummated after the Closing Date, (B) the closing, consolidation, opening or reconfiguration of any facility during such period, (C) any restructuring Charge, (D) one-time consulting costs or expenses, (E) any non-ordinary course litigation or other legal matter (including actual or prospective legal settlements, fines judgments or orders) and/or (F) Charges arising from non-ordinary course insurance claims and settlements; </w:t>
      </w:r>
      <w:r>
        <w:rPr>
          <w:rFonts w:ascii="Arial" w:cs="Arial" w:eastAsia="Arial" w:hAnsi="Arial"/>
          <w:sz w:val="18"/>
          <w:szCs w:val="18"/>
          <w:u w:val="single" w:color="auto"/>
          <w:color w:val="auto"/>
        </w:rPr>
        <w:t>plus</w:t>
      </w:r>
    </w:p>
    <w:p>
      <w:pPr>
        <w:spacing w:after="0" w:line="79" w:lineRule="exact"/>
        <w:rPr>
          <w:rFonts w:ascii="Arial" w:cs="Arial" w:eastAsia="Arial" w:hAnsi="Arial"/>
          <w:sz w:val="18"/>
          <w:szCs w:val="18"/>
          <w:color w:val="auto"/>
        </w:rPr>
      </w:pPr>
    </w:p>
    <w:p>
      <w:pPr>
        <w:ind w:left="1344" w:hanging="392"/>
        <w:spacing w:after="0"/>
        <w:tabs>
          <w:tab w:leader="none" w:pos="1344"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1304" w:hanging="352"/>
        <w:spacing w:after="0"/>
        <w:tabs>
          <w:tab w:leader="none" w:pos="1304"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544" w:right="80" w:firstLine="408"/>
        <w:spacing w:after="0" w:line="257" w:lineRule="auto"/>
        <w:tabs>
          <w:tab w:leader="none" w:pos="1339"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any add-back, adjustment and/or exclusion reflected in (A) the Financial Model and/or (B) subject to the cap described in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below with respect to Run Rate Synergies, any quality of earnings report prepared by any independent registered public accountant of recognized national standing or any other accounting firm reasonably acceptable to the Administrative Agent (a “</w:t>
      </w:r>
      <w:r>
        <w:rPr>
          <w:rFonts w:ascii="Arial" w:cs="Arial" w:eastAsia="Arial" w:hAnsi="Arial"/>
          <w:sz w:val="18"/>
          <w:szCs w:val="18"/>
          <w:u w:val="single" w:color="auto"/>
          <w:color w:val="auto"/>
        </w:rPr>
        <w:t>Quality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Earnings Report</w:t>
      </w:r>
      <w:r>
        <w:rPr>
          <w:rFonts w:ascii="Arial" w:cs="Arial" w:eastAsia="Arial" w:hAnsi="Arial"/>
          <w:sz w:val="18"/>
          <w:szCs w:val="18"/>
          <w:color w:val="auto"/>
        </w:rPr>
        <w:t xml:space="preserve">”), in each case, delivered to the Administrative Agent (including, for the avoidance of doubt, in connection with any acquisition or similar investment after the Closing Date); </w:t>
      </w:r>
      <w:r>
        <w:rPr>
          <w:rFonts w:ascii="Arial" w:cs="Arial" w:eastAsia="Arial" w:hAnsi="Arial"/>
          <w:sz w:val="18"/>
          <w:szCs w:val="18"/>
          <w:u w:val="single" w:color="auto"/>
          <w:color w:val="auto"/>
        </w:rPr>
        <w:t>plus</w:t>
      </w:r>
    </w:p>
    <w:p>
      <w:pPr>
        <w:spacing w:after="0" w:line="79" w:lineRule="exact"/>
        <w:rPr>
          <w:rFonts w:ascii="Arial" w:cs="Arial" w:eastAsia="Arial" w:hAnsi="Arial"/>
          <w:sz w:val="18"/>
          <w:szCs w:val="18"/>
          <w:color w:val="auto"/>
        </w:rPr>
      </w:pPr>
    </w:p>
    <w:p>
      <w:pPr>
        <w:ind w:left="4" w:right="240" w:firstLine="419"/>
        <w:spacing w:after="0" w:line="311" w:lineRule="auto"/>
        <w:tabs>
          <w:tab w:leader="none" w:pos="681"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to the extent not included in Consolidated Net Income for such period, cash actually received (or any netting arrangement resulting in reduced cash expenditures) during such period in respect of any non-cash income or gain that was deducted in the calculation of Consolidated Adjusted EBITDA (including any component definition) pursuant to </w:t>
      </w:r>
      <w:r>
        <w:rPr>
          <w:rFonts w:ascii="Arial" w:cs="Arial" w:eastAsia="Arial" w:hAnsi="Arial"/>
          <w:sz w:val="16"/>
          <w:szCs w:val="16"/>
          <w:u w:val="single" w:color="auto"/>
          <w:color w:val="auto"/>
        </w:rPr>
        <w:t>clause (j)</w:t>
      </w:r>
      <w:r>
        <w:rPr>
          <w:rFonts w:ascii="Arial" w:cs="Arial" w:eastAsia="Arial" w:hAnsi="Arial"/>
          <w:sz w:val="16"/>
          <w:szCs w:val="16"/>
          <w:color w:val="auto"/>
        </w:rPr>
        <w:t xml:space="preserve"> below for any previous period and not added back; </w:t>
      </w:r>
      <w:r>
        <w:rPr>
          <w:rFonts w:ascii="Arial" w:cs="Arial" w:eastAsia="Arial" w:hAnsi="Arial"/>
          <w:sz w:val="16"/>
          <w:szCs w:val="16"/>
          <w:u w:val="single" w:color="auto"/>
          <w:color w:val="auto"/>
        </w:rPr>
        <w:t>plus</w:t>
      </w:r>
    </w:p>
    <w:p>
      <w:pPr>
        <w:spacing w:after="0" w:line="40" w:lineRule="exact"/>
        <w:rPr>
          <w:rFonts w:ascii="Arial" w:cs="Arial" w:eastAsia="Arial" w:hAnsi="Arial"/>
          <w:sz w:val="16"/>
          <w:szCs w:val="16"/>
          <w:color w:val="auto"/>
        </w:rPr>
      </w:pPr>
    </w:p>
    <w:p>
      <w:pPr>
        <w:ind w:left="4" w:right="80" w:firstLine="419"/>
        <w:spacing w:after="0" w:line="284" w:lineRule="auto"/>
        <w:tabs>
          <w:tab w:leader="none" w:pos="671"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full pro forma “run rate” expected cost savings, operating expense reductions, operational improvements, business optimization, restructurings and/or cost synergies (collectively, “</w:t>
      </w:r>
      <w:r>
        <w:rPr>
          <w:rFonts w:ascii="Arial" w:cs="Arial" w:eastAsia="Arial" w:hAnsi="Arial"/>
          <w:sz w:val="16"/>
          <w:szCs w:val="16"/>
          <w:u w:val="single" w:color="auto"/>
          <w:color w:val="auto"/>
        </w:rPr>
        <w:t>Run-Rate Synergies</w:t>
      </w:r>
      <w:r>
        <w:rPr>
          <w:rFonts w:ascii="Arial" w:cs="Arial" w:eastAsia="Arial" w:hAnsi="Arial"/>
          <w:sz w:val="16"/>
          <w:szCs w:val="16"/>
          <w:color w:val="auto"/>
        </w:rPr>
        <w:t>”) (net of actual amounts realized) that are reasonably identifiable (in the good faith determination of such Person) related to (A) the Transactions, (B) any asset sale, merger or other business combination, Investment, Disposition, operating improvement, expense reduction, restructuring, cost savings initiative and/or any initiative similar to any of the foregoing and/or specified transaction (each, a “</w:t>
      </w:r>
      <w:r>
        <w:rPr>
          <w:rFonts w:ascii="Arial" w:cs="Arial" w:eastAsia="Arial" w:hAnsi="Arial"/>
          <w:sz w:val="16"/>
          <w:szCs w:val="16"/>
          <w:u w:val="single" w:color="auto"/>
          <w:color w:val="auto"/>
        </w:rPr>
        <w:t>Business Optimization Initiative</w:t>
      </w:r>
      <w:r>
        <w:rPr>
          <w:rFonts w:ascii="Arial" w:cs="Arial" w:eastAsia="Arial" w:hAnsi="Arial"/>
          <w:sz w:val="16"/>
          <w:szCs w:val="16"/>
          <w:color w:val="auto"/>
        </w:rPr>
        <w:t xml:space="preserve">”), in each case, consummated or implemented prior to or on the Closing Date and (C) any Business Optimization Initiative consummated or implemented after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this </w:t>
      </w:r>
      <w:r>
        <w:rPr>
          <w:rFonts w:ascii="Arial" w:cs="Arial" w:eastAsia="Arial" w:hAnsi="Arial"/>
          <w:sz w:val="16"/>
          <w:szCs w:val="16"/>
          <w:u w:val="single" w:color="auto"/>
          <w:color w:val="auto"/>
        </w:rPr>
        <w:t>clause</w:t>
      </w:r>
    </w:p>
    <w:p>
      <w:pPr>
        <w:spacing w:after="0" w:line="4" w:lineRule="exact"/>
        <w:rPr>
          <w:rFonts w:ascii="Arial" w:cs="Arial" w:eastAsia="Arial" w:hAnsi="Arial"/>
          <w:sz w:val="16"/>
          <w:szCs w:val="16"/>
          <w:color w:val="auto"/>
        </w:rPr>
      </w:pPr>
    </w:p>
    <w:p>
      <w:pPr>
        <w:ind w:left="4" w:right="40"/>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(C)</w:t>
      </w:r>
      <w:r>
        <w:rPr>
          <w:rFonts w:ascii="Arial" w:cs="Arial" w:eastAsia="Arial" w:hAnsi="Arial"/>
          <w:sz w:val="16"/>
          <w:szCs w:val="16"/>
          <w:color w:val="auto"/>
        </w:rPr>
        <w:t xml:space="preserve">, the relevant Business Optimization Initiative resulting in (or substantial steps toward the relevant Business Optimization Initiative that would result in) such Run-Rate Synergies (x) must either be taken or expected to be taken within 18 months following the applicable date of determination and (y) the amounts added back in any four Fiscal Quarter period in reliance on (1)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and (2) with respect to any Run Rate Synergies included in any Quality of Earnings Report, </w:t>
      </w:r>
      <w:r>
        <w:rPr>
          <w:rFonts w:ascii="Arial" w:cs="Arial" w:eastAsia="Arial" w:hAnsi="Arial"/>
          <w:sz w:val="16"/>
          <w:szCs w:val="16"/>
          <w:u w:val="single" w:color="auto"/>
          <w:color w:val="auto"/>
        </w:rPr>
        <w:t>clause (c)(xvi)(B)</w:t>
      </w:r>
      <w:r>
        <w:rPr>
          <w:rFonts w:ascii="Arial" w:cs="Arial" w:eastAsia="Arial" w:hAnsi="Arial"/>
          <w:sz w:val="16"/>
          <w:szCs w:val="16"/>
          <w:color w:val="auto"/>
        </w:rPr>
        <w:t xml:space="preserve"> above, in each case, shall not exceed 25% of the Consolidated Adjusted EBITDA (calculated after giving full effect to the adjustments contemplated by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(c)(xvi)(B)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such cap shall not apply to (x) any adjustment identified in the Financial Model (without regard to the amounts or time period therein), or</w:t>
      </w:r>
    </w:p>
    <w:p>
      <w:pPr>
        <w:spacing w:after="0" w:line="3" w:lineRule="exact"/>
        <w:rPr>
          <w:rFonts w:ascii="Arial" w:cs="Arial" w:eastAsia="Arial" w:hAnsi="Arial"/>
          <w:sz w:val="16"/>
          <w:szCs w:val="16"/>
          <w:color w:val="auto"/>
        </w:rPr>
      </w:pPr>
    </w:p>
    <w:p>
      <w:pPr>
        <w:ind w:left="264" w:hanging="264"/>
        <w:spacing w:after="0"/>
        <w:tabs>
          <w:tab w:leader="none" w:pos="2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any amount relating to any pro forma adjustment consistent with Regulation S-X under the Securities Act; </w:t>
      </w:r>
      <w:r>
        <w:rPr>
          <w:rFonts w:ascii="Arial" w:cs="Arial" w:eastAsia="Arial" w:hAnsi="Arial"/>
          <w:sz w:val="18"/>
          <w:szCs w:val="18"/>
          <w:u w:val="single" w:color="auto"/>
          <w:color w:val="auto"/>
        </w:rPr>
        <w:t>plus</w:t>
      </w:r>
    </w:p>
    <w:p>
      <w:pPr>
        <w:spacing w:after="0" w:line="102" w:lineRule="exact"/>
        <w:rPr>
          <w:rFonts w:ascii="Arial" w:cs="Arial" w:eastAsia="Arial" w:hAnsi="Arial"/>
          <w:sz w:val="18"/>
          <w:szCs w:val="18"/>
          <w:color w:val="auto"/>
        </w:rPr>
      </w:pPr>
    </w:p>
    <w:p>
      <w:pPr>
        <w:ind w:left="4" w:firstLine="419"/>
        <w:spacing w:after="0" w:line="263" w:lineRule="auto"/>
        <w:tabs>
          <w:tab w:leader="none" w:pos="651"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the full “run rate” impact of Consolidated Adjusted EBITDA attributable to the bookings of new contracts for the next four Fiscal Quarters after the end of the of the relevant Test Period (calculated on a Pro Forma Basis as though such adjustments had been realized on the first day of the applicable period (net of actual amounts realized)); </w:t>
      </w:r>
      <w:r>
        <w:rPr>
          <w:rFonts w:ascii="Arial" w:cs="Arial" w:eastAsia="Arial" w:hAnsi="Arial"/>
          <w:sz w:val="18"/>
          <w:szCs w:val="18"/>
          <w:u w:val="single" w:color="auto"/>
          <w:color w:val="auto"/>
        </w:rPr>
        <w:t>plus</w:t>
      </w:r>
    </w:p>
    <w:p>
      <w:pPr>
        <w:spacing w:after="0" w:line="116"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44"/>
          </w:cols>
          <w:pgMar w:left="876" w:top="274" w:right="479" w:bottom="1440" w:gutter="0" w:footer="0" w:header="0"/>
        </w:sectPr>
      </w:pPr>
    </w:p>
    <w:bookmarkStart w:id="26" w:name="page27"/>
    <w:bookmarkEnd w:id="26"/>
    <w:p>
      <w:pPr>
        <w:ind w:left="440" w:right="380" w:firstLine="419"/>
        <w:spacing w:after="0" w:line="277" w:lineRule="auto"/>
        <w:tabs>
          <w:tab w:leader="none" w:pos="1118"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not otherwise included in calculating Consolidated Net Income for such period, any year over year increase in deferred revenue (if positive); </w:t>
      </w:r>
      <w:r>
        <w:rPr>
          <w:rFonts w:ascii="Arial" w:cs="Arial" w:eastAsia="Arial" w:hAnsi="Arial"/>
          <w:sz w:val="18"/>
          <w:szCs w:val="18"/>
          <w:u w:val="single" w:color="auto"/>
          <w:color w:val="auto"/>
        </w:rPr>
        <w:t>plus</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118"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to the extent not otherwise included in calculating Consolidated Net Income, the amount of any distribution received by such Person from any Unrestricted Subsidiary; </w:t>
      </w:r>
      <w:r>
        <w:rPr>
          <w:rFonts w:ascii="Arial" w:cs="Arial" w:eastAsia="Arial" w:hAnsi="Arial"/>
          <w:sz w:val="18"/>
          <w:szCs w:val="18"/>
          <w:u w:val="single" w:color="auto"/>
          <w:color w:val="auto"/>
        </w:rPr>
        <w:t>plus</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u w:val="single" w:color="auto"/>
          <w:color w:val="auto"/>
        </w:rPr>
        <w:t>minus</w:t>
      </w:r>
    </w:p>
    <w:p>
      <w:pPr>
        <w:spacing w:after="0" w:line="117" w:lineRule="exact"/>
        <w:rPr>
          <w:rFonts w:ascii="Arial" w:cs="Arial" w:eastAsia="Arial" w:hAnsi="Arial"/>
          <w:sz w:val="18"/>
          <w:szCs w:val="18"/>
          <w:color w:val="auto"/>
        </w:rPr>
      </w:pPr>
    </w:p>
    <w:p>
      <w:pPr>
        <w:ind w:left="440" w:right="320" w:firstLine="419"/>
        <w:spacing w:after="0" w:line="259" w:lineRule="auto"/>
        <w:tabs>
          <w:tab w:leader="none" w:pos="10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any amount which, in the determination of Consolidated Net Income for such period, has been added for any non-cash income or non-cash gain, all as determined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non-cash income or non-cash gain represents an accrual or deferred income in respect of potential cash items in any future period, such Person may determine not to deduct the relevant non-cash gain or income in the then-current period; </w:t>
      </w:r>
      <w:r>
        <w:rPr>
          <w:rFonts w:ascii="Arial" w:cs="Arial" w:eastAsia="Arial" w:hAnsi="Arial"/>
          <w:sz w:val="18"/>
          <w:szCs w:val="18"/>
          <w:u w:val="single" w:color="auto"/>
          <w:color w:val="auto"/>
        </w:rPr>
        <w:t>minus</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amount of any cash payment made during such period in respect of any non-cash accrual, reserve or other non-cash Charge that</w:t>
      </w:r>
    </w:p>
    <w:p>
      <w:pPr>
        <w:spacing w:after="0" w:line="46" w:lineRule="exact"/>
        <w:rPr>
          <w:rFonts w:ascii="Arial" w:cs="Arial" w:eastAsia="Arial" w:hAnsi="Arial"/>
          <w:sz w:val="16"/>
          <w:szCs w:val="16"/>
          <w:color w:val="auto"/>
        </w:rPr>
      </w:pPr>
    </w:p>
    <w:p>
      <w:pPr>
        <w:ind w:left="440" w:right="340" w:hanging="4"/>
        <w:spacing w:after="0" w:line="260" w:lineRule="auto"/>
        <w:tabs>
          <w:tab w:leader="none" w:pos="7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is accounted for in a prior period, (B) was added to Consolidated Net Income to determine Consolidated Adjusted EBITDA for such prior period and (C) does not otherwise reduce Consolidated Net Income for the current period; </w:t>
      </w:r>
      <w:r>
        <w:rPr>
          <w:rFonts w:ascii="Arial" w:cs="Arial" w:eastAsia="Arial" w:hAnsi="Arial"/>
          <w:sz w:val="18"/>
          <w:szCs w:val="18"/>
          <w:u w:val="single" w:color="auto"/>
          <w:color w:val="auto"/>
        </w:rPr>
        <w:t>minus</w:t>
      </w:r>
    </w:p>
    <w:p>
      <w:pPr>
        <w:spacing w:after="0" w:line="77" w:lineRule="exact"/>
        <w:rPr>
          <w:rFonts w:ascii="Arial" w:cs="Arial" w:eastAsia="Arial" w:hAnsi="Arial"/>
          <w:sz w:val="18"/>
          <w:szCs w:val="18"/>
          <w:color w:val="auto"/>
        </w:rPr>
      </w:pPr>
    </w:p>
    <w:p>
      <w:pPr>
        <w:ind w:left="440" w:right="400" w:firstLine="419"/>
        <w:spacing w:after="0" w:line="277" w:lineRule="auto"/>
        <w:tabs>
          <w:tab w:leader="none" w:pos="107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the extent not otherwise included in calculating Consolidated Net Income for such period, any year over year decrease in deferred revenue (if negative).</w:t>
      </w:r>
    </w:p>
    <w:p>
      <w:pPr>
        <w:spacing w:after="0" w:line="170"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Notwithstanding anything to the contrary herein, it is agreed that for the purpose of calculating the First Lien Net Leverage Ratio, the Secured Net Leverage Ratio, the Total Net Leverage Ratio and/or the amount of any basket based on a percentage of Consolidated Adjusted EBITDA for any period that includes any Fiscal Quarter listed in the table set forth below, Consolidated Adjusted EBITDA for any Fiscal Quarter referenced in the table set forth below shall be the amount set forth opposite such Fiscal Quarter in the table set forth below, in each case as such amount may be adjusted on a Pro Forma Basis. It is understood and agreed for the avoidance of doubt that the “deemed” Consolidated Adjusted EBITDA numbers set forth below shall not reduce the amount available under any cap set forth in this definition of “Consolidated Adjusted EBITDA”.</w:t>
      </w:r>
    </w:p>
    <w:p>
      <w:pPr>
        <w:spacing w:after="0" w:line="187" w:lineRule="exact"/>
        <w:rPr>
          <w:sz w:val="20"/>
          <w:szCs w:val="20"/>
          <w:color w:val="auto"/>
        </w:rPr>
      </w:pPr>
    </w:p>
    <w:tbl>
      <w:tblPr>
        <w:tblLayout w:type="fixed"/>
        <w:tblInd w:w="1760" w:type="dxa"/>
        <w:tblCellMar>
          <w:top w:w="0" w:type="dxa"/>
          <w:left w:w="0" w:type="dxa"/>
          <w:bottom w:w="0" w:type="dxa"/>
          <w:right w:w="0" w:type="dxa"/>
        </w:tblCellMar>
      </w:tblPr>
      <w:tr>
        <w:trPr>
          <w:trHeight w:val="187"/>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Fiscal Quarter Ended</w:t>
            </w:r>
          </w:p>
        </w:tc>
        <w:tc>
          <w:tcPr>
            <w:tcW w:w="43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4"/>
                <w:szCs w:val="14"/>
                <w:color w:val="auto"/>
                <w:w w:val="97"/>
              </w:rPr>
              <w:t>Consolidated Adjusted EBITDA</w:t>
            </w:r>
          </w:p>
        </w:tc>
      </w:tr>
      <w:tr>
        <w:trPr>
          <w:trHeight w:val="203"/>
        </w:trPr>
        <w:tc>
          <w:tcPr>
            <w:tcW w:w="5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September 30, 2020</w:t>
            </w:r>
          </w:p>
        </w:tc>
        <w:tc>
          <w:tcPr>
            <w:tcW w:w="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w w:val="86"/>
              </w:rPr>
              <w:t>15,767,000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480"/>
              <w:spacing w:after="0"/>
              <w:rPr>
                <w:sz w:val="20"/>
                <w:szCs w:val="20"/>
                <w:color w:val="auto"/>
              </w:rPr>
            </w:pPr>
            <w:r>
              <w:rPr>
                <w:rFonts w:ascii="Arial" w:cs="Arial" w:eastAsia="Arial" w:hAnsi="Arial"/>
                <w:sz w:val="18"/>
                <w:szCs w:val="18"/>
                <w:color w:val="auto"/>
                <w:w w:val="93"/>
              </w:rPr>
              <w:t>29,857,000</w:t>
            </w: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2021</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3"/>
              </w:rPr>
              <w:t>23,849,000</w:t>
            </w: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June 30, 2021</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480"/>
              <w:spacing w:after="0"/>
              <w:rPr>
                <w:sz w:val="20"/>
                <w:szCs w:val="20"/>
                <w:color w:val="auto"/>
              </w:rPr>
            </w:pPr>
            <w:r>
              <w:rPr>
                <w:rFonts w:ascii="Arial" w:cs="Arial" w:eastAsia="Arial" w:hAnsi="Arial"/>
                <w:sz w:val="18"/>
                <w:szCs w:val="18"/>
                <w:color w:val="auto"/>
                <w:w w:val="93"/>
              </w:rPr>
              <w:t>11,771,000</w:t>
            </w:r>
          </w:p>
        </w:tc>
      </w:tr>
    </w:tbl>
    <w:p>
      <w:pPr>
        <w:spacing w:after="0" w:line="187"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First Lien Debt</w:t>
      </w:r>
      <w:r>
        <w:rPr>
          <w:rFonts w:ascii="Arial" w:cs="Arial" w:eastAsia="Arial" w:hAnsi="Arial"/>
          <w:sz w:val="17"/>
          <w:szCs w:val="17"/>
          <w:color w:val="auto"/>
        </w:rPr>
        <w:t>” means, as to any Person at any date of determination, the aggregate principal amount of Consolidated Total Debt outstanding on such date that is secured by a Lien on substantially all of the Collateral and that constitutes First Lien Debt.</w:t>
      </w:r>
    </w:p>
    <w:p>
      <w:pPr>
        <w:spacing w:after="0" w:line="146"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means, with respect to any Person for any period, the sum of (a) consolidated total interest expense of such Person and its Restricted Subsidiaries for such period, whether paid or accrued and whether or not capitalized, (including, without limitation and without duplication, amortization of any debt issuance cost, original issue discount, any premium paid to obtain payment, financial assurance or similar bonds, any interest capitalized during construction, any non-cash interest payment, the interest component of any deferred payment obligation, the interest component of any payment under any Capital Lease (regardless of whether accounted for as interest expense under GAAP), any commission, discount and/or other fee or charge owed with respect to any letter of credit and/or bankers’ acceptance, any fee and/or expense paid to the Administrative Agent in connection with its services hereunder, any other bank, administrative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7" w:name="page28"/>
    <w:bookmarkEnd w:id="27"/>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agency (or trustee) and/or financing fee, to the extent not otherwise included in consolidated total interest expense, customary commissions, discounts, yield and other fees and charges (including interest expense) relating to any Receivables Facility and any cost associated with any surety bond in connection with financing activities (whether amortized or immediately expensed))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any cash dividend paid or payable in respect of Disqualified Capital Stock during such period other than to such Person or any Restricted Subsidiary,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any net losses or obligations arising from any Hedge Agreement and/or other derivative financial instrument issued by such Person for the benefit of such Person or its subsidiaries, in each case, determined on a consolidated basis for such period. For purposes of this definition, interest in respect of any Capital Lease shall be deemed to accrue at an interest rate reasonably determined by such Person to be the rate of interest implicit in such Capital Lease in accordance with GAAP.</w:t>
      </w:r>
    </w:p>
    <w:p>
      <w:pPr>
        <w:spacing w:after="0" w:line="166"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in respect of any period and as determined for any Person (the “</w:t>
      </w:r>
      <w:r>
        <w:rPr>
          <w:rFonts w:ascii="Arial" w:cs="Arial" w:eastAsia="Arial" w:hAnsi="Arial"/>
          <w:sz w:val="18"/>
          <w:szCs w:val="18"/>
          <w:u w:val="single" w:color="auto"/>
          <w:color w:val="auto"/>
        </w:rPr>
        <w:t>Subject Person</w:t>
      </w:r>
      <w:r>
        <w:rPr>
          <w:rFonts w:ascii="Arial" w:cs="Arial" w:eastAsia="Arial" w:hAnsi="Arial"/>
          <w:sz w:val="18"/>
          <w:szCs w:val="18"/>
          <w:color w:val="auto"/>
        </w:rPr>
        <w:t>”) on a consolidated basis, an amount equal to the sum of net income, determined in accordance with GAAP, but excluding:</w:t>
      </w:r>
    </w:p>
    <w:p>
      <w:pPr>
        <w:spacing w:after="0" w:line="62" w:lineRule="exact"/>
        <w:rPr>
          <w:sz w:val="20"/>
          <w:szCs w:val="20"/>
          <w:color w:val="auto"/>
        </w:rPr>
      </w:pPr>
    </w:p>
    <w:p>
      <w:pPr>
        <w:ind w:left="440" w:firstLine="419"/>
        <w:spacing w:after="0" w:line="271" w:lineRule="auto"/>
        <w:tabs>
          <w:tab w:leader="none" w:pos="1108"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the income of any Person (other than the Subject Person or a Restricted Subsidiary of the Subject Person) in which any other Person (other than the Subject Person or any Restricted Subsidiary of the Subject Person) has a joint interest, except to the extent of the amount of dividends, distributions or other payments (including any ordinary course dividend, distribution or other payment) paid in cash (or to the extent converted into cash) to the Subject Person or any of its Restricted Subsidiaries by such Person during such period and (ii) the loss of any Person (other than the Subject Person or a Restricted Subsidiary of the Subject Person (or a Person who, if a subsidiary of the Subject Person, would be a Restricted Subsidiary of the Subject Person)) in which any other Person (other than the Subject Person or any of its Restricted Subsidiaries) has a joint interest, other than to the extent that the Subject Person or any of its Restricted Subsidiaries has contributed Cash or Cash Equivalents to such Person in respect of such loss during such period;</w:t>
      </w:r>
    </w:p>
    <w:p>
      <w:pPr>
        <w:spacing w:after="0" w:line="70" w:lineRule="exact"/>
        <w:rPr>
          <w:rFonts w:ascii="Arial" w:cs="Arial" w:eastAsia="Arial" w:hAnsi="Arial"/>
          <w:sz w:val="17"/>
          <w:szCs w:val="17"/>
          <w:color w:val="auto"/>
        </w:rPr>
      </w:pPr>
    </w:p>
    <w:p>
      <w:pPr>
        <w:ind w:left="440" w:firstLine="419"/>
        <w:spacing w:after="0" w:line="277" w:lineRule="auto"/>
        <w:tabs>
          <w:tab w:leader="none" w:pos="11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gain or Charge attributable to any asset Dispositions (including asset retirement costs and including any abandonment of assets) or of returned surplus assets outside the ordinary course of business;</w:t>
      </w:r>
    </w:p>
    <w:p>
      <w:pPr>
        <w:spacing w:after="0" w:line="62" w:lineRule="exact"/>
        <w:rPr>
          <w:rFonts w:ascii="Arial" w:cs="Arial" w:eastAsia="Arial" w:hAnsi="Arial"/>
          <w:sz w:val="18"/>
          <w:szCs w:val="18"/>
          <w:color w:val="auto"/>
        </w:rPr>
      </w:pPr>
    </w:p>
    <w:p>
      <w:pPr>
        <w:ind w:left="440" w:right="60" w:firstLine="419"/>
        <w:spacing w:after="0" w:line="263" w:lineRule="auto"/>
        <w:tabs>
          <w:tab w:leader="none" w:pos="11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any Charge from (A) any extraordinary item (as determined in good faith by such Person) and/or (B) any unusual, non-recurring, infrequent and/or exceptional item (as determined in good faith by such Person) and/or (ii) any Charge attributable to and/or payment of any legal settlement, fine, judgment or order;</w:t>
      </w:r>
    </w:p>
    <w:p>
      <w:pPr>
        <w:spacing w:after="0" w:line="75" w:lineRule="exact"/>
        <w:rPr>
          <w:rFonts w:ascii="Arial" w:cs="Arial" w:eastAsia="Arial" w:hAnsi="Arial"/>
          <w:sz w:val="18"/>
          <w:szCs w:val="18"/>
          <w:color w:val="auto"/>
        </w:rPr>
      </w:pPr>
    </w:p>
    <w:p>
      <w:pPr>
        <w:ind w:left="440" w:right="120" w:firstLine="419"/>
        <w:spacing w:after="0" w:line="255" w:lineRule="auto"/>
        <w:tabs>
          <w:tab w:leader="none" w:pos="11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net gain or Charge with respect to, or in connection with, (i) any disposed, abandoned, divested and/or discontinued asset, property or operation (other than, at the option of such Person, any gain or Charge relating to any asset, property or operation held for sale or pending the divestiture and/or termination thereof), (ii) any disposal, abandonment, divestiture and/or discontinuation of any asset, property or operation outside the ordinary course of business (including any asset retirement cost) (other than, at the option of such Person, any gain or Charge relating to assets or properties held for sale or pending the divestiture or termination thereof) and/or (iii) any facility that has been closed during such period;</w:t>
      </w:r>
    </w:p>
    <w:p>
      <w:pPr>
        <w:spacing w:after="0" w:line="84" w:lineRule="exact"/>
        <w:rPr>
          <w:rFonts w:ascii="Arial" w:cs="Arial" w:eastAsia="Arial" w:hAnsi="Arial"/>
          <w:sz w:val="18"/>
          <w:szCs w:val="18"/>
          <w:color w:val="auto"/>
        </w:rPr>
      </w:pPr>
    </w:p>
    <w:p>
      <w:pPr>
        <w:ind w:left="440" w:right="240" w:firstLine="419"/>
        <w:spacing w:after="0" w:line="277" w:lineRule="auto"/>
        <w:tabs>
          <w:tab w:leader="none" w:pos="11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any write-off or amortization made of any deferred financing cost and/or premium paid and (ii) any Charge attributable to the early extinguishment of Indebtedness (and the termination of any associated Hedge Agreement);</w:t>
      </w:r>
    </w:p>
    <w:p>
      <w:pPr>
        <w:spacing w:after="0" w:line="62" w:lineRule="exact"/>
        <w:rPr>
          <w:rFonts w:ascii="Arial" w:cs="Arial" w:eastAsia="Arial" w:hAnsi="Arial"/>
          <w:sz w:val="18"/>
          <w:szCs w:val="18"/>
          <w:color w:val="auto"/>
        </w:rPr>
      </w:pPr>
    </w:p>
    <w:p>
      <w:pPr>
        <w:ind w:left="440" w:right="20" w:firstLine="419"/>
        <w:spacing w:after="0" w:line="263" w:lineRule="auto"/>
        <w:tabs>
          <w:tab w:leader="none" w:pos="10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any Charge incurred as a result of, pursuant to or in connection with any management equity plan, bonus or other incentive plan, profits interest plan or stock option plan or any other management or employee benefit plan or agreement, pension plan or other long-term or post-employment plan (including any post-employment benefit scheme which has been agreed with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8" w:name="page29"/>
    <w:bookmarkEnd w:id="28"/>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relevant pension trustee), any stock subscription or shareholder agreement, any employee benefit trust, any employment benefit scheme or any similar equity plan or agreement (including any deferred compensation arrangement) and (ii) any Charge incurred in connection with the rollover, acceleration or payout of Capital Stock held by management;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w:t>
      </w:r>
      <w:r>
        <w:rPr>
          <w:rFonts w:ascii="Arial" w:cs="Arial" w:eastAsia="Arial" w:hAnsi="Arial"/>
          <w:sz w:val="17"/>
          <w:szCs w:val="17"/>
          <w:u w:val="single" w:color="auto"/>
          <w:color w:val="auto"/>
        </w:rPr>
        <w:t>clause (ii)</w:t>
      </w:r>
      <w:r>
        <w:rPr>
          <w:rFonts w:ascii="Arial" w:cs="Arial" w:eastAsia="Arial" w:hAnsi="Arial"/>
          <w:sz w:val="17"/>
          <w:szCs w:val="17"/>
          <w:color w:val="auto"/>
        </w:rPr>
        <w:t>, to the extent that any such Charge is a cash charge, such Charge shall only be excluded to the extent the same is funded with net cash proceeds contributed to relevant Person as a capital contribution or as a result of the sale or issuance of Qualified Capital Stock;</w:t>
      </w:r>
    </w:p>
    <w:p>
      <w:pPr>
        <w:spacing w:after="0" w:line="68" w:lineRule="exact"/>
        <w:rPr>
          <w:sz w:val="20"/>
          <w:szCs w:val="20"/>
          <w:color w:val="auto"/>
        </w:rPr>
      </w:pPr>
    </w:p>
    <w:p>
      <w:pPr>
        <w:ind w:firstLine="419"/>
        <w:spacing w:after="0" w:line="257" w:lineRule="auto"/>
        <w:tabs>
          <w:tab w:leader="none" w:pos="67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Charge that is established, adjusted and/or incurred, as applicable, (i) within 12 months after the Closing Date that is required to be established, adjusted or incurred, as applicable, as a result of the Transactions in accordance with GAAP, (ii) within 12 months after the closing of any other acquisition or similar Investment that is required to be established, adjusted or incurred, as applicable, as a result of such acquisition in accordance with GAAP or (iii) as a result of any change in, or the adoption or modification of, accounting principles and/or policies in accordance with GAAP;</w:t>
      </w:r>
    </w:p>
    <w:p>
      <w:pPr>
        <w:spacing w:after="0" w:line="79" w:lineRule="exact"/>
        <w:rPr>
          <w:rFonts w:ascii="Arial" w:cs="Arial" w:eastAsia="Arial" w:hAnsi="Arial"/>
          <w:sz w:val="18"/>
          <w:szCs w:val="18"/>
          <w:color w:val="auto"/>
        </w:rPr>
      </w:pPr>
    </w:p>
    <w:p>
      <w:pPr>
        <w:ind w:right="40" w:firstLine="419"/>
        <w:spacing w:after="0" w:line="269" w:lineRule="auto"/>
        <w:tabs>
          <w:tab w:leader="none" w:pos="678"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the effects of adjustments (including the effects of such adjustments pushed down to the relevant Person and its subsidiaries) in component amounts required or permitted by GAAP (including in the inventory, property and equipment, leases, rights fee arrangements, software, goodwill, intangible assets, in-process research and development, deferred revenue, advanced billing and debt line items thereof), resulting from the application of purchase accounting, recapitalization accounting and/or acquisition method accounting, as applicable, in relation to the Transactions or any consummated acquisition or other Investment or the amortization or write-off of any amount thereof, and (ii) the cumulative effect of changes (effected through cumulative effect adjustment or retroactive application) in, and/or any change resulting from the adoption or modification of, accounting principles or policies made in such period in accordance with GAAP which affect Consolidated Net Income (except that, if such Person determines in good faith that the cumulative effects thereof are not material to the interests of the Lenders, the effects of any change, adoption or modification of any such principles or policies may be included in any subsequent period after the Fiscal Quarter in which such change, adoption or modification was made);</w:t>
      </w:r>
    </w:p>
    <w:p>
      <w:pPr>
        <w:spacing w:after="0" w:line="77" w:lineRule="exact"/>
        <w:rPr>
          <w:rFonts w:ascii="Arial" w:cs="Arial" w:eastAsia="Arial" w:hAnsi="Arial"/>
          <w:sz w:val="17"/>
          <w:szCs w:val="17"/>
          <w:color w:val="auto"/>
        </w:rPr>
      </w:pPr>
    </w:p>
    <w:p>
      <w:pPr>
        <w:ind w:left="640" w:hanging="2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419"/>
        <w:spacing w:after="0" w:line="254" w:lineRule="auto"/>
        <w:tabs>
          <w:tab w:leader="none" w:pos="638"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 any realized or unrealized gain and/or loss in the fair market value of (A) any obligation under any Hedge Agreement as determined in accordance with GAAP and/or (B) any other derivative instrument pursuant to,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Financial Accounting Standards Board’s Accounting Standards Codification No. 815-Derivatives and Hedging, and/or (ii) any realized or unrealized foreign currency translation or transaction gain or loss (including any currency re-measurement of Indebtedness, any net gain or loss resulting from Hedge Agreements for currency exchange risk associated with the foregoing or any other currency related risk and any gain or loss resulting from any intercompany Indebtedness, any foreign currency translation or transaction or any other currency-related risk);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anything to the contrary herein, any realized gain or loss in respect of any Designated Operational FX Hedge shall be included in the calculation of Consolidated Net Income;</w:t>
      </w:r>
    </w:p>
    <w:p>
      <w:pPr>
        <w:spacing w:after="0" w:line="83" w:lineRule="exact"/>
        <w:rPr>
          <w:rFonts w:ascii="Arial" w:cs="Arial" w:eastAsia="Arial" w:hAnsi="Arial"/>
          <w:sz w:val="18"/>
          <w:szCs w:val="18"/>
          <w:color w:val="auto"/>
        </w:rPr>
      </w:pPr>
    </w:p>
    <w:p>
      <w:pPr>
        <w:ind w:right="80" w:firstLine="419"/>
        <w:spacing w:after="0" w:line="277" w:lineRule="auto"/>
        <w:tabs>
          <w:tab w:leader="none" w:pos="67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deferred Tax expense associated with any tax deduction or net operating loss arising as a result of the Transactions, or the release of any valuation allowance related to any such item;</w:t>
      </w:r>
    </w:p>
    <w:p>
      <w:pPr>
        <w:spacing w:after="0" w:line="62" w:lineRule="exact"/>
        <w:rPr>
          <w:rFonts w:ascii="Arial" w:cs="Arial" w:eastAsia="Arial" w:hAnsi="Arial"/>
          <w:sz w:val="18"/>
          <w:szCs w:val="18"/>
          <w:color w:val="auto"/>
        </w:rPr>
      </w:pPr>
    </w:p>
    <w:p>
      <w:pPr>
        <w:jc w:val="both"/>
        <w:ind w:firstLine="419"/>
        <w:spacing w:after="0" w:line="259" w:lineRule="auto"/>
        <w:tabs>
          <w:tab w:leader="none" w:pos="638"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any non-cash (and, with respect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cash) Charge (including any implementation Charge) (other than any write-down of current assets) (including non-cash compensation expense and any amount representing any non-cash adjustment) required by the application of (i) FASB Statement No. 144, (ii) FASB Statement No. 141R, (iii) FASB Statement No. 142 and (iv) Accounting Standards Update No. 2014-09,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40"/>
          </w:cols>
          <w:pgMar w:left="880" w:top="274" w:right="479" w:bottom="1440" w:gutter="0" w:footer="0" w:header="0"/>
        </w:sectPr>
      </w:pPr>
    </w:p>
    <w:bookmarkStart w:id="29" w:name="page30"/>
    <w:bookmarkEnd w:id="29"/>
    <w:p>
      <w:pPr>
        <w:ind w:left="440" w:right="540" w:firstLine="419"/>
        <w:spacing w:after="0" w:line="277" w:lineRule="auto"/>
        <w:tabs>
          <w:tab w:leader="none" w:pos="1168"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cash or non-cash Charge required by the application of FASB Statement No. 141R to be expensed by such Person and/or any Restricted Subsidiary during the applicable period; and</w:t>
      </w:r>
    </w:p>
    <w:p>
      <w:pPr>
        <w:spacing w:after="0" w:line="62" w:lineRule="exact"/>
        <w:rPr>
          <w:rFonts w:ascii="Arial" w:cs="Arial" w:eastAsia="Arial" w:hAnsi="Arial"/>
          <w:sz w:val="18"/>
          <w:szCs w:val="18"/>
          <w:color w:val="auto"/>
        </w:rPr>
      </w:pPr>
    </w:p>
    <w:p>
      <w:pPr>
        <w:ind w:left="440" w:right="140" w:firstLine="419"/>
        <w:spacing w:after="0" w:line="263" w:lineRule="auto"/>
        <w:tabs>
          <w:tab w:leader="none" w:pos="111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any one-time cumulative effect adjustment resulting from any change in accounting for revenue required by Accounting Standards Codification 606 or its replacement and/or (ii) any Charge incurred in connection with the implementation of Accounting Standards Codification 606.</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Secured Debt</w:t>
      </w:r>
      <w:r>
        <w:rPr>
          <w:rFonts w:ascii="Arial" w:cs="Arial" w:eastAsia="Arial" w:hAnsi="Arial"/>
          <w:sz w:val="18"/>
          <w:szCs w:val="18"/>
          <w:color w:val="auto"/>
        </w:rPr>
        <w:t>” means, as to any Person at any date of determination, the aggregate principal amount of Consolidated Total Debt outstanding on such date that is secured by a Lien on substantially all of the Collateral.</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at any date, all amounts that would, in conformity with GAAP, be set forth opposite the caption “total assets” (or any like caption) on a consolidated balance sheet of the applicable Person at such date.</w:t>
      </w:r>
    </w:p>
    <w:p>
      <w:pPr>
        <w:spacing w:after="0" w:line="170"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Debt</w:t>
      </w:r>
      <w:r>
        <w:rPr>
          <w:rFonts w:ascii="Arial" w:cs="Arial" w:eastAsia="Arial" w:hAnsi="Arial"/>
          <w:sz w:val="17"/>
          <w:szCs w:val="17"/>
          <w:color w:val="auto"/>
        </w:rPr>
        <w:t xml:space="preserve">” means, as to any Person at any date of determination, (x) the aggregate outstanding principal amount of all third party debt for borrowed money (including LC Disbursements that have not been reimbursed within three Business Days and excluding, for the avoidance of doubt, undrawn letters of credit), (y) to extent constituting Indebtedness, obligations in respect of Capital Leases and (z) the aggregate outstanding principal amount of all purchase money Indebtedness, in each case, as such amount may be adjusted to reflect the effect (as determined by the Borrower in good faith) of any Debt FX Hedge, calculated on a mark-to-market basis; </w:t>
      </w:r>
      <w:r>
        <w:rPr>
          <w:rFonts w:ascii="Arial" w:cs="Arial" w:eastAsia="Arial" w:hAnsi="Arial"/>
          <w:sz w:val="17"/>
          <w:szCs w:val="17"/>
          <w:u w:val="single" w:color="auto"/>
          <w:color w:val="auto"/>
        </w:rPr>
        <w:t>provided</w:t>
      </w:r>
      <w:r>
        <w:rPr>
          <w:rFonts w:ascii="Arial" w:cs="Arial" w:eastAsia="Arial" w:hAnsi="Arial"/>
          <w:sz w:val="17"/>
          <w:szCs w:val="17"/>
          <w:color w:val="auto"/>
        </w:rPr>
        <w:t>, that “Consolidated Total Debt” shall be calculated (a) net of the Unrestricted Cash Amount and (b) excluding (i) any obligation, liability or indebtedness of such Person if, upon or prior to the maturity thereof, such Person has irrevocably deposited with the proper Person in trust or escrow the necessary funds (or evidences of indebtedness) for the payment, redemption or satisfaction of such obligation, liability or indebtedness, and thereafter such funds and evidences of such obligation, liability or indebtedness or other security so deposited are not included in the calculation of the Unrestricted Cash Amount, (ii) any debt the proceeds of which are held in Escrow and (iii) for the avoidance of doubt, any amount owing under, or in respect of, any earn-out obligation and/or any purchase price adjustment.</w:t>
      </w:r>
    </w:p>
    <w:p>
      <w:pPr>
        <w:spacing w:after="0" w:line="182"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spacing w:after="0" w:line="184"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Indebtedness</w:t>
      </w:r>
      <w:r>
        <w:rPr>
          <w:rFonts w:ascii="Arial" w:cs="Arial" w:eastAsia="Arial" w:hAnsi="Arial"/>
          <w:sz w:val="18"/>
          <w:szCs w:val="18"/>
          <w:color w:val="auto"/>
        </w:rPr>
        <w:t>” means Indebtedness of the Parent (which may be guaranteed by any Loan Party) that is (a) not prohibited by the terms of this Agreement from being incurred and (b) either (i) convertible into common equity of the Parent (and cash in lieu of fractional shares) and/or cash (in an amount determined by reference to the price of such common equity) or (ii) sold as a unit with any call option, warrant and/or right to purchase (or any substantially equivalent derivative transaction) that is exercisable for common equity of the Parent and/or cash (in an amount determined by reference to the price of such common equity).</w:t>
      </w:r>
    </w:p>
    <w:p>
      <w:pPr>
        <w:spacing w:after="0" w:line="188" w:lineRule="exact"/>
        <w:rPr>
          <w:sz w:val="20"/>
          <w:szCs w:val="20"/>
          <w:color w:val="auto"/>
        </w:rPr>
      </w:pPr>
    </w:p>
    <w:p>
      <w:pPr>
        <w:ind w:right="5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w:t>
      </w:r>
      <w:r>
        <w:rPr>
          <w:rFonts w:ascii="Arial" w:cs="Arial" w:eastAsia="Arial" w:hAnsi="Arial"/>
          <w:sz w:val="18"/>
          <w:szCs w:val="18"/>
          <w:color w:val="auto"/>
        </w:rPr>
        <w:t>” means the following: (a) all copyrights, rights and interests in copyrights, works protectable by copyright whether published or unpublished, copyright registrations and copyright applications; (b) all renewals of any of the foregoing; (c) all income, royalties, damages, and payments now or hereafter due and/or payable under any of the foregoing, including, without limitation, damages or payments for past or future infringements for any of the foregoing; (d) the right to sue for past, present, and future infringements of any of the foregoing; and (e) all rights corresponding to any of the foregoing.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0" w:name="page31"/>
    <w:bookmarkEnd w:id="3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Corresponding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8.14(c)</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Acquisition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6.10(a)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Acquisition Increase Period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6.10(a)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9.26(a)</w:t>
      </w:r>
      <w:r>
        <w:rPr>
          <w:rFonts w:ascii="Arial" w:cs="Arial" w:eastAsia="Arial" w:hAnsi="Arial"/>
          <w:sz w:val="18"/>
          <w:szCs w:val="18"/>
          <w:color w:val="auto"/>
        </w:rPr>
        <w:t>.</w:t>
      </w:r>
    </w:p>
    <w:p>
      <w:pPr>
        <w:spacing w:after="0" w:line="225" w:lineRule="exact"/>
        <w:rPr>
          <w:sz w:val="20"/>
          <w:szCs w:val="20"/>
          <w:color w:val="auto"/>
        </w:rPr>
      </w:pPr>
    </w:p>
    <w:p>
      <w:pPr>
        <w:jc w:val="both"/>
        <w:ind w:left="4"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Extension</w:t>
      </w:r>
      <w:r>
        <w:rPr>
          <w:rFonts w:ascii="Arial" w:cs="Arial" w:eastAsia="Arial" w:hAnsi="Arial"/>
          <w:sz w:val="16"/>
          <w:szCs w:val="16"/>
          <w:color w:val="auto"/>
        </w:rPr>
        <w:t xml:space="preserve">” means each of (a) the making of a Revolving Loan or Swingline Loan (other than any Letter of Credit Reimbursement Loan or any Revolving Loan resulting from the application of </w:t>
      </w:r>
      <w:r>
        <w:rPr>
          <w:rFonts w:ascii="Arial" w:cs="Arial" w:eastAsia="Arial" w:hAnsi="Arial"/>
          <w:sz w:val="16"/>
          <w:szCs w:val="16"/>
          <w:u w:val="single" w:color="auto"/>
          <w:color w:val="auto"/>
        </w:rPr>
        <w:t>Section 2.04(b)</w:t>
      </w:r>
      <w:r>
        <w:rPr>
          <w:rFonts w:ascii="Arial" w:cs="Arial" w:eastAsia="Arial" w:hAnsi="Arial"/>
          <w:sz w:val="16"/>
          <w:szCs w:val="16"/>
          <w:color w:val="auto"/>
        </w:rPr>
        <w:t>) or (b) the issuance, amendment, modification, renewal or extension of any Letter of Credit (other than any such amendment, modification, renewal or extension that does not increase the Stated Amount of the relevant Letter of Credit).</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Facilities</w:t>
      </w:r>
      <w:r>
        <w:rPr>
          <w:rFonts w:ascii="Arial" w:cs="Arial" w:eastAsia="Arial" w:hAnsi="Arial"/>
          <w:sz w:val="18"/>
          <w:szCs w:val="18"/>
          <w:color w:val="auto"/>
        </w:rPr>
        <w:t>” means the Revolving Facility and the Term Facility.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9.14</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6.10(b)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Right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6.10(b)</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Current Assets</w:t>
      </w:r>
      <w:r>
        <w:rPr>
          <w:rFonts w:ascii="Arial" w:cs="Arial" w:eastAsia="Arial" w:hAnsi="Arial"/>
          <w:sz w:val="16"/>
          <w:szCs w:val="16"/>
          <w:color w:val="auto"/>
        </w:rPr>
        <w:t>” means, at any date, (a) all assets of the Borrower and its Restricted Subsidiaries which under GAAP would be classified as current assets (excluding any (i) cash or Cash Equivalents (including cash and Cash Equivalents held on deposit for third parties by the Borrower and/or any Restricted Subsidiary), (ii) permitted loans to third parties, (iii) deferred bank fees and derivative financial instruments related to Indebtedness,</w:t>
      </w:r>
    </w:p>
    <w:p>
      <w:pPr>
        <w:spacing w:after="0" w:line="2" w:lineRule="exact"/>
        <w:rPr>
          <w:sz w:val="20"/>
          <w:szCs w:val="20"/>
          <w:color w:val="auto"/>
        </w:rPr>
      </w:pPr>
    </w:p>
    <w:p>
      <w:pPr>
        <w:ind w:left="4" w:right="320" w:hanging="4"/>
        <w:spacing w:after="0" w:line="255" w:lineRule="auto"/>
        <w:tabs>
          <w:tab w:leader="none" w:pos="3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current portion of current and deferred Taxes and (v) management fees receivables) and (b) in the event that any Receivables Facility is accounted for off-balance sheet, (i) gross receivables subject to such Receivables Facility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collections against the amounts sold pursuant to such Receivables Facility.</w:t>
      </w:r>
    </w:p>
    <w:p>
      <w:pPr>
        <w:spacing w:after="0" w:line="190" w:lineRule="exact"/>
        <w:rPr>
          <w:sz w:val="20"/>
          <w:szCs w:val="20"/>
          <w:color w:val="auto"/>
        </w:rPr>
      </w:pPr>
    </w:p>
    <w:p>
      <w:pPr>
        <w:ind w:left="4" w:right="10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Customary Bridge Loans</w:t>
      </w:r>
      <w:r>
        <w:rPr>
          <w:rFonts w:ascii="Arial" w:cs="Arial" w:eastAsia="Arial" w:hAnsi="Arial"/>
          <w:sz w:val="17"/>
          <w:szCs w:val="17"/>
          <w:color w:val="auto"/>
        </w:rPr>
        <w:t xml:space="preserve">” means bridge loans with a maturity date of not longer than one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Weighted Average Life to Maturity of any loan, note, security or other Indebtedness which is exchanged for or otherwise replaces (or is to be exchanged for or otherwise replace) such bridge loans is not shorter than the Weighted Average Life to Maturity of any Class of then-existing Term Loans and (b) the final maturity date of any loan, note, security or other Indebtedness which is exchanged for or otherwise replaces (or is to be exchanged for or otherwise replace) such bridge loans is not earlier than the Latest Term Loan Maturity Date on the date of the issuance or incurrence thereof.</w:t>
      </w:r>
    </w:p>
    <w:p>
      <w:pPr>
        <w:spacing w:after="0" w:line="176"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Protection Laws</w:t>
      </w:r>
      <w:r>
        <w:rPr>
          <w:rFonts w:ascii="Arial" w:cs="Arial" w:eastAsia="Arial" w:hAnsi="Arial"/>
          <w:sz w:val="18"/>
          <w:szCs w:val="18"/>
          <w:color w:val="auto"/>
        </w:rPr>
        <w:t>” means any applicable Requirements of Law relating to the processing of data, data privacy, data security, data breach notification, and the cross-border transfer of Personal Information.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 Minimis Proceeds Threshold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2.11(b)(ii)</w:t>
      </w:r>
      <w:r>
        <w:rPr>
          <w:rFonts w:ascii="Arial" w:cs="Arial" w:eastAsia="Arial" w:hAnsi="Arial"/>
          <w:sz w:val="18"/>
          <w:szCs w:val="18"/>
          <w:color w:val="auto"/>
        </w:rPr>
        <w:t>.</w:t>
      </w:r>
    </w:p>
    <w:p>
      <w:pPr>
        <w:spacing w:after="0" w:line="225" w:lineRule="exact"/>
        <w:rPr>
          <w:sz w:val="20"/>
          <w:szCs w:val="20"/>
          <w:color w:val="auto"/>
        </w:rPr>
      </w:pPr>
    </w:p>
    <w:p>
      <w:pPr>
        <w:ind w:left="4" w:right="2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Fund Affiliate</w:t>
      </w:r>
      <w:r>
        <w:rPr>
          <w:rFonts w:ascii="Arial" w:cs="Arial" w:eastAsia="Arial" w:hAnsi="Arial"/>
          <w:sz w:val="18"/>
          <w:szCs w:val="18"/>
          <w:color w:val="auto"/>
        </w:rPr>
        <w:t>” means any Affiliate of a Sponsor (other than a natural person (or any holding company, investment vehicle or trust for, or owned and operated by, or for the primary benefit of, one or more natural persons)) that is a bona fide debt fund or other investment vehicle (in each case with one or more bona fide investors to whom its managers owe fiduciary duties independent of their fiduciary duties to such Sponsor) that is primarily engaged in, or advises funds or other investment vehicles that are engaged in, making, purchasing, holding or otherwise investing in commercial loans, bonds and similar extensions of credit in the ordinary course.</w:t>
      </w:r>
    </w:p>
    <w:p>
      <w:pPr>
        <w:spacing w:after="0" w:line="188"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FX Hedge</w:t>
      </w:r>
      <w:r>
        <w:rPr>
          <w:rFonts w:ascii="Arial" w:cs="Arial" w:eastAsia="Arial" w:hAnsi="Arial"/>
          <w:sz w:val="18"/>
          <w:szCs w:val="18"/>
          <w:color w:val="auto"/>
        </w:rPr>
        <w:t>” means any Hedge Agreement entered into for the purpose of hedging currency related risks in respect of any Indebtedness of the type described in the definition of “Consolidated Total Debt”.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4" w:right="479" w:bottom="1440" w:gutter="0" w:footer="0" w:header="0"/>
        </w:sectPr>
      </w:pPr>
    </w:p>
    <w:bookmarkStart w:id="31" w:name="page32"/>
    <w:bookmarkEnd w:id="31"/>
    <w:p>
      <w:pPr>
        <w:ind w:right="2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US, and all other liquidation, conservatorship, bankruptcy, general assignment for the benefit of creditors, moratorium, rearrangement, receivership, insolvency, reorganization or similar debtor relief laws of the US or other applicable jurisdictions from time to time in effect and affecting the rights of creditors generally.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Declined Proceeds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2.11(b)(v)</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upon notice, lapse of time or both would become an Event of Default.</w:t>
      </w:r>
    </w:p>
    <w:p>
      <w:pPr>
        <w:spacing w:after="0" w:line="225"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any Person that has (a) defaulted in (or is otherwise unable to perform) its obligations under this Agreement, including its obligations, (x) to make a Loan within two Business Days of the date required to be made by it hereunder or (y) to fund its participation in a Letter of Credit or Swingline Loan required to be funded by it hereunder within two Business Days of the date such obligation arose or such Loan or Letter of Credit or Swingline Loan was required to be made or funded, unless, in the case of </w:t>
      </w:r>
      <w:r>
        <w:rPr>
          <w:rFonts w:ascii="Arial" w:cs="Arial" w:eastAsia="Arial" w:hAnsi="Arial"/>
          <w:sz w:val="16"/>
          <w:szCs w:val="16"/>
          <w:u w:val="single" w:color="auto"/>
          <w:color w:val="auto"/>
        </w:rPr>
        <w:t>subclause (x)</w:t>
      </w:r>
      <w:r>
        <w:rPr>
          <w:rFonts w:ascii="Arial" w:cs="Arial" w:eastAsia="Arial" w:hAnsi="Arial"/>
          <w:sz w:val="16"/>
          <w:szCs w:val="16"/>
          <w:color w:val="auto"/>
        </w:rPr>
        <w:t xml:space="preserve"> above, such Person notifies the Administrative Agent in writing that such failure is the result of such Person’s good faith determination that a condition precedent to funding (specifically identified and including the particular default, if any) has not been satisfied, (b) notified the Administrative Agent, any Issuing Bank or the Swingline Lender or the Borrower in writing that it does not intend to satisfy or perform any such obligation or has made a public statement to the effect that it does not intend to comply with its funding or other obligations under this Agreement or under agreements in which it commits to extend credit generally (unless such writing indicates that such position is based on such Person’s good faith determination that a condition precedent (specifically identified and including the particular default, if any) to funding a Loan cannot be satisfied), (c) failed, within two Business Days after the request of the Administrative Agent or the Borrower, to confirm in writing that it will comply with the terms of this Agreement relating to its obligations to fund any prospective Loan and/or any participation in any then outstanding Letter of Credit or Swingline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the Administrative Agent, (d) become (or any parent company thereof has become) insolvent or been determined by any Governmental Authority having regulatory authority over such Person or its assets, to be insolvent, or the assets or management of which has been taken over by any Governmental Authority or (e)(i) become (or any parent company thereof has become) either the subject of (A) a bankruptcy or insolvency proceeding or (B) a Bail-In Action, (ii) has had a receiver, conservator, trustee, administrator, assignee for the benefit of creditors or similar Person charged with reorganization or liquidation of its business or custodian, appointed for it, or (iii) has taken any action in furtherance of, or indicating its consent to, approval of or acquiescence in, any such proceeding or appointment, unless in the case of any Person subject to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the Borrower and the Administrative Agent have each determined that such Person intends, and has all approvals required to enable it (in form and substance satisfactory to the Borrower and the Administrative Agent), to continue to perform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Person shall be deemed to be a Defaulting Lender solely by virtue of the ownership or acquisition of any Capital Stock in such Person or its parent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action does not result in or provide such Person with immunity from the jurisdiction of courts within the US or from the enforcement of judgments or writs of attachment on its assets or permit such Person (or such Governmental Authority) to reject, repudiate, disavow or disaffirm any contract or agreement to which such Person is a party. In the event that the Administrative Agent determines that any Person is a Defaulting Lender pursuant to the foregoing, such determination shall be conclusive and binding absent manifest error, and such Person shall be deemed to be a Defaulting Lender (subject to </w:t>
      </w:r>
      <w:r>
        <w:rPr>
          <w:rFonts w:ascii="Arial" w:cs="Arial" w:eastAsia="Arial" w:hAnsi="Arial"/>
          <w:sz w:val="16"/>
          <w:szCs w:val="16"/>
          <w:u w:val="single" w:color="auto"/>
          <w:color w:val="auto"/>
        </w:rPr>
        <w:t>Section 2.21(e)</w:t>
      </w:r>
      <w:r>
        <w:rPr>
          <w:rFonts w:ascii="Arial" w:cs="Arial" w:eastAsia="Arial" w:hAnsi="Arial"/>
          <w:sz w:val="16"/>
          <w:szCs w:val="16"/>
          <w:color w:val="auto"/>
        </w:rPr>
        <w:t>) as of the date established therefor by the Administrative Agent in a written notice of such determination, which shall be delivered by the Administrative Agent to the Borrower, each Issuing Bank, the Swingline Lender and each Lender promptly following such determination.</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Divided LLC</w:t>
      </w:r>
      <w:r>
        <w:rPr>
          <w:rFonts w:ascii="Arial" w:cs="Arial" w:eastAsia="Arial" w:hAnsi="Arial"/>
          <w:sz w:val="18"/>
          <w:szCs w:val="18"/>
          <w:color w:val="auto"/>
        </w:rPr>
        <w:t>” means any Delaware LLC which has been formed upon the consummation of a Delaware LLC Division.</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2" w:name="page33"/>
    <w:bookmarkEnd w:id="3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Delaware LLC</w:t>
      </w:r>
      <w:r>
        <w:rPr>
          <w:rFonts w:ascii="Arial" w:cs="Arial" w:eastAsia="Arial" w:hAnsi="Arial"/>
          <w:sz w:val="18"/>
          <w:szCs w:val="18"/>
          <w:color w:val="auto"/>
        </w:rPr>
        <w:t>” means any limited liability company organized or formed under the laws of the State of Delaware.</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LLC Division</w:t>
      </w:r>
      <w:r>
        <w:rPr>
          <w:rFonts w:ascii="Arial" w:cs="Arial" w:eastAsia="Arial" w:hAnsi="Arial"/>
          <w:sz w:val="18"/>
          <w:szCs w:val="18"/>
          <w:color w:val="auto"/>
        </w:rPr>
        <w:t>” means the statutory division of any Delaware LLC into two or more Delaware LLCs pursuant to Section 18-217 of the Delaware Limited Liability Company Act.</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means a demand, time, savings, passbook or like account with a bank, savings and loan association, credit union or like organization, other than an account evidenced by a negotiable certificate of deposit.</w:t>
      </w:r>
    </w:p>
    <w:p>
      <w:pPr>
        <w:spacing w:after="0" w:line="17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Derivative Transaction</w:t>
      </w:r>
      <w:r>
        <w:rPr>
          <w:rFonts w:ascii="Arial" w:cs="Arial" w:eastAsia="Arial" w:hAnsi="Arial"/>
          <w:sz w:val="16"/>
          <w:szCs w:val="16"/>
          <w:color w:val="auto"/>
        </w:rPr>
        <w:t xml:space="preserve">” 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derivative transaction, including any commodity-linked swap, any commodity-linked option, any forward commodity-linked contract, and any other instrument linked to commodities that gives rise to similar credit risks; </w:t>
      </w:r>
      <w:r>
        <w:rPr>
          <w:rFonts w:ascii="Arial" w:cs="Arial" w:eastAsia="Arial" w:hAnsi="Arial"/>
          <w:sz w:val="16"/>
          <w:szCs w:val="16"/>
          <w:u w:val="single" w:color="auto"/>
          <w:color w:val="auto"/>
        </w:rPr>
        <w:t>provided</w:t>
      </w:r>
      <w:r>
        <w:rPr>
          <w:rFonts w:ascii="Arial" w:cs="Arial" w:eastAsia="Arial" w:hAnsi="Arial"/>
          <w:sz w:val="16"/>
          <w:szCs w:val="16"/>
          <w:color w:val="auto"/>
        </w:rPr>
        <w:t>, that no phantom stock or similar plan providing for payments only on account of services provided by current or former directors, officers, employees, members of management, managers or consultants of the Borrower or its subsidiaries shall be a Derivative Transaction.</w:t>
      </w:r>
    </w:p>
    <w:p>
      <w:pPr>
        <w:spacing w:after="0" w:line="166"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Non-Cash Consideration</w:t>
      </w:r>
      <w:r>
        <w:rPr>
          <w:rFonts w:ascii="Arial" w:cs="Arial" w:eastAsia="Arial" w:hAnsi="Arial"/>
          <w:sz w:val="18"/>
          <w:szCs w:val="18"/>
          <w:color w:val="auto"/>
        </w:rPr>
        <w:t xml:space="preserve">” means the fair market value (as determined by the Borrower in good faith) of non-Cash consideration received by the Borrower or any Restricted Subsidiary in connection with any Disposition pursuant to </w:t>
      </w:r>
      <w:r>
        <w:rPr>
          <w:rFonts w:ascii="Arial" w:cs="Arial" w:eastAsia="Arial" w:hAnsi="Arial"/>
          <w:sz w:val="18"/>
          <w:szCs w:val="18"/>
          <w:u w:val="single" w:color="auto"/>
          <w:color w:val="auto"/>
        </w:rPr>
        <w:t>Section 6.07(h)</w:t>
      </w:r>
      <w:r>
        <w:rPr>
          <w:rFonts w:ascii="Arial" w:cs="Arial" w:eastAsia="Arial" w:hAnsi="Arial"/>
          <w:sz w:val="18"/>
          <w:szCs w:val="18"/>
          <w:color w:val="auto"/>
        </w:rPr>
        <w:t xml:space="preserve"> that is designated as Designated Non-Cash Consideration pursuant to a certificate of a Responsible Officer of the Borrower, setting forth the basis of such valuation (which amount will be reduced by the amount of Cash or Cash Equivalents received in connection with a subsequent sale or conversion of such Designated Non-Cash Consideration to Cash or Cash Equivalents).</w:t>
      </w:r>
    </w:p>
    <w:p>
      <w:pPr>
        <w:spacing w:after="0" w:line="188" w:lineRule="exact"/>
        <w:rPr>
          <w:sz w:val="20"/>
          <w:szCs w:val="20"/>
          <w:color w:val="auto"/>
        </w:rPr>
      </w:pPr>
    </w:p>
    <w:p>
      <w:pPr>
        <w:jc w:val="both"/>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Operational FX Hedge</w:t>
      </w:r>
      <w:r>
        <w:rPr>
          <w:rFonts w:ascii="Arial" w:cs="Arial" w:eastAsia="Arial" w:hAnsi="Arial"/>
          <w:sz w:val="18"/>
          <w:szCs w:val="18"/>
          <w:color w:val="auto"/>
        </w:rPr>
        <w:t>” means any Hedge Agreement (a) entered into for the purpose of hedging currency-related risks in respect of the revenues, cash flows or other balance sheet items of the Borrower and/or any of its subsidiaries and (b) designated at the time entered into (or on or prior to the Closing Date, with respect to any Hedge Agreement entered into on or prior to the Closing Date) as a Designated Operational FX Hedge by the Borrower in a writing delivered to the Administrative Agent.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Discretionary Guarantor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5.12(c)</w:t>
      </w:r>
      <w:r>
        <w:rPr>
          <w:rFonts w:ascii="Arial" w:cs="Arial" w:eastAsia="Arial" w:hAnsi="Arial"/>
          <w:sz w:val="18"/>
          <w:szCs w:val="18"/>
          <w:color w:val="auto"/>
        </w:rPr>
        <w:t>.</w:t>
      </w:r>
    </w:p>
    <w:p>
      <w:pPr>
        <w:spacing w:after="0" w:line="22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lease, sublease, or other disposition of any property of any Person, including any disposition of property to a Delaware Divided LLC pursuant to a Delaware LLC Division.</w:t>
      </w:r>
    </w:p>
    <w:p>
      <w:pPr>
        <w:spacing w:after="0" w:line="170"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Capital Stock</w:t>
      </w:r>
      <w:r>
        <w:rPr>
          <w:rFonts w:ascii="Arial" w:cs="Arial" w:eastAsia="Arial" w:hAnsi="Arial"/>
          <w:sz w:val="18"/>
          <w:szCs w:val="18"/>
          <w:color w:val="auto"/>
        </w:rPr>
        <w:t>” means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pursuant to a sinking fund obligation or otherwise, or is redeemable at the option of the holder thereof (other than for Qualified Capital Stock), in whole or in part, on or prior to the date that is 91 days following the Latest Maturity Date at the time such Capital Stock is issued (it being understood that if any such redemption is in part, only such part coming into effect prior to the date that is 91 days following the Latest Maturity Date shall constitute Disqualified Capital Stock), (b) is or becomes convertible into or exchangeable (unless at the sole option of the issuer thereof) for (i) debt securities or (ii) any Capital Stock that would constitute Disqualified Capital Stock, in each case at any time on or prior to the date that is 91 days following the Latest Maturity Date at the time such Capital Stock is issued or (c) contains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3" w:name="page34"/>
    <w:bookmarkEnd w:id="33"/>
    <w:p>
      <w:pPr>
        <w:ind w:left="4"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mandatory repurchase obligation (other than for Qualified Capital Stock), in whole or in part, which may come into effect prior to the date that is 91 days following the Latest Maturity Date at the time such Capital Stock is issued (it being understood that if any such repurchase obligation is in part, only such part coming into effect prior to the date that is 91 days following the Latest Maturity Date shall constitute Disqualified Capital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(x) Capital Stock that would not constitute Disqualified Capital Stock but for provisions thereof giving holders thereof (or the holders of any security into or for which such Capital Stock is convertible, exchangeable or exercisable) the right to require the issuer thereof to redeem such Capital Stock upon the occurrence of any change of control or any other liquidity event or any Disposition occurring prior to the date that is 91 days following the Latest Maturity Date at the time such Capital Stock is issued shall not constitute Disqualified Capital Stock if the documentation governing such Capital Stock provides that the issuer thereof will not redeem any such Capital Stock pursuant to such provisions unless either (1) the relevant redemption is permitted by the terms of this Agreement or (2) the Termination Date has occurred and (y) for purposes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through</w:t>
      </w:r>
    </w:p>
    <w:p>
      <w:pPr>
        <w:spacing w:after="0" w:line="6" w:lineRule="exact"/>
        <w:rPr>
          <w:sz w:val="20"/>
          <w:szCs w:val="20"/>
          <w:color w:val="auto"/>
        </w:rPr>
      </w:pPr>
    </w:p>
    <w:p>
      <w:pPr>
        <w:ind w:left="4" w:hanging="4"/>
        <w:spacing w:after="0" w:line="255" w:lineRule="auto"/>
        <w:tabs>
          <w:tab w:leader="none" w:pos="249" w:val="left"/>
        </w:tabs>
        <w:numPr>
          <w:ilvl w:val="0"/>
          <w:numId w:val="28"/>
        </w:numPr>
        <w:rPr>
          <w:rFonts w:ascii="Arial" w:cs="Arial" w:eastAsia="Arial" w:hAnsi="Arial"/>
          <w:sz w:val="18"/>
          <w:szCs w:val="18"/>
          <w:u w:val="single" w:color="auto"/>
          <w:color w:val="auto"/>
        </w:rPr>
      </w:pPr>
      <w:r>
        <w:rPr>
          <w:rFonts w:ascii="Arial" w:cs="Arial" w:eastAsia="Arial" w:hAnsi="Arial"/>
          <w:sz w:val="18"/>
          <w:szCs w:val="18"/>
          <w:color w:val="auto"/>
        </w:rPr>
        <w:t>above, it is understood and agreed that if any such maturity, redemption conversion, exchange, repurchase obligation or scheduled payment is in part, only such part coming into effect prior to the date that is 91 days following the Latest Maturity Date (determined at the time such Capital Stock is issued) shall constitute Disqualified Capital Stock.</w:t>
      </w:r>
    </w:p>
    <w:p>
      <w:pPr>
        <w:spacing w:after="0" w:line="190"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Notwithstanding the preceding sentence, (A) if such Capital Stock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the Borrower or any Restricted Subsidiary and/or any Parent Company, such Capital Stock shall not constitute Disqualified Capital Stock solely because it may be required to be repurchased by the issuer thereof in order to satisfy applicable statutory or regulatory obligations and (B) no Capital Stock held by any future, present or former employee, director, officer, manager, member of management or consultant (or their respective Affiliates or Immediate Family Members) of the Borrower (or any Parent Company or any subsidiary) shall be considered Disqualified Capital Stock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Institution</w:t>
      </w:r>
      <w:r>
        <w:rPr>
          <w:rFonts w:ascii="Arial" w:cs="Arial" w:eastAsia="Arial" w:hAnsi="Arial"/>
          <w:sz w:val="18"/>
          <w:szCs w:val="18"/>
          <w:color w:val="auto"/>
        </w:rPr>
        <w:t>” means:</w:t>
      </w:r>
    </w:p>
    <w:p>
      <w:pPr>
        <w:spacing w:after="0" w:line="117" w:lineRule="exact"/>
        <w:rPr>
          <w:sz w:val="20"/>
          <w:szCs w:val="20"/>
          <w:color w:val="auto"/>
        </w:rPr>
      </w:pPr>
    </w:p>
    <w:p>
      <w:pPr>
        <w:ind w:left="444" w:right="80" w:firstLine="419"/>
        <w:spacing w:after="0" w:line="275" w:lineRule="auto"/>
        <w:tabs>
          <w:tab w:leader="none" w:pos="1112"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(i) any Person identified in writing to the Arrangers on or prior to September 8, 2021, (ii) any Person that is identified in writing to the Administrative Agent after the Closing Date (provided, that any Person so identified after the Closing Date must be reasonably acceptable to the Administrative Agent), (iii) any Affiliate of any Person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that is reasonably identifiable on the basis of such Person’s name as an Affiliate of such Person, and (iv) any other Affiliate of any Person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 that is identified in a written notice to the Administrative Agent (each such person, a “</w:t>
      </w:r>
      <w:r>
        <w:rPr>
          <w:rFonts w:ascii="Arial" w:cs="Arial" w:eastAsia="Arial" w:hAnsi="Arial"/>
          <w:sz w:val="17"/>
          <w:szCs w:val="17"/>
          <w:u w:val="single" w:color="auto"/>
          <w:color w:val="auto"/>
        </w:rPr>
        <w:t>Disqualified Lending Institution</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jc w:val="both"/>
        <w:ind w:left="444" w:right="20" w:firstLine="419"/>
        <w:spacing w:after="0" w:line="255" w:lineRule="auto"/>
        <w:tabs>
          <w:tab w:leader="none" w:pos="1122"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 any Person that is or becomes a Company Competitor and/or any Affiliate of any Company Competitor (other than a Competitor Debt Fund Affiliate), in each case, that is identified in writing to the Administrative Agent, (ii) any Affiliate of any Person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(other than any Competitor Debt Fund Affiliate) that is reasonably identifiable on the basis of such Person’s name as an Affiliate of such Person and (iii) any other Affiliate of any Person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that is identified in a written notice to the Administrative Agent; it being understood and agreed that no Competitor Debt Fund Affiliate of any Company Competitor may be designated as a Disqualified Institution pursuant to this </w:t>
      </w:r>
      <w:r>
        <w:rPr>
          <w:rFonts w:ascii="Arial" w:cs="Arial" w:eastAsia="Arial" w:hAnsi="Arial"/>
          <w:sz w:val="18"/>
          <w:szCs w:val="18"/>
          <w:u w:val="single" w:color="auto"/>
          <w:color w:val="auto"/>
        </w:rPr>
        <w:t>clause (iii)</w:t>
      </w:r>
      <w:r>
        <w:rPr>
          <w:rFonts w:ascii="Arial" w:cs="Arial" w:eastAsia="Arial" w:hAnsi="Arial"/>
          <w:sz w:val="18"/>
          <w:szCs w:val="18"/>
          <w:color w:val="auto"/>
        </w:rPr>
        <w:t>; and</w:t>
      </w:r>
    </w:p>
    <w:p>
      <w:pPr>
        <w:spacing w:after="0" w:line="84" w:lineRule="exact"/>
        <w:rPr>
          <w:rFonts w:ascii="Arial" w:cs="Arial" w:eastAsia="Arial" w:hAnsi="Arial"/>
          <w:sz w:val="18"/>
          <w:szCs w:val="18"/>
          <w:color w:val="auto"/>
        </w:rPr>
      </w:pPr>
    </w:p>
    <w:p>
      <w:pPr>
        <w:ind w:left="444" w:right="540" w:firstLine="419"/>
        <w:spacing w:after="0" w:line="277" w:lineRule="auto"/>
        <w:tabs>
          <w:tab w:leader="none" w:pos="11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any Affiliate or Representative of any Arranger and/or any Initial Lender that is engaged as a principal primarily in private equity, mezzanine financing or venture capital (any Person described in this </w:t>
      </w:r>
      <w:r>
        <w:rPr>
          <w:rFonts w:ascii="Arial" w:cs="Arial" w:eastAsia="Arial" w:hAnsi="Arial"/>
          <w:sz w:val="18"/>
          <w:szCs w:val="18"/>
          <w:u w:val="single" w:color="auto"/>
          <w:color w:val="auto"/>
        </w:rPr>
        <w:t>clause (c)</w:t>
      </w:r>
      <w:r>
        <w:rPr>
          <w:rFonts w:ascii="Arial" w:cs="Arial" w:eastAsia="Arial" w:hAnsi="Arial"/>
          <w:sz w:val="18"/>
          <w:szCs w:val="18"/>
          <w:color w:val="auto"/>
        </w:rPr>
        <w:t>, an “</w:t>
      </w:r>
      <w:r>
        <w:rPr>
          <w:rFonts w:ascii="Arial" w:cs="Arial" w:eastAsia="Arial" w:hAnsi="Arial"/>
          <w:sz w:val="18"/>
          <w:szCs w:val="18"/>
          <w:u w:val="single" w:color="auto"/>
          <w:color w:val="auto"/>
        </w:rPr>
        <w:t>Excluded Party</w:t>
      </w:r>
      <w:r>
        <w:rPr>
          <w:rFonts w:ascii="Arial" w:cs="Arial" w:eastAsia="Arial" w:hAnsi="Arial"/>
          <w:sz w:val="18"/>
          <w:szCs w:val="18"/>
          <w:color w:val="auto"/>
        </w:rPr>
        <w: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34" w:name="page35"/>
    <w:bookmarkEnd w:id="34"/>
    <w:p>
      <w:pPr>
        <w:ind w:firstLine="440"/>
        <w:spacing w:after="0" w:line="279"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Arial" w:cs="Arial" w:eastAsia="Arial" w:hAnsi="Arial"/>
          <w:sz w:val="17"/>
          <w:szCs w:val="17"/>
          <w:color w:val="auto"/>
        </w:rPr>
        <w:t xml:space="preserve"> that no written notice delivered pursuant to </w:t>
      </w:r>
      <w:r>
        <w:rPr>
          <w:rFonts w:ascii="Arial" w:cs="Arial" w:eastAsia="Arial" w:hAnsi="Arial"/>
          <w:sz w:val="17"/>
          <w:szCs w:val="17"/>
          <w:u w:val="single" w:color="auto"/>
          <w:color w:val="auto"/>
        </w:rPr>
        <w:t>clauses (a)(ii)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(a)(iv)</w:t>
      </w:r>
      <w:r>
        <w:rPr>
          <w:rFonts w:ascii="Arial" w:cs="Arial" w:eastAsia="Arial" w:hAnsi="Arial"/>
          <w:sz w:val="17"/>
          <w:szCs w:val="17"/>
          <w:color w:val="auto"/>
        </w:rPr>
        <w:t xml:space="preserve">, </w:t>
      </w:r>
      <w:r>
        <w:rPr>
          <w:rFonts w:ascii="Arial" w:cs="Arial" w:eastAsia="Arial" w:hAnsi="Arial"/>
          <w:sz w:val="17"/>
          <w:szCs w:val="17"/>
          <w:u w:val="single" w:color="auto"/>
          <w:color w:val="auto"/>
        </w:rPr>
        <w:t>(b)(i)</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(b)(iii)</w:t>
      </w:r>
      <w:r>
        <w:rPr>
          <w:rFonts w:ascii="Arial" w:cs="Arial" w:eastAsia="Arial" w:hAnsi="Arial"/>
          <w:sz w:val="17"/>
          <w:szCs w:val="17"/>
          <w:color w:val="auto"/>
        </w:rPr>
        <w:t xml:space="preserve"> above shall apply retroactively to disqualify any person that has acquired or agreed to acquire prior to the delivery of such notice (i) an assignment of an interest in the Loans pursuant to a fully executed Assignment and Assumption (including any consents thereto required hereby) or (ii) a participation interest in the Loans pursuant to a fully executed participation agreement that provides for “participation” only (including any consents thereto required hereby).</w:t>
      </w:r>
    </w:p>
    <w:p>
      <w:pPr>
        <w:spacing w:after="0" w:line="17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The Borrower shall be permitted to remove any Person from the list of Disqualified Institutions; </w:t>
      </w:r>
      <w:r>
        <w:rPr>
          <w:rFonts w:ascii="Arial" w:cs="Arial" w:eastAsia="Arial" w:hAnsi="Arial"/>
          <w:sz w:val="18"/>
          <w:szCs w:val="18"/>
          <w:u w:val="single" w:color="auto"/>
          <w:color w:val="auto"/>
        </w:rPr>
        <w:t>provided</w:t>
      </w:r>
      <w:r>
        <w:rPr>
          <w:rFonts w:ascii="Arial" w:cs="Arial" w:eastAsia="Arial" w:hAnsi="Arial"/>
          <w:sz w:val="18"/>
          <w:szCs w:val="18"/>
          <w:color w:val="auto"/>
        </w:rPr>
        <w:t>, that at any time after the removal of such Person, the Borrower shall be permitted to re-designate such Person as a Disqualified Institution without the consent of the Administrative Agent or any other Person.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Lending Institution</w:t>
      </w:r>
      <w:r>
        <w:rPr>
          <w:rFonts w:ascii="Arial" w:cs="Arial" w:eastAsia="Arial" w:hAnsi="Arial"/>
          <w:sz w:val="18"/>
          <w:szCs w:val="18"/>
          <w:color w:val="auto"/>
        </w:rPr>
        <w:t>” has the meaning assigned to such term in the definition of “Disqualified Institution”.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Person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9.05(f)(ii)</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any currency other than Dollars, the equivalent amount thereof in Dollars as determined by the Administrative Agent at such time on the basis of the Spot Rate (determined in respect of the most recent Revaluation Date or other relevant date of determination) for the purchase of Dollars with such other currency.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US.</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of the Borrower incorporated or organized under the laws of the US, any state thereof or the District of Columbia.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Auction</w:t>
      </w:r>
      <w:r>
        <w:rPr>
          <w:rFonts w:ascii="Arial" w:cs="Arial" w:eastAsia="Arial" w:hAnsi="Arial"/>
          <w:sz w:val="18"/>
          <w:szCs w:val="18"/>
          <w:color w:val="auto"/>
        </w:rPr>
        <w:t xml:space="preserve">” has the meaning assigned to such term on </w:t>
      </w:r>
      <w:r>
        <w:rPr>
          <w:rFonts w:ascii="Arial" w:cs="Arial" w:eastAsia="Arial" w:hAnsi="Arial"/>
          <w:sz w:val="18"/>
          <w:szCs w:val="18"/>
          <w:u w:val="single" w:color="auto"/>
          <w:color w:val="auto"/>
        </w:rPr>
        <w:t>Schedule 1.01(b)</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Financial Institution</w:t>
      </w:r>
      <w:r>
        <w:rPr>
          <w:rFonts w:ascii="Arial" w:cs="Arial" w:eastAsia="Arial" w:hAnsi="Arial"/>
          <w:sz w:val="17"/>
          <w:szCs w:val="17"/>
          <w:color w:val="auto"/>
        </w:rPr>
        <w:t xml:space="preserve">” means (a) any credit institution or investment firm established in any EEA Member Country (or, to the extent that the United Kingdom is not an EEA Member Country, the United Kingdom), which is subject to the supervision of a Resolution Authority, (b) any entity established in an EEA Member Country (or, to the extent that the United Kingdom is not an EEA Member Country, the United Kingdom), which is a parent of an institution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definition, or (c) any financial institution established in an EEA Member Country (or, to the extent that the United Kingdom is not an EEA Member Country, the United Kingdom), which is a subsidiary of an institution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definition and is subject to consolidated supervision with its parent.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any electronic symbol or process attached to, or associated with, any contract or other record and adopted by a person with the intent to sign, authenticate or accept such contract or record.</w:t>
      </w:r>
    </w:p>
    <w:p>
      <w:pPr>
        <w:spacing w:after="0" w:line="170" w:lineRule="exact"/>
        <w:rPr>
          <w:sz w:val="20"/>
          <w:szCs w:val="20"/>
          <w:color w:val="auto"/>
        </w:rPr>
      </w:pPr>
    </w:p>
    <w:p>
      <w:pPr>
        <w:jc w:val="both"/>
        <w:ind w:right="1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xml:space="preserve">” means (a) any Lender, (b) any commercial bank, insurance company, or finance company, financial institution, any fund that invests in loans or any other “accredited investor” (as defined in Regulation D of the Securities Act), (c) any Affiliate of any Lender, (d) any Approved Fund of any Lender and (e) to the extent permitted under </w:t>
      </w:r>
      <w:r>
        <w:rPr>
          <w:rFonts w:ascii="Arial" w:cs="Arial" w:eastAsia="Arial" w:hAnsi="Arial"/>
          <w:sz w:val="16"/>
          <w:szCs w:val="16"/>
          <w:u w:val="single" w:color="auto"/>
          <w:color w:val="auto"/>
        </w:rPr>
        <w:t>Section 9.05(g)</w:t>
      </w:r>
      <w:r>
        <w:rPr>
          <w:rFonts w:ascii="Arial" w:cs="Arial" w:eastAsia="Arial" w:hAnsi="Arial"/>
          <w:sz w:val="16"/>
          <w:szCs w:val="16"/>
          <w:color w:val="auto"/>
        </w:rPr>
        <w:t xml:space="preserve">, any Affiliated Lender or any Debt Fund Affiliate;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5" w:name="page36"/>
    <w:bookmarkEnd w:id="35"/>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that in any event, “Eligible Assignee” shall not include (i) any natural person (or any holding company, investment vehicle or trust for, or owned and operated by, or for the primary benefit of, one or more natural persons), (ii) any Disqualified Institution or (iii) except as permitted under </w:t>
      </w:r>
      <w:r>
        <w:rPr>
          <w:rFonts w:ascii="Arial" w:cs="Arial" w:eastAsia="Arial" w:hAnsi="Arial"/>
          <w:sz w:val="18"/>
          <w:szCs w:val="18"/>
          <w:u w:val="single" w:color="auto"/>
          <w:color w:val="auto"/>
        </w:rPr>
        <w:t>Section 9.05(g)</w:t>
      </w:r>
      <w:r>
        <w:rPr>
          <w:rFonts w:ascii="Arial" w:cs="Arial" w:eastAsia="Arial" w:hAnsi="Arial"/>
          <w:sz w:val="18"/>
          <w:szCs w:val="18"/>
          <w:color w:val="auto"/>
        </w:rPr>
        <w:t>, the Borrower or any of its Affiliates.</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Engagement Letter</w:t>
      </w:r>
      <w:r>
        <w:rPr>
          <w:rFonts w:ascii="Arial" w:cs="Arial" w:eastAsia="Arial" w:hAnsi="Arial"/>
          <w:sz w:val="18"/>
          <w:szCs w:val="18"/>
          <w:color w:val="auto"/>
        </w:rPr>
        <w:t>” means Amended and Restated Engagement Letter, dated as of September 16, 2021, by and among the Borrower and the Arrangers (and/or certain of their respective Affiliates).</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means ambient air, indoor air, surface water, groundwater, drinking water, land surface and subsurface strata &amp; natural resources such as wetlands, flora and fauna.</w:t>
      </w:r>
    </w:p>
    <w:p>
      <w:pPr>
        <w:spacing w:after="0" w:line="170"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Claim</w:t>
      </w:r>
      <w:r>
        <w:rPr>
          <w:rFonts w:ascii="Arial" w:cs="Arial" w:eastAsia="Arial" w:hAnsi="Arial"/>
          <w:sz w:val="17"/>
          <w:szCs w:val="17"/>
          <w:color w:val="auto"/>
        </w:rPr>
        <w:t>” means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any Hazardous Material or any actual or alleged Hazardous Materials Activity; or (c) in connection with any actual or alleged damage, injury, threat or harm to the Environment.</w:t>
      </w:r>
    </w:p>
    <w:p>
      <w:pPr>
        <w:spacing w:after="0" w:line="171"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applicable Requirements of Law relating to (a) environmental matters, including those relating to any Hazardous Materials Activity; or (b) the generation, use, storage, transportation or disposal of or exposure to Hazardous Materials, in any manner applicable to Holdings, the Borrower or any of its Restricted Subsidiaries or any Facility.</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directly or indirectly resulting from or based upon (a) any actual or alleged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that is under common control with Holdings, the Borrower or any Restricted Subsidiary and is treated as a single employer within the meaning of Section 414 of the Code or Section 4001 of ERISA.</w:t>
      </w:r>
    </w:p>
    <w:p>
      <w:pPr>
        <w:spacing w:after="0" w:line="146"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a withdrawal by Holdings, the Borrower or any Restricted Subsidiary or any ERISA Affiliate from a Pension Plan subject to Section 4063 of ERISA during a plan year in which it was a substantial employer (as defined in Section 4001(a)(2) of ERISA) or a cessation of operations at any facility of Holdings, the Borrower or any Restricted Subsidiary or any ERISA Affiliate as described in Section 4062(e) of ERISA, in each case, resulting in liability pursuant to Section 4063 of ERISA; (c) a complete or partial withdrawal by Holdings, the Borrower or any Restricted Subsidiary or any ERISA Affiliate from a Multiemployer Plan resulting in the imposition of Withdrawal Liability on Holdings, the Borrower or any Restricted Subsidiary or any ERISA Affiliate, notification of Holdings, the Borrower or any Restricted Subsidiary or any ERISA Affiliate concerning the imposition of Withdrawal Liability or notification that a Multiemployer Plan is “insolvent” within the meaning of Section 4245 of ERISA; (d) the filing of a notice of intent to terminate a Pension Plan under Section 4041(c) of ERISA, the treatment of a Pension Plan amendment as a termination under Section 4041(c) of ERISA, the commencement of proceedings by the PBGC to terminate a Pension Plan or the receipt by Holdings, the Borrower or any Restricted Subsidiary or any ERISA Affiliate of notice of the treatment of a Multiemployer Plan amendment as a termination under Section 4041A of ERISA or of notice of the commencement of proceedings by the PBGC to terminate a Multiemployer Plan; (e) the occurrence of an event or condition which</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0"/>
          </w:cols>
          <w:pgMar w:left="440" w:top="274" w:right="559" w:bottom="1440" w:gutter="0" w:footer="0" w:header="0"/>
        </w:sectPr>
      </w:pPr>
    </w:p>
    <w:bookmarkStart w:id="36" w:name="page37"/>
    <w:bookmarkEnd w:id="36"/>
    <w:p>
      <w:pPr>
        <w:ind w:right="4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constitutes grounds under Section 4042 of ERISA for the termination of, or the appointment of a trustee to administer, any Pension Plan or Multiemployer Plan; (f) the imposition of any liability under Title IV of ERISA, other than for PBGC premiums due but not delinquent under Section 4007 of ERISA, upon Holdings, the Borrower or any Restricted Subsidiary or any ERISA Affiliate, with respect to the termination of any Pension Plan; or (g) the conditions for imposition of a Lien under Section 303(k) of ERISA have been met with respect to any Pension Plan.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8.14(a)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Return Deficiency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8.14(c)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w:t>
      </w:r>
      <w:r>
        <w:rPr>
          <w:rFonts w:ascii="Arial" w:cs="Arial" w:eastAsia="Arial" w:hAnsi="Arial"/>
          <w:sz w:val="18"/>
          <w:szCs w:val="18"/>
          <w:color w:val="auto"/>
        </w:rPr>
        <w:t>” has the meaning set forth in the definition of “Indebtedness”.</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and the rules and regulations of the SEC promulgated thereunder.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means each of the following:</w:t>
      </w:r>
    </w:p>
    <w:p>
      <w:pPr>
        <w:spacing w:after="0" w:line="117" w:lineRule="exact"/>
        <w:rPr>
          <w:sz w:val="20"/>
          <w:szCs w:val="20"/>
          <w:color w:val="auto"/>
        </w:rPr>
      </w:pPr>
    </w:p>
    <w:p>
      <w:pPr>
        <w:ind w:left="440" w:firstLine="419"/>
        <w:spacing w:after="0" w:line="287" w:lineRule="auto"/>
        <w:tabs>
          <w:tab w:leader="none" w:pos="1108"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any asset the grant or perfection of a security interest in which would (i) be prohibited by enforceable anti-assignment provisions set forth in any contract that is permitted or otherwise not prohibited by the terms of this Agreement and is binding on such asset at the time of its acquisition and not incurred in contemplation thereof (other than assets subject to Capital Leases and purchase money financings), (ii) violate (after giving effect to applicable anti-assignment provisions of the UCC or other applicable Requirements of Law) the terms of any contract relating to such asset that is permitted or otherwise not prohibited by the terms of this Agreement and is binding on such asset at the time of its acquisition and not incurred in contemplation thereof (other than in the case of Capital Leases and purchase money financings), or (iii) trigger termination of any contract relating to such asset that is permitted or otherwise not prohibited by the terms of this Agreement pursuant to any “change of control” or similar provision (to the extent such contract is binding on such asset at the time of its acquisition and not incurred in contemplation thereof); it being understood that the term “Excluded Asset” shall not include proceeds or receivables arising out of any contract described in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to the extent that the assignment of such proceeds or receivables is expressly deemed to be effective under the UCC or other applicable Requirements of Law notwithstanding the relevant prohibition, violation or termination right;</w:t>
      </w:r>
    </w:p>
    <w:p>
      <w:pPr>
        <w:spacing w:after="0" w:line="63" w:lineRule="exact"/>
        <w:rPr>
          <w:rFonts w:ascii="Arial" w:cs="Arial" w:eastAsia="Arial" w:hAnsi="Arial"/>
          <w:sz w:val="16"/>
          <w:szCs w:val="16"/>
          <w:color w:val="auto"/>
        </w:rPr>
      </w:pPr>
    </w:p>
    <w:p>
      <w:pPr>
        <w:ind w:left="440" w:right="340" w:firstLine="419"/>
        <w:spacing w:after="0" w:line="277" w:lineRule="auto"/>
        <w:tabs>
          <w:tab w:leader="none" w:pos="11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Capital Stock of any (i) Captive Insurance Subsidiary, (ii) Unrestricted Subsidiary, (iii) not-for-profit subsidiary, (iv) Immaterial Subsidiary (other than an Immaterial Subsidiary that is a Loan Party) and/or (v) Receivables Subsidiary;</w:t>
      </w:r>
    </w:p>
    <w:p>
      <w:pPr>
        <w:spacing w:after="0" w:line="62" w:lineRule="exact"/>
        <w:rPr>
          <w:rFonts w:ascii="Arial" w:cs="Arial" w:eastAsia="Arial" w:hAnsi="Arial"/>
          <w:sz w:val="18"/>
          <w:szCs w:val="18"/>
          <w:color w:val="auto"/>
        </w:rPr>
      </w:pPr>
    </w:p>
    <w:p>
      <w:pPr>
        <w:ind w:left="440" w:firstLine="419"/>
        <w:spacing w:after="0" w:line="257" w:lineRule="auto"/>
        <w:tabs>
          <w:tab w:leader="none" w:pos="110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intent-to-use (or similar) Trademark application prior to the filing and acceptance by the U.S. Patent and Trademark Office (or similar Governmental Authority) of a “Statement of Use”, “Declaration of Use”, “Amendment to Allege Use” or similar filing with respect thereto, only to the extent, if any, that, and solely during the period if any, in which, the grant of a security interest therein may impair the validity or enforceability of such intent-to-use (or similar) Trademark application or any registration issuing therefrom under applicable Requirements of Law;</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40" w:top="274" w:right="539" w:bottom="1440" w:gutter="0" w:footer="0" w:header="0"/>
        </w:sectPr>
      </w:pPr>
    </w:p>
    <w:bookmarkStart w:id="37" w:name="page38"/>
    <w:bookmarkEnd w:id="37"/>
    <w:p>
      <w:pPr>
        <w:ind w:right="20" w:firstLine="419"/>
        <w:spacing w:after="0" w:line="269" w:lineRule="auto"/>
        <w:tabs>
          <w:tab w:leader="none" w:pos="678" w:val="left"/>
        </w:tabs>
        <w:numPr>
          <w:ilvl w:val="0"/>
          <w:numId w:val="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asset (including Capital Stock), the grant or perfection of a security interest in which (i) would be prohibited under applicable Requirements of Law (including, without limitation, any rule and/or regulation of any Governmental Authority) (after giving effect to applicable anti-assignment provisions of the UCC or other applicable Requirements of Law), (ii) would require any governmental or regulatory consent, approval, license or authorization, in each case, to the extent such consent, approval, license or authorization has not been obtained (it being understood and agreed that no Loan Party shall have any obligation to procure any such consent, approval, license or authorization) (after giving effect to applicable anti-assignment provisions of the UCC or other applicable Requirements of Law); it being understood that the term “Excluded Asset” shall not include proceeds or receivables arising out of any asset described in </w:t>
      </w:r>
      <w:r>
        <w:rPr>
          <w:rFonts w:ascii="Arial" w:cs="Arial" w:eastAsia="Arial" w:hAnsi="Arial"/>
          <w:sz w:val="17"/>
          <w:szCs w:val="17"/>
          <w:u w:val="single" w:color="auto"/>
          <w:color w:val="auto"/>
        </w:rPr>
        <w:t>clauses (d)(i)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(d)(ii)</w:t>
      </w:r>
      <w:r>
        <w:rPr>
          <w:rFonts w:ascii="Arial" w:cs="Arial" w:eastAsia="Arial" w:hAnsi="Arial"/>
          <w:sz w:val="17"/>
          <w:szCs w:val="17"/>
          <w:color w:val="auto"/>
        </w:rPr>
        <w:t xml:space="preserve"> to the extent that the assignment of such proceeds or receivables is effective under the UCC or other applicable Requirements of Law notwithstanding the relevant requirement or prohibition or (iii) could be reasonably likely to result in material adverse tax consequences (including as a result of the application of Section 956 of the Code or any similar Requirement of Law) to Holdings, the Borrower, any Parent Company and/or any of their subsidiaries as determined by the Borrower in good faith;</w:t>
      </w:r>
    </w:p>
    <w:p>
      <w:pPr>
        <w:spacing w:after="0" w:line="73" w:lineRule="exact"/>
        <w:rPr>
          <w:rFonts w:ascii="Arial" w:cs="Arial" w:eastAsia="Arial" w:hAnsi="Arial"/>
          <w:sz w:val="17"/>
          <w:szCs w:val="17"/>
          <w:color w:val="auto"/>
        </w:rPr>
      </w:pPr>
    </w:p>
    <w:p>
      <w:pPr>
        <w:ind w:right="20" w:firstLine="419"/>
        <w:spacing w:after="0" w:line="277" w:lineRule="auto"/>
        <w:tabs>
          <w:tab w:leader="none" w:pos="6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any leasehold Real Estate Asset, (ii) except to the extent a security interest therein can be perfected by the filing of a UCC-1 financing statement, any other leasehold interest, and (iii) any owned Real Estate Asset;</w:t>
      </w:r>
    </w:p>
    <w:p>
      <w:pPr>
        <w:spacing w:after="0" w:line="62" w:lineRule="exact"/>
        <w:rPr>
          <w:rFonts w:ascii="Arial" w:cs="Arial" w:eastAsia="Arial" w:hAnsi="Arial"/>
          <w:sz w:val="18"/>
          <w:szCs w:val="18"/>
          <w:color w:val="auto"/>
        </w:rPr>
      </w:pPr>
    </w:p>
    <w:p>
      <w:pPr>
        <w:ind w:right="120" w:firstLine="419"/>
        <w:spacing w:after="0" w:line="277"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Capital Stock of (i) any Person that is not the Borrower or a Wholly-Owned Subsidiary of the Borrower and/or (ii) any subsidiary of any non-Wholly Owned Subsidiary of the Borrower;</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Margin Stock;</w:t>
      </w:r>
    </w:p>
    <w:p>
      <w:pPr>
        <w:spacing w:after="0" w:line="117" w:lineRule="exact"/>
        <w:rPr>
          <w:rFonts w:ascii="Arial" w:cs="Arial" w:eastAsia="Arial" w:hAnsi="Arial"/>
          <w:sz w:val="18"/>
          <w:szCs w:val="18"/>
          <w:color w:val="auto"/>
        </w:rPr>
      </w:pPr>
    </w:p>
    <w:p>
      <w:pPr>
        <w:ind w:right="220" w:firstLine="419"/>
        <w:spacing w:after="0" w:line="263" w:lineRule="auto"/>
        <w:tabs>
          <w:tab w:leader="none" w:pos="6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Capital Stock of (i) any Foreign Subsidiary and (ii) any FSHCO, in each case, (A) in excess of 65% of the issued and outstanding voting Capital Stock and 100% of the issued and outstanding non-voting Capital Stock of any such Foreign Subsidiary and/or FSHCO or (B) to the extent such Foreign Subsidiary or FSHCO is not a first-tier Subsidiary of any Loan Party;</w:t>
      </w:r>
    </w:p>
    <w:p>
      <w:pPr>
        <w:spacing w:after="0" w:line="75" w:lineRule="exact"/>
        <w:rPr>
          <w:rFonts w:ascii="Arial" w:cs="Arial" w:eastAsia="Arial" w:hAnsi="Arial"/>
          <w:sz w:val="18"/>
          <w:szCs w:val="18"/>
          <w:color w:val="auto"/>
        </w:rPr>
      </w:pPr>
    </w:p>
    <w:p>
      <w:pPr>
        <w:ind w:left="640" w:hanging="2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Commercial Tort Claim;</w:t>
      </w:r>
    </w:p>
    <w:p>
      <w:pPr>
        <w:spacing w:after="0" w:line="117" w:lineRule="exact"/>
        <w:rPr>
          <w:rFonts w:ascii="Arial" w:cs="Arial" w:eastAsia="Arial" w:hAnsi="Arial"/>
          <w:sz w:val="18"/>
          <w:szCs w:val="18"/>
          <w:color w:val="auto"/>
        </w:rPr>
      </w:pPr>
    </w:p>
    <w:p>
      <w:pPr>
        <w:ind w:firstLine="419"/>
        <w:spacing w:after="0" w:line="301" w:lineRule="auto"/>
        <w:tabs>
          <w:tab w:leader="none" w:pos="638"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Deposit Account, securities account and/or similar account (including any securities entitlement), escrow, fiduciary and/or trust account, payroll and other employee wage and benefit accounts, tax accounts (including, sales tax accounts), any cash collateral account, any Cash and Cash Equivalents and any funds and other property held or maintained in any such accounts (other than, in each case, proceeds of other Collateral as to which perfection may be accomplished by filing a UCC-1 financing statement or automatically in accordance with the UCC);</w:t>
      </w:r>
    </w:p>
    <w:p>
      <w:pPr>
        <w:spacing w:after="0" w:line="49" w:lineRule="exact"/>
        <w:rPr>
          <w:rFonts w:ascii="Arial" w:cs="Arial" w:eastAsia="Arial" w:hAnsi="Arial"/>
          <w:sz w:val="16"/>
          <w:szCs w:val="16"/>
          <w:color w:val="auto"/>
        </w:rPr>
      </w:pPr>
    </w:p>
    <w:p>
      <w:pPr>
        <w:ind w:right="120" w:firstLine="419"/>
        <w:spacing w:after="0" w:line="293" w:lineRule="auto"/>
        <w:tabs>
          <w:tab w:leader="none" w:pos="6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assets subject to any purchase money security interest, Capital Lease obligation, sale-leaseback obligation or similar arrangement, in each case, that is permitted or otherwise not prohibited by the terms of this Agreement and to the extent the grant of a security interest therein would violate or invalidate such lease, license or agreement or purchase money or similar arrangement or create a right of termination in favor of any other party thereto (other than Holdings or any subsidiary of Holdings); it being understood that the term “Excluded Asset” shall not include proceeds or receivables arising out of any asset described in this </w:t>
      </w:r>
      <w:r>
        <w:rPr>
          <w:rFonts w:ascii="Arial" w:cs="Arial" w:eastAsia="Arial" w:hAnsi="Arial"/>
          <w:sz w:val="16"/>
          <w:szCs w:val="16"/>
          <w:u w:val="single" w:color="auto"/>
          <w:color w:val="auto"/>
        </w:rPr>
        <w:t>clause (k)</w:t>
      </w:r>
      <w:r>
        <w:rPr>
          <w:rFonts w:ascii="Arial" w:cs="Arial" w:eastAsia="Arial" w:hAnsi="Arial"/>
          <w:sz w:val="16"/>
          <w:szCs w:val="16"/>
          <w:color w:val="auto"/>
        </w:rPr>
        <w:t xml:space="preserve"> to the extent that the assignment of such proceeds or receivables is expressly deemed to be effective under the UCC or other applicable Requirements of Law notwithstanding the relevant violation or invalidation;</w:t>
      </w:r>
    </w:p>
    <w:p>
      <w:pPr>
        <w:spacing w:after="0" w:line="56" w:lineRule="exact"/>
        <w:rPr>
          <w:rFonts w:ascii="Arial" w:cs="Arial" w:eastAsia="Arial" w:hAnsi="Arial"/>
          <w:sz w:val="16"/>
          <w:szCs w:val="16"/>
          <w:color w:val="auto"/>
        </w:rPr>
      </w:pPr>
    </w:p>
    <w:p>
      <w:pPr>
        <w:ind w:right="540" w:firstLine="419"/>
        <w:spacing w:after="0" w:line="277" w:lineRule="auto"/>
        <w:tabs>
          <w:tab w:leader="none" w:pos="63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Letter-of-Credit Right that does not constitute a supporting obligation, except to the extent the security interest therein may be perfected by filing of a financing statement under the UCC of any applicable jurisdiction;</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60"/>
          </w:cols>
          <w:pgMar w:left="880" w:top="274" w:right="459" w:bottom="1440" w:gutter="0" w:footer="0" w:header="0"/>
        </w:sectPr>
      </w:pPr>
    </w:p>
    <w:bookmarkStart w:id="38" w:name="page39"/>
    <w:bookmarkEnd w:id="38"/>
    <w:p>
      <w:pPr>
        <w:ind w:left="4" w:right="20" w:firstLine="419"/>
        <w:spacing w:after="0" w:line="277" w:lineRule="auto"/>
        <w:tabs>
          <w:tab w:leader="none" w:pos="731" w:val="left"/>
        </w:tabs>
        <w:numPr>
          <w:ilvl w:val="1"/>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motor vehicles and other assets subject to certificates of title, except to the extent the security interest therein may be perfected by filing of a financing statement under the UCC of any applicable jurisdiction;</w:t>
      </w:r>
    </w:p>
    <w:p>
      <w:pPr>
        <w:spacing w:after="0" w:line="62" w:lineRule="exact"/>
        <w:rPr>
          <w:rFonts w:ascii="Arial" w:cs="Arial" w:eastAsia="Arial" w:hAnsi="Arial"/>
          <w:sz w:val="18"/>
          <w:szCs w:val="18"/>
          <w:color w:val="auto"/>
        </w:rPr>
      </w:pPr>
    </w:p>
    <w:p>
      <w:pPr>
        <w:ind w:left="4" w:right="60" w:firstLine="419"/>
        <w:spacing w:after="0" w:line="259" w:lineRule="auto"/>
        <w:tabs>
          <w:tab w:leader="none" w:pos="681"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asset of a Person acquired by Holdings, the Borrower or any other Restricted Subsidiary that, at the time of the relevant acquisition, is encumbered to secure assumed Indebtedness permitted by this Agreement to the extent (and for so long as) the documentation governing the applicable assumed Indebtedness prohibits such asset from being pledged to secure the Secured Obligations and the relevant prohibition was not implemented in contemplation of the applicable acquisition;</w:t>
      </w:r>
    </w:p>
    <w:p>
      <w:pPr>
        <w:spacing w:after="0" w:line="78" w:lineRule="exact"/>
        <w:rPr>
          <w:rFonts w:ascii="Arial" w:cs="Arial" w:eastAsia="Arial" w:hAnsi="Arial"/>
          <w:sz w:val="18"/>
          <w:szCs w:val="18"/>
          <w:color w:val="auto"/>
        </w:rPr>
      </w:pPr>
    </w:p>
    <w:p>
      <w:pPr>
        <w:ind w:left="684" w:hanging="261"/>
        <w:spacing w:after="0"/>
        <w:tabs>
          <w:tab w:leader="none" w:pos="684"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asset with respect to which the Borrower has in good faith determined that the cost, burden, difficulty or consequence (including</w:t>
      </w:r>
    </w:p>
    <w:p>
      <w:pPr>
        <w:spacing w:after="0" w:line="46" w:lineRule="exact"/>
        <w:rPr>
          <w:rFonts w:ascii="Arial" w:cs="Arial" w:eastAsia="Arial" w:hAnsi="Arial"/>
          <w:sz w:val="16"/>
          <w:szCs w:val="16"/>
          <w:color w:val="auto"/>
        </w:rPr>
      </w:pPr>
    </w:p>
    <w:p>
      <w:pPr>
        <w:jc w:val="both"/>
        <w:ind w:left="4" w:right="80" w:hanging="4"/>
        <w:spacing w:after="0" w:line="292" w:lineRule="auto"/>
        <w:tabs>
          <w:tab w:leader="none" w:pos="218"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effect on the ability of the relevant Loan Party to conduct its operations and business in the ordinary course of business and (ii) the cost of mortgage, stamp, intangible or other taxes or expenses) of obtaining or perfecting a security interest therein outweighs, or is excessive in light of, the practical benefit of a security interest to the relevant Secured Parties afforded thereby (and the Lenders acknowledge that the Collateral that may be provided by any Loan Party may be limited to minimize stamp duty, notarization, registration or other applicable fees, taxes and duties where the benefit to the Secured Parties of increasing the secured amount is disproportionate to the level of such fees, taxes and duties);</w:t>
      </w:r>
    </w:p>
    <w:p>
      <w:pPr>
        <w:spacing w:after="0" w:line="54" w:lineRule="exact"/>
        <w:rPr>
          <w:rFonts w:ascii="Arial" w:cs="Arial" w:eastAsia="Arial" w:hAnsi="Arial"/>
          <w:sz w:val="16"/>
          <w:szCs w:val="16"/>
          <w:color w:val="auto"/>
        </w:rPr>
      </w:pPr>
    </w:p>
    <w:p>
      <w:pPr>
        <w:ind w:left="4" w:right="180" w:firstLine="419"/>
        <w:spacing w:after="0" w:line="259" w:lineRule="auto"/>
        <w:tabs>
          <w:tab w:leader="none" w:pos="681"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governmental license or state or local franchise, charter or authorization, to the extent a security interest in any such license, franchise, charter or authorization would be prohibited or restricted thereby, after giving effect to the anti-assignment provisions of the UCC of any applicable jurisdiction, other than any proceeds or receivable thereof to the extent the assignment of the same is effective under the UCC of any applicable jurisdiction notwithstanding such consent or restriction;</w:t>
      </w:r>
    </w:p>
    <w:p>
      <w:pPr>
        <w:spacing w:after="0" w:line="78" w:lineRule="exact"/>
        <w:rPr>
          <w:rFonts w:ascii="Arial" w:cs="Arial" w:eastAsia="Arial" w:hAnsi="Arial"/>
          <w:sz w:val="18"/>
          <w:szCs w:val="18"/>
          <w:color w:val="auto"/>
        </w:rPr>
      </w:pPr>
    </w:p>
    <w:p>
      <w:pPr>
        <w:ind w:left="684" w:hanging="261"/>
        <w:spacing w:after="0"/>
        <w:tabs>
          <w:tab w:leader="none" w:pos="68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asset subject to any Receivables Facility; and</w:t>
      </w:r>
    </w:p>
    <w:p>
      <w:pPr>
        <w:spacing w:after="0" w:line="117" w:lineRule="exact"/>
        <w:rPr>
          <w:rFonts w:ascii="Arial" w:cs="Arial" w:eastAsia="Arial" w:hAnsi="Arial"/>
          <w:sz w:val="18"/>
          <w:szCs w:val="18"/>
          <w:color w:val="auto"/>
        </w:rPr>
      </w:pPr>
    </w:p>
    <w:p>
      <w:pPr>
        <w:ind w:left="4" w:right="540" w:firstLine="419"/>
        <w:spacing w:after="0" w:line="277" w:lineRule="auto"/>
        <w:tabs>
          <w:tab w:leader="none" w:pos="651" w:val="left"/>
        </w:tabs>
        <w:numPr>
          <w:ilvl w:val="1"/>
          <w:numId w:val="33"/>
        </w:numPr>
        <w:rPr>
          <w:rFonts w:ascii="Arial" w:cs="Arial" w:eastAsia="Arial" w:hAnsi="Arial"/>
          <w:sz w:val="18"/>
          <w:szCs w:val="18"/>
          <w:color w:val="auto"/>
        </w:rPr>
      </w:pPr>
      <w:r>
        <w:rPr>
          <w:rFonts w:ascii="Arial" w:cs="Arial" w:eastAsia="Arial" w:hAnsi="Arial"/>
          <w:sz w:val="18"/>
          <w:szCs w:val="18"/>
          <w:color w:val="auto"/>
        </w:rPr>
        <w:t>aircraft, airframes, aircraft engines, helicopters and equipment and/or other assets that are affixed to, or otherwise constitute, such aircraft, airframes, aircraft engines and/or helicopters.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Party</w:t>
      </w:r>
      <w:r>
        <w:rPr>
          <w:rFonts w:ascii="Arial" w:cs="Arial" w:eastAsia="Arial" w:hAnsi="Arial"/>
          <w:sz w:val="18"/>
          <w:szCs w:val="18"/>
          <w:color w:val="auto"/>
        </w:rPr>
        <w:t>” has the meaning assigned to such term in the definition of “Disqualified Institution”.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w:t>
      </w:r>
    </w:p>
    <w:p>
      <w:pPr>
        <w:spacing w:after="0" w:line="117" w:lineRule="exact"/>
        <w:rPr>
          <w:sz w:val="20"/>
          <w:szCs w:val="20"/>
          <w:color w:val="auto"/>
        </w:rPr>
      </w:pPr>
    </w:p>
    <w:p>
      <w:pPr>
        <w:ind w:left="664" w:hanging="241"/>
        <w:spacing w:after="0"/>
        <w:tabs>
          <w:tab w:leader="none" w:pos="66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Restricted Subsidiary that is not a Wholly-Owned Subsidiary of the Borrower;</w:t>
      </w:r>
    </w:p>
    <w:p>
      <w:pPr>
        <w:spacing w:after="0" w:line="117" w:lineRule="exact"/>
        <w:rPr>
          <w:rFonts w:ascii="Arial" w:cs="Arial" w:eastAsia="Arial" w:hAnsi="Arial"/>
          <w:sz w:val="18"/>
          <w:szCs w:val="18"/>
          <w:color w:val="auto"/>
        </w:rPr>
      </w:pPr>
    </w:p>
    <w:p>
      <w:pPr>
        <w:ind w:left="684" w:hanging="261"/>
        <w:spacing w:after="0"/>
        <w:tabs>
          <w:tab w:leader="none" w:pos="68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Immaterial Subsidiary;</w:t>
      </w:r>
    </w:p>
    <w:p>
      <w:pPr>
        <w:spacing w:after="0" w:line="117" w:lineRule="exact"/>
        <w:rPr>
          <w:rFonts w:ascii="Arial" w:cs="Arial" w:eastAsia="Arial" w:hAnsi="Arial"/>
          <w:sz w:val="18"/>
          <w:szCs w:val="18"/>
          <w:color w:val="auto"/>
        </w:rPr>
      </w:pPr>
    </w:p>
    <w:p>
      <w:pPr>
        <w:ind w:left="4" w:right="80" w:firstLine="419"/>
        <w:spacing w:after="0" w:line="287" w:lineRule="auto"/>
        <w:tabs>
          <w:tab w:leader="none" w:pos="671"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Restricted Subsidiary that (i) is prohibited or restricted from providing a Loan Guaranty by (A) any Requirement of Law or (B) any Contractual Obligation that exists on the Closing Date or at the time such Restricted Subsidiary becomes a subsidiary (which Contractual Obligation was not entered into in contemplation of the acquisition of such Restricted Subsidiary (including pursuant to assumed Indebtedness)),</w:t>
      </w:r>
    </w:p>
    <w:p>
      <w:pPr>
        <w:spacing w:after="0" w:line="2" w:lineRule="exact"/>
        <w:rPr>
          <w:rFonts w:ascii="Arial" w:cs="Arial" w:eastAsia="Arial" w:hAnsi="Arial"/>
          <w:sz w:val="16"/>
          <w:szCs w:val="16"/>
          <w:color w:val="auto"/>
        </w:rPr>
      </w:pPr>
    </w:p>
    <w:p>
      <w:pPr>
        <w:ind w:left="4" w:hanging="4"/>
        <w:spacing w:after="0" w:line="269" w:lineRule="auto"/>
        <w:tabs>
          <w:tab w:leader="none" w:pos="268" w:val="left"/>
        </w:tabs>
        <w:numPr>
          <w:ilvl w:val="0"/>
          <w:numId w:val="35"/>
        </w:numPr>
        <w:rPr>
          <w:rFonts w:ascii="Arial" w:cs="Arial" w:eastAsia="Arial" w:hAnsi="Arial"/>
          <w:sz w:val="17"/>
          <w:szCs w:val="17"/>
          <w:color w:val="auto"/>
        </w:rPr>
      </w:pPr>
      <w:r>
        <w:rPr>
          <w:rFonts w:ascii="Arial" w:cs="Arial" w:eastAsia="Arial" w:hAnsi="Arial"/>
          <w:sz w:val="17"/>
          <w:szCs w:val="17"/>
          <w:color w:val="auto"/>
        </w:rPr>
        <w:t>would require a governmental (including regulatory) or third party consent, approval, license or authorization (including any regulatory consent, approval, license or authorization) to provide a Loan Guaranty (including under any financial assistance, corporate benefit, thin capitalization, capital maintenance, liquidity maintenance or similar legal principles), unless such consent, approval, license or authorization has been obtained (it being understood and agreed that none of Holdings, the Borrower and/or any of their respective subsidiaries shall have any obligation to obtain (or seek to obtain) any such consent, approval, license or authorization) or (iii) with respect to which the provision of a Loan Guaranty could reasonably be expected to result in material and adverse tax consequences to Holdings, the Borrower, any Parent Company and/or any of its or their subsidiaries as determined by the Borrower in good faith;</w:t>
      </w:r>
    </w:p>
    <w:p>
      <w:pPr>
        <w:spacing w:after="0" w:line="113"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24"/>
          </w:cols>
          <w:pgMar w:left="876" w:top="274" w:right="499" w:bottom="1440" w:gutter="0" w:footer="0" w:header="0"/>
        </w:sectPr>
      </w:pPr>
    </w:p>
    <w:bookmarkStart w:id="39" w:name="page40"/>
    <w:bookmarkEnd w:id="39"/>
    <w:p>
      <w:pPr>
        <w:ind w:left="1120" w:hanging="261"/>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not-for-profit subsidiary;</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Captive Insurance Subsidiary;</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Receivables Subsidiary;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Foreign Subsidiary;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Domestic Subsidiary that (i) is a FSHCO or (ii) is a direct or indirect subsidiary of any Foreign Subsidiary or FSHCO;</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Unrestricted Subsidiary;</w:t>
      </w:r>
    </w:p>
    <w:p>
      <w:pPr>
        <w:spacing w:after="0" w:line="117" w:lineRule="exact"/>
        <w:rPr>
          <w:rFonts w:ascii="Arial" w:cs="Arial" w:eastAsia="Arial" w:hAnsi="Arial"/>
          <w:sz w:val="18"/>
          <w:szCs w:val="18"/>
          <w:color w:val="auto"/>
        </w:rPr>
      </w:pPr>
    </w:p>
    <w:p>
      <w:pPr>
        <w:ind w:left="440" w:right="20" w:firstLine="419"/>
        <w:spacing w:after="0" w:line="279" w:lineRule="auto"/>
        <w:tabs>
          <w:tab w:leader="none" w:pos="1078"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any Restricted Subsidiary acquired by the Borrower or any Restricted Subsidiary that, at the time of the relevant acquisition, is an obligor in respect of assumed Indebtedness permitted by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to the extent (and for so long as) the documentation governing the applicable assumed Indebtedness prohibits such subsidiary from providing a Loan Guaranty (which prohibition was not implemented in contemplation of such Restricted Subsidiary becoming a subsidiary in order to avoid the requirement of providing a Loan Guaranty);</w:t>
      </w:r>
    </w:p>
    <w:p>
      <w:pPr>
        <w:spacing w:after="0" w:line="63" w:lineRule="exact"/>
        <w:rPr>
          <w:rFonts w:ascii="Arial" w:cs="Arial" w:eastAsia="Arial" w:hAnsi="Arial"/>
          <w:sz w:val="17"/>
          <w:szCs w:val="17"/>
          <w:color w:val="auto"/>
        </w:rPr>
      </w:pPr>
    </w:p>
    <w:p>
      <w:pPr>
        <w:ind w:left="440" w:right="40" w:firstLine="419"/>
        <w:spacing w:after="0" w:line="342" w:lineRule="auto"/>
        <w:tabs>
          <w:tab w:leader="none" w:pos="1118"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other Restricted Subsidiary with respect to which the burden or cost of providing a Loan Guaranty outweighs, or would be excessive in light of, the practical benefits afforded thereby as determined by the Borrower in good faith in consultation with the Administrative Agent;</w:t>
      </w:r>
    </w:p>
    <w:p>
      <w:pPr>
        <w:spacing w:after="0" w:line="15" w:lineRule="exact"/>
        <w:rPr>
          <w:rFonts w:ascii="Arial" w:cs="Arial" w:eastAsia="Arial" w:hAnsi="Arial"/>
          <w:sz w:val="16"/>
          <w:szCs w:val="16"/>
          <w:color w:val="auto"/>
        </w:rPr>
      </w:pPr>
    </w:p>
    <w:p>
      <w:pPr>
        <w:ind w:left="440" w:right="160" w:firstLine="419"/>
        <w:spacing w:after="0" w:line="259" w:lineRule="auto"/>
        <w:tabs>
          <w:tab w:leader="none" w:pos="1078"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solely in the case of any Swap Obligation that constitutes a “swap” within the meaning of section 1(a)(47) of the Commodity Exchange Act (which for the avoidance of doubt shall be determined after giving effect to any “keepwell, support or other agreement” (as such terms are used under the Commodity Exchange Act)), any Domestic Subsidiary that is not an “eligible contract participant” as defined under the Commodity Exchange Act and the regulations thereunder;</w:t>
      </w:r>
    </w:p>
    <w:p>
      <w:pPr>
        <w:spacing w:after="0" w:line="78" w:lineRule="exact"/>
        <w:rPr>
          <w:rFonts w:ascii="Arial" w:cs="Arial" w:eastAsia="Arial" w:hAnsi="Arial"/>
          <w:sz w:val="18"/>
          <w:szCs w:val="18"/>
          <w:color w:val="auto"/>
        </w:rPr>
      </w:pPr>
    </w:p>
    <w:p>
      <w:pPr>
        <w:ind w:left="440" w:right="160" w:firstLine="419"/>
        <w:spacing w:after="0" w:line="257" w:lineRule="auto"/>
        <w:tabs>
          <w:tab w:leader="none" w:pos="116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subsidiary where the provision by such subsidiary of a Loan Guaranty could reasonably be expected to conflict with the fiduciary duties of such subsidiary’s directors or result in, or could reasonably be expected to result in, a material risk of personal or criminal liability for such subsidiary or any of its officers or directors or to the extent it is not within the legal capacity of such subsidiary to provide a Loan Guaranty (whether as a result of financial assistance, corporate benefit, thin capitalization, capital maintenance, liquidity maintenance or similar rules or otherwise);</w:t>
      </w:r>
    </w:p>
    <w:p>
      <w:pPr>
        <w:spacing w:after="0" w:line="79" w:lineRule="exact"/>
        <w:rPr>
          <w:rFonts w:ascii="Arial" w:cs="Arial" w:eastAsia="Arial" w:hAnsi="Arial"/>
          <w:sz w:val="18"/>
          <w:szCs w:val="18"/>
          <w:color w:val="auto"/>
        </w:rPr>
      </w:pPr>
    </w:p>
    <w:p>
      <w:pPr>
        <w:ind w:left="1120" w:hanging="261"/>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broker-dealer subsidiary;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any subsidiary of any Person described in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(n)</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xml:space="preserve">” means, with respect to any Loan Guarantor, any Swap Obligation if, and to the extent that, all or a portion of the Loan Guaranty of such Loan Guarantor of, or the grant by such Loan Guarantor of a security interest to secure, such Swap Obligation (or any Loan Guaranty thereof) is or becomes illegal under the Commodity Exchange Act or any rule, regulation or order of the Commodity Futures Trading Commission (or the application or official interpretation of any thereof, or any Governmental Authority succeeding to any or all of its functions) (a) by virtue of such Loan Guarantor’s failure for any reason to constitute an “eligible contract participant” as defined in the Commodity Exchange Act and the regulations thereunder (determined after giving effect to </w:t>
      </w:r>
      <w:r>
        <w:rPr>
          <w:rFonts w:ascii="Arial" w:cs="Arial" w:eastAsia="Arial" w:hAnsi="Arial"/>
          <w:sz w:val="17"/>
          <w:szCs w:val="17"/>
          <w:u w:val="single" w:color="auto"/>
          <w:color w:val="auto"/>
        </w:rPr>
        <w:t>Section 3.20</w:t>
      </w:r>
      <w:r>
        <w:rPr>
          <w:rFonts w:ascii="Arial" w:cs="Arial" w:eastAsia="Arial" w:hAnsi="Arial"/>
          <w:sz w:val="17"/>
          <w:szCs w:val="17"/>
          <w:color w:val="auto"/>
        </w:rPr>
        <w:t xml:space="preserve"> of the Loan Guaranty and any other “keepwell”, support or other agreement for the benefit of such Loan Guarantor) at the time the Loan Guaranty of such Loan Guarantor or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0" w:name="page41"/>
    <w:bookmarkEnd w:id="4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 of such security interest becomes effective with respect to such Swap Obligation or (b) in the case of any Swap Obligation that is subject to a clearing requirement pursuant to section 2(h) of the Commodity Exchange Act, because such Loan Guarantor is a “financial entity,” as defined in section 2(h)(7)(C) of the Commodity Exchange Act, at the time the guarantee provided by (or grant of such security interest by, as applicable) such Loan Guarantor becomes or would become effective with respect to such Swap Obligation. If any Swap Obligation arises under a master agreement governing more than one swap, such exclusion shall apply only to the portion of such Swap Obligation that is attributable to swaps for which such Loan Guaranty or security interest is or becomes illegal.</w:t>
      </w:r>
    </w:p>
    <w:p>
      <w:pPr>
        <w:spacing w:after="0" w:line="192"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or Issuing Bank, or any other recipient of any payment to be made by or on account of any obligation of any Loan Party under any Loan Document, (a) any Taxes imposed on (or measured by) such recipient’s net income (however denominated) or franchise Taxes, (i) imposed as a result of such recipient being organized or having its principal office located in or, in the case of any Lender, having its applicable lending office located in, the taxing jurisdiction or (ii) that are Other Connection Taxes, (b) any branch profits Taxes imposed under Section 884(a) of the Code, or any similar Tax, imposed by any jurisdiction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(c) any US federal withholding Tax that is imposed on amounts payable to or for the account of such Lender (other than a Lender that became a Lender pursuant to an assignment under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with respect to an applicable interest in a Loan or Commitment pursuant to a Requirement of Law in effect on the date on which such Lender (i) acquires such interest in the applicable Commitment or, if such Lender did not fund the applicable Loan pursuant to a prior Commitment, on the date such Lender acquires its interest in such Loan or (ii) designates a new lending office, except in each case to the extent that,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amounts with respect to such Tax were payable either to such Lender’s assignor immediately before such Lender acquired the applicable interest in a Loan or Commitment or to such Lender immediately before it designated a new lending office, (d) any Tax imposed as a result of a failure by such recipient to comply with </w:t>
      </w:r>
      <w:r>
        <w:rPr>
          <w:rFonts w:ascii="Arial" w:cs="Arial" w:eastAsia="Arial" w:hAnsi="Arial"/>
          <w:sz w:val="16"/>
          <w:szCs w:val="16"/>
          <w:u w:val="single" w:color="auto"/>
          <w:color w:val="auto"/>
        </w:rPr>
        <w:t>Section 2.17(f)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and (e) any Tax imposed under FATCA.</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assigned to such term in the recitals to this Agreement.</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any letter of credit previously issued that (a) will remain outstanding on and after the Closing Date and (b) is listed on </w:t>
      </w:r>
      <w:r>
        <w:rPr>
          <w:rFonts w:ascii="Arial" w:cs="Arial" w:eastAsia="Arial" w:hAnsi="Arial"/>
          <w:sz w:val="18"/>
          <w:szCs w:val="18"/>
          <w:u w:val="single" w:color="auto"/>
          <w:color w:val="auto"/>
        </w:rPr>
        <w:t>Schedule 1.01(c)</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Credit Commitment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5" w:lineRule="exact"/>
        <w:rPr>
          <w:sz w:val="20"/>
          <w:szCs w:val="20"/>
          <w:color w:val="auto"/>
        </w:rPr>
      </w:pPr>
    </w:p>
    <w:p>
      <w:pPr>
        <w:ind w:right="4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 Amendment</w:t>
      </w:r>
      <w:r>
        <w:rPr>
          <w:rFonts w:ascii="Arial" w:cs="Arial" w:eastAsia="Arial" w:hAnsi="Arial"/>
          <w:sz w:val="17"/>
          <w:szCs w:val="17"/>
          <w:color w:val="auto"/>
        </w:rPr>
        <w:t xml:space="preserve">” means an amendment to this Agreement that is reasonably satisfactory to the Administrative Agent (to the extent required by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and the Borrower executed by (a) the Borrower and the Subsidiary Guarantors, (b) the Administrative Agent and (c) each Lender that has accepted the applicable Extension Offer pursuant hereto and in accordance with </w:t>
      </w:r>
      <w:r>
        <w:rPr>
          <w:rFonts w:ascii="Arial" w:cs="Arial" w:eastAsia="Arial" w:hAnsi="Arial"/>
          <w:sz w:val="17"/>
          <w:szCs w:val="17"/>
          <w:u w:val="single" w:color="auto"/>
          <w:color w:val="auto"/>
        </w:rPr>
        <w:t>Section 2.23</w:t>
      </w:r>
      <w:r>
        <w:rPr>
          <w:rFonts w:ascii="Arial" w:cs="Arial" w:eastAsia="Arial" w:hAnsi="Arial"/>
          <w:sz w:val="17"/>
          <w:szCs w:val="17"/>
          <w:color w:val="auto"/>
        </w:rPr>
        <w: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Offer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xml:space="preserve">” means any real property (including all buildings, fixtures or other improvements located thereon) now, hereafter or, except with respect to </w:t>
      </w:r>
      <w:r>
        <w:rPr>
          <w:rFonts w:ascii="Arial" w:cs="Arial" w:eastAsia="Arial" w:hAnsi="Arial"/>
          <w:sz w:val="18"/>
          <w:szCs w:val="18"/>
          <w:u w:val="single" w:color="auto"/>
          <w:color w:val="auto"/>
        </w:rPr>
        <w:t>Articles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w:t>
      </w:r>
      <w:r>
        <w:rPr>
          <w:rFonts w:ascii="Arial" w:cs="Arial" w:eastAsia="Arial" w:hAnsi="Arial"/>
          <w:sz w:val="18"/>
          <w:szCs w:val="18"/>
          <w:color w:val="auto"/>
        </w:rPr>
        <w:t>, previously owned, leased, operated or used by Holdings, the Borrower or any of its Restricted Subsidiaries or any of their respective predecessors or Affiliates.</w:t>
      </w:r>
    </w:p>
    <w:p>
      <w:pPr>
        <w:spacing w:after="0" w:line="184" w:lineRule="exact"/>
        <w:rPr>
          <w:sz w:val="20"/>
          <w:szCs w:val="20"/>
          <w:color w:val="auto"/>
        </w:rPr>
      </w:pPr>
    </w:p>
    <w:p>
      <w:pPr>
        <w:ind w:right="2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41" w:name="page42"/>
    <w:bookmarkEnd w:id="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FCA</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3.17(c)</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Rate as so determined would be less than zero, such rate shall be deemed to be zero for purposes of this Agreement.</w:t>
      </w:r>
    </w:p>
    <w:p>
      <w:pPr>
        <w:spacing w:after="0" w:line="188"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Bank of New York’s Website</w:t>
      </w:r>
      <w:r>
        <w:rPr>
          <w:rFonts w:ascii="Arial" w:cs="Arial" w:eastAsia="Arial" w:hAnsi="Arial"/>
          <w:sz w:val="18"/>
          <w:szCs w:val="18"/>
          <w:color w:val="auto"/>
        </w:rPr>
        <w:t>” means the website of the Federal Reserve Bank of New York at http://www.newyorkfed.org, or any successor source.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Agent Fee Letter, dated September 8, 2021, among the Borrower, Bank of America and BofA Securities,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Model</w:t>
      </w:r>
      <w:r>
        <w:rPr>
          <w:rFonts w:ascii="Arial" w:cs="Arial" w:eastAsia="Arial" w:hAnsi="Arial"/>
          <w:sz w:val="17"/>
          <w:szCs w:val="17"/>
          <w:color w:val="auto"/>
        </w:rPr>
        <w:t>” means the final financial model made available by the Borrower to the Administrative Agent prior to the Closing Date.</w:t>
      </w:r>
    </w:p>
    <w:p>
      <w:pPr>
        <w:spacing w:after="0" w:line="237"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Debt</w:t>
      </w:r>
      <w:r>
        <w:rPr>
          <w:rFonts w:ascii="Arial" w:cs="Arial" w:eastAsia="Arial" w:hAnsi="Arial"/>
          <w:sz w:val="18"/>
          <w:szCs w:val="18"/>
          <w:color w:val="auto"/>
        </w:rPr>
        <w:t xml:space="preserve">” means (a) the Initial Term Loans and the Initial Revolving Loans and (b) any other Indebtedness (other than any such Indebtedness among Holdings, the Borrower and/or any of their respective subsidiaries) that is secured by a Lien on the Collateral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 securing the Initial Term Loans and the Initial Revolving Loans.</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Net Leverage Ratio</w:t>
      </w:r>
      <w:r>
        <w:rPr>
          <w:rFonts w:ascii="Arial" w:cs="Arial" w:eastAsia="Arial" w:hAnsi="Arial"/>
          <w:sz w:val="18"/>
          <w:szCs w:val="18"/>
          <w:color w:val="auto"/>
        </w:rPr>
        <w:t>” means the ratio, as of any date of determination, of (a) Consolidated First Lien Debt as of the last day of the most recently ended Test Period to (b) Consolidated Adjusted EBITDA for the most recently ended Test Period, in each case, of the Borrower and its Restricted Subsidiaries on a consolidated basis.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 fiscal quarter of any Fiscal Year.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each fiscal year of the Borrower ending on December 31 of each calendar year.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1.12(c)</w:t>
      </w:r>
      <w:r>
        <w:rPr>
          <w:rFonts w:ascii="Arial" w:cs="Arial" w:eastAsia="Arial" w:hAnsi="Arial"/>
          <w:sz w:val="18"/>
          <w:szCs w:val="18"/>
          <w:color w:val="auto"/>
        </w:rPr>
        <w:t>.</w:t>
      </w:r>
    </w:p>
    <w:p>
      <w:pPr>
        <w:spacing w:after="0" w:line="225"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Incremental Amount</w:t>
      </w:r>
      <w:r>
        <w:rPr>
          <w:rFonts w:ascii="Arial" w:cs="Arial" w:eastAsia="Arial" w:hAnsi="Arial"/>
          <w:sz w:val="18"/>
          <w:szCs w:val="18"/>
          <w:color w:val="auto"/>
        </w:rPr>
        <w:t>” means the greater of $82,500,000 and 100% of Consolidated Adjusted EBITDA as of the last day of the most recently ended Test Period.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or Issuing Bank that is not a US Person.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of the Borrower that is not a Domestic Subsidiary.</w:t>
      </w:r>
    </w:p>
    <w:p>
      <w:pPr>
        <w:spacing w:after="0" w:line="225"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FSHCO</w:t>
      </w:r>
      <w:r>
        <w:rPr>
          <w:rFonts w:ascii="Arial" w:cs="Arial" w:eastAsia="Arial" w:hAnsi="Arial"/>
          <w:sz w:val="17"/>
          <w:szCs w:val="17"/>
          <w:color w:val="auto"/>
        </w:rPr>
        <w:t xml:space="preserve">” means (a) any direct or indirect Domestic Subsidiary that has no material assets other than the Capital Stock and/or Indebtedness of one or more Foreign Subsidiaries and (b) any direct or indirect Domestic Subsidiary that has no material assets other than the Capital Stock and/or Indebtedness of one or more Persons of the type described in the immediately preceding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in this </w:t>
      </w:r>
      <w:r>
        <w:rPr>
          <w:rFonts w:ascii="Arial" w:cs="Arial" w:eastAsia="Arial" w:hAnsi="Arial"/>
          <w:sz w:val="17"/>
          <w:szCs w:val="17"/>
          <w:u w:val="single" w:color="auto"/>
          <w:color w:val="auto"/>
        </w:rPr>
        <w:t>clause (b)</w:t>
      </w:r>
      <w:r>
        <w:rPr>
          <w:rFonts w:ascii="Arial" w:cs="Arial" w:eastAsia="Arial" w:hAnsi="Arial"/>
          <w:sz w:val="17"/>
          <w:szCs w:val="17"/>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2" w:name="page43"/>
    <w:bookmarkEnd w:id="42"/>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US in effect and applicable to the accounting period in respect of which reference to GAAP is made.</w:t>
      </w:r>
    </w:p>
    <w:p>
      <w:pPr>
        <w:spacing w:after="0" w:line="170" w:lineRule="exact"/>
        <w:rPr>
          <w:sz w:val="20"/>
          <w:szCs w:val="20"/>
          <w:color w:val="auto"/>
        </w:rPr>
      </w:pPr>
    </w:p>
    <w:p>
      <w:pPr>
        <w:ind w:right="4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municipal, national or other government, governmental department, commission, board, bureau, court, agency or instrumentality or political subdivision thereof or any entity or officer exercising executive, legislative, judicial, taxing, regulatory or administrative functions of or pertaining to any government or any court, in each case whether associated with the US, a foreign government or any political subdivision thereof, including any applicable supranational body (such as the European Union or the European Central Bank).</w:t>
      </w:r>
    </w:p>
    <w:p>
      <w:pPr>
        <w:spacing w:after="0" w:line="18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means any permit, license, authorization, approval, plan, directive, consent order or consent decree of or from any Governmental Authority.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9.05(e)</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of or by any Person (the “</w:t>
      </w:r>
      <w:r>
        <w:rPr>
          <w:rFonts w:ascii="Arial" w:cs="Arial" w:eastAsia="Arial" w:hAnsi="Arial"/>
          <w:sz w:val="17"/>
          <w:szCs w:val="17"/>
          <w:u w:val="single" w:color="auto"/>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or other monetary obligation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and including any obligation of the Guarantor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(d) as an account party in respect of any letter of credit or letter of guaranty issued to support such Indebtedness or monetary obligation, (e) entered into for the purpose of assuring in any other manner the obligee in respect of such Indebtedness or other monetary obligation of the payment or performance thereof or to protect such obligee against loss in respect thereof (in whole or in part) or (f) secured by any Lien on any assets of such Guarantor securing any Indebtedness or other monetary obligation of any other Person, whether or not such Indebtedness or monetary other obligation is assumed by such Guarantor (or any right, contingent or otherwise, of any holder of such Indebtedness or other monetary obligation to obtain any such Lien);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shall not include endorsements for collection or deposit in the ordinary course of business, or customary and reasonable indemnity obligations in effect on the Closing Date or entered into in connection with any acquisition, Disposition or other transaction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has the meaning assigned to such term in the definition of “Guarantee”.</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chemical, material, substance or waste, or any constituent thereof, which is prohibited, limited or regulated under any Environmental Law or by any Governmental Authority or which poses a hazard to the Environment or to human health and safety, including without limitation, petroleum and petroleum by-products, asbestos and asbestos-containing materials, polychlorinated biphenyls, medical waste and pharmaceutical waste.</w:t>
      </w:r>
    </w:p>
    <w:p>
      <w:pPr>
        <w:spacing w:after="0" w:line="187"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 Activity</w:t>
      </w:r>
      <w:r>
        <w:rPr>
          <w:rFonts w:ascii="Arial" w:cs="Arial" w:eastAsia="Arial" w:hAnsi="Arial"/>
          <w:sz w:val="17"/>
          <w:szCs w:val="17"/>
          <w:color w:val="auto"/>
        </w:rPr>
        <w:t>” means any past, current, proposed or threatened activity, event or occurrence involving any Hazardous Material,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 and any corrective action or response action with respect to any of the foregoing.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43" w:name="page44"/>
    <w:bookmarkEnd w:id="43"/>
    <w:p>
      <w:pPr>
        <w:ind w:right="4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Hedge Agreement</w:t>
      </w:r>
      <w:r>
        <w:rPr>
          <w:rFonts w:ascii="Arial" w:cs="Arial" w:eastAsia="Arial" w:hAnsi="Arial"/>
          <w:sz w:val="18"/>
          <w:szCs w:val="18"/>
          <w:color w:val="auto"/>
        </w:rPr>
        <w:t>” means any agreement with respect to any Derivative Transaction (or any master agreement which is intended to govern multiple Derivative Transactions) between any Loan Party or any Restricted Subsidiary and any other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means, with respect to any Person, the obligations of such Person under any Hedge Agreement.</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has the meaning assigned to such term in the preamble to this Agreement and shall, for the avoidance of doubt, include any Successor Holdings.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IBA</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xml:space="preserve">” means, as of any date, any subsidiary of the Borrower the contribution to Consolidated Adjusted EBITDA of which, when taken together with the contribution to Consolidated Adjusted EBITDA of all other subsidiaries that are Immaterial Subsidiaries, does not exceed 5.00% of Consolidated Adjusted EBITDA as of the last day of the most recently ended Test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all times prior to the first delivery of financial statements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this definition shall be applied based on the pro forma consolidated financial statements delivered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188"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Immediate Family Member</w:t>
      </w:r>
      <w:r>
        <w:rPr>
          <w:rFonts w:ascii="Arial" w:cs="Arial" w:eastAsia="Arial" w:hAnsi="Arial"/>
          <w:sz w:val="16"/>
          <w:szCs w:val="16"/>
          <w:color w:val="auto"/>
        </w:rPr>
        <w:t>” means, with respect to any individual, such individual’s child, stepchild, grandchild or more remote descendant, parent, stepparent, grandparent, spouse, former spouse, domestic partner, former domestic partner, sibling, mother-in-law, father-in-law, son-in-law and/or daughter-in-law (including any adoptive relationship), any trust, partnership or other bona fide estate-planning vehicle the only beneficiaries of which are any of the foregoing individuals, such individual’s estate (or an executor or administrator acting on its behalf), heirs or legatees or any private foundation or fund that is controlled by any of the foregoing individuals or any donor-advised fund of which any such individual is the donor.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Cap</w:t>
      </w:r>
      <w:r>
        <w:rPr>
          <w:rFonts w:ascii="Arial" w:cs="Arial" w:eastAsia="Arial" w:hAnsi="Arial"/>
          <w:sz w:val="18"/>
          <w:szCs w:val="18"/>
          <w:color w:val="auto"/>
        </w:rPr>
        <w:t>” means:</w:t>
      </w:r>
    </w:p>
    <w:p>
      <w:pPr>
        <w:spacing w:after="0" w:line="117" w:lineRule="exact"/>
        <w:rPr>
          <w:sz w:val="20"/>
          <w:szCs w:val="20"/>
          <w:color w:val="auto"/>
        </w:rPr>
      </w:pPr>
    </w:p>
    <w:p>
      <w:pPr>
        <w:ind w:left="440" w:firstLine="419"/>
        <w:spacing w:after="0" w:line="287" w:lineRule="auto"/>
        <w:tabs>
          <w:tab w:leader="none" w:pos="1108"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the Fixed Incremental Amount,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 the aggregate outstanding principal amount of any Incremental Facility and/or Incremental Equivalent Debt previously incurred or issued in reliance on the Fixed Incremental Amount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outstanding principal amount of any Ratio Debt issued and/or incurred in reliance on the Fixed Incremental Amount pursuant to </w:t>
      </w:r>
      <w:r>
        <w:rPr>
          <w:rFonts w:ascii="Arial" w:cs="Arial" w:eastAsia="Arial" w:hAnsi="Arial"/>
          <w:sz w:val="16"/>
          <w:szCs w:val="16"/>
          <w:u w:val="single" w:color="auto"/>
          <w:color w:val="auto"/>
        </w:rPr>
        <w:t>Section 6.01(w)(i)</w:t>
      </w:r>
      <w:r>
        <w:rPr>
          <w:rFonts w:ascii="Arial" w:cs="Arial" w:eastAsia="Arial" w:hAnsi="Arial"/>
          <w:sz w:val="16"/>
          <w:szCs w:val="16"/>
          <w:color w:val="auto"/>
        </w:rPr>
        <w:t xml:space="preserve">, in the case of </w:t>
      </w:r>
      <w:r>
        <w:rPr>
          <w:rFonts w:ascii="Arial" w:cs="Arial" w:eastAsia="Arial" w:hAnsi="Arial"/>
          <w:sz w:val="16"/>
          <w:szCs w:val="16"/>
          <w:u w:val="single" w:color="auto"/>
          <w:color w:val="auto"/>
        </w:rPr>
        <w:t>clauses</w:t>
      </w:r>
    </w:p>
    <w:p>
      <w:pPr>
        <w:spacing w:after="0" w:line="2" w:lineRule="exact"/>
        <w:rPr>
          <w:rFonts w:ascii="Arial" w:cs="Arial" w:eastAsia="Arial" w:hAnsi="Arial"/>
          <w:sz w:val="16"/>
          <w:szCs w:val="16"/>
          <w:color w:val="auto"/>
        </w:rPr>
      </w:pPr>
    </w:p>
    <w:p>
      <w:pPr>
        <w:ind w:left="440" w:hanging="4"/>
        <w:spacing w:after="0" w:line="255" w:lineRule="auto"/>
        <w:tabs>
          <w:tab w:leader="none" w:pos="735" w:val="left"/>
        </w:tabs>
        <w:numPr>
          <w:ilvl w:val="0"/>
          <w:numId w:val="38"/>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after giving effect to (1) any reclassification of any Incremental Facility and/or Incremental Equivalent Debt as having been issued or incurred in reliance on the Incremental Incurrence-Based Component and/or (2) any reclassification of any Ratio Debt as having been incurred in reliance on </w:t>
      </w:r>
      <w:r>
        <w:rPr>
          <w:rFonts w:ascii="Arial" w:cs="Arial" w:eastAsia="Arial" w:hAnsi="Arial"/>
          <w:sz w:val="18"/>
          <w:szCs w:val="18"/>
          <w:u w:val="single" w:color="auto"/>
          <w:color w:val="auto"/>
        </w:rPr>
        <w:t>Section 6.01(w)(i)</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81" w:lineRule="exact"/>
        <w:rPr>
          <w:rFonts w:ascii="Arial" w:cs="Arial" w:eastAsia="Arial" w:hAnsi="Arial"/>
          <w:sz w:val="18"/>
          <w:szCs w:val="18"/>
          <w:u w:val="single" w:color="auto"/>
          <w:color w:val="auto"/>
        </w:rPr>
      </w:pPr>
    </w:p>
    <w:p>
      <w:pPr>
        <w:ind w:left="440" w:right="100" w:firstLine="419"/>
        <w:spacing w:after="0" w:line="255" w:lineRule="auto"/>
        <w:tabs>
          <w:tab w:leader="none" w:pos="1118"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in the case of any Incremental Facility or Incremental Equivalent Debt that effectively extends (i) the Maturity Date with respect to any Class of Loans and/or Commitments hereunder and/or (ii) the maturity date with respect to (A) any other First Lien Debt and/or (B) any Junior Lien Debt (it being understood that,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the relevant Incremental Facility or Incremental Equivalent Debt incurred in reliance hereon will, at the option of the Borrower, either constitute Junior Lien Debt or be unsecured), an amount equal to the portion of the relevant Class of Loans or Commitments or such other First Lien Debt or such Junior Lien Debt, as applicable, that will be replaced by such Incremental Facility or Incremental Equivalent Debt; </w:t>
      </w:r>
      <w:r>
        <w:rPr>
          <w:rFonts w:ascii="Arial" w:cs="Arial" w:eastAsia="Arial" w:hAnsi="Arial"/>
          <w:sz w:val="18"/>
          <w:szCs w:val="18"/>
          <w:u w:val="single" w:color="auto"/>
          <w:color w:val="auto"/>
        </w:rPr>
        <w:t>plus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40" w:top="274" w:right="499" w:bottom="1440" w:gutter="0" w:footer="0" w:header="0"/>
        </w:sectPr>
      </w:pPr>
    </w:p>
    <w:bookmarkStart w:id="44" w:name="page45"/>
    <w:bookmarkEnd w:id="44"/>
    <w:p>
      <w:pPr>
        <w:ind w:left="440" w:right="460" w:firstLine="419"/>
        <w:spacing w:after="0" w:line="342" w:lineRule="auto"/>
        <w:tabs>
          <w:tab w:leader="none" w:pos="1108" w:val="left"/>
        </w:tabs>
        <w:numPr>
          <w:ilvl w:val="1"/>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any Incremental Facility or Incremental Equivalent Debt that effectively replaces any Revolving Credit Commitment terminated in accordance with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an amount equal to the relevant terminated Revolving Credit Commitment; </w:t>
      </w:r>
      <w:r>
        <w:rPr>
          <w:rFonts w:ascii="Arial" w:cs="Arial" w:eastAsia="Arial" w:hAnsi="Arial"/>
          <w:sz w:val="16"/>
          <w:szCs w:val="16"/>
          <w:u w:val="single" w:color="auto"/>
          <w:color w:val="auto"/>
        </w:rPr>
        <w:t>plus</w:t>
      </w:r>
    </w:p>
    <w:p>
      <w:pPr>
        <w:spacing w:after="0" w:line="15" w:lineRule="exact"/>
        <w:rPr>
          <w:rFonts w:ascii="Arial" w:cs="Arial" w:eastAsia="Arial" w:hAnsi="Arial"/>
          <w:sz w:val="16"/>
          <w:szCs w:val="16"/>
          <w:color w:val="auto"/>
        </w:rPr>
      </w:pPr>
    </w:p>
    <w:p>
      <w:pPr>
        <w:ind w:left="440" w:firstLine="419"/>
        <w:spacing w:after="0" w:line="283" w:lineRule="auto"/>
        <w:tabs>
          <w:tab w:leader="none" w:pos="1118"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without duplication of clauses (b) and (c) above, (x) (i) the amount of any voluntary prepayment, redemption, repurchase or other retirement of (A)(1) any Term Loan and/or any other First Lien Debt and/or (2) any Junior Lien Debt (it being understood that, in the case of this </w:t>
      </w:r>
      <w:r>
        <w:rPr>
          <w:rFonts w:ascii="Arial" w:cs="Arial" w:eastAsia="Arial" w:hAnsi="Arial"/>
          <w:sz w:val="16"/>
          <w:szCs w:val="16"/>
          <w:u w:val="single" w:color="auto"/>
          <w:color w:val="auto"/>
        </w:rPr>
        <w:t>clause (x)(i)(A)(2)</w:t>
      </w:r>
      <w:r>
        <w:rPr>
          <w:rFonts w:ascii="Arial" w:cs="Arial" w:eastAsia="Arial" w:hAnsi="Arial"/>
          <w:sz w:val="16"/>
          <w:szCs w:val="16"/>
          <w:color w:val="auto"/>
        </w:rPr>
        <w:t xml:space="preserve">, such amount may only be relied on to incur an Incremental Facility that either constitutes Junior Lien Debt or is unsecured) and/or (B) the amount of any permanent reduction of (1) any Revolving Credit Commitment and/or any revolving commitment in respect of any First Lien Debt and/or (2) any revolving commitment in respect of any Junior Lien Debt (it being understood that, in the case of this </w:t>
      </w:r>
      <w:r>
        <w:rPr>
          <w:rFonts w:ascii="Arial" w:cs="Arial" w:eastAsia="Arial" w:hAnsi="Arial"/>
          <w:sz w:val="16"/>
          <w:szCs w:val="16"/>
          <w:u w:val="single" w:color="auto"/>
          <w:color w:val="auto"/>
        </w:rPr>
        <w:t>clause (x)(i)</w:t>
      </w:r>
      <w:r>
        <w:rPr>
          <w:rFonts w:ascii="Arial" w:cs="Arial" w:eastAsia="Arial" w:hAnsi="Arial"/>
          <w:sz w:val="16"/>
          <w:szCs w:val="16"/>
          <w:color w:val="auto"/>
        </w:rPr>
        <w:t xml:space="preserve"> </w:t>
      </w:r>
      <w:r>
        <w:rPr>
          <w:rFonts w:ascii="Arial" w:cs="Arial" w:eastAsia="Arial" w:hAnsi="Arial"/>
          <w:sz w:val="16"/>
          <w:szCs w:val="16"/>
          <w:u w:val="single" w:color="auto"/>
          <w:color w:val="auto"/>
        </w:rPr>
        <w:t>(B)(2)</w:t>
      </w:r>
      <w:r>
        <w:rPr>
          <w:rFonts w:ascii="Arial" w:cs="Arial" w:eastAsia="Arial" w:hAnsi="Arial"/>
          <w:sz w:val="16"/>
          <w:szCs w:val="16"/>
          <w:color w:val="auto"/>
        </w:rPr>
        <w:t xml:space="preserve">, such amount may only be relied on to incur an Incremental Facility that either constitutes Junior Lien Debt or is unsecured) and (ii) the amount of any reduction in the outstanding principal amount of (A) any Term Loan and/or any other First Lien Debt and/or any (B) any Junior Lien Debt (it being understood that, in the case of this </w:t>
      </w:r>
      <w:r>
        <w:rPr>
          <w:rFonts w:ascii="Arial" w:cs="Arial" w:eastAsia="Arial" w:hAnsi="Arial"/>
          <w:sz w:val="16"/>
          <w:szCs w:val="16"/>
          <w:u w:val="single" w:color="auto"/>
          <w:color w:val="auto"/>
        </w:rPr>
        <w:t>clause (x)(ii)(B)</w:t>
      </w:r>
      <w:r>
        <w:rPr>
          <w:rFonts w:ascii="Arial" w:cs="Arial" w:eastAsia="Arial" w:hAnsi="Arial"/>
          <w:sz w:val="16"/>
          <w:szCs w:val="16"/>
          <w:color w:val="auto"/>
        </w:rPr>
        <w:t xml:space="preserve">, such amount may only be relied on to incur an Incremental Facility that either constitutes Junior Lien Debt or is unsecured) resulting from any assignment of such Term Loan, First Lien Debt and/or Junior Lien Debt to (and/or any purchase of such Term Loan, First Lien Debt or Junior Lien Debt by) the Borrower and/or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each of </w:t>
      </w:r>
      <w:r>
        <w:rPr>
          <w:rFonts w:ascii="Arial" w:cs="Arial" w:eastAsia="Arial" w:hAnsi="Arial"/>
          <w:sz w:val="16"/>
          <w:szCs w:val="16"/>
          <w:u w:val="single" w:color="auto"/>
          <w:color w:val="auto"/>
        </w:rPr>
        <w:t>clauses (x)(i)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the relevant prepayment, redemption, purchase, assignment, redemption or other retirement was not funded with the proceeds of any long-term Indebtedness (other than revolving Indebtedness) (this </w:t>
      </w:r>
      <w:r>
        <w:rPr>
          <w:rFonts w:ascii="Arial" w:cs="Arial" w:eastAsia="Arial" w:hAnsi="Arial"/>
          <w:sz w:val="16"/>
          <w:szCs w:val="16"/>
          <w:u w:val="single" w:color="auto"/>
          <w:color w:val="auto"/>
        </w:rPr>
        <w:t>clause (d)</w:t>
      </w:r>
      <w:r>
        <w:rPr>
          <w:rFonts w:ascii="Arial" w:cs="Arial" w:eastAsia="Arial" w:hAnsi="Arial"/>
          <w:sz w:val="16"/>
          <w:szCs w:val="16"/>
          <w:color w:val="auto"/>
        </w:rPr>
        <w:t>, the “</w:t>
      </w:r>
      <w:r>
        <w:rPr>
          <w:rFonts w:ascii="Arial" w:cs="Arial" w:eastAsia="Arial" w:hAnsi="Arial"/>
          <w:sz w:val="16"/>
          <w:szCs w:val="16"/>
          <w:u w:val="single" w:color="auto"/>
          <w:color w:val="auto"/>
        </w:rPr>
        <w:t>Incremental Prepayment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minus</w:t>
      </w:r>
    </w:p>
    <w:p>
      <w:pPr>
        <w:spacing w:after="0" w:line="2" w:lineRule="exact"/>
        <w:rPr>
          <w:rFonts w:ascii="Arial" w:cs="Arial" w:eastAsia="Arial" w:hAnsi="Arial"/>
          <w:sz w:val="16"/>
          <w:szCs w:val="16"/>
          <w:color w:val="auto"/>
        </w:rPr>
      </w:pPr>
    </w:p>
    <w:p>
      <w:pPr>
        <w:ind w:left="700" w:hanging="264"/>
        <w:spacing w:after="0"/>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 outstanding principal amount of any Indebtedness incurred in reliance on the Incremental Prepayment Amount pursuant to </w:t>
      </w:r>
      <w:r>
        <w:rPr>
          <w:rFonts w:ascii="Arial" w:cs="Arial" w:eastAsia="Arial" w:hAnsi="Arial"/>
          <w:sz w:val="16"/>
          <w:szCs w:val="16"/>
          <w:u w:val="single" w:color="auto"/>
          <w:color w:val="auto"/>
        </w:rPr>
        <w:t>Section 6.01(w)</w:t>
      </w:r>
    </w:p>
    <w:p>
      <w:pPr>
        <w:spacing w:after="0" w:line="3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102" w:lineRule="exact"/>
        <w:rPr>
          <w:rFonts w:ascii="Arial" w:cs="Arial" w:eastAsia="Arial" w:hAnsi="Arial"/>
          <w:sz w:val="16"/>
          <w:szCs w:val="16"/>
          <w:color w:val="auto"/>
        </w:rPr>
      </w:pPr>
    </w:p>
    <w:p>
      <w:pPr>
        <w:ind w:left="440" w:right="180" w:firstLine="419"/>
        <w:spacing w:after="0" w:line="277" w:lineRule="auto"/>
        <w:tabs>
          <w:tab w:leader="none" w:pos="1108"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an unlimited amount so long as, in the case of this </w:t>
      </w:r>
      <w:r>
        <w:rPr>
          <w:rFonts w:ascii="Arial" w:cs="Arial" w:eastAsia="Arial" w:hAnsi="Arial"/>
          <w:sz w:val="18"/>
          <w:szCs w:val="18"/>
          <w:u w:val="single" w:color="auto"/>
          <w:color w:val="auto"/>
        </w:rPr>
        <w:t>clause (e)</w:t>
      </w:r>
      <w:r>
        <w:rPr>
          <w:rFonts w:ascii="Arial" w:cs="Arial" w:eastAsia="Arial" w:hAnsi="Arial"/>
          <w:sz w:val="18"/>
          <w:szCs w:val="18"/>
          <w:color w:val="auto"/>
        </w:rPr>
        <w:t>, after giving effect to the relevant Incremental Facility and/or Incremental Equivalent Debt; as applicable:</w:t>
      </w:r>
    </w:p>
    <w:p>
      <w:pPr>
        <w:spacing w:after="0" w:line="62" w:lineRule="exact"/>
        <w:rPr>
          <w:rFonts w:ascii="Arial" w:cs="Arial" w:eastAsia="Arial" w:hAnsi="Arial"/>
          <w:sz w:val="18"/>
          <w:szCs w:val="18"/>
          <w:color w:val="auto"/>
        </w:rPr>
      </w:pPr>
    </w:p>
    <w:p>
      <w:pPr>
        <w:ind w:left="980" w:right="300" w:firstLine="408"/>
        <w:spacing w:after="0" w:line="277" w:lineRule="auto"/>
        <w:tabs>
          <w:tab w:leader="none" w:pos="1596" w:val="left"/>
        </w:tabs>
        <w:numPr>
          <w:ilvl w:val="2"/>
          <w:numId w:val="40"/>
        </w:numPr>
        <w:rPr>
          <w:rFonts w:ascii="Arial" w:cs="Arial" w:eastAsia="Arial" w:hAnsi="Arial"/>
          <w:sz w:val="18"/>
          <w:szCs w:val="18"/>
          <w:color w:val="auto"/>
        </w:rPr>
      </w:pPr>
      <w:r>
        <w:rPr>
          <w:rFonts w:ascii="Arial" w:cs="Arial" w:eastAsia="Arial" w:hAnsi="Arial"/>
          <w:sz w:val="18"/>
          <w:szCs w:val="18"/>
          <w:color w:val="auto"/>
        </w:rPr>
        <w:t>if such Incremental Facility and/or Incremental Equivalent Debt constitutes First Lien Debt, the First Lien Net Leverage Ratio does not exceed 3.60:1.00;</w:t>
      </w:r>
    </w:p>
    <w:p>
      <w:pPr>
        <w:spacing w:after="0" w:line="62" w:lineRule="exact"/>
        <w:rPr>
          <w:rFonts w:ascii="Arial" w:cs="Arial" w:eastAsia="Arial" w:hAnsi="Arial"/>
          <w:sz w:val="18"/>
          <w:szCs w:val="18"/>
          <w:color w:val="auto"/>
        </w:rPr>
      </w:pPr>
    </w:p>
    <w:p>
      <w:pPr>
        <w:ind w:left="980" w:right="240" w:firstLine="408"/>
        <w:spacing w:after="0" w:line="277" w:lineRule="auto"/>
        <w:tabs>
          <w:tab w:leader="none" w:pos="1646" w:val="left"/>
        </w:tabs>
        <w:numPr>
          <w:ilvl w:val="2"/>
          <w:numId w:val="40"/>
        </w:numPr>
        <w:rPr>
          <w:rFonts w:ascii="Arial" w:cs="Arial" w:eastAsia="Arial" w:hAnsi="Arial"/>
          <w:sz w:val="18"/>
          <w:szCs w:val="18"/>
          <w:color w:val="auto"/>
        </w:rPr>
      </w:pPr>
      <w:r>
        <w:rPr>
          <w:rFonts w:ascii="Arial" w:cs="Arial" w:eastAsia="Arial" w:hAnsi="Arial"/>
          <w:sz w:val="18"/>
          <w:szCs w:val="18"/>
          <w:color w:val="auto"/>
        </w:rPr>
        <w:t>if such Incremental Facility and/or Incremental Equivalent Debt constitutes Junior Lien Debt, the Secured Net Leverage Ratio does not exceed 4.10:1.00; or</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2"/>
          <w:numId w:val="40"/>
        </w:numPr>
        <w:rPr>
          <w:rFonts w:ascii="Arial" w:cs="Arial" w:eastAsia="Arial" w:hAnsi="Arial"/>
          <w:sz w:val="16"/>
          <w:szCs w:val="16"/>
          <w:color w:val="auto"/>
        </w:rPr>
      </w:pPr>
      <w:r>
        <w:rPr>
          <w:rFonts w:ascii="Arial" w:cs="Arial" w:eastAsia="Arial" w:hAnsi="Arial"/>
          <w:sz w:val="16"/>
          <w:szCs w:val="16"/>
          <w:color w:val="auto"/>
        </w:rPr>
        <w:t>if such Incremental Facility and/or Incremental Equivalent Debt is unsecured, the Total Net Leverage Ratio does not exceed</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4.35:1.00;</w:t>
      </w:r>
    </w:p>
    <w:p>
      <w:pPr>
        <w:spacing w:after="0" w:line="103" w:lineRule="exact"/>
        <w:rPr>
          <w:sz w:val="20"/>
          <w:szCs w:val="20"/>
          <w:color w:val="auto"/>
        </w:rPr>
      </w:pPr>
    </w:p>
    <w:p>
      <w:pPr>
        <w:ind w:left="980" w:right="40"/>
        <w:spacing w:after="0" w:line="255" w:lineRule="auto"/>
        <w:rPr>
          <w:sz w:val="20"/>
          <w:szCs w:val="20"/>
          <w:color w:val="auto"/>
        </w:rPr>
      </w:pPr>
      <w:r>
        <w:rPr>
          <w:rFonts w:ascii="Arial" w:cs="Arial" w:eastAsia="Arial" w:hAnsi="Arial"/>
          <w:sz w:val="18"/>
          <w:szCs w:val="18"/>
          <w:color w:val="auto"/>
        </w:rPr>
        <w:t xml:space="preserve">in each case described in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calculated on a Pro Forma Basis, including the application of the proceeds thereof (in the case of each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without “netting” the cash proceeds of the applicable Incremental Facility or Incremental Equivalent Debt on the consolidated balance sheet of the Borrower), and in the case of any Incremental Facility or Incremental Equivalent Debt consisting of a revolving facility or a delayed draw term loan facility then being incurred or established, assuming a full drawing of such revolving facility or such delayed draw term loan facility on the date of the implementation thereof (this </w:t>
      </w:r>
      <w:r>
        <w:rPr>
          <w:rFonts w:ascii="Arial" w:cs="Arial" w:eastAsia="Arial" w:hAnsi="Arial"/>
          <w:sz w:val="18"/>
          <w:szCs w:val="18"/>
          <w:u w:val="single" w:color="auto"/>
          <w:color w:val="auto"/>
        </w:rPr>
        <w:t>clause (e)</w:t>
      </w:r>
      <w:r>
        <w:rPr>
          <w:rFonts w:ascii="Arial" w:cs="Arial" w:eastAsia="Arial" w:hAnsi="Arial"/>
          <w:sz w:val="18"/>
          <w:szCs w:val="18"/>
          <w:color w:val="auto"/>
        </w:rPr>
        <w:t>, the “</w:t>
      </w:r>
      <w:r>
        <w:rPr>
          <w:rFonts w:ascii="Arial" w:cs="Arial" w:eastAsia="Arial" w:hAnsi="Arial"/>
          <w:sz w:val="18"/>
          <w:szCs w:val="18"/>
          <w:u w:val="single" w:color="auto"/>
          <w:color w:val="auto"/>
        </w:rPr>
        <w:t>Incremental Incurrence-Based Component</w:t>
      </w:r>
      <w:r>
        <w:rPr>
          <w:rFonts w:ascii="Arial" w:cs="Arial" w:eastAsia="Arial" w:hAnsi="Arial"/>
          <w:sz w:val="18"/>
          <w:szCs w:val="18"/>
          <w:color w:val="auto"/>
        </w:rPr>
        <w:t>”);</w:t>
      </w:r>
    </w:p>
    <w:p>
      <w:pPr>
        <w:spacing w:after="0" w:line="192"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provided that any Incremental Facility and/or Incremental Equivalent Debt may be incurred under one or more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(e)</w:t>
      </w:r>
      <w:r>
        <w:rPr>
          <w:rFonts w:ascii="Arial" w:cs="Arial" w:eastAsia="Arial" w:hAnsi="Arial"/>
          <w:sz w:val="17"/>
          <w:szCs w:val="17"/>
          <w:color w:val="auto"/>
        </w:rPr>
        <w:t xml:space="preserve"> of this definition as selected by the Borrower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the Borrower elects otherwise, any such Incremental Facility and/or Incremental Equivalent Debt will be deemed to have been incurred (I) first under the Incremental Incurrence-Based Component, to the maximum extent permitted thereunder and (II) </w:t>
      </w:r>
      <w:r>
        <w:rPr>
          <w:rFonts w:ascii="Arial" w:cs="Arial" w:eastAsia="Arial" w:hAnsi="Arial"/>
          <w:sz w:val="17"/>
          <w:szCs w:val="17"/>
          <w:u w:val="single" w:color="auto"/>
          <w:color w:val="auto"/>
        </w:rPr>
        <w:t>second</w:t>
      </w:r>
      <w:r>
        <w:rPr>
          <w:rFonts w:ascii="Arial" w:cs="Arial" w:eastAsia="Arial" w:hAnsi="Arial"/>
          <w:sz w:val="17"/>
          <w:szCs w:val="17"/>
          <w:color w:val="auto"/>
        </w:rPr>
        <w:t>, under the Incremental Prepayment Amount, to the maximum extent permitted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-181610</wp:posOffset>
            </wp:positionV>
            <wp:extent cx="212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45" w:name="page46"/>
    <w:bookmarkEnd w:id="45"/>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Incremental Commitment</w:t>
      </w:r>
      <w:r>
        <w:rPr>
          <w:rFonts w:ascii="Arial" w:cs="Arial" w:eastAsia="Arial" w:hAnsi="Arial"/>
          <w:sz w:val="17"/>
          <w:szCs w:val="17"/>
          <w:color w:val="auto"/>
        </w:rPr>
        <w:t>” means any commitment made by a lender to provide all or any portion of any Incremental Facility or Incremental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means Indebtedness in the form of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senior secured or unsecured notes or loans and/or junior secured or unsecured notes or loans and/or, in each case commitments in respect of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62" w:lineRule="exact"/>
        <w:rPr>
          <w:sz w:val="20"/>
          <w:szCs w:val="20"/>
          <w:color w:val="auto"/>
        </w:rPr>
      </w:pPr>
    </w:p>
    <w:p>
      <w:pPr>
        <w:ind w:left="1100" w:hanging="241"/>
        <w:spacing w:after="0"/>
        <w:tabs>
          <w:tab w:leader="none" w:pos="11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the aggregate outstanding principal amount (or committed amount, if applicable under </w:t>
      </w:r>
      <w:r>
        <w:rPr>
          <w:rFonts w:ascii="Arial" w:cs="Arial" w:eastAsia="Arial" w:hAnsi="Arial"/>
          <w:sz w:val="16"/>
          <w:szCs w:val="16"/>
          <w:u w:val="single" w:color="auto"/>
          <w:color w:val="auto"/>
        </w:rPr>
        <w:t>Section 1.12</w:t>
      </w:r>
      <w:r>
        <w:rPr>
          <w:rFonts w:ascii="Arial" w:cs="Arial" w:eastAsia="Arial" w:hAnsi="Arial"/>
          <w:sz w:val="16"/>
          <w:szCs w:val="16"/>
          <w:color w:val="auto"/>
        </w:rPr>
        <w:t>) thereof shall not exceed the sum of</w:t>
      </w:r>
    </w:p>
    <w:p>
      <w:pPr>
        <w:spacing w:after="0" w:line="46" w:lineRule="exact"/>
        <w:rPr>
          <w:rFonts w:ascii="Arial" w:cs="Arial" w:eastAsia="Arial" w:hAnsi="Arial"/>
          <w:sz w:val="16"/>
          <w:szCs w:val="16"/>
          <w:color w:val="auto"/>
        </w:rPr>
      </w:pPr>
    </w:p>
    <w:p>
      <w:pPr>
        <w:ind w:left="440" w:right="60" w:hanging="4"/>
        <w:spacing w:after="0" w:line="295"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Incremental Cap (as in effect at the time of determination, including giving effect to any reclassification on or prior to such date of determination) and (ii) at the election of the Borrower, any additional amount of Indebtedness otherwise permitted to be incurred under this Agreement (and if such additional Indebtedness that is reallocated to Incremental Equivalent Debt is secured, the relevant Liens securing such additional Indebtedness are Permitted Liens other than by virtue of such additional Indebtedness being incurred as Incremental Equivalent Debt);</w:t>
      </w:r>
    </w:p>
    <w:p>
      <w:pPr>
        <w:spacing w:after="0" w:line="53" w:lineRule="exact"/>
        <w:rPr>
          <w:rFonts w:ascii="Arial" w:cs="Arial" w:eastAsia="Arial" w:hAnsi="Arial"/>
          <w:sz w:val="16"/>
          <w:szCs w:val="16"/>
          <w:color w:val="auto"/>
        </w:rPr>
      </w:pPr>
    </w:p>
    <w:p>
      <w:pPr>
        <w:ind w:left="440" w:right="720" w:firstLine="419"/>
        <w:spacing w:after="0" w:line="277" w:lineRule="auto"/>
        <w:tabs>
          <w:tab w:leader="none" w:pos="1118"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Weighted Average Life to Maturity applicable to such notes or loans (other than Customary Bridge Loans and/or revolving Indebtedness) is no shorter than the Weighted Average Life to Maturity of the then existing Term Loans;</w:t>
      </w:r>
    </w:p>
    <w:p>
      <w:pPr>
        <w:spacing w:after="0" w:line="62" w:lineRule="exact"/>
        <w:rPr>
          <w:rFonts w:ascii="Arial" w:cs="Arial" w:eastAsia="Arial" w:hAnsi="Arial"/>
          <w:sz w:val="18"/>
          <w:szCs w:val="18"/>
          <w:color w:val="auto"/>
        </w:rPr>
      </w:pPr>
    </w:p>
    <w:p>
      <w:pPr>
        <w:ind w:left="440" w:right="360" w:firstLine="419"/>
        <w:spacing w:after="0" w:line="308" w:lineRule="auto"/>
        <w:tabs>
          <w:tab w:leader="none" w:pos="1108"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final maturity date with respect to such notes or loans (other than Customary Bridge Loans and/or revolving Indebtedness) is no earlier than the Latest Term Loan Maturity Date on the date of the issuance or incurrence, as applicable, thereof;</w:t>
      </w:r>
    </w:p>
    <w:p>
      <w:pPr>
        <w:spacing w:after="0" w:line="38" w:lineRule="exact"/>
        <w:rPr>
          <w:rFonts w:ascii="Arial" w:cs="Arial" w:eastAsia="Arial" w:hAnsi="Arial"/>
          <w:sz w:val="17"/>
          <w:szCs w:val="17"/>
          <w:color w:val="auto"/>
        </w:rPr>
      </w:pPr>
    </w:p>
    <w:p>
      <w:pPr>
        <w:ind w:left="440" w:right="180" w:firstLine="419"/>
        <w:spacing w:after="0" w:line="277" w:lineRule="auto"/>
        <w:tabs>
          <w:tab w:leader="none" w:pos="1118"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such Indebtedness may otherwise have an amortization schedule as determined by the Borrower and the lenders providing such Incremental Equivalent Debt;</w:t>
      </w:r>
    </w:p>
    <w:p>
      <w:pPr>
        <w:spacing w:after="0" w:line="62" w:lineRule="exact"/>
        <w:rPr>
          <w:rFonts w:ascii="Arial" w:cs="Arial" w:eastAsia="Arial" w:hAnsi="Arial"/>
          <w:sz w:val="18"/>
          <w:szCs w:val="18"/>
          <w:color w:val="auto"/>
        </w:rPr>
      </w:pPr>
    </w:p>
    <w:p>
      <w:pPr>
        <w:ind w:left="440" w:right="300" w:firstLine="419"/>
        <w:spacing w:after="0" w:line="263" w:lineRule="auto"/>
        <w:tabs>
          <w:tab w:leader="none" w:pos="1108"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currency, pricing (including any “MFN” or other pricing terms), interest rate margins, rate floors, fees, premiums (including prepayment premiums), funding discounts and the maturity and amortization schedule applicable to any Incremental Equivalent Debt shall be determined by the Borrower and the lender or lenders providing such Incremental Equivalent Debt;</w:t>
      </w:r>
    </w:p>
    <w:p>
      <w:pPr>
        <w:spacing w:after="0" w:line="75" w:lineRule="exact"/>
        <w:rPr>
          <w:rFonts w:ascii="Arial" w:cs="Arial" w:eastAsia="Arial" w:hAnsi="Arial"/>
          <w:sz w:val="18"/>
          <w:szCs w:val="18"/>
          <w:color w:val="auto"/>
        </w:rPr>
      </w:pPr>
    </w:p>
    <w:p>
      <w:pPr>
        <w:ind w:left="440" w:right="400" w:firstLine="419"/>
        <w:spacing w:after="0" w:line="277" w:lineRule="auto"/>
        <w:tabs>
          <w:tab w:leader="none" w:pos="10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such Incremental Equivalent Debt will be documented pursuant to separate documentation from the credit agreement governing the Credit Facilities;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if such Indebtedness is (i) secured by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Secured Obligations that constitute First Lien Debt,</w:t>
      </w:r>
    </w:p>
    <w:p>
      <w:pPr>
        <w:spacing w:after="0" w:line="46" w:lineRule="exact"/>
        <w:rPr>
          <w:rFonts w:ascii="Arial" w:cs="Arial" w:eastAsia="Arial" w:hAnsi="Arial"/>
          <w:sz w:val="16"/>
          <w:szCs w:val="16"/>
          <w:color w:val="auto"/>
        </w:rPr>
      </w:pPr>
    </w:p>
    <w:p>
      <w:pPr>
        <w:jc w:val="both"/>
        <w:ind w:left="440" w:right="140" w:hanging="4"/>
        <w:spacing w:after="0" w:line="255"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secured by the Collateral on a junior basis as compared to the Secured Obligations that constitute First Lien Debt or (iii) subordinated to the Obligations in right of payment, then the holders of such Indebtedness (or a representative thereof) shall be party to an Intercreditor Agreement; and</w:t>
      </w:r>
    </w:p>
    <w:p>
      <w:pPr>
        <w:spacing w:after="0" w:line="81" w:lineRule="exact"/>
        <w:rPr>
          <w:rFonts w:ascii="Arial" w:cs="Arial" w:eastAsia="Arial" w:hAnsi="Arial"/>
          <w:sz w:val="18"/>
          <w:szCs w:val="18"/>
          <w:color w:val="auto"/>
        </w:rPr>
      </w:pPr>
    </w:p>
    <w:p>
      <w:pPr>
        <w:ind w:left="440" w:firstLine="419"/>
        <w:spacing w:after="0" w:line="255" w:lineRule="auto"/>
        <w:tabs>
          <w:tab w:leader="none" w:pos="1118"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 such Indebtedness may be (A) issued or guaranteed by any subsidiary of the Borrower which is not a Loan Party (it being understood and agreed that the obligations of any Person with respect to any Escrow arrangement into which the proceeds of such Indebtedness are deposited shall not constitute a guarantee by any subsidiary that is not a Loan Party) or (B) secured by any asset that does not constitute Collateral; it being understood that any such Indebtedness that is funded into Escrow pursuant to customary (in the good faith determination of the Borrower) escrow arrangements may be secured by the applicable funds and related assets held in Escrow (and the proceeds thereof) until the date on which such funds are released from Escrow.</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440" w:top="274" w:right="519" w:bottom="1440" w:gutter="0" w:footer="0" w:header="0"/>
        </w:sectPr>
      </w:pPr>
    </w:p>
    <w:bookmarkStart w:id="46" w:name="page47"/>
    <w:bookmarkEnd w:id="46"/>
    <w:p>
      <w:pPr>
        <w:ind w:left="4" w:right="4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Incremental Facility Amendment</w:t>
      </w:r>
      <w:r>
        <w:rPr>
          <w:rFonts w:ascii="Arial" w:cs="Arial" w:eastAsia="Arial" w:hAnsi="Arial"/>
          <w:sz w:val="16"/>
          <w:szCs w:val="16"/>
          <w:color w:val="auto"/>
        </w:rPr>
        <w:t xml:space="preserve">” means an amendment to this Agreement that is reasonably satisfactory to the Administrative Agent (solely for purposes of giving effect to </w:t>
      </w:r>
      <w:r>
        <w:rPr>
          <w:rFonts w:ascii="Arial" w:cs="Arial" w:eastAsia="Arial" w:hAnsi="Arial"/>
          <w:sz w:val="16"/>
          <w:szCs w:val="16"/>
          <w:u w:val="single" w:color="auto"/>
          <w:color w:val="auto"/>
        </w:rPr>
        <w:t>Section 2.22</w:t>
      </w:r>
      <w:r>
        <w:rPr>
          <w:rFonts w:ascii="Arial" w:cs="Arial" w:eastAsia="Arial" w:hAnsi="Arial"/>
          <w:sz w:val="16"/>
          <w:szCs w:val="16"/>
          <w:color w:val="auto"/>
        </w:rPr>
        <w:t>) and the Borrower executed by each of (a) Holdings and the Borrower, (b) the Administrative Agent and</w:t>
      </w:r>
    </w:p>
    <w:p>
      <w:pPr>
        <w:ind w:left="444" w:right="20" w:hanging="444"/>
        <w:spacing w:after="0" w:line="521" w:lineRule="auto"/>
        <w:tabs>
          <w:tab w:leader="none" w:pos="2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each Lender that agrees to provide all or any portion of the Incremental Facility being incurred pursuant thereto and in accordance with </w:t>
      </w:r>
      <w:r>
        <w:rPr>
          <w:rFonts w:ascii="Arial" w:cs="Arial" w:eastAsia="Arial" w:hAnsi="Arial"/>
          <w:sz w:val="17"/>
          <w:szCs w:val="17"/>
          <w:u w:val="single" w:color="auto"/>
          <w:color w:val="auto"/>
        </w:rPr>
        <w:t>Section 2.22</w:t>
      </w:r>
      <w:r>
        <w:rPr>
          <w:rFonts w:ascii="Arial" w:cs="Arial" w:eastAsia="Arial" w:hAnsi="Arial"/>
          <w:sz w:val="17"/>
          <w:szCs w:val="17"/>
          <w:color w:val="auto"/>
        </w:rPr>
        <w:t>. “</w:t>
      </w:r>
      <w:r>
        <w:rPr>
          <w:rFonts w:ascii="Arial" w:cs="Arial" w:eastAsia="Arial" w:hAnsi="Arial"/>
          <w:sz w:val="17"/>
          <w:szCs w:val="17"/>
          <w:u w:val="single" w:color="auto"/>
          <w:color w:val="auto"/>
        </w:rPr>
        <w:t>Incremental Incurrence-Based Component</w:t>
      </w:r>
      <w:r>
        <w:rPr>
          <w:rFonts w:ascii="Arial" w:cs="Arial" w:eastAsia="Arial" w:hAnsi="Arial"/>
          <w:sz w:val="17"/>
          <w:szCs w:val="17"/>
          <w:color w:val="auto"/>
        </w:rPr>
        <w:t>” has the meaning assigned to such term in the definition of “Incremental Cap”.</w:t>
      </w:r>
    </w:p>
    <w:p>
      <w:pPr>
        <w:ind w:left="444"/>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2.22(b)</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Prepayment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of “Incremental Cap.”</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5"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Facility Lender</w:t>
      </w:r>
      <w:r>
        <w:rPr>
          <w:rFonts w:ascii="Arial" w:cs="Arial" w:eastAsia="Arial" w:hAnsi="Arial"/>
          <w:sz w:val="18"/>
          <w:szCs w:val="18"/>
          <w:color w:val="auto"/>
        </w:rPr>
        <w:t>” means, with respect to any Incremental Revolving Facility, each Revolving Lender providing any portion of such Incremental Revolving Facility.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Incurrence-Based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1.12(c)</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as applied to any Person means, without duplication:</w:t>
      </w:r>
    </w:p>
    <w:p>
      <w:pPr>
        <w:spacing w:after="0" w:line="117" w:lineRule="exact"/>
        <w:rPr>
          <w:sz w:val="20"/>
          <w:szCs w:val="20"/>
          <w:color w:val="auto"/>
        </w:rPr>
      </w:pPr>
    </w:p>
    <w:p>
      <w:pPr>
        <w:ind w:left="1104" w:hanging="241"/>
        <w:spacing w:after="0"/>
        <w:tabs>
          <w:tab w:leader="none" w:pos="11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indebtedness for borrowed money;</w:t>
      </w:r>
    </w:p>
    <w:p>
      <w:pPr>
        <w:spacing w:after="0" w:line="117" w:lineRule="exact"/>
        <w:rPr>
          <w:rFonts w:ascii="Arial" w:cs="Arial" w:eastAsia="Arial" w:hAnsi="Arial"/>
          <w:sz w:val="18"/>
          <w:szCs w:val="18"/>
          <w:color w:val="auto"/>
        </w:rPr>
      </w:pPr>
    </w:p>
    <w:p>
      <w:pPr>
        <w:ind w:left="444" w:right="100" w:firstLine="419"/>
        <w:spacing w:after="0" w:line="277" w:lineRule="auto"/>
        <w:tabs>
          <w:tab w:leader="none" w:pos="112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portion of obligations with respect to Capital Leases to the extent recorded as a liability on a balance sheet (excluding the footnotes thereto) of such Person prepared in accordance with GAAP;</w:t>
      </w:r>
    </w:p>
    <w:p>
      <w:pPr>
        <w:spacing w:after="0" w:line="62" w:lineRule="exact"/>
        <w:rPr>
          <w:rFonts w:ascii="Arial" w:cs="Arial" w:eastAsia="Arial" w:hAnsi="Arial"/>
          <w:sz w:val="18"/>
          <w:szCs w:val="18"/>
          <w:color w:val="auto"/>
        </w:rPr>
      </w:pPr>
    </w:p>
    <w:p>
      <w:pPr>
        <w:ind w:left="444" w:right="360" w:firstLine="419"/>
        <w:spacing w:after="0" w:line="308" w:lineRule="auto"/>
        <w:tabs>
          <w:tab w:leader="none" w:pos="1112"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all obligations of such Person evidenced by bonds, debentures, notes or similar instruments to the extent the same would appear as a liability on a balance sheet (excluding the footnotes thereto) of such Person prepared in accordance with GAAP;</w:t>
      </w:r>
    </w:p>
    <w:p>
      <w:pPr>
        <w:spacing w:after="0" w:line="38" w:lineRule="exact"/>
        <w:rPr>
          <w:rFonts w:ascii="Arial" w:cs="Arial" w:eastAsia="Arial" w:hAnsi="Arial"/>
          <w:sz w:val="17"/>
          <w:szCs w:val="17"/>
          <w:color w:val="auto"/>
        </w:rPr>
      </w:pPr>
    </w:p>
    <w:p>
      <w:pPr>
        <w:ind w:left="444" w:firstLine="419"/>
        <w:spacing w:after="0" w:line="293" w:lineRule="auto"/>
        <w:tabs>
          <w:tab w:leader="none" w:pos="1122"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obligation of such Person owed for all or any part of the deferred purchase price of property or services (excluding (i) any earn-out obligation or purchase price adjustment until such obligation (A) becomes a liability on the statement of financial position or balance sheet (excluding the footnotes thereto) in accordance with GAAP and (B) has not been paid within 30 days after becoming due and payable, (ii) any such obligation incurred under ERISA, (iii) accrued expenses and trade accounts payable in the ordinary course of business (including on an inter-company basis) and (iv) liabilities associated with customer prepayments and deposits), which purchase price is (A) due more than six months from the date of the incurrence of the obligation in respect thereof or (B) evidenced by a note or similar written instrument);</w:t>
      </w:r>
    </w:p>
    <w:p>
      <w:pPr>
        <w:spacing w:after="0" w:line="9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4"/>
          </w:cols>
          <w:pgMar w:left="436" w:top="274" w:right="479" w:bottom="1440" w:gutter="0" w:footer="0" w:header="0"/>
        </w:sectPr>
      </w:pPr>
    </w:p>
    <w:bookmarkStart w:id="47" w:name="page48"/>
    <w:bookmarkEnd w:id="47"/>
    <w:p>
      <w:pPr>
        <w:ind w:left="440" w:right="220" w:firstLine="419"/>
        <w:spacing w:after="0" w:line="277" w:lineRule="auto"/>
        <w:tabs>
          <w:tab w:leader="none" w:pos="1108"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monetary obligation of any other Person secured by any Lien on any asset owned or held by such Person regardless of whether the Indebtedness secured thereby has been assumed by such Person or is non-recourse to the credit of such Person;</w:t>
      </w:r>
    </w:p>
    <w:p>
      <w:pPr>
        <w:spacing w:after="0" w:line="62" w:lineRule="exact"/>
        <w:rPr>
          <w:rFonts w:ascii="Arial" w:cs="Arial" w:eastAsia="Arial" w:hAnsi="Arial"/>
          <w:sz w:val="18"/>
          <w:szCs w:val="18"/>
          <w:color w:val="auto"/>
        </w:rPr>
      </w:pPr>
    </w:p>
    <w:p>
      <w:pPr>
        <w:ind w:left="440" w:right="920" w:firstLine="419"/>
        <w:spacing w:after="0" w:line="277" w:lineRule="auto"/>
        <w:tabs>
          <w:tab w:leader="none" w:pos="108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face amount of any letter of credit issued for the account of such Person or as to which such Person is otherwise liable for reimbursement of drawings;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Guarantee by such Person of the Indebtedness of another;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obligations of such Person in respect of any Disqualified Capital Stock; and</w:t>
      </w:r>
    </w:p>
    <w:p>
      <w:pPr>
        <w:spacing w:after="0" w:line="117" w:lineRule="exact"/>
        <w:rPr>
          <w:rFonts w:ascii="Arial" w:cs="Arial" w:eastAsia="Arial" w:hAnsi="Arial"/>
          <w:sz w:val="18"/>
          <w:szCs w:val="18"/>
          <w:color w:val="auto"/>
        </w:rPr>
      </w:pPr>
    </w:p>
    <w:p>
      <w:pPr>
        <w:ind w:left="440" w:right="140" w:firstLine="419"/>
        <w:spacing w:after="0" w:line="277" w:lineRule="auto"/>
        <w:tabs>
          <w:tab w:leader="none" w:pos="107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net obligations of such Person in respect of any Derivative Transaction, including any Hedge Agreement, whether or not entered into for hedging or speculative purposes;</w:t>
      </w:r>
    </w:p>
    <w:p>
      <w:pPr>
        <w:spacing w:after="0" w:line="17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no event shall any obligation under any Derivative Transaction be deemed to constitute “Indebtedness” for any calculation of the First Lien Net Leverage Ratio, the Secured Net Leverage Ratio, the Total Net Leverage Ratio or any other financial ratio under this Agreement, (ii) the amount of Indebtedness of any Person for purposes of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shall be deemed to be equal to the lesser of (A) the aggregate unpaid principal amount of such Indebtedness and (B) the fair market value of the property encumbered thereby as determined by such Person in good faith and (iii) the term “Indebtedness” shall exclude (A) intercompany loans and/or advances arising from cash management, tax and accounting operations and (B) intercompany loans and/or advances made in the ordinary course of business that have a term that does not exceed 364 days.</w:t>
      </w:r>
    </w:p>
    <w:p>
      <w:pPr>
        <w:spacing w:after="0" w:line="164"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For all purposes hereof, the Indebtedness of any Person shall (i) include the Indebtedness of any third person (including any partnership in which such Person is a general partner and any unincorporated joint venture in which such Person is a joint venture) to the extent such Person would be liable therefor under applicable Requirements of Law or any agreement or instrument by virtue of such Person’s ownership interest in such Person, (A) except to the extent the terms of such Indebtedness provide that such Person is not liable therefor and (B) only to the extent the relevant Indebtedness is of the type that would be included in the calculation of Consolidated Total Debt;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anything herein to the contrary, the term “Indebtedness” shall not include, and shall be calculated without giving effect to, (1) the effects of Accounting Standards Codification Topic 815 and related interpretations to the extent such effects would otherwise increase or decrease an amount of Indebtedness for any purpose hereunder as a result of accounting for any embedded derivatives created by the terms of such Indebtedness (it being understood that any such amounts that would have constituted Indebtedness hereunder but for the application of this proviso shall not be deemed an incurrence of Indebtedness hereunder) and (2) the effects of Statement of Financial Accounting Standards No. 133 and related interpretations to the extent such effects would otherwise increase or decrease an amount of Indebtedness for any purpose under this Agreement as a result of accounting for any embedded derivative created by the terms of such Indebtedness (it being understood that any such amounts that would have constituted Indebtedness under this Agreement but for the application of this sentence shall not be deemed to be an incurrence of Indebtedness under this Agreement) and (ii) exclude (A) obligations incurred in connection with the consummation of any transaction solely to the extent the proceeds thereof are and continue to be held in an escrow, trust, collateral or similar account or arrangement (collectively, an “</w:t>
      </w:r>
      <w:r>
        <w:rPr>
          <w:rFonts w:ascii="Arial" w:cs="Arial" w:eastAsia="Arial" w:hAnsi="Arial"/>
          <w:sz w:val="16"/>
          <w:szCs w:val="16"/>
          <w:u w:val="single" w:color="auto"/>
          <w:color w:val="auto"/>
        </w:rPr>
        <w:t>Escrow</w:t>
      </w:r>
      <w:r>
        <w:rPr>
          <w:rFonts w:ascii="Arial" w:cs="Arial" w:eastAsia="Arial" w:hAnsi="Arial"/>
          <w:sz w:val="16"/>
          <w:szCs w:val="16"/>
          <w:color w:val="auto"/>
        </w:rPr>
        <w:t>”) and are not otherwise made available to such Person, (B) prepaid or deferred revenue and (C) obligations that constitute “Indebtedness” solely by virtue of a pledge of an Investment (without an accompanying guaranty) in any Unrestricted Subsidiary.</w:t>
      </w:r>
    </w:p>
    <w:p>
      <w:pPr>
        <w:spacing w:after="0" w:line="176"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amount of any Indebtedness that is issued at a discount to its initial principal amount shall be calculated based on the initial stated principal amount thereof without giving effect to any such discount.</w:t>
      </w:r>
    </w:p>
    <w:p>
      <w:pPr>
        <w:spacing w:after="0" w:line="170"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all Taxes, other than Excluded Taxes or Other Taxes, imposed on or with respect to any payment made by or on account of any obligation of any Loan Party under any Loan Document.</w:t>
      </w:r>
    </w:p>
    <w:p>
      <w:pPr>
        <w:spacing w:after="0" w:line="170" w:lineRule="exact"/>
        <w:rPr>
          <w:sz w:val="20"/>
          <w:szCs w:val="20"/>
          <w:color w:val="auto"/>
        </w:rPr>
      </w:pPr>
    </w:p>
    <w:p>
      <w:pPr>
        <w:jc w:val="right"/>
        <w:ind w:right="5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9.03(b)</w:t>
      </w:r>
      <w:r>
        <w:rPr>
          <w:rFonts w:ascii="Arial" w:cs="Arial" w:eastAsia="Arial" w:hAnsi="Arial"/>
          <w:sz w:val="17"/>
          <w:szCs w:val="17"/>
          <w:color w:val="auto"/>
        </w:rPr>
        <w:t>.</w:t>
      </w:r>
    </w:p>
    <w:p>
      <w:pPr>
        <w:spacing w:after="0" w:line="169" w:lineRule="exact"/>
        <w:rPr>
          <w:sz w:val="20"/>
          <w:szCs w:val="20"/>
          <w:color w:val="auto"/>
        </w:rPr>
      </w:pPr>
    </w:p>
    <w:p>
      <w:pPr>
        <w:jc w:val="right"/>
        <w:ind w:right="5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48" w:name="page49"/>
    <w:bookmarkEnd w:id="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Lenders</w:t>
      </w:r>
      <w:r>
        <w:rPr>
          <w:rFonts w:ascii="Arial" w:cs="Arial" w:eastAsia="Arial" w:hAnsi="Arial"/>
          <w:sz w:val="17"/>
          <w:szCs w:val="17"/>
          <w:color w:val="auto"/>
        </w:rPr>
        <w:t>” means the Arrangers and the affiliates of the Arrangers who are party to this Agreement as Lenders on the Closing Date.</w:t>
      </w:r>
    </w:p>
    <w:p>
      <w:pPr>
        <w:spacing w:after="0" w:line="237"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Revolving Credit Commitment</w:t>
      </w:r>
      <w:r>
        <w:rPr>
          <w:rFonts w:ascii="Arial" w:cs="Arial" w:eastAsia="Arial" w:hAnsi="Arial"/>
          <w:sz w:val="16"/>
          <w:szCs w:val="16"/>
          <w:color w:val="auto"/>
        </w:rPr>
        <w:t xml:space="preserve">” means, with respect to any Person, the commitment of such Person to make Initial Revolving Loans (and acquire participations in Letters of Credit and Swingline Loans) hereunder as set forth on the Commitment Schedule, or in the Assignment Agreement pursuant to which such Person assumed its Initial Revolving Credit Commitment, as applicable, as the same may be (a) reduced from time to time pursuant to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(b) reduced or increased from time to time pursuant to assignments by or to such Lender pursuant to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or (c) increased pursuant to </w:t>
      </w:r>
      <w:r>
        <w:rPr>
          <w:rFonts w:ascii="Arial" w:cs="Arial" w:eastAsia="Arial" w:hAnsi="Arial"/>
          <w:sz w:val="16"/>
          <w:szCs w:val="16"/>
          <w:u w:val="single" w:color="auto"/>
          <w:color w:val="auto"/>
        </w:rPr>
        <w:t>Section 2.22</w:t>
      </w:r>
      <w:r>
        <w:rPr>
          <w:rFonts w:ascii="Arial" w:cs="Arial" w:eastAsia="Arial" w:hAnsi="Arial"/>
          <w:sz w:val="16"/>
          <w:szCs w:val="16"/>
          <w:color w:val="auto"/>
        </w:rPr>
        <w:t>. The aggregate amount of the Initial Revolving Credit Commitments as of the Closing Date is $75,000,000.</w:t>
      </w:r>
    </w:p>
    <w:p>
      <w:pPr>
        <w:spacing w:after="0" w:line="16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Credit Exposure</w:t>
      </w:r>
      <w:r>
        <w:rPr>
          <w:rFonts w:ascii="Arial" w:cs="Arial" w:eastAsia="Arial" w:hAnsi="Arial"/>
          <w:sz w:val="18"/>
          <w:szCs w:val="18"/>
          <w:color w:val="auto"/>
        </w:rPr>
        <w:t xml:space="preserve">” means, with respect to any Lender at any time, the aggregate Outstanding Amount at such time of all Initial Revolving Loans of such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amount at such time of such Lender’s LC Exposure and Swingline Exposure, in each case, attributable to its Initial Revolving Credit Commitment.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Credit Maturity Date</w:t>
      </w:r>
      <w:r>
        <w:rPr>
          <w:rFonts w:ascii="Arial" w:cs="Arial" w:eastAsia="Arial" w:hAnsi="Arial"/>
          <w:sz w:val="18"/>
          <w:szCs w:val="18"/>
          <w:color w:val="auto"/>
        </w:rPr>
        <w:t>” means the date that is five years after the Closing Date.</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Facility</w:t>
      </w:r>
      <w:r>
        <w:rPr>
          <w:rFonts w:ascii="Arial" w:cs="Arial" w:eastAsia="Arial" w:hAnsi="Arial"/>
          <w:sz w:val="18"/>
          <w:szCs w:val="18"/>
          <w:color w:val="auto"/>
        </w:rPr>
        <w:t>” means the Initial Revolving Credit Commitments and the Initial Revolving Loans and other extensions of credit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Lender</w:t>
      </w:r>
      <w:r>
        <w:rPr>
          <w:rFonts w:ascii="Arial" w:cs="Arial" w:eastAsia="Arial" w:hAnsi="Arial"/>
          <w:sz w:val="18"/>
          <w:szCs w:val="18"/>
          <w:color w:val="auto"/>
        </w:rPr>
        <w:t>” means any Lender with an Initial Revolving Credit Commitment or any Initial Revolving Credit Exposure.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Loan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2.01(a)(ii)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Lender</w:t>
      </w:r>
      <w:r>
        <w:rPr>
          <w:rFonts w:ascii="Arial" w:cs="Arial" w:eastAsia="Arial" w:hAnsi="Arial"/>
          <w:sz w:val="18"/>
          <w:szCs w:val="18"/>
          <w:color w:val="auto"/>
        </w:rPr>
        <w:t>” means any Lender with an Initial Term Loan Commitment or an outstanding Initial Term Loan.</w:t>
      </w:r>
    </w:p>
    <w:p>
      <w:pPr>
        <w:spacing w:after="0" w:line="225" w:lineRule="exact"/>
        <w:rPr>
          <w:sz w:val="20"/>
          <w:szCs w:val="20"/>
          <w:color w:val="auto"/>
        </w:rPr>
      </w:pPr>
    </w:p>
    <w:p>
      <w:pPr>
        <w:jc w:val="both"/>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 Commitment</w:t>
      </w:r>
      <w:r>
        <w:rPr>
          <w:rFonts w:ascii="Arial" w:cs="Arial" w:eastAsia="Arial" w:hAnsi="Arial"/>
          <w:sz w:val="18"/>
          <w:szCs w:val="18"/>
          <w:color w:val="auto"/>
        </w:rPr>
        <w:t xml:space="preserve">” means, with respect to any Person, the commitment of such Person to make Initial Term Loans hereunder in an aggregate amount not to exceed the amount set forth opposite such Person’s name on the Commitment Schedule, as the same may be (a) reduced from time to time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(b) reduced or increased from time to time pursuant to assignments made by or to such Term Lender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or (c) increased from time to time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The aggregate amount of the Term Lenders’ Initial Term Loan Commitments on the Closing Date is $275,000,000.</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 Maturity Date</w:t>
      </w:r>
      <w:r>
        <w:rPr>
          <w:rFonts w:ascii="Arial" w:cs="Arial" w:eastAsia="Arial" w:hAnsi="Arial"/>
          <w:sz w:val="18"/>
          <w:szCs w:val="18"/>
          <w:color w:val="auto"/>
        </w:rPr>
        <w:t>” means the date that is five years after the Closing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2.01(a)(i)</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xml:space="preserve">” means any agreement, or a supplement thereto, executed on or after the Closing Date confirming or effecting the grant of any Lien on IP Rights owned by any Loan Party to the Administrative Agent, for the benefit of the Secured Parties, required in accordance with this Agreement and the Security Agreement, including an Intellectual Property Security Agreement substantially in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187"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Note</w:t>
      </w:r>
      <w:r>
        <w:rPr>
          <w:rFonts w:ascii="Arial" w:cs="Arial" w:eastAsia="Arial" w:hAnsi="Arial"/>
          <w:sz w:val="18"/>
          <w:szCs w:val="18"/>
          <w:color w:val="auto"/>
        </w:rPr>
        <w:t xml:space="preserve">” means a promissory note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or such other form to which the Borrower and the Administrative Agent may reasonably agree.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440" w:top="274" w:right="519" w:bottom="1440" w:gutter="0" w:footer="0" w:header="0"/>
        </w:sectPr>
      </w:pPr>
    </w:p>
    <w:bookmarkStart w:id="49" w:name="page50"/>
    <w:bookmarkEnd w:id="4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w:t>
      </w:r>
    </w:p>
    <w:p>
      <w:pPr>
        <w:spacing w:after="0" w:line="117" w:lineRule="exact"/>
        <w:rPr>
          <w:sz w:val="20"/>
          <w:szCs w:val="20"/>
          <w:color w:val="auto"/>
        </w:rPr>
      </w:pPr>
    </w:p>
    <w:p>
      <w:pPr>
        <w:ind w:left="1100" w:hanging="241"/>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any Indebtedness that constitutes First Lien Debt, a Pari Passu Intercreditor Agreement;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any Indebtedness that constitutes Junior Lien Debt, a Junior Lien Intercreditor Agreement; and/or</w:t>
      </w:r>
    </w:p>
    <w:p>
      <w:pPr>
        <w:spacing w:after="0" w:line="117" w:lineRule="exact"/>
        <w:rPr>
          <w:rFonts w:ascii="Arial" w:cs="Arial" w:eastAsia="Arial" w:hAnsi="Arial"/>
          <w:sz w:val="18"/>
          <w:szCs w:val="18"/>
          <w:color w:val="auto"/>
        </w:rPr>
      </w:pPr>
    </w:p>
    <w:p>
      <w:pPr>
        <w:ind w:left="440" w:right="280" w:firstLine="419"/>
        <w:spacing w:after="0" w:line="275" w:lineRule="auto"/>
        <w:tabs>
          <w:tab w:leader="none" w:pos="1108" w:val="left"/>
        </w:tabs>
        <w:numPr>
          <w:ilvl w:val="0"/>
          <w:numId w:val="47"/>
        </w:numPr>
        <w:rPr>
          <w:rFonts w:ascii="Arial" w:cs="Arial" w:eastAsia="Arial" w:hAnsi="Arial"/>
          <w:sz w:val="17"/>
          <w:szCs w:val="17"/>
          <w:color w:val="auto"/>
        </w:rPr>
      </w:pPr>
      <w:r>
        <w:rPr>
          <w:rFonts w:ascii="Arial" w:cs="Arial" w:eastAsia="Arial" w:hAnsi="Arial"/>
          <w:sz w:val="17"/>
          <w:szCs w:val="17"/>
          <w:color w:val="auto"/>
        </w:rPr>
        <w:t>with respect to any Indebtedness, any other intercreditor or subordination agreement or arrangement (which may take the form of a “waterfall” or similar provision), as applicable, the terms of which are (i) consistent with market terms (as determined by the Borrower and the Administrative Agent in good faith) governing arrangements for the sharing and/or subordination of liens and/or arrangements relating to the distribution of payments, as applicable, at the time the relevant intercreditor agreement is proposed to be established in light of the type of Indebtedness subject thereto and/or (ii) reasonably acceptable to the Borrower and the Administrative Agent.</w:t>
      </w:r>
    </w:p>
    <w:p>
      <w:pPr>
        <w:spacing w:after="0" w:line="176"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request by the Borrower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 or another form reasonably acceptable to the Administrative Agent to convert or continue a Borrowing in accordance with </w:t>
      </w:r>
      <w:r>
        <w:rPr>
          <w:rFonts w:ascii="Arial" w:cs="Arial" w:eastAsia="Arial" w:hAnsi="Arial"/>
          <w:sz w:val="18"/>
          <w:szCs w:val="18"/>
          <w:u w:val="single" w:color="auto"/>
          <w:color w:val="auto"/>
        </w:rPr>
        <w:t>Section 2.08</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each Scheduled Payment Date and the maturity date applicable to such ABR Loan and (b) with respect to any LIBO Rate Loan, the last day of the Interest Period applicable to the Borrowing of which such Loan is a part and, in the case of a LIBO Rate Loan with an Interest Period of more than three months’ duration, each day that would have been an Interest Payment Date had successive Interest Periods of three months’ duration been applicable to such Borrowing.</w:t>
      </w:r>
    </w:p>
    <w:p>
      <w:pPr>
        <w:spacing w:after="0" w:line="18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with respect to any LIBO Rate Borrowing, the period commencing on the date of such Borrowing and ending on the numerically corresponding day in the calendar month that is one, three or six months (or, to the extent available to all relevant affected Lenders, 12 months or any period shorter than 12 months) thereafter, as the Borrower may 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6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xml:space="preserve">” means (a) any purchase or other acquisition for consideration by the Borrower or any of its Restricted Subsidiaries of any of the Capital Stock of any other Person (other than any Loan Party (other than Holdings)), (b) the acquisition for consideration by the Borrower or any of its Restricted Subsidiaries by purchase or otherwise (other than any purchase or other acquisition of inventory, materials, supplies and/or equipment in the ordinary course of business) of all or a substantial portion of the business, property or fixed assets of any other Person constituting an operating division or operating line of business or other operating business unit of such other Person and (c) any loan, advance (other than any advance to any current or former employee, officer, director, member of management, manager, consultant or independent contractor of the Borrower, any Restricted Subsidiary, or any Parent Company for moving, entertainment and travel expenses, drawing accounts and similar expenditures in the ordinary course of business) or capital contribution in exchange for consideration by the Borrower or any of its Restricted Subsidiaries to any other Person. Subject to </w:t>
      </w:r>
      <w:r>
        <w:rPr>
          <w:rFonts w:ascii="Arial" w:cs="Arial" w:eastAsia="Arial" w:hAnsi="Arial"/>
          <w:sz w:val="17"/>
          <w:szCs w:val="17"/>
          <w:u w:val="single" w:color="auto"/>
          <w:color w:val="auto"/>
        </w:rPr>
        <w:t>Section 5.10</w:t>
      </w:r>
      <w:r>
        <w:rPr>
          <w:rFonts w:ascii="Arial" w:cs="Arial" w:eastAsia="Arial" w:hAnsi="Arial"/>
          <w:sz w:val="17"/>
          <w:szCs w:val="17"/>
          <w:color w:val="auto"/>
        </w:rPr>
        <w:t>, the amount of any Investment shall be the original cost of such Investment, plus the cost of any addition thereto that otherwise constitutes an Investment, without any adjustment for any increase or decrease in value, or any write-up, write-down or write-off with respect thereto, but giving effect to (i) any repayment of principal and/or interest in the case of any Investment in the form of a loan or other debt instrument and (ii) any return of capital or return on Investment in the case of any equity Investment (whether as a distribution, dividend, redemption or sale but not in excess of the amount of the relevant initial Investment). It is understood and agreed that the term “Investment” shall exclude (A) intercompany advances arising from cash management, tax and accounting operations and (B) intercompany loans, advances or Indebtedness made in the ordinary course of business that have a term that does not exceed 364 days.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50" w:name="page51"/>
    <w:bookmarkEnd w:id="50"/>
    <w:p>
      <w:pPr>
        <w:ind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Investors</w:t>
      </w:r>
      <w:r>
        <w:rPr>
          <w:rFonts w:ascii="Arial" w:cs="Arial" w:eastAsia="Arial" w:hAnsi="Arial"/>
          <w:sz w:val="18"/>
          <w:szCs w:val="18"/>
          <w:color w:val="auto"/>
        </w:rPr>
        <w:t>” means (a) the Sponsors, (b) the Management Investors, and (c) other investors that, directly or indirectly, beneficially own Capital Stock in Holdings on the Closing Date, which may include one or more of the limited partners of any Sponsor.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3.05(c)</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Separation Transaction</w:t>
      </w:r>
      <w:r>
        <w:rPr>
          <w:rFonts w:ascii="Arial" w:cs="Arial" w:eastAsia="Arial" w:hAnsi="Arial"/>
          <w:sz w:val="18"/>
          <w:szCs w:val="18"/>
          <w:color w:val="auto"/>
        </w:rPr>
        <w:t>” means (a) any Disposition by any Loan Party of any Material Intellectual Property to any Unrestricted Subsidiary (other than any bona fide operational joint venture established for legitimate business purposes) and/or (b) any Investment by any Loan Party in the form of a contribution of Material Intellectual Property to any Unrestricted Subsidiary (other than any bona fide operational joint venture established for legitimate business purposes).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CDS Definitions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means, as the context may require, (a) each of Bank of America, Barclays Bank PLC, New York Branch, Credit Suisse AG, Cayman Islands Branch, Deutsche Bank AG New York Branch, Goldman Sachs Bank USA, JPMorgan Chase Bank, N.A., Morgan Stanley Senior Funding, Inc. and Stifel Bank &amp; Trust and (b) each other Person that is or becomes a Revolving Lender, that,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agrees to act as an Issuing Bank hereunder pursuant to </w:t>
      </w:r>
      <w:r>
        <w:rPr>
          <w:rFonts w:ascii="Arial" w:cs="Arial" w:eastAsia="Arial" w:hAnsi="Arial"/>
          <w:sz w:val="18"/>
          <w:szCs w:val="18"/>
          <w:u w:val="single" w:color="auto"/>
          <w:color w:val="auto"/>
        </w:rPr>
        <w:t>Section 2.05(h)(ii)</w:t>
      </w:r>
      <w:r>
        <w:rPr>
          <w:rFonts w:ascii="Arial" w:cs="Arial" w:eastAsia="Arial" w:hAnsi="Arial"/>
          <w:sz w:val="18"/>
          <w:szCs w:val="18"/>
          <w:color w:val="auto"/>
        </w:rPr>
        <w:t xml:space="preserve">, and in the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each such Person in its capacity as an issuer of Letters of Credit hereunder. Each Issuing Bank may, in its discretion, arrange for one or more Letters of Credit to be issued by any branch or Affiliate of such Issuing Bank, in which case the term “Issuing Bank” shall include any such branch or Affiliate with respect to Letters of Credit issued by such branch or Affiliate.</w:t>
      </w:r>
    </w:p>
    <w:p>
      <w:pPr>
        <w:spacing w:after="0" w:line="195" w:lineRule="exact"/>
        <w:rPr>
          <w:sz w:val="20"/>
          <w:szCs w:val="20"/>
          <w:color w:val="auto"/>
        </w:rPr>
      </w:pPr>
    </w:p>
    <w:p>
      <w:pPr>
        <w:jc w:val="both"/>
        <w:ind w:right="2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Joinder Agreement</w:t>
      </w:r>
      <w:r>
        <w:rPr>
          <w:rFonts w:ascii="Arial" w:cs="Arial" w:eastAsia="Arial" w:hAnsi="Arial"/>
          <w:sz w:val="16"/>
          <w:szCs w:val="16"/>
          <w:color w:val="auto"/>
        </w:rPr>
        <w:t xml:space="preserve">” means a Joinder Agreement substantially in the form of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or such other form that is reasonably satisfactory to the Administrative Agent and the Borrower; it being understood and agreed that any Joinder Agreement executed by any Foreign Subsidiary may include such modifications as may be necessary to reflect the fact that such Foreign Subsidiary may not become party to the Security Agreement.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9.25</w:t>
      </w:r>
      <w:r>
        <w:rPr>
          <w:rFonts w:ascii="Arial" w:cs="Arial" w:eastAsia="Arial" w:hAnsi="Arial"/>
          <w:sz w:val="18"/>
          <w:szCs w:val="18"/>
          <w:color w:val="auto"/>
        </w:rPr>
        <w:t>.</w:t>
      </w:r>
    </w:p>
    <w:p>
      <w:pPr>
        <w:spacing w:after="0" w:line="225"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Lien Debt</w:t>
      </w:r>
      <w:r>
        <w:rPr>
          <w:rFonts w:ascii="Arial" w:cs="Arial" w:eastAsia="Arial" w:hAnsi="Arial"/>
          <w:sz w:val="18"/>
          <w:szCs w:val="18"/>
          <w:color w:val="auto"/>
        </w:rPr>
        <w:t>” means any Indebtedness (other than Indebtedness among Holdings, the Borrower and/or any of their respective subsidiaries) that is secured by a Lien on the Collateral that is expressly junior or subordinated to the Lien on the Collateral securing the Initial Term Loans and the Initial Revolving Loans.</w:t>
      </w:r>
    </w:p>
    <w:p>
      <w:pPr>
        <w:spacing w:after="0" w:line="184"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Lien Intercreditor Agreement</w:t>
      </w:r>
      <w:r>
        <w:rPr>
          <w:rFonts w:ascii="Arial" w:cs="Arial" w:eastAsia="Arial" w:hAnsi="Arial"/>
          <w:sz w:val="17"/>
          <w:szCs w:val="17"/>
          <w:color w:val="auto"/>
        </w:rPr>
        <w:t xml:space="preserve">” means an intercreditor agreement substantially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with any changes thereto (whether material or immaterial) as the Borrower and the Administrative Agent may agree in their respective reasonable discretion.</w:t>
      </w:r>
    </w:p>
    <w:p>
      <w:pPr>
        <w:spacing w:after="0" w:line="146"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means, as of any date of determination, the latest maturity or expiration date applicable to any Loan or commitment hereunder at such time, including the latest maturity or expiration date of any Term Loan, Term Commitment, Revolving Loan or Revolving Credit Commitment.</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Revolving Credit Maturity Date</w:t>
      </w:r>
      <w:r>
        <w:rPr>
          <w:rFonts w:ascii="Arial" w:cs="Arial" w:eastAsia="Arial" w:hAnsi="Arial"/>
          <w:sz w:val="18"/>
          <w:szCs w:val="18"/>
          <w:color w:val="auto"/>
        </w:rPr>
        <w:t>” means, as of any date of determination, the latest maturity or expiration date applicable to any Revolving Loan or Revolving Credit Commitment hereunder at such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51" w:name="page52"/>
    <w:bookmarkEnd w:id="51"/>
    <w:p>
      <w:pPr>
        <w:ind w:right="3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Latest Term Loan Maturity Date</w:t>
      </w:r>
      <w:r>
        <w:rPr>
          <w:rFonts w:ascii="Arial" w:cs="Arial" w:eastAsia="Arial" w:hAnsi="Arial"/>
          <w:sz w:val="18"/>
          <w:szCs w:val="18"/>
          <w:color w:val="auto"/>
        </w:rPr>
        <w:t>” means, as of any date of determination, the latest maturity or expiration date applicable to any Term Loan hereunder at such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or disbursement made by an Issuing Bank pursuant to a Letter of Credit.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(a) the aggregate undrawn amount of all outstanding Letters of Credit (other than any Letter of Credit that is subject to Letter of Credit Support at such time) at such time and (b) the aggregate principal amount of all LC Disbursements that have not yet been reimbursed at such time. The LC Exposure of any Revolving Lender at any time shall equal its Applicable Revolving Credit Percentage of the aggregate LC Exposure at such time.</w:t>
      </w:r>
    </w:p>
    <w:p>
      <w:pPr>
        <w:spacing w:after="0" w:line="18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Reservations</w:t>
      </w:r>
      <w:r>
        <w:rPr>
          <w:rFonts w:ascii="Arial" w:cs="Arial" w:eastAsia="Arial" w:hAnsi="Arial"/>
          <w:sz w:val="18"/>
          <w:szCs w:val="18"/>
          <w:color w:val="auto"/>
        </w:rPr>
        <w:t>” means the application of the relevant Debtor Relief Laws, general principles of equity and/or principles of good faith and fair dealing.</w:t>
      </w:r>
    </w:p>
    <w:p>
      <w:pPr>
        <w:spacing w:after="0" w:line="170"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Term Lenders, the Revolving Lenders and any other Person that becomes a party hereto pursuant to an Assignment Agreement, other than any such Person that ceases to be a party hereto pursuant to an Assignment Agreement.</w:t>
      </w:r>
    </w:p>
    <w:p>
      <w:pPr>
        <w:spacing w:after="0" w:line="170"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(or, in the case of any Existing Letter of Credit, deemed to be issued) pursuant to this Agreement (which, for the avoidance of doubt, shall exclude any Commercial Letter of Credit).</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Commitment</w:t>
      </w:r>
      <w:r>
        <w:rPr>
          <w:rFonts w:ascii="Arial" w:cs="Arial" w:eastAsia="Arial" w:hAnsi="Arial"/>
          <w:sz w:val="18"/>
          <w:szCs w:val="18"/>
          <w:color w:val="auto"/>
        </w:rPr>
        <w:t>” means with respect to each Issuing Bank, the commitment of such Issuing Bank to issue Letters of Credit in an aggregate amount to not exceed the amount set forth opposite such Person’s name on the Commitment Schedule.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Reimbursement Loan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2.05(d)(i)</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Request</w:t>
      </w:r>
      <w:r>
        <w:rPr>
          <w:rFonts w:ascii="Arial" w:cs="Arial" w:eastAsia="Arial" w:hAnsi="Arial"/>
          <w:sz w:val="18"/>
          <w:szCs w:val="18"/>
          <w:color w:val="auto"/>
        </w:rPr>
        <w:t xml:space="preserve">” means a request by the Borrower for a new Letter of Credit or an amendment to any existing Letter of Credit in accordance with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substantially in the form of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or such other form that is reasonably satisfactory to the relevant Issuing Bank and the Borrower.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Letter-of-Credit Right</w:t>
      </w:r>
      <w:r>
        <w:rPr>
          <w:rFonts w:ascii="Arial" w:cs="Arial" w:eastAsia="Arial" w:hAnsi="Arial"/>
          <w:sz w:val="18"/>
          <w:szCs w:val="18"/>
          <w:color w:val="auto"/>
        </w:rPr>
        <w:t>” has the meaning set forth in Article 9 of the UCC.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xml:space="preserve">” means $15,000,000, subject to increase in accordance with </w:t>
      </w:r>
      <w:r>
        <w:rPr>
          <w:rFonts w:ascii="Arial" w:cs="Arial" w:eastAsia="Arial" w:hAnsi="Arial"/>
          <w:sz w:val="18"/>
          <w:szCs w:val="18"/>
          <w:u w:val="single" w:color="auto"/>
          <w:color w:val="auto"/>
        </w:rPr>
        <w:t>Section 2.22</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Support</w:t>
      </w:r>
      <w:r>
        <w:rPr>
          <w:rFonts w:ascii="Arial" w:cs="Arial" w:eastAsia="Arial" w:hAnsi="Arial"/>
          <w:sz w:val="18"/>
          <w:szCs w:val="18"/>
          <w:color w:val="auto"/>
        </w:rPr>
        <w:t>” means, with respect to any Letter of Credit, that (a) such Letter of Credit has been Cash collateralized in an amount equal to 100% of the face amount of such Letter of Credit, (b) a separate letter of credit has been issued in favor of the Issuing Bank (or its designee) with respect to such Letter of Credit pursuant to arrangements reasonably satisfactory to such Issuing Bank and in an amount equal to 100% of the face amount of the applicable Letter of Credit issued hereunder, (c) such Letter of Credit has been deemed reissued under another agreement in a manner reasonably acceptable to the applicable Issuing Bank or (d) other arrangements reasonably acceptable to the relevant Issuing Bank with respect to such Letter of Credit.</w:t>
      </w:r>
    </w:p>
    <w:p>
      <w:pPr>
        <w:spacing w:after="0" w:line="192"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xml:space="preserve">” means, the Published LIBO Rate, as adjusted to reflect applicable reserves prescribed by Governmental Authorities;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with respect to the Initial Term Loans and the Initial Revolving Loans, in no event shall the LIBO Rate be less than 0.00% per annum.</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40" w:top="274" w:right="499" w:bottom="1440" w:gutter="0" w:footer="0" w:header="0"/>
        </w:sectPr>
      </w:pPr>
    </w:p>
    <w:bookmarkStart w:id="52" w:name="page53"/>
    <w:bookmarkEnd w:id="52"/>
    <w:p>
      <w:pPr>
        <w:ind w:left="4" w:right="1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 Lease having substantially the same economic effect as any of the foregoing), in each case, in the nature of security;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 operating lease in and of itself be deemed to constitute a Lien.</w:t>
      </w:r>
    </w:p>
    <w:p>
      <w:pPr>
        <w:spacing w:after="0" w:line="188" w:lineRule="exact"/>
        <w:rPr>
          <w:sz w:val="20"/>
          <w:szCs w:val="20"/>
          <w:color w:val="auto"/>
        </w:rPr>
      </w:pPr>
    </w:p>
    <w:p>
      <w:pPr>
        <w:jc w:val="both"/>
        <w:ind w:left="4"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this Agreement, any Promissory Note, each Loan Guaranty, the Collateral Documents, any Intercreditor Agreement (if any) to which the Borrower is a party, any Perfection Certificate, each Refinancing Amendment, each Incremental Facility Amendment, each Extension Amendment and any other document or instrument designated by the Borrower and the Administrative Agent as a “Loan Document”. Any reference in this Agreement or any other Loan Document to a Loan Document shall include all appendices, exhibits or schedules thereto.</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Guarantor</w:t>
      </w:r>
      <w:r>
        <w:rPr>
          <w:rFonts w:ascii="Arial" w:cs="Arial" w:eastAsia="Arial" w:hAnsi="Arial"/>
          <w:sz w:val="18"/>
          <w:szCs w:val="18"/>
          <w:color w:val="auto"/>
        </w:rPr>
        <w:t>” means (a) Holdings and (b) any Subsidiary Guarantor.</w:t>
      </w:r>
    </w:p>
    <w:p>
      <w:pPr>
        <w:spacing w:after="0" w:line="225"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Guaranty</w:t>
      </w:r>
      <w:r>
        <w:rPr>
          <w:rFonts w:ascii="Arial" w:cs="Arial" w:eastAsia="Arial" w:hAnsi="Arial"/>
          <w:sz w:val="18"/>
          <w:szCs w:val="18"/>
          <w:color w:val="auto"/>
        </w:rPr>
        <w:t xml:space="preserve">” means the Loan Guaranty,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executed by each Loan Party thereto and the Administrative Agent for the benefit of the Secured Parties, as supplemented in accordance with the terms of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Installment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the Borrower and each Loan Guarantor.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Loans</w:t>
      </w:r>
      <w:r>
        <w:rPr>
          <w:rFonts w:ascii="Arial" w:cs="Arial" w:eastAsia="Arial" w:hAnsi="Arial"/>
          <w:sz w:val="16"/>
          <w:szCs w:val="16"/>
          <w:color w:val="auto"/>
        </w:rPr>
        <w:t>” means any Initial Term Loan, any Additional Term Loan, any Revolving Loan, any Swingline Loan or any Additional Revolving Loan.</w:t>
      </w:r>
    </w:p>
    <w:p>
      <w:pPr>
        <w:spacing w:after="0" w:line="248" w:lineRule="exact"/>
        <w:rPr>
          <w:sz w:val="20"/>
          <w:szCs w:val="20"/>
          <w:color w:val="auto"/>
        </w:rPr>
      </w:pPr>
    </w:p>
    <w:p>
      <w:pPr>
        <w:ind w:left="4"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Investors</w:t>
      </w:r>
      <w:r>
        <w:rPr>
          <w:rFonts w:ascii="Arial" w:cs="Arial" w:eastAsia="Arial" w:hAnsi="Arial"/>
          <w:sz w:val="18"/>
          <w:szCs w:val="18"/>
          <w:color w:val="auto"/>
        </w:rPr>
        <w:t>” means (a) Jason Krantz and (b) the current and former officers, directors, managers, employees and members of management of the Borrower, any Parent Company and/or any subsidiary of the Borrower.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such term in Regulation U.</w:t>
      </w:r>
    </w:p>
    <w:p>
      <w:pPr>
        <w:spacing w:after="0" w:line="225" w:lineRule="exact"/>
        <w:rPr>
          <w:sz w:val="20"/>
          <w:szCs w:val="20"/>
          <w:color w:val="auto"/>
        </w:rPr>
      </w:pPr>
    </w:p>
    <w:p>
      <w:pPr>
        <w:ind w:left="4"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Acquisition</w:t>
      </w:r>
      <w:r>
        <w:rPr>
          <w:rFonts w:ascii="Arial" w:cs="Arial" w:eastAsia="Arial" w:hAnsi="Arial"/>
          <w:sz w:val="18"/>
          <w:szCs w:val="18"/>
          <w:color w:val="auto"/>
        </w:rPr>
        <w:t>” means an acquisition or other similar Investment with total consideration, including earn-out payments and other contingent payment obligations, in an amount not less than $40,000,000.</w:t>
      </w:r>
    </w:p>
    <w:p>
      <w:pPr>
        <w:spacing w:after="0" w:line="170" w:lineRule="exact"/>
        <w:rPr>
          <w:sz w:val="20"/>
          <w:szCs w:val="20"/>
          <w:color w:val="auto"/>
        </w:rPr>
      </w:pPr>
    </w:p>
    <w:p>
      <w:pPr>
        <w:ind w:left="4" w:right="1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(i) the business, assets or financial condition, in each case, of the Borrower and its Restricted Subsidiaries, taken as a whole, (ii) the rights and remedies (taken as a whole) of the Administrative Agent under the applicable Loan Documents or (iii) the ability of the Loan Parties (taken as a whole) to perform their payment obligations under the applicable Loan Documents.</w:t>
      </w:r>
    </w:p>
    <w:p>
      <w:pPr>
        <w:spacing w:after="0" w:line="149" w:lineRule="exact"/>
        <w:rPr>
          <w:sz w:val="20"/>
          <w:szCs w:val="20"/>
          <w:color w:val="auto"/>
        </w:rPr>
      </w:pPr>
    </w:p>
    <w:p>
      <w:pPr>
        <w:ind w:left="4" w:righ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Debt Instrument</w:t>
      </w:r>
      <w:r>
        <w:rPr>
          <w:rFonts w:ascii="Arial" w:cs="Arial" w:eastAsia="Arial" w:hAnsi="Arial"/>
          <w:sz w:val="16"/>
          <w:szCs w:val="16"/>
          <w:color w:val="auto"/>
        </w:rPr>
        <w:t>” means any physical instrument evidencing any Indebtedness for borrowed money owing from any Person other than any Loan Party which is required to be pledged and delivered to the Administrative Agent (or its bailee) pursuant to the Security Agreement.</w:t>
      </w:r>
    </w:p>
    <w:p>
      <w:pPr>
        <w:spacing w:after="0" w:line="124"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Intellectual Property</w:t>
      </w:r>
      <w:r>
        <w:rPr>
          <w:rFonts w:ascii="Arial" w:cs="Arial" w:eastAsia="Arial" w:hAnsi="Arial"/>
          <w:sz w:val="18"/>
          <w:szCs w:val="18"/>
          <w:color w:val="auto"/>
        </w:rPr>
        <w:t>” means any intellectual property owned by any Loan Party that is, in the good faith determination of the Borrower, material to the operation of the business of the Borrower and its Restricted Subsidiaries, taken as a whole.</w:t>
      </w:r>
    </w:p>
    <w:p>
      <w:pPr>
        <w:spacing w:after="0" w:line="170" w:lineRule="exact"/>
        <w:rPr>
          <w:sz w:val="20"/>
          <w:szCs w:val="20"/>
          <w:color w:val="auto"/>
        </w:rPr>
      </w:pPr>
    </w:p>
    <w:p>
      <w:pPr>
        <w:jc w:val="both"/>
        <w:ind w:left="4" w:right="10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means (a) with respect to the Initial Revolving Facility, the Initial Revolving Credit Maturity Date, (b) with respect to the Initial Term Loans, the Initial Term Loan Maturity Date, (c) with respect to any Replacement Term Loan or Revolver Replacement Facility, the final maturity date for such Replacement Term Loan or Revolver Replacement Facility, as the case may be, as set forth in the applicable Refinancing Amendment,</w:t>
      </w:r>
    </w:p>
    <w:p>
      <w:pPr>
        <w:spacing w:after="0" w:line="2" w:lineRule="exact"/>
        <w:rPr>
          <w:sz w:val="20"/>
          <w:szCs w:val="20"/>
          <w:color w:val="auto"/>
        </w:rPr>
      </w:pPr>
    </w:p>
    <w:p>
      <w:pPr>
        <w:ind w:left="4" w:right="160" w:hanging="4"/>
        <w:spacing w:after="0" w:line="323" w:lineRule="auto"/>
        <w:tabs>
          <w:tab w:leader="none" w:pos="259" w:val="left"/>
        </w:tabs>
        <w:numPr>
          <w:ilvl w:val="0"/>
          <w:numId w:val="48"/>
        </w:numPr>
        <w:rPr>
          <w:rFonts w:ascii="Arial" w:cs="Arial" w:eastAsia="Arial" w:hAnsi="Arial"/>
          <w:sz w:val="16"/>
          <w:szCs w:val="16"/>
          <w:color w:val="auto"/>
        </w:rPr>
      </w:pPr>
      <w:r>
        <w:rPr>
          <w:rFonts w:ascii="Arial" w:cs="Arial" w:eastAsia="Arial" w:hAnsi="Arial"/>
          <w:sz w:val="16"/>
          <w:szCs w:val="16"/>
          <w:color w:val="auto"/>
        </w:rPr>
        <w:t>with respect to any Incremental Facility, the final maturity date set forth in the applicable Incremental Facility Amendment, and (e) with respect to any Extended Revolving Credit Commitment or Extended Term Loans, the final maturity date set forth in the applicable Extension Amendment.</w:t>
      </w:r>
    </w:p>
    <w:p>
      <w:pPr>
        <w:spacing w:after="0" w:line="7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4"/>
          </w:cols>
          <w:pgMar w:left="436" w:top="274" w:right="499" w:bottom="1440" w:gutter="0" w:footer="0" w:header="0"/>
        </w:sectPr>
      </w:pPr>
    </w:p>
    <w:bookmarkStart w:id="53" w:name="page54"/>
    <w:bookmarkEnd w:id="5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Extension Condition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employee benefit plan which is a “multiemployer plan” as defined in Section 3(37) of ERISA that is subject to the provisions of Title IV of ERISA, and in respect of which Holdings, the Borrower or any of its Restricted Subsidiaries, or any of their respective ERISA Affiliates, makes or is obligated to make contributions or with respect to which any of them has any ongoing obligation or liability, contingent or otherwise.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Insurance/Condemnation Proceeds</w:t>
      </w:r>
      <w:r>
        <w:rPr>
          <w:rFonts w:ascii="Arial" w:cs="Arial" w:eastAsia="Arial" w:hAnsi="Arial"/>
          <w:sz w:val="18"/>
          <w:szCs w:val="18"/>
          <w:color w:val="auto"/>
        </w:rPr>
        <w:t>” means an amount equal to:</w:t>
      </w:r>
    </w:p>
    <w:p>
      <w:pPr>
        <w:spacing w:after="0" w:line="117" w:lineRule="exact"/>
        <w:rPr>
          <w:sz w:val="20"/>
          <w:szCs w:val="20"/>
          <w:color w:val="auto"/>
        </w:rPr>
      </w:pPr>
    </w:p>
    <w:p>
      <w:pPr>
        <w:ind w:left="440" w:right="20" w:firstLine="419"/>
        <w:spacing w:after="0" w:line="275" w:lineRule="auto"/>
        <w:tabs>
          <w:tab w:leader="none" w:pos="1108"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any Cash payment or proceeds (including Cash Equivalents) received by the Borrower or any of its Restricted Subsidiaries (i) under any casualty insurance policy in respect of a covered loss thereunder of any asset of the Borrower or any of its Restricted Subsidiaries or (ii) as a result of the taking of any asset of the Borrower or any of its Restricted Subsidiaries by any Person pursuant to the power of eminent domain, condemnation or otherwise, or pursuant to a sale of any such assets to a purchaser with such power under threat of such a taking, in each case other than any amount that is attributable to business interruption and/or lost profit; </w:t>
      </w:r>
      <w:r>
        <w:rPr>
          <w:rFonts w:ascii="Arial" w:cs="Arial" w:eastAsia="Arial" w:hAnsi="Arial"/>
          <w:sz w:val="17"/>
          <w:szCs w:val="17"/>
          <w:u w:val="single" w:color="auto"/>
          <w:color w:val="auto"/>
        </w:rPr>
        <w:t>minus</w:t>
      </w:r>
    </w:p>
    <w:p>
      <w:pPr>
        <w:spacing w:after="0" w:line="68" w:lineRule="exact"/>
        <w:rPr>
          <w:rFonts w:ascii="Arial" w:cs="Arial" w:eastAsia="Arial" w:hAnsi="Arial"/>
          <w:sz w:val="17"/>
          <w:szCs w:val="17"/>
          <w:color w:val="auto"/>
        </w:rPr>
      </w:pPr>
    </w:p>
    <w:p>
      <w:pPr>
        <w:ind w:left="1120" w:hanging="261"/>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sum of the following:</w:t>
      </w:r>
    </w:p>
    <w:p>
      <w:pPr>
        <w:spacing w:after="0" w:line="117" w:lineRule="exact"/>
        <w:rPr>
          <w:rFonts w:ascii="Arial" w:cs="Arial" w:eastAsia="Arial" w:hAnsi="Arial"/>
          <w:sz w:val="18"/>
          <w:szCs w:val="18"/>
          <w:color w:val="auto"/>
        </w:rPr>
      </w:pPr>
    </w:p>
    <w:p>
      <w:pPr>
        <w:ind w:left="980" w:right="40" w:firstLine="408"/>
        <w:spacing w:after="0" w:line="308" w:lineRule="auto"/>
        <w:tabs>
          <w:tab w:leader="none" w:pos="1596"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any actual out-of-pocket cost and/or expense incurred by the Borrower or any of its Restricted Subsidiaries in connection with the adjustment, settlement or collection of any claims of the Borrower or the relevant Restricted Subsidiary in respect thereof;</w:t>
      </w:r>
    </w:p>
    <w:p>
      <w:pPr>
        <w:spacing w:after="0" w:line="38" w:lineRule="exact"/>
        <w:rPr>
          <w:rFonts w:ascii="Arial" w:cs="Arial" w:eastAsia="Arial" w:hAnsi="Arial"/>
          <w:sz w:val="17"/>
          <w:szCs w:val="17"/>
          <w:color w:val="auto"/>
        </w:rPr>
      </w:pPr>
    </w:p>
    <w:p>
      <w:pPr>
        <w:jc w:val="both"/>
        <w:ind w:left="980" w:right="100" w:firstLine="408"/>
        <w:spacing w:after="0" w:line="311" w:lineRule="auto"/>
        <w:tabs>
          <w:tab w:leader="none" w:pos="1646" w:val="left"/>
        </w:tabs>
        <w:numPr>
          <w:ilvl w:val="1"/>
          <w:numId w:val="49"/>
        </w:numPr>
        <w:rPr>
          <w:rFonts w:ascii="Arial" w:cs="Arial" w:eastAsia="Arial" w:hAnsi="Arial"/>
          <w:sz w:val="16"/>
          <w:szCs w:val="16"/>
          <w:color w:val="auto"/>
        </w:rPr>
      </w:pPr>
      <w:r>
        <w:rPr>
          <w:rFonts w:ascii="Arial" w:cs="Arial" w:eastAsia="Arial" w:hAnsi="Arial"/>
          <w:sz w:val="16"/>
          <w:szCs w:val="16"/>
          <w:color w:val="auto"/>
        </w:rPr>
        <w:t>payment of the outstanding principal amount of, premium or penalty, if any, and interest and other amounts on any Indebtedness (other than the Loans and/or any after First Lien Debt and/or Junior Lien Debt) that is secured by a Lien on the assets in question and that is required to be repaid or otherwise comes due or would be in default under the terms thereof as a result of such loss, taking or sale;</w:t>
      </w:r>
    </w:p>
    <w:p>
      <w:pPr>
        <w:spacing w:after="0" w:line="40" w:lineRule="exact"/>
        <w:rPr>
          <w:rFonts w:ascii="Arial" w:cs="Arial" w:eastAsia="Arial" w:hAnsi="Arial"/>
          <w:sz w:val="16"/>
          <w:szCs w:val="16"/>
          <w:color w:val="auto"/>
        </w:rPr>
      </w:pPr>
    </w:p>
    <w:p>
      <w:pPr>
        <w:ind w:left="1700" w:hanging="312"/>
        <w:spacing w:after="0"/>
        <w:tabs>
          <w:tab w:leader="none" w:pos="17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reasonable out-of-pocket costs of putting any affected property in a safe and secure position;</w:t>
      </w:r>
    </w:p>
    <w:p>
      <w:pPr>
        <w:spacing w:after="0" w:line="117" w:lineRule="exact"/>
        <w:rPr>
          <w:rFonts w:ascii="Arial" w:cs="Arial" w:eastAsia="Arial" w:hAnsi="Arial"/>
          <w:sz w:val="18"/>
          <w:szCs w:val="18"/>
          <w:color w:val="auto"/>
        </w:rPr>
      </w:pPr>
    </w:p>
    <w:p>
      <w:pPr>
        <w:ind w:left="980" w:firstLine="408"/>
        <w:spacing w:after="0" w:line="272" w:lineRule="auto"/>
        <w:tabs>
          <w:tab w:leader="none" w:pos="1686"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any selling costs and/or out-of-pocket expense (including reasonable broker’s fees or commissions, legal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transfer and similar Taxes and the Borrower’s good faith estimate of income Taxes paid or payable (including pursuant to Tax sharing arrangements or any intercompany distribution)) in connection with any sale or taking of such assets as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definition; it being understood that the reduction of any net operating loss resulting from such Disposition shall be deemed to constitute an income Tax “paid or payable” for purposes of this </w:t>
      </w:r>
      <w:r>
        <w:rPr>
          <w:rFonts w:ascii="Arial" w:cs="Arial" w:eastAsia="Arial" w:hAnsi="Arial"/>
          <w:sz w:val="17"/>
          <w:szCs w:val="17"/>
          <w:u w:val="single" w:color="auto"/>
          <w:color w:val="auto"/>
        </w:rPr>
        <w:t>clause (iv)</w:t>
      </w:r>
      <w:r>
        <w:rPr>
          <w:rFonts w:ascii="Arial" w:cs="Arial" w:eastAsia="Arial" w:hAnsi="Arial"/>
          <w:sz w:val="17"/>
          <w:szCs w:val="17"/>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54" w:name="page55"/>
    <w:bookmarkEnd w:id="54"/>
    <w:p>
      <w:pPr>
        <w:ind w:left="540" w:right="160" w:firstLine="408"/>
        <w:spacing w:after="0" w:line="259" w:lineRule="auto"/>
        <w:tabs>
          <w:tab w:leader="none" w:pos="1196"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amount provided as a reserve in accordance with GAAP against any liabilities under any indemnification obligation or purchase price adjustments associated with any sale or taking of such assets as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and at the time any such amount is released from such reserve, such amounts shall constitute Net Insurance/Condemnation Proceeds); and</w:t>
      </w:r>
    </w:p>
    <w:p>
      <w:pPr>
        <w:spacing w:after="0" w:line="78" w:lineRule="exact"/>
        <w:rPr>
          <w:rFonts w:ascii="Arial" w:cs="Arial" w:eastAsia="Arial" w:hAnsi="Arial"/>
          <w:sz w:val="18"/>
          <w:szCs w:val="18"/>
          <w:color w:val="auto"/>
        </w:rPr>
      </w:pPr>
    </w:p>
    <w:p>
      <w:pPr>
        <w:ind w:left="540" w:right="140" w:firstLine="408"/>
        <w:spacing w:after="0" w:line="263" w:lineRule="auto"/>
        <w:tabs>
          <w:tab w:leader="none" w:pos="12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in the case of any covered loss or taking from any non-Wholly-Owned Subsidiary, the pro rata portion thereof (calculated without regard to this </w:t>
      </w:r>
      <w:r>
        <w:rPr>
          <w:rFonts w:ascii="Arial" w:cs="Arial" w:eastAsia="Arial" w:hAnsi="Arial"/>
          <w:sz w:val="18"/>
          <w:szCs w:val="18"/>
          <w:u w:val="single" w:color="auto"/>
          <w:color w:val="auto"/>
        </w:rPr>
        <w:t>clause (vi)</w:t>
      </w:r>
      <w:r>
        <w:rPr>
          <w:rFonts w:ascii="Arial" w:cs="Arial" w:eastAsia="Arial" w:hAnsi="Arial"/>
          <w:sz w:val="18"/>
          <w:szCs w:val="18"/>
          <w:color w:val="auto"/>
        </w:rPr>
        <w:t>) attributable to minority interests and not available for distribution to or for the account of the Borrower or a Wholly-Owned Subsidiary as a result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w:t>
      </w:r>
      <w:r>
        <w:rPr>
          <w:rFonts w:ascii="Arial" w:cs="Arial" w:eastAsia="Arial" w:hAnsi="Arial"/>
          <w:sz w:val="18"/>
          <w:szCs w:val="18"/>
          <w:color w:val="auto"/>
        </w:rPr>
        <w:t>” means:</w:t>
      </w:r>
    </w:p>
    <w:p>
      <w:pPr>
        <w:spacing w:after="0" w:line="117" w:lineRule="exact"/>
        <w:rPr>
          <w:sz w:val="20"/>
          <w:szCs w:val="20"/>
          <w:color w:val="auto"/>
        </w:rPr>
      </w:pPr>
    </w:p>
    <w:p>
      <w:pPr>
        <w:ind w:right="620" w:firstLine="419"/>
        <w:spacing w:after="0" w:line="308" w:lineRule="auto"/>
        <w:tabs>
          <w:tab w:leader="none" w:pos="668" w:val="left"/>
        </w:tabs>
        <w:numPr>
          <w:ilvl w:val="0"/>
          <w:numId w:val="51"/>
        </w:numPr>
        <w:rPr>
          <w:rFonts w:ascii="Arial" w:cs="Arial" w:eastAsia="Arial" w:hAnsi="Arial"/>
          <w:sz w:val="17"/>
          <w:szCs w:val="17"/>
          <w:color w:val="auto"/>
        </w:rPr>
      </w:pPr>
      <w:r>
        <w:rPr>
          <w:rFonts w:ascii="Arial" w:cs="Arial" w:eastAsia="Arial" w:hAnsi="Arial"/>
          <w:sz w:val="17"/>
          <w:szCs w:val="17"/>
          <w:color w:val="auto"/>
        </w:rPr>
        <w:t>with respect to any Disposition (including any Prepayment Asset Sale), the Cash proceeds (including Cash Equivalents and Cash proceeds subsequently received (as and when received) in respect of non-cash consideration initially received), net of:</w:t>
      </w:r>
    </w:p>
    <w:p>
      <w:pPr>
        <w:spacing w:after="0" w:line="38" w:lineRule="exact"/>
        <w:rPr>
          <w:rFonts w:ascii="Arial" w:cs="Arial" w:eastAsia="Arial" w:hAnsi="Arial"/>
          <w:sz w:val="17"/>
          <w:szCs w:val="17"/>
          <w:color w:val="auto"/>
        </w:rPr>
      </w:pPr>
    </w:p>
    <w:p>
      <w:pPr>
        <w:ind w:left="540" w:firstLine="408"/>
        <w:spacing w:after="0" w:line="254" w:lineRule="auto"/>
        <w:tabs>
          <w:tab w:leader="none" w:pos="1156"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selling costs and out-of-pocket expenses (including reasonable broker’s fees or commissions, legal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and transfer and similar Taxes and the Borrower’s good faith estimate of income Taxes paid or payable (including pursuant to any Tax sharing arrangement and/or any intercompany distribution) in connection with such Disposition); it being understood that the reduction in the amount of any net operating loss resulting from such Disposition shall be deemed to constitute an income Tax “paid or payable” for purposes of this </w:t>
      </w:r>
      <w:r>
        <w:rPr>
          <w:rFonts w:ascii="Arial" w:cs="Arial" w:eastAsia="Arial" w:hAnsi="Arial"/>
          <w:sz w:val="18"/>
          <w:szCs w:val="18"/>
          <w:u w:val="single" w:color="auto"/>
          <w:color w:val="auto"/>
        </w:rPr>
        <w:t>clause (i)</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540" w:right="60" w:firstLine="408"/>
        <w:spacing w:after="0" w:line="263" w:lineRule="auto"/>
        <w:tabs>
          <w:tab w:leader="none" w:pos="1206" w:val="left"/>
        </w:tabs>
        <w:numPr>
          <w:ilvl w:val="1"/>
          <w:numId w:val="51"/>
        </w:numPr>
        <w:rPr>
          <w:rFonts w:ascii="Arial" w:cs="Arial" w:eastAsia="Arial" w:hAnsi="Arial"/>
          <w:sz w:val="18"/>
          <w:szCs w:val="18"/>
          <w:color w:val="auto"/>
        </w:rPr>
      </w:pPr>
      <w:r>
        <w:rPr>
          <w:rFonts w:ascii="Arial" w:cs="Arial" w:eastAsia="Arial" w:hAnsi="Arial"/>
          <w:sz w:val="18"/>
          <w:szCs w:val="18"/>
          <w:color w:val="auto"/>
        </w:rPr>
        <w:t>amounts provided as a reserve in accordance with GAAP against any liabilities under any indemnification obligation or purchase price adjustment associated with such Disposition (provided that to the extent and at the time any such amount is released from such reserve, such amounts shall constitute Net Proceeds);</w:t>
      </w:r>
    </w:p>
    <w:p>
      <w:pPr>
        <w:spacing w:after="0" w:line="75" w:lineRule="exact"/>
        <w:rPr>
          <w:rFonts w:ascii="Arial" w:cs="Arial" w:eastAsia="Arial" w:hAnsi="Arial"/>
          <w:sz w:val="18"/>
          <w:szCs w:val="18"/>
          <w:color w:val="auto"/>
        </w:rPr>
      </w:pPr>
    </w:p>
    <w:p>
      <w:pPr>
        <w:ind w:left="540" w:firstLine="408"/>
        <w:spacing w:after="0" w:line="259" w:lineRule="auto"/>
        <w:tabs>
          <w:tab w:leader="none" w:pos="1256"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principal amount, premium or penalty, if any, interest and other amounts on any Indebtedness (other than the Loans and any other Indebtedness that constitutes First Lien Debt or Junior Lien Debt) which is secured by the asset sold in such Disposition and which is required to be repaid or otherwise comes due or would be in default and is repaid (other than any such Indebtedness that is assumed by the purchaser of such asset);</w:t>
      </w:r>
    </w:p>
    <w:p>
      <w:pPr>
        <w:spacing w:after="0" w:line="78" w:lineRule="exact"/>
        <w:rPr>
          <w:rFonts w:ascii="Arial" w:cs="Arial" w:eastAsia="Arial" w:hAnsi="Arial"/>
          <w:sz w:val="18"/>
          <w:szCs w:val="18"/>
          <w:color w:val="auto"/>
        </w:rPr>
      </w:pPr>
    </w:p>
    <w:p>
      <w:pPr>
        <w:ind w:left="540" w:right="200" w:firstLine="408"/>
        <w:spacing w:after="0" w:line="277" w:lineRule="auto"/>
        <w:tabs>
          <w:tab w:leader="none" w:pos="1246"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Cash escrow (until released from escrow to the Borrower or any of its Restricted Subsidiaries) from the sale price for such Disposition;</w:t>
      </w:r>
    </w:p>
    <w:p>
      <w:pPr>
        <w:spacing w:after="0" w:line="62" w:lineRule="exact"/>
        <w:rPr>
          <w:rFonts w:ascii="Arial" w:cs="Arial" w:eastAsia="Arial" w:hAnsi="Arial"/>
          <w:sz w:val="18"/>
          <w:szCs w:val="18"/>
          <w:color w:val="auto"/>
        </w:rPr>
      </w:pPr>
    </w:p>
    <w:p>
      <w:pPr>
        <w:ind w:left="540" w:right="80" w:firstLine="408"/>
        <w:spacing w:after="0" w:line="263" w:lineRule="auto"/>
        <w:tabs>
          <w:tab w:leader="none" w:pos="1196"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in the case of any Disposition by any non-Wholly-Owned Subsidiary, the pro rata portion of the Net Proceeds thereof (calculated without regard to this </w:t>
      </w:r>
      <w:r>
        <w:rPr>
          <w:rFonts w:ascii="Arial" w:cs="Arial" w:eastAsia="Arial" w:hAnsi="Arial"/>
          <w:sz w:val="18"/>
          <w:szCs w:val="18"/>
          <w:u w:val="single" w:color="auto"/>
          <w:color w:val="auto"/>
        </w:rPr>
        <w:t>clause (v)</w:t>
      </w:r>
      <w:r>
        <w:rPr>
          <w:rFonts w:ascii="Arial" w:cs="Arial" w:eastAsia="Arial" w:hAnsi="Arial"/>
          <w:sz w:val="18"/>
          <w:szCs w:val="18"/>
          <w:color w:val="auto"/>
        </w:rPr>
        <w:t>) that is attributable to any minority interest and not available for distribution to or for the account of the Borrower or a Wholly-Owned Subsidiary as a result thereof; and</w:t>
      </w:r>
    </w:p>
    <w:p>
      <w:pPr>
        <w:spacing w:after="0" w:line="75" w:lineRule="exact"/>
        <w:rPr>
          <w:rFonts w:ascii="Arial" w:cs="Arial" w:eastAsia="Arial" w:hAnsi="Arial"/>
          <w:sz w:val="18"/>
          <w:szCs w:val="18"/>
          <w:color w:val="auto"/>
        </w:rPr>
      </w:pPr>
    </w:p>
    <w:p>
      <w:pPr>
        <w:ind w:left="1260" w:hanging="312"/>
        <w:spacing w:after="0"/>
        <w:tabs>
          <w:tab w:leader="none" w:pos="12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any amount used to repay or return any customer deposit required to be repaid or returned as a result of such Disposition; and</w:t>
      </w:r>
    </w:p>
    <w:p>
      <w:pPr>
        <w:spacing w:after="0" w:line="140" w:lineRule="exact"/>
        <w:rPr>
          <w:rFonts w:ascii="Arial" w:cs="Arial" w:eastAsia="Arial" w:hAnsi="Arial"/>
          <w:sz w:val="16"/>
          <w:szCs w:val="16"/>
          <w:color w:val="auto"/>
        </w:rPr>
      </w:pPr>
    </w:p>
    <w:p>
      <w:pPr>
        <w:jc w:val="both"/>
        <w:ind w:right="240" w:firstLine="419"/>
        <w:spacing w:after="0" w:line="259" w:lineRule="auto"/>
        <w:tabs>
          <w:tab w:leader="none" w:pos="678"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 respect to any issuance or incurrence of Indebtedness, issuance of Capital Stock and/or any contribution in respect of any Capital Stock, the Cash proceeds thereof, net of all Taxes and customary fees, commissions, costs, underwriting discounts and other fees and expenses incurred in connection therewith, including any cost associated with the unwinding of any Hedge Agreement in connection with such Indebtedness.</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60"/>
          </w:cols>
          <w:pgMar w:left="880" w:top="274" w:right="459" w:bottom="1440" w:gutter="0" w:footer="0" w:header="0"/>
        </w:sectPr>
      </w:pPr>
    </w:p>
    <w:bookmarkStart w:id="55" w:name="page56"/>
    <w:bookmarkEnd w:id="5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Net Short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9.02(e)</w:t>
      </w:r>
      <w:r>
        <w:rPr>
          <w:rFonts w:ascii="Arial" w:cs="Arial" w:eastAsia="Arial" w:hAnsi="Arial"/>
          <w:sz w:val="18"/>
          <w:szCs w:val="18"/>
          <w:color w:val="auto"/>
        </w:rPr>
        <w:t>.</w:t>
      </w:r>
    </w:p>
    <w:p>
      <w:pPr>
        <w:spacing w:after="0" w:line="225"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Non-Debt Fund Affiliate</w:t>
      </w:r>
      <w:r>
        <w:rPr>
          <w:rFonts w:ascii="Arial" w:cs="Arial" w:eastAsia="Arial" w:hAnsi="Arial"/>
          <w:sz w:val="18"/>
          <w:szCs w:val="18"/>
          <w:color w:val="auto"/>
        </w:rPr>
        <w:t>” means any Investor (which is an Affiliate of Holdings) and any Affiliate of any such Investor, other than any Debt Fund Affiliate.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Revolving Lenders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2.21(d)(i)</w:t>
      </w:r>
      <w:r>
        <w:rPr>
          <w:rFonts w:ascii="Arial" w:cs="Arial" w:eastAsia="Arial" w:hAnsi="Arial"/>
          <w:sz w:val="18"/>
          <w:szCs w:val="18"/>
          <w:color w:val="auto"/>
        </w:rPr>
        <w:t>.</w:t>
      </w:r>
    </w:p>
    <w:p>
      <w:pPr>
        <w:spacing w:after="0" w:line="225" w:lineRule="exact"/>
        <w:rPr>
          <w:sz w:val="20"/>
          <w:szCs w:val="20"/>
          <w:color w:val="auto"/>
        </w:rPr>
      </w:pPr>
    </w:p>
    <w:p>
      <w:pPr>
        <w:jc w:val="both"/>
        <w:ind w:left="4" w:right="1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 of Loan Prepayment</w:t>
      </w:r>
      <w:r>
        <w:rPr>
          <w:rFonts w:ascii="Arial" w:cs="Arial" w:eastAsia="Arial" w:hAnsi="Arial"/>
          <w:sz w:val="16"/>
          <w:szCs w:val="16"/>
          <w:color w:val="auto"/>
        </w:rPr>
        <w:t xml:space="preserve">” means a notice of prepayment with respect to a Loan, which shall be substantially in the form of </w:t>
      </w:r>
      <w:r>
        <w:rPr>
          <w:rFonts w:ascii="Arial" w:cs="Arial" w:eastAsia="Arial" w:hAnsi="Arial"/>
          <w:sz w:val="16"/>
          <w:szCs w:val="16"/>
          <w:u w:val="single" w:color="auto"/>
          <w:color w:val="auto"/>
        </w:rPr>
        <w:t>Exhibit Q</w:t>
      </w:r>
      <w:r>
        <w:rPr>
          <w:rFonts w:ascii="Arial" w:cs="Arial" w:eastAsia="Arial" w:hAnsi="Arial"/>
          <w:sz w:val="16"/>
          <w:szCs w:val="16"/>
          <w:color w:val="auto"/>
        </w:rPr>
        <w:t xml:space="preserve"> or such other form as may be approved by the Administrative Agent and the Borrower (including any form on an electronic platform or electronic transmission system as shall be approved by the Administrative Agent and the Borrower), appropriately completed and signed by a Responsible Officer.</w:t>
      </w:r>
    </w:p>
    <w:p>
      <w:pPr>
        <w:spacing w:after="0" w:line="149"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 Otherwise Applied</w:t>
      </w:r>
      <w:r>
        <w:rPr>
          <w:rFonts w:ascii="Arial" w:cs="Arial" w:eastAsia="Arial" w:hAnsi="Arial"/>
          <w:sz w:val="18"/>
          <w:szCs w:val="18"/>
          <w:color w:val="auto"/>
        </w:rPr>
        <w:t xml:space="preserve">” means, with respect to the proceeds of the issuance of Qualified Capital Stock or contribution with respect to Qualified Capital Stock, that as of any date of determination such proceeds have not previously been applied to permit a transaction in reliance on </w:t>
      </w:r>
      <w:r>
        <w:rPr>
          <w:rFonts w:ascii="Arial" w:cs="Arial" w:eastAsia="Arial" w:hAnsi="Arial"/>
          <w:sz w:val="18"/>
          <w:szCs w:val="18"/>
          <w:u w:val="single" w:color="auto"/>
          <w:color w:val="auto"/>
        </w:rPr>
        <w:t>Sections 6.04(a)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(a)(iii)(A)</w:t>
      </w:r>
      <w:r>
        <w:rPr>
          <w:rFonts w:ascii="Arial" w:cs="Arial" w:eastAsia="Arial" w:hAnsi="Arial"/>
          <w:sz w:val="18"/>
          <w:szCs w:val="18"/>
          <w:color w:val="auto"/>
        </w:rPr>
        <w:t xml:space="preserve"> (to the extent a Restricted Payment is made in reliance on </w:t>
      </w:r>
      <w:r>
        <w:rPr>
          <w:rFonts w:ascii="Arial" w:cs="Arial" w:eastAsia="Arial" w:hAnsi="Arial"/>
          <w:sz w:val="18"/>
          <w:szCs w:val="18"/>
          <w:u w:val="single" w:color="auto"/>
          <w:color w:val="auto"/>
        </w:rPr>
        <w:t>clause (a)(iii)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(a)(xiv)</w:t>
      </w:r>
      <w:r>
        <w:rPr>
          <w:rFonts w:ascii="Arial" w:cs="Arial" w:eastAsia="Arial" w:hAnsi="Arial"/>
          <w:sz w:val="18"/>
          <w:szCs w:val="18"/>
          <w:color w:val="auto"/>
        </w:rPr>
        <w:t xml:space="preserve"> of the definition of “Available Amount”), </w:t>
      </w:r>
      <w:r>
        <w:rPr>
          <w:rFonts w:ascii="Arial" w:cs="Arial" w:eastAsia="Arial" w:hAnsi="Arial"/>
          <w:sz w:val="18"/>
          <w:szCs w:val="18"/>
          <w:u w:val="single" w:color="auto"/>
          <w:color w:val="auto"/>
        </w:rPr>
        <w:t>6.04(a)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(iii)(B) 6.04(a)(viii)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6.04(b)(v)</w:t>
      </w:r>
      <w:r>
        <w:rPr>
          <w:rFonts w:ascii="Arial" w:cs="Arial" w:eastAsia="Arial" w:hAnsi="Arial"/>
          <w:sz w:val="18"/>
          <w:szCs w:val="18"/>
          <w:color w:val="auto"/>
        </w:rPr>
        <w:t xml:space="preserve">, </w:t>
      </w:r>
      <w:r>
        <w:rPr>
          <w:rFonts w:ascii="Arial" w:cs="Arial" w:eastAsia="Arial" w:hAnsi="Arial"/>
          <w:sz w:val="18"/>
          <w:szCs w:val="18"/>
          <w:u w:val="single" w:color="auto"/>
          <w:color w:val="auto"/>
        </w:rPr>
        <w:t>(b)(vi)(A)</w:t>
      </w:r>
      <w:r>
        <w:rPr>
          <w:rFonts w:ascii="Arial" w:cs="Arial" w:eastAsia="Arial" w:hAnsi="Arial"/>
          <w:sz w:val="18"/>
          <w:szCs w:val="18"/>
          <w:color w:val="auto"/>
        </w:rPr>
        <w:t xml:space="preserve"> (to the extent a Restricted Debt Payment is made in reliance on </w:t>
      </w:r>
      <w:r>
        <w:rPr>
          <w:rFonts w:ascii="Arial" w:cs="Arial" w:eastAsia="Arial" w:hAnsi="Arial"/>
          <w:sz w:val="18"/>
          <w:szCs w:val="18"/>
          <w:u w:val="single" w:color="auto"/>
          <w:color w:val="auto"/>
        </w:rPr>
        <w:t>clause (a)(iii)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(a)(xiv)</w:t>
      </w:r>
      <w:r>
        <w:rPr>
          <w:rFonts w:ascii="Arial" w:cs="Arial" w:eastAsia="Arial" w:hAnsi="Arial"/>
          <w:sz w:val="18"/>
          <w:szCs w:val="18"/>
          <w:color w:val="auto"/>
        </w:rPr>
        <w:t xml:space="preserve"> of the definition of “Available Amount”), </w:t>
      </w:r>
      <w:r>
        <w:rPr>
          <w:rFonts w:ascii="Arial" w:cs="Arial" w:eastAsia="Arial" w:hAnsi="Arial"/>
          <w:sz w:val="18"/>
          <w:szCs w:val="18"/>
          <w:u w:val="single" w:color="auto"/>
          <w:color w:val="auto"/>
        </w:rPr>
        <w:t>6.06(n)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6.06(r)(i)</w:t>
      </w:r>
      <w:r>
        <w:rPr>
          <w:rFonts w:ascii="Arial" w:cs="Arial" w:eastAsia="Arial" w:hAnsi="Arial"/>
          <w:sz w:val="18"/>
          <w:szCs w:val="18"/>
          <w:color w:val="auto"/>
        </w:rPr>
        <w:t xml:space="preserve"> (to the extent an Investment is made in reliance on </w:t>
      </w:r>
      <w:r>
        <w:rPr>
          <w:rFonts w:ascii="Arial" w:cs="Arial" w:eastAsia="Arial" w:hAnsi="Arial"/>
          <w:sz w:val="18"/>
          <w:szCs w:val="18"/>
          <w:u w:val="single" w:color="auto"/>
          <w:color w:val="auto"/>
        </w:rPr>
        <w:t>clause (a)(iii)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(a)(xiv)</w:t>
      </w:r>
      <w:r>
        <w:rPr>
          <w:rFonts w:ascii="Arial" w:cs="Arial" w:eastAsia="Arial" w:hAnsi="Arial"/>
          <w:sz w:val="18"/>
          <w:szCs w:val="18"/>
          <w:color w:val="auto"/>
        </w:rPr>
        <w:t xml:space="preserve"> of the definition of “Available Amount”) and/or </w:t>
      </w:r>
      <w:r>
        <w:rPr>
          <w:rFonts w:ascii="Arial" w:cs="Arial" w:eastAsia="Arial" w:hAnsi="Arial"/>
          <w:sz w:val="18"/>
          <w:szCs w:val="18"/>
          <w:u w:val="single" w:color="auto"/>
          <w:color w:val="auto"/>
        </w:rPr>
        <w:t>6.06(r)(ii)</w:t>
      </w:r>
      <w:r>
        <w:rPr>
          <w:rFonts w:ascii="Arial" w:cs="Arial" w:eastAsia="Arial" w:hAnsi="Arial"/>
          <w:sz w:val="18"/>
          <w:szCs w:val="18"/>
          <w:color w:val="auto"/>
        </w:rPr>
        <w:t>.</w:t>
      </w:r>
    </w:p>
    <w:p>
      <w:pPr>
        <w:spacing w:after="0" w:line="192" w:lineRule="exact"/>
        <w:rPr>
          <w:sz w:val="20"/>
          <w:szCs w:val="20"/>
          <w:color w:val="auto"/>
        </w:rPr>
      </w:pPr>
    </w:p>
    <w:p>
      <w:pPr>
        <w:ind w:left="4" w:right="8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unpaid principal of and accrued and unpaid interest (including interest accruing during the pendency of any bankruptcy, insolvency, receivership or other similar proceeding, regardless of whether allowed or allowable in such proceeding) on the Loans, all LC Exposure, all accrued and unpaid fees and all expenses (including fees and expenses accruing during the pendency of any bankruptcy, insolvency, receivership or other similar proceeding, regardless of whether allowed or allowable in such proceeding), reimbursements, indemnities and all other advances to, debts, liabilities and obligations of any Loan Party to the Lenders or to any Lender, the Administrative Agent, any Issuing Bank or any indemnified party arising under the Loan Documents in respect of any Loan or Letter of Credit, whether direct or indirect (including those acquired by assumption), absolute, contingent, due or to become due, now existing or hereafter arising.</w:t>
      </w:r>
    </w:p>
    <w:p>
      <w:pPr>
        <w:spacing w:after="0" w:line="17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 Derivative Instrument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9.05(d)(ii)</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 Control of the U.S. Treasury Department.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(a) with respect to any corporation, its certificate or articles of incorporation or organization and its by-laws,</w:t>
      </w:r>
    </w:p>
    <w:p>
      <w:pPr>
        <w:spacing w:after="0" w:line="46" w:lineRule="exact"/>
        <w:rPr>
          <w:sz w:val="20"/>
          <w:szCs w:val="20"/>
          <w:color w:val="auto"/>
        </w:rPr>
      </w:pPr>
    </w:p>
    <w:p>
      <w:pPr>
        <w:ind w:left="4" w:hanging="4"/>
        <w:spacing w:after="0" w:line="290" w:lineRule="auto"/>
        <w:tabs>
          <w:tab w:leader="none" w:pos="259" w:val="left"/>
        </w:tabs>
        <w:numPr>
          <w:ilvl w:val="0"/>
          <w:numId w:val="52"/>
        </w:numPr>
        <w:rPr>
          <w:rFonts w:ascii="Arial" w:cs="Arial" w:eastAsia="Arial" w:hAnsi="Arial"/>
          <w:sz w:val="16"/>
          <w:szCs w:val="16"/>
          <w:color w:val="auto"/>
        </w:rPr>
      </w:pPr>
      <w:r>
        <w:rPr>
          <w:rFonts w:ascii="Arial" w:cs="Arial" w:eastAsia="Arial" w:hAnsi="Arial"/>
          <w:sz w:val="16"/>
          <w:szCs w:val="16"/>
          <w:color w:val="auto"/>
        </w:rPr>
        <w:t>with respect to any limited partnership, its certificate of limited partnership and its partnership agreement, (c) with respect to any general partnership, its partnership agreement, (d) with respect to any limited liability company, its articles of organization or certificate of formation, and its operating agreement, and (e) with respect to any other form of entity, such other organizational documents required by local Requirements of Law or customary under such jurisdiction to document the formation and governance principles of such type of entity. In the event that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Applicable Indebtedness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2.11(b)(ii)</w:t>
      </w:r>
      <w:r>
        <w:rPr>
          <w:rFonts w:ascii="Arial" w:cs="Arial" w:eastAsia="Arial" w:hAnsi="Arial"/>
          <w:sz w:val="18"/>
          <w:szCs w:val="18"/>
          <w:color w:val="auto"/>
        </w:rPr>
        <w:t>.</w:t>
      </w:r>
    </w:p>
    <w:p>
      <w:pPr>
        <w:spacing w:after="0" w:line="225" w:lineRule="exact"/>
        <w:rPr>
          <w:sz w:val="20"/>
          <w:szCs w:val="20"/>
          <w:color w:val="auto"/>
        </w:rPr>
      </w:pPr>
    </w:p>
    <w:p>
      <w:pPr>
        <w:ind w:left="4" w:right="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Lender, any Issuing Bank or the Administrative Agent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or engaged in any other transaction pursuant to or enforced any Loan Document, or sold or assigned an interest in any Loan or Loan Document).</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4"/>
          </w:cols>
          <w:pgMar w:left="436" w:top="274" w:right="459" w:bottom="1440" w:gutter="0" w:footer="0" w:header="0"/>
        </w:sectPr>
      </w:pPr>
    </w:p>
    <w:bookmarkStart w:id="56" w:name="page57"/>
    <w:bookmarkEnd w:id="56"/>
    <w:p>
      <w:pPr>
        <w:jc w:val="both"/>
        <w:ind w:left="4" w:right="20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Other Taxes</w:t>
      </w:r>
      <w:r>
        <w:rPr>
          <w:rFonts w:ascii="Arial" w:cs="Arial" w:eastAsia="Arial" w:hAnsi="Arial"/>
          <w:sz w:val="16"/>
          <w:szCs w:val="16"/>
          <w:color w:val="auto"/>
        </w:rPr>
        <w:t xml:space="preserve">” means all present or future stamp, court or documentary Taxes or any intangible, recording, filing or other similar Taxes arising from any payment made under any Loan Document or from the execution, delivery or enforcement or registration, from the receipt or perfection of a security interest under, or otherwise with respect to, any Loan Document, but excluding (i) any Excluded Taxes, and (ii) any such Taxes that are Other Connection Taxes imposed with respect to an assignment or participation (other than an assignment made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w:t>
      </w:r>
    </w:p>
    <w:p>
      <w:pPr>
        <w:spacing w:after="0" w:line="157"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means (a) with respect to any Term Loan, Revolving Loan and/or Swingline Loan on any date, the aggregate outstanding principal amount thereof after giving effect to any borrowing and/or prepayment or repayment of such Term Loan, Revolving Loan and/or Swingline Loans, as the case may be, occurring on such date, (b) with respect to any Letter of Credit, the aggregate amount available to be drawn under such Letter of Credit after giving effect to any change in the aggregate amount available to be drawn under such Letter of Credit or the issuance or expiry of such Letter of Credit, including as a result of any LC Disbursement and (c) with respect to any LC Disbursement on any date, the amount of the aggregate outstanding amount of such LC Disbursement on such date after giving effect to any disbursement with respect to any Letter of Credit occurring on such date and any other change in the aggregate amount of such LC Disbursement as of such date, including as a result of any reimbursement by the Borrower of such unreimbursed LC Disbursement.</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Company</w:t>
      </w:r>
      <w:r>
        <w:rPr>
          <w:rFonts w:ascii="Arial" w:cs="Arial" w:eastAsia="Arial" w:hAnsi="Arial"/>
          <w:sz w:val="18"/>
          <w:szCs w:val="18"/>
          <w:color w:val="auto"/>
        </w:rPr>
        <w:t>” means (a) the Parent and (b) any Person of which the Borrower is a direct or indirect Wholly-Owned Subsidiary.</w:t>
      </w:r>
    </w:p>
    <w:p>
      <w:pPr>
        <w:spacing w:after="0" w:line="225" w:lineRule="exact"/>
        <w:rPr>
          <w:sz w:val="20"/>
          <w:szCs w:val="20"/>
          <w:color w:val="auto"/>
        </w:rPr>
      </w:pPr>
    </w:p>
    <w:p>
      <w:pPr>
        <w:ind w:left="4" w:right="1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Pari Passu Intercreditor Agreement</w:t>
      </w:r>
      <w:r>
        <w:rPr>
          <w:rFonts w:ascii="Arial" w:cs="Arial" w:eastAsia="Arial" w:hAnsi="Arial"/>
          <w:sz w:val="17"/>
          <w:szCs w:val="17"/>
          <w:color w:val="auto"/>
        </w:rPr>
        <w:t xml:space="preserve">” means an intercreditor agreement substantially in the form of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with any changes thereto (whether material or immaterial) as the Borrower and the Administrative Agent may agree in their respective reasonable discretion.</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9.05(c)(i)</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Participant/SPC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9.05(c)</w:t>
      </w:r>
      <w:r>
        <w:rPr>
          <w:rFonts w:ascii="Arial" w:cs="Arial" w:eastAsia="Arial" w:hAnsi="Arial"/>
          <w:sz w:val="18"/>
          <w:szCs w:val="18"/>
          <w:color w:val="auto"/>
        </w:rPr>
        <w:t>.</w:t>
      </w:r>
    </w:p>
    <w:p>
      <w:pPr>
        <w:spacing w:after="0" w:line="225" w:lineRule="exact"/>
        <w:rPr>
          <w:sz w:val="20"/>
          <w:szCs w:val="20"/>
          <w:color w:val="auto"/>
        </w:rPr>
      </w:pPr>
    </w:p>
    <w:p>
      <w:pPr>
        <w:ind w:left="4" w:right="10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w:t>
      </w:r>
      <w:r>
        <w:rPr>
          <w:rFonts w:ascii="Arial" w:cs="Arial" w:eastAsia="Arial" w:hAnsi="Arial"/>
          <w:sz w:val="16"/>
          <w:szCs w:val="16"/>
          <w:color w:val="auto"/>
        </w:rPr>
        <w:t>” means the following: (a) any and all patents and patent applications; (b) all inventions described and claimed therein; (c) all reissues, divisions, continuations, renewals, extensions and continuations in part thereof; (d) all income, royalties, damages, claims, and payments now or hereafter due or payable under and with respect thereto, including, without limitation, damages and payments for past and future infringements thereof;</w:t>
      </w:r>
    </w:p>
    <w:p>
      <w:pPr>
        <w:spacing w:after="0" w:line="2" w:lineRule="exact"/>
        <w:rPr>
          <w:sz w:val="20"/>
          <w:szCs w:val="20"/>
          <w:color w:val="auto"/>
        </w:rPr>
      </w:pPr>
    </w:p>
    <w:p>
      <w:pPr>
        <w:ind w:left="444" w:right="1960" w:hanging="444"/>
        <w:spacing w:after="0" w:line="492" w:lineRule="auto"/>
        <w:tabs>
          <w:tab w:leader="none" w:pos="2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rights to sue for past, present, and future infringements thereof; and (f) all rights corresponding to any of the foregoing. “</w:t>
      </w:r>
      <w:r>
        <w:rPr>
          <w:rFonts w:ascii="Arial" w:cs="Arial" w:eastAsia="Arial" w:hAnsi="Arial"/>
          <w:sz w:val="18"/>
          <w:szCs w:val="18"/>
          <w:u w:val="single" w:color="auto"/>
          <w:color w:val="auto"/>
        </w:rPr>
        <w:t>Payment Recipient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8.14(a)</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as defined in Section 3(2) of ERISA (other than a Multiemployer Plan), that is subject to the provisions of Title IV of ERISA or Section 412 of the Code or Section 302 of ERISA, which Holdings, the Borrower or any of its Restricted Subsidiaries, or any of their respective ERISA Affiliates, maintains or contributes to or has an obligation to contribute to, or otherwise has any liability, contingent or otherwise.</w:t>
      </w:r>
    </w:p>
    <w:p>
      <w:pPr>
        <w:spacing w:after="0" w:line="187" w:lineRule="exact"/>
        <w:rPr>
          <w:sz w:val="20"/>
          <w:szCs w:val="20"/>
          <w:color w:val="auto"/>
        </w:rPr>
      </w:pPr>
    </w:p>
    <w:p>
      <w:pPr>
        <w:ind w:left="4" w:right="8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or such other form that is reasonably acceptable to the Administrative Agent and the Borrower.</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4"/>
          </w:cols>
          <w:pgMar w:left="436" w:top="274" w:right="459" w:bottom="1440" w:gutter="0" w:footer="0" w:header="0"/>
        </w:sectPr>
      </w:pPr>
    </w:p>
    <w:bookmarkStart w:id="57" w:name="page58"/>
    <w:bookmarkEnd w:id="57"/>
    <w:p>
      <w:pPr>
        <w:ind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Perfection Requirements</w:t>
      </w:r>
      <w:r>
        <w:rPr>
          <w:rFonts w:ascii="Arial" w:cs="Arial" w:eastAsia="Arial" w:hAnsi="Arial"/>
          <w:sz w:val="16"/>
          <w:szCs w:val="16"/>
          <w:color w:val="auto"/>
        </w:rPr>
        <w:t xml:space="preserve">” means (a) with respect to any Loan Party (other than any Discretionary Guarantor that is a Foreign Subsidiary), the filing of appropriate financing statements with the office of the Secretary of State or other appropriate office of the state of organization of each Loan Party, the filing of Intellectual Property Security Agreements or other appropriate instruments or notices with the US Patent and Trademark Office and the US Copyright Office (solely as required under applicable Requirements of Law), and the delivery to the Administrative Agent of, solely to the extent the same constitutes Collateral, any stock certificate or promissory note, together with instruments of transfer executed in blank and (b) with respect to any Discretionary Guarantor that is a Foreign Subsidiary, any recording, filing, registration, notification or other action required to be taken in the applicable jurisdiction, in each case of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to the extent required by the applicable Loan Documents.</w:t>
      </w:r>
    </w:p>
    <w:p>
      <w:pPr>
        <w:spacing w:after="0" w:line="166" w:lineRule="exact"/>
        <w:rPr>
          <w:sz w:val="20"/>
          <w:szCs w:val="20"/>
          <w:color w:val="auto"/>
        </w:rPr>
      </w:pPr>
    </w:p>
    <w:p>
      <w:pPr>
        <w:ind w:right="20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means any acquisition made by the Borrower or any of its Restricted Subsidiaries, whether by purchase, merger or otherwise, of (a) all or substantially all of the assets, or any business line, unit or division or product line (including research and development and related assets in respect of any product) of, any Person or (b) of a majority of the outstanding Capital Stock of any Person, in each case, so long as the Borrower is in compliance with </w:t>
      </w:r>
      <w:r>
        <w:rPr>
          <w:rFonts w:ascii="Arial" w:cs="Arial" w:eastAsia="Arial" w:hAnsi="Arial"/>
          <w:sz w:val="16"/>
          <w:szCs w:val="16"/>
          <w:u w:val="single" w:color="auto"/>
          <w:color w:val="auto"/>
        </w:rPr>
        <w:t>Section 6.10(a)</w:t>
      </w:r>
      <w:r>
        <w:rPr>
          <w:rFonts w:ascii="Arial" w:cs="Arial" w:eastAsia="Arial" w:hAnsi="Arial"/>
          <w:sz w:val="16"/>
          <w:szCs w:val="16"/>
          <w:color w:val="auto"/>
        </w:rPr>
        <w:t xml:space="preserve"> on a Pro Forma Basis; it being understood and agreed that “Permitted Acquisition” shall include any Investment in (x) any Restricted Subsidiary the effect of which is to increase the Borrower’s or any Restricted Subsidiary’s equity ownership in such Restricted Subsidiary or (y) any joint venture for the purpose of increasing the Borrower’s or its relevant Restricted Subsidiary’s ownership interest in such joint venture, in each case if (1) such Person is or becomes a Restricted Subsidiary or (2) such Person, in one transaction or a series of related transactions, is amalgamated, merged or consolidated with or into, or transfers or conveys all or a substantial portion of its assets (or such division, business line, unit or product line) to, or is liquidated into, the Borrower and/or any Restricted Subsidiary as a result of such transaction.</w:t>
      </w:r>
    </w:p>
    <w:p>
      <w:pPr>
        <w:spacing w:after="0" w:line="166"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Asset Swap</w:t>
      </w:r>
      <w:r>
        <w:rPr>
          <w:rFonts w:ascii="Arial" w:cs="Arial" w:eastAsia="Arial" w:hAnsi="Arial"/>
          <w:sz w:val="17"/>
          <w:szCs w:val="17"/>
          <w:color w:val="auto"/>
        </w:rPr>
        <w:t>” means the concurrent purchase and sale or exchange of Related Business Assets or any combination of Related Business Assets between the Borrower and/or any Restricted Subsidiary, on the one hand, and any other Person, on the other hand.</w:t>
      </w:r>
    </w:p>
    <w:p>
      <w:pPr>
        <w:spacing w:after="0" w:line="146"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Bond Hedge Transaction</w:t>
      </w:r>
      <w:r>
        <w:rPr>
          <w:rFonts w:ascii="Arial" w:cs="Arial" w:eastAsia="Arial" w:hAnsi="Arial"/>
          <w:sz w:val="17"/>
          <w:szCs w:val="17"/>
          <w:color w:val="auto"/>
        </w:rPr>
        <w:t xml:space="preserve">” means any call or capped call option (or substantively equivalent derivative transaction) with respect to the Parent’s common equity that is purchased by the Parent in connection with the issuance of any Convertible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in the case of any such transaction entered into after the Closing Date, such transaction is consummated substantially simultaneously with the issuance of such Convertible Indebtedness and (y) the purchase price for such Permitted Bond Hedge Transaction, less the proceeds received by the Parent from the sale of any related Permitted Warrant Transaction, does not exceed the net proceeds received by the Parent from the Convertible Indebtedness issued in connection with such Permitted Bond Hedge Transaction.</w:t>
      </w:r>
    </w:p>
    <w:p>
      <w:pPr>
        <w:spacing w:after="0" w:line="178"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xml:space="preserve">” means (a) the Investors and (b) any Person with which one or more Investors and/or management form a “group” (within the meaning of Section 14(d) of the Exchange Act) so long as,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the relevant Investors beneficially own more than 50% of the relevant voting Capital Stock beneficially owned by the group.</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Liens permitted pursuant to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Warrant Transaction</w:t>
      </w:r>
      <w:r>
        <w:rPr>
          <w:rFonts w:ascii="Arial" w:cs="Arial" w:eastAsia="Arial" w:hAnsi="Arial"/>
          <w:sz w:val="17"/>
          <w:szCs w:val="17"/>
          <w:color w:val="auto"/>
        </w:rPr>
        <w:t>” means any call option, warrant or right to purchase (or substantively equivalent derivative transaction) with respect to the Parent’s common equity sold by the Parent substantially concurrently with a related Permitted Bond Hedge Transaction.</w:t>
      </w:r>
    </w:p>
    <w:p>
      <w:pPr>
        <w:spacing w:after="0" w:line="14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any other entity.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58" w:name="page59"/>
    <w:bookmarkEnd w:id="58"/>
    <w:p>
      <w:pPr>
        <w:ind w:right="7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has the same meaning as the term “personal data,” “personal information,” “protected health information” or the equivalent under applicable Requirements of Law.</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(as such term is defined in Section 3(3) of ERISA) maintained by Holdings and/or any Restricted Subsidiary or, with respect to any such plan that is subject to Section 412 of the Code or Title IV of ERISA, any of its ERISA Affiliates, other than any Multiemployer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Asset Sale</w:t>
      </w:r>
      <w:r>
        <w:rPr>
          <w:rFonts w:ascii="Arial" w:cs="Arial" w:eastAsia="Arial" w:hAnsi="Arial"/>
          <w:sz w:val="18"/>
          <w:szCs w:val="18"/>
          <w:color w:val="auto"/>
        </w:rPr>
        <w:t xml:space="preserve">” means any Disposition by the Borrower or any Restricted Subsidiary made outside the ordinary course of business pursuant in reliance on </w:t>
      </w:r>
      <w:r>
        <w:rPr>
          <w:rFonts w:ascii="Arial" w:cs="Arial" w:eastAsia="Arial" w:hAnsi="Arial"/>
          <w:sz w:val="18"/>
          <w:szCs w:val="18"/>
          <w:u w:val="single" w:color="auto"/>
          <w:color w:val="auto"/>
        </w:rPr>
        <w:t>Section 6.07(h)</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Obligor</w:t>
      </w:r>
      <w:r>
        <w:rPr>
          <w:rFonts w:ascii="Arial" w:cs="Arial" w:eastAsia="Arial" w:hAnsi="Arial"/>
          <w:sz w:val="18"/>
          <w:szCs w:val="18"/>
          <w:color w:val="auto"/>
        </w:rPr>
        <w:t>” has the meaning assigned to such term in the definition of “Guarantee”.</w:t>
      </w:r>
    </w:p>
    <w:p>
      <w:pPr>
        <w:spacing w:after="0" w:line="225"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means (a) the rate of interest publicly announced, from time to time, by the Administrative Agent at its principal office in New York City as its “prime rate,” with the understanding that the “prime rate” is one of the Administrative Agent’s base rates (not necessarily the lowest of such rates) and serves as the basis upon which effective rates of interest are calculated for those loans making reference thereto and is evidenced by the recording thereof after its announcement in such internal publications as the Administrative Agent may designate or (b) if the Administrative Agent has no “prime rate,”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w:t>
      </w:r>
    </w:p>
    <w:p>
      <w:pPr>
        <w:spacing w:after="0" w:line="165"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or “</w:t>
      </w:r>
      <w:r>
        <w:rPr>
          <w:rFonts w:ascii="Arial" w:cs="Arial" w:eastAsia="Arial" w:hAnsi="Arial"/>
          <w:sz w:val="18"/>
          <w:szCs w:val="18"/>
          <w:u w:val="single" w:color="auto"/>
          <w:color w:val="auto"/>
        </w:rPr>
        <w:t>pro forma effect</w:t>
      </w:r>
      <w:r>
        <w:rPr>
          <w:rFonts w:ascii="Arial" w:cs="Arial" w:eastAsia="Arial" w:hAnsi="Arial"/>
          <w:sz w:val="18"/>
          <w:szCs w:val="18"/>
          <w:color w:val="auto"/>
        </w:rPr>
        <w:t>” means, with respect to any determination of the Total Net Leverage Ratio, the First Lien Net Leverage Ratio, the Secured Net Leverage Ratio, Consolidated Adjusted EBITDA or Consolidated Total Assets (including any component definition thereof), that:</w:t>
      </w:r>
    </w:p>
    <w:p>
      <w:pPr>
        <w:spacing w:after="0" w:line="76" w:lineRule="exact"/>
        <w:rPr>
          <w:sz w:val="20"/>
          <w:szCs w:val="20"/>
          <w:color w:val="auto"/>
        </w:rPr>
      </w:pPr>
    </w:p>
    <w:p>
      <w:pPr>
        <w:jc w:val="both"/>
        <w:ind w:left="440" w:right="560" w:firstLine="419"/>
        <w:spacing w:after="0" w:line="291" w:lineRule="auto"/>
        <w:tabs>
          <w:tab w:leader="none" w:pos="1108" w:val="left"/>
        </w:tabs>
        <w:numPr>
          <w:ilvl w:val="1"/>
          <w:numId w:val="54"/>
        </w:numPr>
        <w:rPr>
          <w:rFonts w:ascii="Arial" w:cs="Arial" w:eastAsia="Arial" w:hAnsi="Arial"/>
          <w:sz w:val="16"/>
          <w:szCs w:val="16"/>
          <w:color w:val="auto"/>
        </w:rPr>
      </w:pPr>
      <w:r>
        <w:rPr>
          <w:rFonts w:ascii="Arial" w:cs="Arial" w:eastAsia="Arial" w:hAnsi="Arial"/>
          <w:sz w:val="16"/>
          <w:szCs w:val="16"/>
          <w:color w:val="auto"/>
        </w:rPr>
        <w:t>in the case of (i) any Disposition of all or substantially all of the Capital Stock of any Restricted Subsidiary or any division and/or product line of the Borrower and/or any Restricted Subsidiary, (ii) any designation of a Restricted Subsidiary as an Unrestricted Subsidiary</w:t>
      </w:r>
    </w:p>
    <w:p>
      <w:pPr>
        <w:ind w:left="440" w:right="20" w:hanging="4"/>
        <w:spacing w:after="0" w:line="253" w:lineRule="auto"/>
        <w:tabs>
          <w:tab w:leader="none" w:pos="7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implementation of any Business Optimization Initiative relating to a cost-savings action and/or (iv) if applicable, any Subject Transaction described in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the definition thereof, income statement items (whether positive or negative and including any expected cost saving) attributable to the property or Person subject to such Subject Transaction, shall be excluded as of the first day of the applicable Test Period with respect to any test or covenant for which the relevant determination is being made;</w:t>
      </w:r>
    </w:p>
    <w:p>
      <w:pPr>
        <w:spacing w:after="0" w:line="84" w:lineRule="exact"/>
        <w:rPr>
          <w:rFonts w:ascii="Arial" w:cs="Arial" w:eastAsia="Arial" w:hAnsi="Arial"/>
          <w:sz w:val="18"/>
          <w:szCs w:val="18"/>
          <w:color w:val="auto"/>
        </w:rPr>
      </w:pPr>
    </w:p>
    <w:p>
      <w:pPr>
        <w:ind w:left="440" w:firstLine="419"/>
        <w:spacing w:after="0" w:line="279" w:lineRule="auto"/>
        <w:tabs>
          <w:tab w:leader="none" w:pos="1118" w:val="left"/>
        </w:tabs>
        <w:numPr>
          <w:ilvl w:val="1"/>
          <w:numId w:val="55"/>
        </w:numPr>
        <w:rPr>
          <w:rFonts w:ascii="Arial" w:cs="Arial" w:eastAsia="Arial" w:hAnsi="Arial"/>
          <w:sz w:val="17"/>
          <w:szCs w:val="17"/>
          <w:color w:val="auto"/>
        </w:rPr>
      </w:pPr>
      <w:r>
        <w:rPr>
          <w:rFonts w:ascii="Arial" w:cs="Arial" w:eastAsia="Arial" w:hAnsi="Arial"/>
          <w:sz w:val="17"/>
          <w:szCs w:val="17"/>
          <w:color w:val="auto"/>
        </w:rPr>
        <w:t xml:space="preserve">in the case of (i) any Permitted Acquisition or other Investment, (ii) any designation of any Unrestricted Subsidiary as a Restricted Subsidiary, and/or (iii) if applicable, any Subject Transaction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the definition thereof, income statement items (whether positive or negative) attributable to the property or Person subject to such Subject Transaction shall be included as of the first day of the applicable Test Period with respect to any test or covenant for which the relevant determination is being made;</w:t>
      </w:r>
    </w:p>
    <w:p>
      <w:pPr>
        <w:spacing w:after="0" w:line="63" w:lineRule="exact"/>
        <w:rPr>
          <w:rFonts w:ascii="Arial" w:cs="Arial" w:eastAsia="Arial" w:hAnsi="Arial"/>
          <w:sz w:val="17"/>
          <w:szCs w:val="17"/>
          <w:color w:val="auto"/>
        </w:rPr>
      </w:pPr>
    </w:p>
    <w:p>
      <w:pPr>
        <w:ind w:left="1100" w:hanging="241"/>
        <w:spacing w:after="0"/>
        <w:tabs>
          <w:tab w:leader="none" w:pos="11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right="100" w:firstLine="419"/>
        <w:spacing w:after="0" w:line="263" w:lineRule="auto"/>
        <w:tabs>
          <w:tab w:leader="none" w:pos="111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retirement or repayment of Indebtedness by the Borrower or any of its Subsidiaries that constitutes a Subject Transaction shall be deemed to have occurred as of the first day of the applicable Test Period with respect to any test or covenant for which the relevant determination is being made;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59" w:name="page60"/>
    <w:bookmarkEnd w:id="59"/>
    <w:p>
      <w:pPr>
        <w:ind w:left="440" w:right="60" w:firstLine="419"/>
        <w:spacing w:after="0" w:line="284" w:lineRule="auto"/>
        <w:tabs>
          <w:tab w:leader="none" w:pos="1108" w:val="left"/>
        </w:tabs>
        <w:numPr>
          <w:ilvl w:val="1"/>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Indebtedness incurred by the Borrower or any of its Restricted Subsidiaries in connection therewith that constitutes a Subject Transaction shall be deemed to have occurred as of the first day of the applicable Test Period with respect to any test or covenant for which the relevant determination is being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(ii) interest on any obligation with respect to any Capital Lease shall be deemed to accrue at an interest rate reasonably determined by a Responsible Officer of the Borrower in good faith to be the rate of interest implicit in such obligation in accordance with GAAP and</w:t>
      </w:r>
    </w:p>
    <w:p>
      <w:pPr>
        <w:spacing w:after="0" w:line="2" w:lineRule="exact"/>
        <w:rPr>
          <w:rFonts w:ascii="Arial" w:cs="Arial" w:eastAsia="Arial" w:hAnsi="Arial"/>
          <w:sz w:val="16"/>
          <w:szCs w:val="16"/>
          <w:color w:val="auto"/>
        </w:rPr>
      </w:pPr>
    </w:p>
    <w:p>
      <w:pPr>
        <w:ind w:left="440" w:right="20" w:hanging="4"/>
        <w:spacing w:after="0" w:line="255" w:lineRule="auto"/>
        <w:tabs>
          <w:tab w:leader="none" w:pos="7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Borrower;</w:t>
      </w:r>
    </w:p>
    <w:p>
      <w:pPr>
        <w:spacing w:after="0" w:line="81" w:lineRule="exact"/>
        <w:rPr>
          <w:rFonts w:ascii="Arial" w:cs="Arial" w:eastAsia="Arial" w:hAnsi="Arial"/>
          <w:sz w:val="18"/>
          <w:szCs w:val="18"/>
          <w:color w:val="auto"/>
        </w:rPr>
      </w:pPr>
    </w:p>
    <w:p>
      <w:pPr>
        <w:ind w:left="440" w:firstLine="419"/>
        <w:spacing w:after="0" w:line="275" w:lineRule="auto"/>
        <w:tabs>
          <w:tab w:leader="none" w:pos="1088"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the acquisition of any asset included in calculating Consolidated Total Assets (other than the amount Cash or Cash Equivalents, which is addressed in </w:t>
      </w:r>
      <w:r>
        <w:rPr>
          <w:rFonts w:ascii="Arial" w:cs="Arial" w:eastAsia="Arial" w:hAnsi="Arial"/>
          <w:sz w:val="17"/>
          <w:szCs w:val="17"/>
          <w:u w:val="single" w:color="auto"/>
          <w:color w:val="auto"/>
        </w:rPr>
        <w:t>clause (g)</w:t>
      </w:r>
      <w:r>
        <w:rPr>
          <w:rFonts w:ascii="Arial" w:cs="Arial" w:eastAsia="Arial" w:hAnsi="Arial"/>
          <w:sz w:val="17"/>
          <w:szCs w:val="17"/>
          <w:color w:val="auto"/>
        </w:rPr>
        <w:t xml:space="preserve"> below), whether pursuant to any Subject Transaction or any Person becoming a subsidiary or merging, amalgamating or consolidating with or into the Borrower or any of its subsidiaries, or the Disposition of any asset included in calculating Consolidated Total Assets described in the definition of “Subject Transaction”, shall be deemed to have occurred as of the last day of the applicable Test Period with respect to any test or covenant for which such calculation is being made;</w:t>
      </w:r>
    </w:p>
    <w:p>
      <w:pPr>
        <w:spacing w:after="0" w:line="68" w:lineRule="exact"/>
        <w:rPr>
          <w:rFonts w:ascii="Arial" w:cs="Arial" w:eastAsia="Arial" w:hAnsi="Arial"/>
          <w:sz w:val="17"/>
          <w:szCs w:val="17"/>
          <w:color w:val="auto"/>
        </w:rPr>
      </w:pPr>
    </w:p>
    <w:p>
      <w:pPr>
        <w:ind w:left="440" w:right="20" w:firstLine="419"/>
        <w:spacing w:after="0" w:line="259" w:lineRule="auto"/>
        <w:tabs>
          <w:tab w:leader="none" w:pos="1118"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other than, for the avoidance of doubt, for purposes of </w:t>
      </w:r>
      <w:r>
        <w:rPr>
          <w:rFonts w:ascii="Arial" w:cs="Arial" w:eastAsia="Arial" w:hAnsi="Arial"/>
          <w:sz w:val="18"/>
          <w:szCs w:val="18"/>
          <w:u w:val="single" w:color="auto"/>
          <w:color w:val="auto"/>
        </w:rPr>
        <w:t>Section 6.10(a)</w:t>
      </w:r>
      <w:r>
        <w:rPr>
          <w:rFonts w:ascii="Arial" w:cs="Arial" w:eastAsia="Arial" w:hAnsi="Arial"/>
          <w:sz w:val="18"/>
          <w:szCs w:val="18"/>
          <w:color w:val="auto"/>
        </w:rPr>
        <w:t>, the Unrestricted Cash Amount shall be calculated as of the date of the consummation of such Subject Transaction after giving pro forma effect thereto, including any application of cash proceeds in connection therewith (other than, for the avoidance of doubt, the cash proceeds of any Indebtedness that is the Subject Transaction for which such a calculation is being made); and</w:t>
      </w:r>
    </w:p>
    <w:p>
      <w:pPr>
        <w:spacing w:after="0" w:line="78" w:lineRule="exact"/>
        <w:rPr>
          <w:rFonts w:ascii="Arial" w:cs="Arial" w:eastAsia="Arial" w:hAnsi="Arial"/>
          <w:sz w:val="18"/>
          <w:szCs w:val="18"/>
          <w:color w:val="auto"/>
        </w:rPr>
      </w:pPr>
    </w:p>
    <w:p>
      <w:pPr>
        <w:ind w:left="440" w:right="260" w:firstLine="419"/>
        <w:spacing w:after="0" w:line="342" w:lineRule="auto"/>
        <w:tabs>
          <w:tab w:leader="none" w:pos="1118" w:val="left"/>
        </w:tabs>
        <w:numPr>
          <w:ilvl w:val="1"/>
          <w:numId w:val="57"/>
        </w:numPr>
        <w:rPr>
          <w:rFonts w:ascii="Arial" w:cs="Arial" w:eastAsia="Arial" w:hAnsi="Arial"/>
          <w:sz w:val="16"/>
          <w:szCs w:val="16"/>
          <w:color w:val="auto"/>
        </w:rPr>
      </w:pPr>
      <w:r>
        <w:rPr>
          <w:rFonts w:ascii="Arial" w:cs="Arial" w:eastAsia="Arial" w:hAnsi="Arial"/>
          <w:sz w:val="16"/>
          <w:szCs w:val="16"/>
          <w:color w:val="auto"/>
        </w:rPr>
        <w:t>each other Subject Transaction shall be deemed to have occurred as of the first day of the applicable Test Period (or, in the case of Consolidated Total Assets, as of the last day of such Test Period) with respect to any test or covenant for which such calculation is being made.</w:t>
      </w:r>
    </w:p>
    <w:p>
      <w:pPr>
        <w:spacing w:after="0" w:line="124"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It is hereby agreed that for purposes of determining pro forma compliance with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prior to the last day of the first full Fiscal Quarter after the Closing Date, the applicable level shall be the level cited in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Notwithstanding anything to the contrary set forth in the immediately preceding paragraph, for the avoidance of doubt, when calculating the Total Net Leverage Ratio for purposes of the definitions of “Applicable Rate” and “Commitment Fee Rate” and for purposes of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(other than for the purpose of determining pro forma compliance with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as a condition to taking any action under this Agreement), the events described in the immediately preceding paragraph that occurred subsequent to the end of the applicable Test Period shall not be given pro forma effect.</w:t>
      </w:r>
    </w:p>
    <w:p>
      <w:pPr>
        <w:spacing w:after="0" w:line="17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means the financial projections, forecasts, financial estimates and other forward-looking and/or projected information of or relating to the Borrower and its subsidiaries included in the Financial Model (or a supplement thereto).</w:t>
      </w:r>
    </w:p>
    <w:p>
      <w:pPr>
        <w:spacing w:after="0" w:line="170"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Promissory Note</w:t>
      </w:r>
      <w:r>
        <w:rPr>
          <w:rFonts w:ascii="Arial" w:cs="Arial" w:eastAsia="Arial" w:hAnsi="Arial"/>
          <w:sz w:val="16"/>
          <w:szCs w:val="16"/>
          <w:color w:val="auto"/>
        </w:rPr>
        <w:t xml:space="preserve">” means a promissory note of the Borrower payable to any Lender or its registered assigns, in substantially the form of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L</w:t>
      </w:r>
      <w:r>
        <w:rPr>
          <w:rFonts w:ascii="Arial" w:cs="Arial" w:eastAsia="Arial" w:hAnsi="Arial"/>
          <w:sz w:val="16"/>
          <w:szCs w:val="16"/>
          <w:color w:val="auto"/>
        </w:rPr>
        <w:t>, evidencing the aggregate outstanding principal amount of Loans of the Borrower to such Lender resulting from the Loans made by such Lender.</w:t>
      </w:r>
    </w:p>
    <w:p>
      <w:pPr>
        <w:spacing w:after="0" w:line="12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60" w:name="page61"/>
    <w:bookmarkEnd w:id="60"/>
    <w:p>
      <w:pPr>
        <w:ind w:left="4"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Public Company Costs</w:t>
      </w:r>
      <w:r>
        <w:rPr>
          <w:rFonts w:ascii="Arial" w:cs="Arial" w:eastAsia="Arial" w:hAnsi="Arial"/>
          <w:sz w:val="17"/>
          <w:szCs w:val="17"/>
          <w:color w:val="auto"/>
        </w:rPr>
        <w:t>” means Charges associated with, or in anticipation of, or preparation for, compliance with the requirements of the Sarbanes-Oxley Act of 2002 (and, in each case, similar Requirements of Law under other jurisdictions) and the rules and regulations promulgated in connection therewith and Charges relating to compliance with the provisions of the Securities Act and the Exchange Act (and, in each case, similar Requirements of Law under other jurisdictions), as applicable to companies with equity or debt securities held by the public, the rules of national securities exchange companies with listed equity or debt securities, directors’, managers’ and/or employees’ compensation, fees and expense reimbursement, Charges relating to investor relations, shareholder meetings and reports to shareholders or debtholders, directors’ and officers’ insurance and other executive costs, legal and other professional fees (including auditors’ and accountants’ fees), listing fees, filing fees and other costs and/or expenses associated with being a public company.</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9.01(d)</w:t>
      </w:r>
      <w:r>
        <w:rPr>
          <w:rFonts w:ascii="Arial" w:cs="Arial" w:eastAsia="Arial" w:hAnsi="Arial"/>
          <w:sz w:val="18"/>
          <w:szCs w:val="18"/>
          <w:color w:val="auto"/>
        </w:rPr>
        <w:t>.</w:t>
      </w:r>
    </w:p>
    <w:p>
      <w:pPr>
        <w:spacing w:after="0" w:line="225" w:lineRule="exact"/>
        <w:rPr>
          <w:sz w:val="20"/>
          <w:szCs w:val="20"/>
          <w:color w:val="auto"/>
        </w:rPr>
      </w:pPr>
    </w:p>
    <w:p>
      <w:pPr>
        <w:ind w:left="4" w:right="12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Published LIBO Rate</w:t>
      </w:r>
      <w:r>
        <w:rPr>
          <w:rFonts w:ascii="Arial" w:cs="Arial" w:eastAsia="Arial" w:hAnsi="Arial"/>
          <w:sz w:val="16"/>
          <w:szCs w:val="16"/>
          <w:color w:val="auto"/>
        </w:rPr>
        <w:t xml:space="preserve">” means, with respect to any Interest Period when used in reference to any Loan or Borrowing, (a) the rate of interest appearing on Reuters Screen LIBOR01 Page (or on any successor or substitute page of such service, or any successor to such service as determined by Administrative Agent) as the London interbank offered rate for deposits in Dollars or any Alternate Currency, as applicable, for a term comparable to such Interest Period, at approximately 11:00 a.m. (London time) on the date that is two Business Days prior to the commencement of such Interest Period (but if more than one rate is specified on such page, the rate will be an arithmetic average of all such rates) or (b) if the rates described in </w:t>
      </w:r>
      <w:r>
        <w:rPr>
          <w:rFonts w:ascii="Arial" w:cs="Arial" w:eastAsia="Arial" w:hAnsi="Arial"/>
          <w:sz w:val="16"/>
          <w:szCs w:val="16"/>
          <w:u w:val="single" w:color="auto"/>
          <w:color w:val="auto"/>
        </w:rPr>
        <w:t>clause</w:t>
      </w:r>
    </w:p>
    <w:p>
      <w:pPr>
        <w:spacing w:after="0" w:line="2" w:lineRule="exact"/>
        <w:rPr>
          <w:sz w:val="20"/>
          <w:szCs w:val="20"/>
          <w:color w:val="auto"/>
        </w:rPr>
      </w:pPr>
    </w:p>
    <w:p>
      <w:pPr>
        <w:ind w:left="4" w:right="660" w:hanging="4"/>
        <w:spacing w:after="0" w:line="260" w:lineRule="auto"/>
        <w:tabs>
          <w:tab w:leader="none" w:pos="249" w:val="left"/>
        </w:tabs>
        <w:numPr>
          <w:ilvl w:val="0"/>
          <w:numId w:val="58"/>
        </w:numPr>
        <w:rPr>
          <w:rFonts w:ascii="Arial" w:cs="Arial" w:eastAsia="Arial" w:hAnsi="Arial"/>
          <w:sz w:val="18"/>
          <w:szCs w:val="18"/>
          <w:u w:val="single" w:color="auto"/>
          <w:color w:val="auto"/>
        </w:rPr>
      </w:pPr>
      <w:r>
        <w:rPr>
          <w:rFonts w:ascii="Arial" w:cs="Arial" w:eastAsia="Arial" w:hAnsi="Arial"/>
          <w:sz w:val="18"/>
          <w:szCs w:val="18"/>
          <w:color w:val="auto"/>
        </w:rPr>
        <w:t xml:space="preserve">is not available at such time for any reason, then the “Published LIBO Rate” for such Interest Period shall be determined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9.26</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Capital Stock</w:t>
      </w:r>
      <w:r>
        <w:rPr>
          <w:rFonts w:ascii="Arial" w:cs="Arial" w:eastAsia="Arial" w:hAnsi="Arial"/>
          <w:sz w:val="18"/>
          <w:szCs w:val="18"/>
          <w:color w:val="auto"/>
        </w:rPr>
        <w:t>” of any Person means any Capital Stock of such Person that is not Disqualified Capital Stock.</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Quality of Earnings Report</w:t>
      </w:r>
      <w:r>
        <w:rPr>
          <w:rFonts w:ascii="Arial" w:cs="Arial" w:eastAsia="Arial" w:hAnsi="Arial"/>
          <w:sz w:val="18"/>
          <w:szCs w:val="18"/>
          <w:color w:val="auto"/>
        </w:rPr>
        <w:t>” has the meaning assigned to such term in the definition of “Consolidated Adjusted EBITDA”.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Ratio Debt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6.01(w)</w:t>
      </w:r>
      <w:r>
        <w:rPr>
          <w:rFonts w:ascii="Arial" w:cs="Arial" w:eastAsia="Arial" w:hAnsi="Arial"/>
          <w:sz w:val="18"/>
          <w:szCs w:val="18"/>
          <w:color w:val="auto"/>
        </w:rPr>
        <w:t>.</w:t>
      </w:r>
    </w:p>
    <w:p>
      <w:pPr>
        <w:spacing w:after="0" w:line="225"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 Asset</w:t>
      </w:r>
      <w:r>
        <w:rPr>
          <w:rFonts w:ascii="Arial" w:cs="Arial" w:eastAsia="Arial" w:hAnsi="Arial"/>
          <w:sz w:val="18"/>
          <w:szCs w:val="18"/>
          <w:color w:val="auto"/>
        </w:rPr>
        <w:t>” means, at any time of determination, all right, title and interest (fee, leasehold or otherwise) of any Person in and to real property (including, but not limited to, land, improvements and fixtures thereon).</w:t>
      </w:r>
    </w:p>
    <w:p>
      <w:pPr>
        <w:spacing w:after="0" w:line="170"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Facility</w:t>
      </w:r>
      <w:r>
        <w:rPr>
          <w:rFonts w:ascii="Arial" w:cs="Arial" w:eastAsia="Arial" w:hAnsi="Arial"/>
          <w:sz w:val="17"/>
          <w:szCs w:val="17"/>
          <w:color w:val="auto"/>
        </w:rPr>
        <w:t xml:space="preserve">” means any receivables, factoring and/or securitization facility, arrangement or program that is, other than in the case of any factoring arrangement, non-recourse to the Borrower and/or any Restricted Subsidiary that is not a Receivables Subsidiary (except for customary (in the good faith determination of the Borrower) representations, warranties, covenants, performance undertakings, indemnities, guarantees and liens) pursuant to which the Borrower and/or any of its Restricted Subsidiaries sells, contributes, transfers and/or grants a security interest in (i) receivables, payables or securitization assets (including royalty and other revenue streams or other rights to payment and the proceeds thereof) and/or similar and/or related assets and (ii) contract rights, lockbox accounts, deposit accounts, securities accounts and records with respect to the assets described in the foregoing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(each of the assets described in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a “</w:t>
      </w:r>
      <w:r>
        <w:rPr>
          <w:rFonts w:ascii="Arial" w:cs="Arial" w:eastAsia="Arial" w:hAnsi="Arial"/>
          <w:sz w:val="17"/>
          <w:szCs w:val="17"/>
          <w:u w:val="single" w:color="auto"/>
          <w:color w:val="auto"/>
        </w:rPr>
        <w:t>Receivables Facility Asset</w:t>
      </w:r>
      <w:r>
        <w:rPr>
          <w:rFonts w:ascii="Arial" w:cs="Arial" w:eastAsia="Arial" w:hAnsi="Arial"/>
          <w:sz w:val="17"/>
          <w:szCs w:val="17"/>
          <w:color w:val="auto"/>
        </w:rPr>
        <w:t>”) to either (A) a person that is not a Restricted Subsidiary or (B) a Receivables Subsidiary that, in turn, pledges, sells or otherwise transfers its Receivables Facility Assets to a Person that is not a Restricted Subsidiary (including any subsidiary of the Borrower).</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Facility Asset</w:t>
      </w:r>
      <w:r>
        <w:rPr>
          <w:rFonts w:ascii="Arial" w:cs="Arial" w:eastAsia="Arial" w:hAnsi="Arial"/>
          <w:sz w:val="18"/>
          <w:szCs w:val="18"/>
          <w:color w:val="auto"/>
        </w:rPr>
        <w:t>” has the meaning assigned to such term in the definition of “Receivables Facility”.</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4"/>
          </w:cols>
          <w:pgMar w:left="436" w:top="274" w:right="479" w:bottom="1440" w:gutter="0" w:footer="0" w:header="0"/>
        </w:sectPr>
      </w:pPr>
    </w:p>
    <w:bookmarkStart w:id="61" w:name="page62"/>
    <w:bookmarkEnd w:id="61"/>
    <w:p>
      <w:pPr>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Receivables Subsidiary</w:t>
      </w:r>
      <w:r>
        <w:rPr>
          <w:rFonts w:ascii="Arial" w:cs="Arial" w:eastAsia="Arial" w:hAnsi="Arial"/>
          <w:sz w:val="18"/>
          <w:szCs w:val="18"/>
          <w:color w:val="auto"/>
        </w:rPr>
        <w:t>” means any subsidiary of the Borrower formed for the purpose of implementing, or that solely engages in, activities relating to, any permitted securitization, receivables facility, receivables financing, any Receivables Facility and/or any other receivables arrangement and/or any other activity reasonably related thereto.</w:t>
      </w:r>
    </w:p>
    <w:p>
      <w:pPr>
        <w:spacing w:after="0" w:line="184"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 Amendment</w:t>
      </w:r>
      <w:r>
        <w:rPr>
          <w:rFonts w:ascii="Arial" w:cs="Arial" w:eastAsia="Arial" w:hAnsi="Arial"/>
          <w:sz w:val="16"/>
          <w:szCs w:val="16"/>
          <w:color w:val="auto"/>
        </w:rPr>
        <w:t xml:space="preserve">” means an amendment to this Agreement that is reasonably satisfactory to the Administrative Agent and the Borrower executed by (a) the Borrower, (b) the Administrative Agent and (c) each Lender that agrees to provide all or any portion of the Replacement Term Loans or the Revolver Replacement Facility, as applicable, being incurred pursuant thereto and in accordance with </w:t>
      </w:r>
      <w:r>
        <w:rPr>
          <w:rFonts w:ascii="Arial" w:cs="Arial" w:eastAsia="Arial" w:hAnsi="Arial"/>
          <w:sz w:val="16"/>
          <w:szCs w:val="16"/>
          <w:u w:val="single" w:color="auto"/>
          <w:color w:val="auto"/>
        </w:rPr>
        <w:t>Section 9.02(c)</w:t>
      </w:r>
      <w:r>
        <w:rPr>
          <w:rFonts w:ascii="Arial" w:cs="Arial" w:eastAsia="Arial" w:hAnsi="Arial"/>
          <w:sz w:val="16"/>
          <w:szCs w:val="16"/>
          <w:color w:val="auto"/>
        </w:rPr>
        <w: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6.01(p)</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Refunding Capital Stock</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6.04(a)(viii)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9.05(b)</w:t>
      </w:r>
      <w:r>
        <w:rPr>
          <w:rFonts w:ascii="Arial" w:cs="Arial" w:eastAsia="Arial" w:hAnsi="Arial"/>
          <w:sz w:val="18"/>
          <w:szCs w:val="18"/>
          <w:color w:val="auto"/>
        </w:rPr>
        <w:t>.</w:t>
      </w:r>
    </w:p>
    <w:p>
      <w:pPr>
        <w:spacing w:after="0" w:line="225" w:lineRule="exact"/>
        <w:rPr>
          <w:sz w:val="20"/>
          <w:szCs w:val="20"/>
          <w:color w:val="auto"/>
        </w:rPr>
      </w:pPr>
    </w:p>
    <w:p>
      <w:pPr>
        <w:ind w:right="3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Regulated Bank</w:t>
      </w:r>
      <w:r>
        <w:rPr>
          <w:rFonts w:ascii="Arial" w:cs="Arial" w:eastAsia="Arial" w:hAnsi="Arial"/>
          <w:sz w:val="17"/>
          <w:szCs w:val="17"/>
          <w:color w:val="auto"/>
        </w:rPr>
        <w:t>” means any insured depository institution that is regulated by foreign, federal or state banking regulators, including, without limitation, the United States Office of the Comptroller of the Currency, the Federal Deposit Insurance Corporation or the Board.</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D</w:t>
      </w:r>
      <w:r>
        <w:rPr>
          <w:rFonts w:ascii="Arial" w:cs="Arial" w:eastAsia="Arial" w:hAnsi="Arial"/>
          <w:sz w:val="16"/>
          <w:szCs w:val="16"/>
          <w:color w:val="auto"/>
        </w:rPr>
        <w:t>” means Regulation D of the Board as from time to time in effect and all official rulings and interpretations thereunder or thereof.</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U</w:t>
      </w:r>
      <w:r>
        <w:rPr>
          <w:rFonts w:ascii="Arial" w:cs="Arial" w:eastAsia="Arial" w:hAnsi="Arial"/>
          <w:sz w:val="16"/>
          <w:szCs w:val="16"/>
          <w:color w:val="auto"/>
        </w:rPr>
        <w:t>” means Regulation U of the Board as from time to time in effect and all official rulings and interpretations thereunder or thereof.</w:t>
      </w:r>
    </w:p>
    <w:p>
      <w:pPr>
        <w:spacing w:after="0" w:line="248"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Business Assets</w:t>
      </w:r>
      <w:r>
        <w:rPr>
          <w:rFonts w:ascii="Arial" w:cs="Arial" w:eastAsia="Arial" w:hAnsi="Arial"/>
          <w:sz w:val="18"/>
          <w:szCs w:val="18"/>
          <w:color w:val="auto"/>
        </w:rPr>
        <w:t xml:space="preserve">” means assets (other than cash or Cash Equivalents) used or useful in a Similar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asset received by the Borrower or any Restricted Subsidiary in exchange for any asset transferred by the Borrower or any Restricted Subsidiary shall not be deemed to constitute a Related Business Asset if such asset consists of securities of a Person, unless upon receipt of the securities of such Person, such Person would become a Restricted Subsidiary.</w:t>
      </w:r>
    </w:p>
    <w:p>
      <w:pPr>
        <w:spacing w:after="0" w:line="18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Funds</w:t>
      </w:r>
      <w:r>
        <w:rPr>
          <w:rFonts w:ascii="Arial" w:cs="Arial" w:eastAsia="Arial" w:hAnsi="Arial"/>
          <w:sz w:val="18"/>
          <w:szCs w:val="18"/>
          <w:color w:val="auto"/>
        </w:rPr>
        <w:t>” means with respect to any Lender that is an Approved Fund, any other Approved Fund that is managed by the same investment advisor as such Lender or by an Affiliate of such investment advisor.</w:t>
      </w:r>
    </w:p>
    <w:p>
      <w:pPr>
        <w:spacing w:after="0" w:line="170" w:lineRule="exact"/>
        <w:rPr>
          <w:sz w:val="20"/>
          <w:szCs w:val="20"/>
          <w:color w:val="auto"/>
        </w:rPr>
      </w:pPr>
    </w:p>
    <w:p>
      <w:pPr>
        <w:ind w:right="8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Parties</w:t>
      </w:r>
      <w:r>
        <w:rPr>
          <w:rFonts w:ascii="Arial" w:cs="Arial" w:eastAsia="Arial" w:hAnsi="Arial"/>
          <w:sz w:val="16"/>
          <w:szCs w:val="16"/>
          <w:color w:val="auto"/>
        </w:rPr>
        <w:t>” means, with respect to any specified Person, such Person’s Affiliates and the respective directors, managers, officers, shareholders, trustees, employees, partners, agents, advisors and other representatives of such Person and such Person’s Affiliates.</w:t>
      </w:r>
    </w:p>
    <w:p>
      <w:pPr>
        <w:spacing w:after="0" w:line="124"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means any release, spill, emission, leaking, pumping, pouring, injection, escaping, deposit, disposal, discharge, dispersal, dumping, leaching or migration of any Hazardous Material into the Environment (including the abandonment or disposal of any barrels, containers or other closed receptacles containing any Hazardous Material), including the movement of any Hazardous Material through the air, soil, surface water or groundwater.</w:t>
      </w:r>
    </w:p>
    <w:p>
      <w:pPr>
        <w:spacing w:after="0" w:line="14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Replaced Revolving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Replaced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9.02(c)(i)</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0"/>
          </w:cols>
          <w:pgMar w:left="440" w:top="274" w:right="479" w:bottom="1440" w:gutter="0" w:footer="0" w:header="0"/>
        </w:sectPr>
      </w:pPr>
    </w:p>
    <w:bookmarkStart w:id="62" w:name="page63"/>
    <w:bookmarkEnd w:id="62"/>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Replacement Debt</w:t>
      </w:r>
      <w:r>
        <w:rPr>
          <w:rFonts w:ascii="Arial" w:cs="Arial" w:eastAsia="Arial" w:hAnsi="Arial"/>
          <w:sz w:val="18"/>
          <w:szCs w:val="18"/>
          <w:color w:val="auto"/>
        </w:rPr>
        <w:t xml:space="preserve">” means any Refinancing Indebtedness (whether borrowed in the form of secured or unsecured loans, issued in a public offering, Rule 144A under the Securities Act or other private placement or bridge financing in lieu of the foregoing or otherwise) incurred in respect of Indebtedness permitted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(and any subsequent refinancing of such Replacement Debt).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9.02(c)(i)</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with respect to any Pension Plan or Multiemployer Plan, any of the events described in Section 4043(c) of ERISA or the regulations issued thereunder, other than those events as to which the 30-day notice period is waived under PBGC Reg. Section 4043.</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9.13</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Lenders having Loans or unused Commitments representing more than 50% of the sum of the total Loans and such unused Commitments at such time.</w:t>
      </w:r>
    </w:p>
    <w:p>
      <w:pPr>
        <w:spacing w:after="0" w:line="170"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means, at any time, Lenders having Revolving Loans, Additional Revolving Loans, unused Revolving Credit Commitments or unused Additional Revolving Credit Commitments representing more than 50% of the sum of the total Revolving Loans, Additional Revolving Loans and such unused commitments at such time.</w:t>
      </w:r>
    </w:p>
    <w:p>
      <w:pPr>
        <w:spacing w:after="0" w:line="184"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Requirements of Law</w:t>
      </w:r>
      <w:r>
        <w:rPr>
          <w:rFonts w:ascii="Arial" w:cs="Arial" w:eastAsia="Arial" w:hAnsi="Arial"/>
          <w:sz w:val="17"/>
          <w:szCs w:val="17"/>
          <w:color w:val="auto"/>
        </w:rPr>
        <w:t>” means, with respect to any Person, collectively, the common law and all federal, state,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xml:space="preserve">” means, with respect to any Person, the chief executive officer, the president, the chief financial officer, the treasurer, any assistant treasurer of such Person and any other individual or similar official thereof, any executive vice president, any senior vice president, any vice president or the chief operating officer or other officer responsible for the administration of the obligations of such Person in respect of this Agreement, any member of the board of directors (in the case of any Person that is not incorporated in the US), and, as to any document delivered on the Closing Date, shall include any secretary or assistant secretary or any other individual or similar official thereof with substantially equivalent responsibilities of a Loan Party and, solely for purposes of notices given pursuant to </w:t>
      </w:r>
      <w:r>
        <w:rPr>
          <w:rFonts w:ascii="Arial" w:cs="Arial" w:eastAsia="Arial" w:hAnsi="Arial"/>
          <w:sz w:val="17"/>
          <w:szCs w:val="17"/>
          <w:u w:val="single" w:color="auto"/>
          <w:color w:val="auto"/>
        </w:rPr>
        <w:t>Article 2</w:t>
      </w:r>
      <w:r>
        <w:rPr>
          <w:rFonts w:ascii="Arial" w:cs="Arial" w:eastAsia="Arial" w:hAnsi="Arial"/>
          <w:sz w:val="17"/>
          <w:szCs w:val="17"/>
          <w:color w:val="auto"/>
        </w:rPr>
        <w:t>, any other officer of the applicable Loan Party so designated in writing by the Borrower to the Administrative Agent. Any document delivered hereunder that is signed by a Responsible Officer of any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2.11(b)(iv)</w:t>
      </w:r>
      <w:r>
        <w:rPr>
          <w:rFonts w:ascii="Arial" w:cs="Arial" w:eastAsia="Arial" w:hAnsi="Arial"/>
          <w:sz w:val="18"/>
          <w:szCs w:val="18"/>
          <w:color w:val="auto"/>
        </w:rPr>
        <w:t>.</w:t>
      </w:r>
    </w:p>
    <w:p>
      <w:pPr>
        <w:spacing w:after="0" w:line="225" w:lineRule="exact"/>
        <w:rPr>
          <w:sz w:val="20"/>
          <w:szCs w:val="20"/>
          <w:color w:val="auto"/>
        </w:rPr>
      </w:pPr>
    </w:p>
    <w:p>
      <w:pPr>
        <w:ind w:right="4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Debt</w:t>
      </w:r>
      <w:r>
        <w:rPr>
          <w:rFonts w:ascii="Arial" w:cs="Arial" w:eastAsia="Arial" w:hAnsi="Arial"/>
          <w:sz w:val="18"/>
          <w:szCs w:val="18"/>
          <w:color w:val="auto"/>
        </w:rPr>
        <w:t xml:space="preserve">” means any Indebtedness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of “Indebtedness” (other than such Indebtedness among Holdings, the Borrower or any of their respective subsidiaries) of any Loan Party that (a)(i) is contractually subordinated in right of payment to the Obligations, (ii) constitutes Junior Lien Debt or (iii) is unsecured and (b) has an individual outstanding principal amount in excess of the Threshold Amount.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63" w:name="page64"/>
    <w:bookmarkEnd w:id="6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Restricted Debt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6.04(b)</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 any dividend or other distribution on account of any shares of any class of the Capital Stock of the Borrower, except a dividend payable solely in shares of Qualified Capital Stock to the holders of such class; (b) any redemption, retirement, sinking fund or similar payment, purchase or other acquisition for value of any shares of any class of the Capital Stock of the Borrower and (c) any payment made to retire, or to obtain the surrender of, any outstanding warrants, options or other rights to acquire shares of any class of the Capital Stock of the Borrower now or hereafter outstanding.</w:t>
      </w:r>
    </w:p>
    <w:p>
      <w:pPr>
        <w:spacing w:after="0" w:line="18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as to any Person, any subsidiary of such Person that is not an Unrestricted Subsidiary. Unless otherwise specified, “Restricted Subsidiary” means any Restricted Subsidiary of the Borrower.</w:t>
      </w:r>
    </w:p>
    <w:p>
      <w:pPr>
        <w:spacing w:after="0" w:line="170"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Revaluation Date</w:t>
      </w:r>
      <w:r>
        <w:rPr>
          <w:rFonts w:ascii="Arial" w:cs="Arial" w:eastAsia="Arial" w:hAnsi="Arial"/>
          <w:sz w:val="16"/>
          <w:szCs w:val="16"/>
          <w:color w:val="auto"/>
        </w:rPr>
        <w:t xml:space="preserve">” means (a) with respect to any Revolving Loan denominated in an Alternate Currency, each of the following: (i) each date of any Borrowing of such Revolving Loan, (ii) each date of any continuation of such Revolving Loan pursuant to the terms of this Agreement, (iii) the last day of each Fiscal Quarter and (iv) the date of any voluntary reduction of a Revolving Credit Commitment pursuant to </w:t>
      </w:r>
      <w:r>
        <w:rPr>
          <w:rFonts w:ascii="Arial" w:cs="Arial" w:eastAsia="Arial" w:hAnsi="Arial"/>
          <w:sz w:val="16"/>
          <w:szCs w:val="16"/>
          <w:u w:val="single" w:color="auto"/>
          <w:color w:val="auto"/>
        </w:rPr>
        <w:t>Section 2.09(c)</w:t>
      </w:r>
      <w:r>
        <w:rPr>
          <w:rFonts w:ascii="Arial" w:cs="Arial" w:eastAsia="Arial" w:hAnsi="Arial"/>
          <w:sz w:val="16"/>
          <w:szCs w:val="16"/>
          <w:color w:val="auto"/>
        </w:rPr>
        <w:t>; and (b) with respect to any Letter of Credit denominated in an Alternate Currency, each of the following: (i) each date of issuance of such a Letter of Credit, (ii) each date of an amendment of such a Letter of Credit that increases the face amount thereof and (iii) the last day of each Fiscal Quarter.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Replacement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w:t>
      </w:r>
      <w:r>
        <w:rPr>
          <w:rFonts w:ascii="Arial" w:cs="Arial" w:eastAsia="Arial" w:hAnsi="Arial"/>
          <w:sz w:val="18"/>
          <w:szCs w:val="18"/>
          <w:color w:val="auto"/>
        </w:rPr>
        <w:t>” means any Initial Revolving Credit Commitment and any Additional Revolving Credit Commitment.</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aggregate Outstanding Amount at such time of such Lender’s Initial Revolving Credit Exposure and Additional Revolving Credit Exposure.</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w:t>
      </w:r>
      <w:r>
        <w:rPr>
          <w:rFonts w:ascii="Arial" w:cs="Arial" w:eastAsia="Arial" w:hAnsi="Arial"/>
          <w:sz w:val="18"/>
          <w:szCs w:val="18"/>
          <w:color w:val="auto"/>
        </w:rPr>
        <w:t>” means the Initial Revolving Facility, any Incremental Revolving Facility, any facility governing Extended Revolving Credit Commitments or Extended Revolving Loans and any Revolver Replacement Facility.</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any Initial Revolving Lender and any Additional Revolving Lender. Unless the context otherwise requires, the term “Revolving Lender” shall include the Swingline Lender.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Loans</w:t>
      </w:r>
      <w:r>
        <w:rPr>
          <w:rFonts w:ascii="Arial" w:cs="Arial" w:eastAsia="Arial" w:hAnsi="Arial"/>
          <w:sz w:val="18"/>
          <w:szCs w:val="18"/>
          <w:color w:val="auto"/>
        </w:rPr>
        <w:t>” means any Initial Revolving Loan and any Additional Revolving Loan.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Run-Rate Synergies</w:t>
      </w:r>
      <w:r>
        <w:rPr>
          <w:rFonts w:ascii="Arial" w:cs="Arial" w:eastAsia="Arial" w:hAnsi="Arial"/>
          <w:sz w:val="18"/>
          <w:szCs w:val="18"/>
          <w:color w:val="auto"/>
        </w:rPr>
        <w:t>” has the meaning assigned to such term in the definition of “Consolidated Adjusted EBITDA”.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S&amp;P Global, Inc.</w:t>
      </w:r>
    </w:p>
    <w:p>
      <w:pPr>
        <w:spacing w:after="0" w:line="225"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any arrangement providing for the lease by the Borrower and/or any Restricted Subsidiary of any property, which property has been or is to be sold or transferred by the Borrower or such Restricted Subsidiary in contemplation of such lease arrangement.</w:t>
      </w:r>
    </w:p>
    <w:p>
      <w:pPr>
        <w:spacing w:after="0" w:line="184"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OFAC or the U.S. Department of State, or (b) to the extent such regimes are applicable to the business of the Borrower and its Restricted Subsidiaries, the United Nations Security Council, the European Union, any European Union member state or Her Majesty’s Treasury of the United Kingdom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4" w:right="479" w:bottom="1440" w:gutter="0" w:footer="0" w:header="0"/>
        </w:sectPr>
      </w:pPr>
    </w:p>
    <w:bookmarkStart w:id="64" w:name="page65"/>
    <w:bookmarkEnd w:id="64"/>
    <w:p>
      <w:pPr>
        <w:ind w:left="4" w:right="7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or territory that is itself the target of comprehensive Sanctions (as of the date of this Agreement, Cuba, Iran, North Korea, Syria, and the Crimea region of Ukraine).</w:t>
      </w:r>
    </w:p>
    <w:p>
      <w:pPr>
        <w:spacing w:after="0" w:line="170" w:lineRule="exact"/>
        <w:rPr>
          <w:sz w:val="20"/>
          <w:szCs w:val="20"/>
          <w:color w:val="auto"/>
        </w:rPr>
      </w:pPr>
    </w:p>
    <w:p>
      <w:pPr>
        <w:ind w:left="4" w:righ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means any Person that is the target of Sanctions, including (a) any Person listed in any Sanctions-related list of designated Persons maintained by (i) OFAC or the U.S. Department of State or (ii) to the extent the laws of such regimes are applicable to the Borrower and its Restricted Subsidiaries, the United Nations Security Council, the European Union, any European Union member state or Her Majesty’s Treasury of the United Kingdom; (b) any Person organized or resident in a Sanctioned Country; or (c) the government of a Sanctioned Country.</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Payment Date</w:t>
      </w:r>
      <w:r>
        <w:rPr>
          <w:rFonts w:ascii="Arial" w:cs="Arial" w:eastAsia="Arial" w:hAnsi="Arial"/>
          <w:sz w:val="18"/>
          <w:szCs w:val="18"/>
          <w:color w:val="auto"/>
        </w:rPr>
        <w:t>” means the last day of each March, June, September and December (commencing December 31, 2021).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1.13(a)(ii)</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or all of its functions.</w:t>
      </w:r>
    </w:p>
    <w:p>
      <w:pPr>
        <w:spacing w:after="0" w:line="225" w:lineRule="exact"/>
        <w:rPr>
          <w:sz w:val="20"/>
          <w:szCs w:val="20"/>
          <w:color w:val="auto"/>
        </w:rPr>
      </w:pPr>
    </w:p>
    <w:p>
      <w:pPr>
        <w:ind w:left="4" w:right="16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Hedging Obligations</w:t>
      </w:r>
      <w:r>
        <w:rPr>
          <w:rFonts w:ascii="Arial" w:cs="Arial" w:eastAsia="Arial" w:hAnsi="Arial"/>
          <w:sz w:val="16"/>
          <w:szCs w:val="16"/>
          <w:color w:val="auto"/>
        </w:rPr>
        <w:t>” means all Hedging Obligations (other than any Excluded Swap Obligation) under each Hedge Agreement that is in effect on the Closing Date or entered into at any time on or after the Closing Date between any Loan Party and (a) a counterparty that is (or is an Affiliate of) the Administrative Agent, a Lender or an Arranger as of the Closing Date or at the time such Hedge Agreement is entered into and/or</w:t>
      </w:r>
    </w:p>
    <w:p>
      <w:pPr>
        <w:spacing w:after="0" w:line="2" w:lineRule="exact"/>
        <w:rPr>
          <w:sz w:val="20"/>
          <w:szCs w:val="20"/>
          <w:color w:val="auto"/>
        </w:rPr>
      </w:pPr>
    </w:p>
    <w:p>
      <w:pPr>
        <w:ind w:left="4" w:hanging="4"/>
        <w:spacing w:after="0" w:line="270" w:lineRule="auto"/>
        <w:tabs>
          <w:tab w:leader="none" w:pos="259"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any other Person designated by the Borrower to the Administrative Agent, in each case, for which such Loan Party agrees to provide security and in each case that has been designated to the Administrative Agent in writing by the Borrower as being a Secured Hedging Obligation for purposes of the Loan Documents (provided that the Borrower may designate all Hedge Agreements under a specified ISDA master agreement as being Secured Hedging Obligations without the need for separate notices for each Hedge Agreement), it being understood that each counterparty thereto shall be deemed (A) to appoint the Administrative Agent as its agent under the applicable Loan Documents and (B) to agree to be bound by the provisions of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and any applicable Intercreditor Agreement as if it were a Lender.</w:t>
      </w:r>
    </w:p>
    <w:p>
      <w:pPr>
        <w:spacing w:after="0" w:line="178" w:lineRule="exact"/>
        <w:rPr>
          <w:sz w:val="20"/>
          <w:szCs w:val="20"/>
          <w:color w:val="auto"/>
        </w:rPr>
      </w:pPr>
    </w:p>
    <w:p>
      <w:pPr>
        <w:ind w:left="4"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Net Leverage Ratio</w:t>
      </w:r>
      <w:r>
        <w:rPr>
          <w:rFonts w:ascii="Arial" w:cs="Arial" w:eastAsia="Arial" w:hAnsi="Arial"/>
          <w:sz w:val="18"/>
          <w:szCs w:val="18"/>
          <w:color w:val="auto"/>
        </w:rPr>
        <w:t>” means the ratio, as of any date of determination, of (a) Consolidated Secured Debt as of the last day of the most recently ended Test Period to (b) Consolidated Adjusted EBITDA for the most recently ended Test Period, in each case, of the Borrower and its Restricted Subsidiaries on a consolidated basis.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Obligations</w:t>
      </w:r>
      <w:r>
        <w:rPr>
          <w:rFonts w:ascii="Arial" w:cs="Arial" w:eastAsia="Arial" w:hAnsi="Arial"/>
          <w:sz w:val="17"/>
          <w:szCs w:val="17"/>
          <w:color w:val="auto"/>
        </w:rPr>
        <w:t>” means all Obligations, together with (a) all Banking Services Obligations and (b) all Secured Hedging Obligations.</w:t>
      </w:r>
    </w:p>
    <w:p>
      <w:pPr>
        <w:spacing w:after="0" w:line="237"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(a) the Lenders, the Issuing Banks and the Swingline Lender, (b) the Administrative Agent, (c) each counterparty to a Hedge Agreement with a Loan Party the obligations under which constitute Secured Hedging Obligations, (d) each provider of Banking Services to any Loan Party the obligations under which constitute Banking Services Obligations, and (e) any beneficiary of any indemnification obligation undertaken by any Loan Party under any Loan Document.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and the rules and regulations of the SEC promulgated thereunder.</w:t>
      </w:r>
    </w:p>
    <w:p>
      <w:pPr>
        <w:spacing w:after="0" w:line="225"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means a fungible financial instrument that holds some monetary value, such as representing (a) an ownership interest in a publicly-traded company or rights to such ownership, or (b) a creditor relationship with a Governmental Authority or company.</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4"/>
          </w:cols>
          <w:pgMar w:left="436" w:top="274" w:right="459" w:bottom="1440" w:gutter="0" w:footer="0" w:header="0"/>
        </w:sectPr>
      </w:pPr>
    </w:p>
    <w:bookmarkStart w:id="65" w:name="page66"/>
    <w:bookmarkEnd w:id="65"/>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means the Pledge and Security Agreement, substantially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 among the Loan Parties, as grantors, and the Administrative Agent for the benefit of the Secured Parties.</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Similar Business</w:t>
      </w:r>
      <w:r>
        <w:rPr>
          <w:rFonts w:ascii="Arial" w:cs="Arial" w:eastAsia="Arial" w:hAnsi="Arial"/>
          <w:sz w:val="18"/>
          <w:szCs w:val="18"/>
          <w:color w:val="auto"/>
        </w:rPr>
        <w:t xml:space="preserve">” means any Person the majority of the revenues of which are derived from a business that would be permitted by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if the references to “Restricted Subsidiaries” in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were read to refer to such Person.</w:t>
      </w:r>
    </w:p>
    <w:p>
      <w:pPr>
        <w:spacing w:after="0" w:line="17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with respect to any Business Day, the secured overnight financing rate published for such day by the Federal Reserve Bank of New York, as the administrator of the benchmark, (or a successor administrator) on the Federal Reserve Bank of New York’s Website (or any successor source) at approximately 8:00 a.m. (New York City time) on the immediately succeeding Business Day and, in each case, that has been selected and recommended by the Relevant Governmental Body.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SOFR-Based Rate</w:t>
      </w:r>
      <w:r>
        <w:rPr>
          <w:rFonts w:ascii="Arial" w:cs="Arial" w:eastAsia="Arial" w:hAnsi="Arial"/>
          <w:sz w:val="18"/>
          <w:szCs w:val="18"/>
          <w:color w:val="auto"/>
        </w:rPr>
        <w:t>” means SOFR or Term SOFR.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SPC</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Commitment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1.12(g)</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Commitment Notice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1.12(g)</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Guarantor Release Provision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Subsidiary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2.11(b)(iv)</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Spectrum</w:t>
      </w:r>
      <w:r>
        <w:rPr>
          <w:rFonts w:ascii="Arial" w:cs="Arial" w:eastAsia="Arial" w:hAnsi="Arial"/>
          <w:sz w:val="18"/>
          <w:szCs w:val="18"/>
          <w:color w:val="auto"/>
        </w:rPr>
        <w:t>” means, collectively, Spectrum Equity Management, L.P. together with its controlled or managed Affiliates and funds managed or advised by any of them or their respective controlled or managed Affiliates, including for the avoidance of doubt, SE VII DHC AIV, L.P., Spectrum VII Investment Managers’ Fund, L.P., and Spectrum VII Co-Investment Fund, L.P.</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each of Advent, Spectrum and 22C Capital.</w:t>
      </w:r>
    </w:p>
    <w:p>
      <w:pPr>
        <w:spacing w:after="0" w:line="225"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means, for any currency, on any Revaluation Date or other relevant date of determination, the rate determined by the Administrative Agent to be the rate quoted by the Administrative Agent as the spot rate for the purchase by the Administrative Agent of such currency with another currency through its principal foreign exchange trading office at approximately 11:00 a.m. on the date that is two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obtain such spot rate from another financial institution designated by the Administrative Agent if the Administrative Agent does not have as of the date of determination a spot buying rate for any such currency.</w:t>
      </w:r>
    </w:p>
    <w:p>
      <w:pPr>
        <w:spacing w:after="0" w:line="192"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Amount</w:t>
      </w:r>
      <w:r>
        <w:rPr>
          <w:rFonts w:ascii="Arial" w:cs="Arial" w:eastAsia="Arial" w:hAnsi="Arial"/>
          <w:sz w:val="18"/>
          <w:szCs w:val="18"/>
          <w:color w:val="auto"/>
        </w:rPr>
        <w:t>” means, with respect to any Letter of Credit, at any time, the maximum amount available to be drawn thereunder, in each case determined (a) as if any future automatic increase in the maximum available amount provided for in any such Letter of Credit had in fact occurred at such time and (b) without regard to whether any conditions to drawing could then be met but after giving effect to all previous drawings made thereunder.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Indebtedness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Person</w:t>
      </w:r>
      <w:r>
        <w:rPr>
          <w:rFonts w:ascii="Arial" w:cs="Arial" w:eastAsia="Arial" w:hAnsi="Arial"/>
          <w:sz w:val="18"/>
          <w:szCs w:val="18"/>
          <w:color w:val="auto"/>
        </w:rPr>
        <w:t>” has the meaning assigned to such term in the definition of “Consolidated Net Income”.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66" w:name="page67"/>
    <w:bookmarkEnd w:id="6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Subject Proceeds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Transaction</w:t>
      </w:r>
      <w:r>
        <w:rPr>
          <w:rFonts w:ascii="Arial" w:cs="Arial" w:eastAsia="Arial" w:hAnsi="Arial"/>
          <w:sz w:val="18"/>
          <w:szCs w:val="18"/>
          <w:color w:val="auto"/>
        </w:rPr>
        <w:t>” means:</w:t>
      </w:r>
    </w:p>
    <w:p>
      <w:pPr>
        <w:spacing w:after="0" w:line="117" w:lineRule="exact"/>
        <w:rPr>
          <w:sz w:val="20"/>
          <w:szCs w:val="20"/>
          <w:color w:val="auto"/>
        </w:rPr>
      </w:pPr>
    </w:p>
    <w:p>
      <w:pPr>
        <w:ind w:left="1100" w:hanging="241"/>
        <w:spacing w:after="0"/>
        <w:tabs>
          <w:tab w:leader="none" w:pos="11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Transactions;</w:t>
      </w:r>
    </w:p>
    <w:p>
      <w:pPr>
        <w:spacing w:after="0" w:line="117" w:lineRule="exact"/>
        <w:rPr>
          <w:rFonts w:ascii="Arial" w:cs="Arial" w:eastAsia="Arial" w:hAnsi="Arial"/>
          <w:sz w:val="18"/>
          <w:szCs w:val="18"/>
          <w:color w:val="auto"/>
        </w:rPr>
      </w:pPr>
    </w:p>
    <w:p>
      <w:pPr>
        <w:ind w:left="440" w:right="460" w:firstLine="419"/>
        <w:spacing w:after="0" w:line="296" w:lineRule="auto"/>
        <w:tabs>
          <w:tab w:leader="none" w:pos="1118"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Permitted Acquisition or any other acquisition or similar Investment, whether by purchase, merger or otherwise, of all or substantially all of the assets of, or any business line, unit or division of, any Person or of a majority of the outstanding Capital Stock of any Person (and, in any event, including any Investment in (i) any Restricted Subsidiary the effect of which is to increase the Borrower’s or any Restricted Subsidiary’s respective equity ownership in such Restricted Subsidiary or (ii) any joint venture for the purpose of increasing the Borrower’s or its relevant Restricted Subsidiary’s ownership interest in such joint venture), in each case that is permitted by this Agreement;</w:t>
      </w:r>
    </w:p>
    <w:p>
      <w:pPr>
        <w:spacing w:after="0" w:line="53" w:lineRule="exact"/>
        <w:rPr>
          <w:rFonts w:ascii="Arial" w:cs="Arial" w:eastAsia="Arial" w:hAnsi="Arial"/>
          <w:sz w:val="16"/>
          <w:szCs w:val="16"/>
          <w:color w:val="auto"/>
        </w:rPr>
      </w:pPr>
    </w:p>
    <w:p>
      <w:pPr>
        <w:ind w:left="440" w:right="60" w:firstLine="419"/>
        <w:spacing w:after="0" w:line="277" w:lineRule="auto"/>
        <w:tabs>
          <w:tab w:leader="none" w:pos="11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Disposition of (i) all or substantially all of the assets or (ii) the Capital Stock of any subsidiary (or any business unit, line of business or division of the Borrower and/or any Restricted Subsidiary) not prohibited by this Agreement;</w:t>
      </w:r>
    </w:p>
    <w:p>
      <w:pPr>
        <w:spacing w:after="0" w:line="62" w:lineRule="exact"/>
        <w:rPr>
          <w:rFonts w:ascii="Arial" w:cs="Arial" w:eastAsia="Arial" w:hAnsi="Arial"/>
          <w:sz w:val="18"/>
          <w:szCs w:val="18"/>
          <w:color w:val="auto"/>
        </w:rPr>
      </w:pPr>
    </w:p>
    <w:p>
      <w:pPr>
        <w:ind w:left="440" w:right="480" w:firstLine="419"/>
        <w:spacing w:after="0" w:line="277" w:lineRule="auto"/>
        <w:tabs>
          <w:tab w:leader="none" w:pos="11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designation of a Restricted Subsidiary as an Unrestricted Subsidiary or an Unrestricted Subsidiary as a Restricted Subsidiary in accordance with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220" w:firstLine="419"/>
        <w:spacing w:after="0" w:line="277" w:lineRule="auto"/>
        <w:tabs>
          <w:tab w:leader="none" w:pos="11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incurrence, retirement, redemption, repayment and/or prepayment of Indebtedness (other than any Indebtedness incurred or repaid under any revolving credit facility in the ordinary course of business for working capital purposes);</w:t>
      </w:r>
    </w:p>
    <w:p>
      <w:pPr>
        <w:spacing w:after="0" w:line="62" w:lineRule="exact"/>
        <w:rPr>
          <w:rFonts w:ascii="Arial" w:cs="Arial" w:eastAsia="Arial" w:hAnsi="Arial"/>
          <w:sz w:val="18"/>
          <w:szCs w:val="18"/>
          <w:color w:val="auto"/>
        </w:rPr>
      </w:pPr>
    </w:p>
    <w:p>
      <w:pPr>
        <w:ind w:left="440" w:right="720" w:firstLine="419"/>
        <w:spacing w:after="0" w:line="277" w:lineRule="auto"/>
        <w:tabs>
          <w:tab w:leader="none" w:pos="10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capital contribution in respect of Qualified Capital Stock or any issuance of Qualified Capital Stock (other than any amount constituting a Cure Amount);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implementation of any Business Optimization Initiative;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the election of the Borrower, any discontinued operation; and/or</w:t>
      </w:r>
    </w:p>
    <w:p>
      <w:pPr>
        <w:spacing w:after="0" w:line="117" w:lineRule="exact"/>
        <w:rPr>
          <w:rFonts w:ascii="Arial" w:cs="Arial" w:eastAsia="Arial" w:hAnsi="Arial"/>
          <w:sz w:val="18"/>
          <w:szCs w:val="18"/>
          <w:color w:val="auto"/>
        </w:rPr>
      </w:pPr>
    </w:p>
    <w:p>
      <w:pPr>
        <w:ind w:left="440" w:right="320" w:firstLine="419"/>
        <w:spacing w:after="0" w:line="277" w:lineRule="auto"/>
        <w:tabs>
          <w:tab w:leader="none" w:pos="107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event that by the terms of the Loan Documents requires pro forma compliance with a test or covenant hereunder or requires such test or covenant to be calculated on a pro forma basis.</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means, with respect to any Person, any corporation, partnership, limited liability company, association, joint venture or other business entity of which more than 50% of the total voting power of stock or other ownership interests entitled (without regard to the occurrence of any contingency) to vote in the election of the Person or Persons (whether directors, trustees or other Persons performing similar functions) having the power to direct or cause the direction of the management and policies thereof is at the time owned or controlled, directly or indirectly, by such Person or one or more of the other subsidiaries of such Person or a combination thereof, in each case to the extent the relevant entity’s financial results are required to be included in such Person’s consolidated financial statements under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determining the percentage of ownership interests of any Person controlled by another Person, no ownership interests in the nature of a “qualifying share” of the former Person shall be deemed to be outstanding. Unless otherwise specified, “subsidiary” shall mean any subsidiary of the Borrower.</w:t>
      </w:r>
    </w:p>
    <w:p>
      <w:pPr>
        <w:spacing w:after="0" w:line="178"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xml:space="preserve">” means (a) on the Closing Date each subsidiary of the Borrower (other than any such subsidiary that is an Excluded Subsidiary on the Closing Date) and (b) thereafter, each subsidiary of the Borrower that becomes a Guarantor of the Secured Obligations pursuant to the terms of this Agreement (including any such subsidiary designated as a Discretionary Guarantor pursuant to </w:t>
      </w:r>
      <w:r>
        <w:rPr>
          <w:rFonts w:ascii="Arial" w:cs="Arial" w:eastAsia="Arial" w:hAnsi="Arial"/>
          <w:sz w:val="16"/>
          <w:szCs w:val="16"/>
          <w:u w:val="single" w:color="auto"/>
          <w:color w:val="auto"/>
        </w:rPr>
        <w:t>Section 5.12(c)</w:t>
      </w:r>
      <w:r>
        <w:rPr>
          <w:rFonts w:ascii="Arial" w:cs="Arial" w:eastAsia="Arial" w:hAnsi="Arial"/>
          <w:sz w:val="16"/>
          <w:szCs w:val="16"/>
          <w:color w:val="auto"/>
        </w:rPr>
        <w:t>), in each case, until such time as the relevant subsidiary is released from its obligations under the Loan Guaranty in accordance with the terms and provisions hereof.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67" w:name="page68"/>
    <w:bookmarkEnd w:id="6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Successor Borrower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6.07(a)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Holdings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6.09(b)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1.13(a)</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 Rate Conforming Changes</w:t>
      </w:r>
      <w:r>
        <w:rPr>
          <w:rFonts w:ascii="Arial" w:cs="Arial" w:eastAsia="Arial" w:hAnsi="Arial"/>
          <w:sz w:val="16"/>
          <w:szCs w:val="16"/>
          <w:color w:val="auto"/>
        </w:rPr>
        <w:t>” means, with respect to any proposed Successor Rate, any conforming changes to the definition of Base Rate,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reasonable discretion of the Administrative Agent and in consultation with the Borrower, to reflect the adoption and implementation of such Successor Rate and to permit the administration thereof by the Administrative Agent in a manner substantially consistent with market practice (or, if the Administrative Agent reasonably determines that adoption of any portion of such market practice is not administratively feasible or that no market practice for comparable syndicated credit facilities for the administration of such Successor Rate exists, in such other manner of administration that the Administrative Agent reasonably determines (in consultation with the Borrower) is reasonably necessary in connection with the administration of this Agreement and any other Loan Document).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9.26</w:t>
      </w:r>
      <w:r>
        <w:rPr>
          <w:rFonts w:ascii="Arial" w:cs="Arial" w:eastAsia="Arial" w:hAnsi="Arial"/>
          <w:sz w:val="18"/>
          <w:szCs w:val="18"/>
          <w:color w:val="auto"/>
        </w:rPr>
        <w:t>.</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with respect to any Loan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Revolving Lender at any time shall equal to its Applicable Revolving Credit Percentage of the aggregate Swingline Exposure at such time.</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Bank of America, in its capacity as lender of Swingline Loans hereunder, or any successor lender of Swingline Loans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Compliance Certificate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2.17(f)</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and future taxes, levies, imposts, duties, deductions, withholdings (including backup withholding), assessments, fees or other charges imposed by any Governmental Authority, including any interest, additions to tax or penalties applicable thereto.</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Commitment</w:t>
      </w:r>
      <w:r>
        <w:rPr>
          <w:rFonts w:ascii="Arial" w:cs="Arial" w:eastAsia="Arial" w:hAnsi="Arial"/>
          <w:sz w:val="18"/>
          <w:szCs w:val="18"/>
          <w:color w:val="auto"/>
        </w:rPr>
        <w:t>” means any Initial Term Loan Commitment and any Additional Term Loan Commitment.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Facility</w:t>
      </w:r>
      <w:r>
        <w:rPr>
          <w:rFonts w:ascii="Arial" w:cs="Arial" w:eastAsia="Arial" w:hAnsi="Arial"/>
          <w:sz w:val="18"/>
          <w:szCs w:val="18"/>
          <w:color w:val="auto"/>
        </w:rPr>
        <w:t>” means the Term Loans provided to or for the benefit of the Borrower pursuant to the terms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any Initial Term Lender and any Additional Term Lender.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means the Initial Term Loans and, if applicable, any Additional Term Loans.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40"/>
          </w:cols>
          <w:pgMar w:left="440" w:top="274" w:right="519" w:bottom="1440" w:gutter="0" w:footer="0" w:header="0"/>
        </w:sectPr>
      </w:pPr>
    </w:p>
    <w:bookmarkStart w:id="68" w:name="page69"/>
    <w:bookmarkEnd w:id="68"/>
    <w:p>
      <w:pPr>
        <w:ind w:left="4" w:right="1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Term SOFR</w:t>
      </w:r>
      <w:r>
        <w:rPr>
          <w:rFonts w:ascii="Arial" w:cs="Arial" w:eastAsia="Arial" w:hAnsi="Arial"/>
          <w:sz w:val="18"/>
          <w:szCs w:val="18"/>
          <w:color w:val="auto"/>
        </w:rPr>
        <w:t>” means the forward-looking term rate for any period that is approximately (as reasonably determined by the Administrative Agent) 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time to time in its reasonable discretion in consultation with the Borrower.</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assigned to such term in the lead-in to </w:t>
      </w:r>
      <w:r>
        <w:rPr>
          <w:rFonts w:ascii="Arial" w:cs="Arial" w:eastAsia="Arial" w:hAnsi="Arial"/>
          <w:sz w:val="18"/>
          <w:szCs w:val="18"/>
          <w:u w:val="single" w:color="auto"/>
          <w:color w:val="auto"/>
        </w:rPr>
        <w:t>Article 5</w:t>
      </w:r>
      <w:r>
        <w:rPr>
          <w:rFonts w:ascii="Arial" w:cs="Arial" w:eastAsia="Arial" w:hAnsi="Arial"/>
          <w:sz w:val="18"/>
          <w:szCs w:val="18"/>
          <w:color w:val="auto"/>
        </w:rPr>
        <w:t>.</w:t>
      </w:r>
    </w:p>
    <w:p>
      <w:pPr>
        <w:spacing w:after="0" w:line="225" w:lineRule="exact"/>
        <w:rPr>
          <w:sz w:val="20"/>
          <w:szCs w:val="20"/>
          <w:color w:val="auto"/>
        </w:rPr>
      </w:pPr>
    </w:p>
    <w:p>
      <w:pPr>
        <w:jc w:val="both"/>
        <w:ind w:left="4"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Test Period</w:t>
      </w:r>
      <w:r>
        <w:rPr>
          <w:rFonts w:ascii="Arial" w:cs="Arial" w:eastAsia="Arial" w:hAnsi="Arial"/>
          <w:sz w:val="17"/>
          <w:szCs w:val="17"/>
          <w:color w:val="auto"/>
        </w:rPr>
        <w:t xml:space="preserve">” means, as of any date, the period of four consecutive Fiscal Quarters then most recently ended for which financial statements under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as applicable, have been delivered (or are required to have been delivered); it being understood and agreed that prior to the first delivery (or required delivery) of financial statements under </w:t>
      </w:r>
      <w:r>
        <w:rPr>
          <w:rFonts w:ascii="Arial" w:cs="Arial" w:eastAsia="Arial" w:hAnsi="Arial"/>
          <w:sz w:val="17"/>
          <w:szCs w:val="17"/>
          <w:u w:val="single" w:color="auto"/>
          <w:color w:val="auto"/>
        </w:rPr>
        <w:t>Sections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“Test Period” means the period of four consecutive Fiscal Quarters most recently ended for which financial statements of the Borrower are available.</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$25,000,000.</w:t>
      </w:r>
    </w:p>
    <w:p>
      <w:pPr>
        <w:spacing w:after="0" w:line="225" w:lineRule="exact"/>
        <w:rPr>
          <w:sz w:val="20"/>
          <w:szCs w:val="20"/>
          <w:color w:val="auto"/>
        </w:rPr>
      </w:pPr>
    </w:p>
    <w:p>
      <w:pPr>
        <w:jc w:val="both"/>
        <w:ind w:left="4"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means the ratio, as of any date of determination, of (a) Consolidated Total Debt outstanding as of the last day of the most recently ended Test Period to (b) Consolidated Adjusted EBITDA for the most recently ended Test Period, in each case, of the Borrower and its Restricted Subsidiaries on a consolidated basis.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Revolving Credit Commitment</w:t>
      </w:r>
      <w:r>
        <w:rPr>
          <w:rFonts w:ascii="Arial" w:cs="Arial" w:eastAsia="Arial" w:hAnsi="Arial"/>
          <w:sz w:val="16"/>
          <w:szCs w:val="16"/>
          <w:color w:val="auto"/>
        </w:rPr>
        <w:t>” means, at any time, the aggregate amount of the Revolving Credit Commitments, as in effect at such time.</w:t>
      </w:r>
    </w:p>
    <w:p>
      <w:pPr>
        <w:spacing w:after="0" w:line="248" w:lineRule="exact"/>
        <w:rPr>
          <w:sz w:val="20"/>
          <w:szCs w:val="20"/>
          <w:color w:val="auto"/>
        </w:rPr>
      </w:pPr>
    </w:p>
    <w:p>
      <w:pPr>
        <w:jc w:val="both"/>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w:t>
      </w:r>
      <w:r>
        <w:rPr>
          <w:rFonts w:ascii="Arial" w:cs="Arial" w:eastAsia="Arial" w:hAnsi="Arial"/>
          <w:sz w:val="16"/>
          <w:szCs w:val="16"/>
          <w:color w:val="auto"/>
        </w:rPr>
        <w:t>” means the following: (a) all trademarks (including service marks), common law marks, trade names, trade dress, and logos, slogans and other indicia of origin under the Requirements of Law of any jurisdiction in the world, and the registrations and applications for registration thereof and the goodwill of the business symbolized by the foregoing, (b) all renewals of the foregoing, (c) all income, royalties, damages, and payments now or hereafter due or payable with respect thereto, including, without limitation, damages, claims, and payments for past and future infringements thereof,</w:t>
      </w:r>
    </w:p>
    <w:p>
      <w:pPr>
        <w:spacing w:after="0" w:line="1" w:lineRule="exact"/>
        <w:rPr>
          <w:sz w:val="20"/>
          <w:szCs w:val="20"/>
          <w:color w:val="auto"/>
        </w:rPr>
      </w:pPr>
    </w:p>
    <w:p>
      <w:pPr>
        <w:ind w:left="4" w:right="480" w:hanging="4"/>
        <w:spacing w:after="0" w:line="260" w:lineRule="auto"/>
        <w:tabs>
          <w:tab w:leader="none" w:pos="25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rights to sue for past, present, and future infringements of the foregoing, including the right to settle suits involving claims and demands for royalties owing and (e) all domestic rights corresponding to any of the foregoing.</w:t>
      </w:r>
    </w:p>
    <w:p>
      <w:pPr>
        <w:spacing w:after="0" w:line="185" w:lineRule="exact"/>
        <w:rPr>
          <w:sz w:val="20"/>
          <w:szCs w:val="20"/>
          <w:color w:val="auto"/>
        </w:rPr>
      </w:pPr>
    </w:p>
    <w:p>
      <w:pPr>
        <w:jc w:val="both"/>
        <w:ind w:left="4"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means fees, premiums, expenses and other transaction costs (including original issue discount or upfront fees) payable or otherwise borne by the Borrower, any Parent Company and/or its subsidiaries in connection with the Transactions and the transactions contemplated thereby.</w:t>
      </w:r>
    </w:p>
    <w:p>
      <w:pPr>
        <w:spacing w:after="0" w:line="184" w:lineRule="exact"/>
        <w:rPr>
          <w:sz w:val="20"/>
          <w:szCs w:val="20"/>
          <w:color w:val="auto"/>
        </w:rPr>
      </w:pPr>
    </w:p>
    <w:p>
      <w:pPr>
        <w:ind w:left="4"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(a) the execution, delivery and performance by the Loan Parties of the Loan Documents to which they are a party and the Borrowing of Loans hereunder on the Closing Date, (b) the Closing Date Refinancing, (c) the consummation of the IPO and (d) the payment of the Transaction Costs.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Capital Stock</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6.04(a)(viii)</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US federal income tax regulations promulgated under the Code.</w:t>
      </w:r>
    </w:p>
    <w:p>
      <w:pPr>
        <w:spacing w:after="0" w:line="225"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LIBO Rate or the Alternate Base Rate.</w:t>
      </w:r>
    </w:p>
    <w:p>
      <w:pPr>
        <w:spacing w:after="0" w:line="170"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or any other state the laws of which are required to be applied in connection with the creation or perfection of security interests.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4"/>
          </w:cols>
          <w:pgMar w:left="436" w:top="274" w:right="459" w:bottom="1440" w:gutter="0" w:footer="0" w:header="0"/>
        </w:sectPr>
      </w:pPr>
    </w:p>
    <w:bookmarkStart w:id="69" w:name="page70"/>
    <w:bookmarkEnd w:id="69"/>
    <w:p>
      <w:pPr>
        <w:ind w:right="2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Cash Amount</w:t>
      </w:r>
      <w:r>
        <w:rPr>
          <w:rFonts w:ascii="Arial" w:cs="Arial" w:eastAsia="Arial" w:hAnsi="Arial"/>
          <w:sz w:val="16"/>
          <w:szCs w:val="16"/>
          <w:color w:val="auto"/>
        </w:rPr>
        <w:t xml:space="preserve">” means, as to any Person on any date of determination, the amount of (a) unrestricted Cash and Cash Equivalents of such Person and (b) Cash and Cash Equivalents of such Person that are restricted in favor of the Credit Facilities and/or other permitted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secured Indebtedness (which may also include Cash and Cash Equivalents securing other Indebtedness that is secured by a Lien on Collateral along with the Credit Facilities and/or other permitted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secured indebtedness), in each case, (x) whether or not held in a pledged account and (y) calculated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Unrestricted Cash Amount shall not exceed $100,000,000.</w:t>
      </w:r>
    </w:p>
    <w:p>
      <w:pPr>
        <w:spacing w:after="0" w:line="161"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Subsidiary</w:t>
      </w:r>
      <w:r>
        <w:rPr>
          <w:rFonts w:ascii="Arial" w:cs="Arial" w:eastAsia="Arial" w:hAnsi="Arial"/>
          <w:sz w:val="16"/>
          <w:szCs w:val="16"/>
          <w:color w:val="auto"/>
        </w:rPr>
        <w:t xml:space="preserve">” means (a) any subsidiary of the Borrower that is listed on </w:t>
      </w:r>
      <w:r>
        <w:rPr>
          <w:rFonts w:ascii="Arial" w:cs="Arial" w:eastAsia="Arial" w:hAnsi="Arial"/>
          <w:sz w:val="16"/>
          <w:szCs w:val="16"/>
          <w:u w:val="single" w:color="auto"/>
          <w:color w:val="auto"/>
        </w:rPr>
        <w:t>Schedule 5.10</w:t>
      </w:r>
      <w:r>
        <w:rPr>
          <w:rFonts w:ascii="Arial" w:cs="Arial" w:eastAsia="Arial" w:hAnsi="Arial"/>
          <w:sz w:val="16"/>
          <w:szCs w:val="16"/>
          <w:color w:val="auto"/>
        </w:rPr>
        <w:t xml:space="preserve"> hereto or designated by the Borrower as an Unrestricted Subsidiary after the Closing Date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and (b) each subsidiary of any Person described in the preceding </w:t>
      </w:r>
      <w:r>
        <w:rPr>
          <w:rFonts w:ascii="Arial" w:cs="Arial" w:eastAsia="Arial" w:hAnsi="Arial"/>
          <w:sz w:val="16"/>
          <w:szCs w:val="16"/>
          <w:u w:val="single" w:color="auto"/>
          <w:color w:val="auto"/>
        </w:rPr>
        <w:t>clause (a)</w:t>
      </w:r>
      <w:r>
        <w:rPr>
          <w:rFonts w:ascii="Arial" w:cs="Arial" w:eastAsia="Arial" w:hAnsi="Arial"/>
          <w:sz w:val="16"/>
          <w:szCs w:val="16"/>
          <w:color w:val="auto"/>
        </w:rPr>
        <w: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9.26</w:t>
      </w:r>
      <w:r>
        <w:rPr>
          <w:rFonts w:ascii="Arial" w:cs="Arial" w:eastAsia="Arial" w:hAnsi="Arial"/>
          <w:sz w:val="18"/>
          <w:szCs w:val="18"/>
          <w:color w:val="auto"/>
        </w:rPr>
        <w:t>.</w:t>
      </w:r>
    </w:p>
    <w:p>
      <w:pPr>
        <w:spacing w:after="0" w:line="225"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(Title III of Pub. L. No. 107-56 (signed into law October 26, 2001)).</w:t>
      </w:r>
    </w:p>
    <w:p>
      <w:pPr>
        <w:spacing w:after="0" w:line="170"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xml:space="preserve">” means, when applied to any Indebtedness at any date, the number of years obtained by </w:t>
      </w:r>
      <w:r>
        <w:rPr>
          <w:rFonts w:ascii="Arial" w:cs="Arial" w:eastAsia="Arial" w:hAnsi="Arial"/>
          <w:sz w:val="17"/>
          <w:szCs w:val="17"/>
          <w:u w:val="single" w:color="auto"/>
          <w:color w:val="auto"/>
        </w:rPr>
        <w:t>dividing</w:t>
      </w:r>
      <w:r>
        <w:rPr>
          <w:rFonts w:ascii="Arial" w:cs="Arial" w:eastAsia="Arial" w:hAnsi="Arial"/>
          <w:sz w:val="17"/>
          <w:szCs w:val="17"/>
          <w:color w:val="auto"/>
        </w:rPr>
        <w:t xml:space="preserve">: (a) the sum of the products obtained by </w:t>
      </w:r>
      <w:r>
        <w:rPr>
          <w:rFonts w:ascii="Arial" w:cs="Arial" w:eastAsia="Arial" w:hAnsi="Arial"/>
          <w:sz w:val="17"/>
          <w:szCs w:val="17"/>
          <w:u w:val="single" w:color="auto"/>
          <w:color w:val="auto"/>
        </w:rPr>
        <w:t>multiplying</w:t>
      </w:r>
      <w:r>
        <w:rPr>
          <w:rFonts w:ascii="Arial" w:cs="Arial" w:eastAsia="Arial" w:hAnsi="Arial"/>
          <w:sz w:val="17"/>
          <w:szCs w:val="17"/>
          <w:color w:val="auto"/>
        </w:rPr>
        <w:t xml:space="preserve">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effects of any prepayment made in respect of such Indebtedness shall be disregarded in making such calculation.</w:t>
      </w:r>
    </w:p>
    <w:p>
      <w:pPr>
        <w:spacing w:after="0" w:line="176"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of any Person means a subsidiary of such Person, 100% of the Capital Stock of which (other than directors’ qualifying shares or shares required by Requirements of Law to be owned by a resident of the relevant jurisdiction) is owned by such Person or by one or more Wholly-Owned Subsidiaries of such Person.</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the liability to any Multiemployer Plan as the result of a “complete” or “partial” withdrawal by Holdings, the Borrower or any Restricted Subsidiary or any ERISA Affiliate from such Multiemployer Plan, as such terms are defined in Part I of Subtitle E of Title IV of ERISA.</w:t>
      </w:r>
    </w:p>
    <w:p>
      <w:pPr>
        <w:spacing w:after="0" w:line="184"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440" w:top="274" w:right="479" w:bottom="1440" w:gutter="0" w:footer="0" w:header="0"/>
        </w:sectPr>
      </w:pPr>
    </w:p>
    <w:bookmarkStart w:id="70" w:name="page71"/>
    <w:bookmarkEnd w:id="70"/>
    <w:p>
      <w:pPr>
        <w:jc w:val="both"/>
        <w:ind w:right="2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“Term Loan”) or by Type (</w:t>
      </w:r>
      <w:r>
        <w:rPr>
          <w:rFonts w:ascii="Arial" w:cs="Arial" w:eastAsia="Arial" w:hAnsi="Arial"/>
          <w:sz w:val="18"/>
          <w:szCs w:val="18"/>
          <w:i w:val="1"/>
          <w:iCs w:val="1"/>
          <w:color w:val="auto"/>
        </w:rPr>
        <w:t>e.g</w:t>
      </w:r>
      <w:r>
        <w:rPr>
          <w:rFonts w:ascii="Arial" w:cs="Arial" w:eastAsia="Arial" w:hAnsi="Arial"/>
          <w:sz w:val="18"/>
          <w:szCs w:val="18"/>
          <w:color w:val="auto"/>
        </w:rPr>
        <w:t>., a “LIBO Rate Loan”)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 “LIBO Rate Term Loan”). Borrowings also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“Term Loan Borrowing”) or by Type (</w:t>
      </w:r>
      <w:r>
        <w:rPr>
          <w:rFonts w:ascii="Arial" w:cs="Arial" w:eastAsia="Arial" w:hAnsi="Arial"/>
          <w:sz w:val="18"/>
          <w:szCs w:val="18"/>
          <w:i w:val="1"/>
          <w:iCs w:val="1"/>
          <w:color w:val="auto"/>
        </w:rPr>
        <w:t>e.g</w:t>
      </w:r>
      <w:r>
        <w:rPr>
          <w:rFonts w:ascii="Arial" w:cs="Arial" w:eastAsia="Arial" w:hAnsi="Arial"/>
          <w:sz w:val="18"/>
          <w:szCs w:val="18"/>
          <w:color w:val="auto"/>
        </w:rPr>
        <w:t>., a “LIBO Rate Borrowing”)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 “LIBO Rate Term Loan Borrowing”).</w:t>
      </w:r>
    </w:p>
    <w:p>
      <w:pPr>
        <w:spacing w:after="0" w:line="18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Terms Generally</w:t>
      </w:r>
      <w:r>
        <w:rPr>
          <w:rFonts w:ascii="Arial" w:cs="Arial" w:eastAsia="Arial" w:hAnsi="Arial"/>
          <w:sz w:val="18"/>
          <w:szCs w:val="18"/>
          <w:color w:val="auto"/>
        </w:rPr>
        <w:t>. With reference to this Agreement and each other Loan Document, unless otherwise specified herein or in such other Loan Document:</w:t>
      </w:r>
    </w:p>
    <w:p>
      <w:pPr>
        <w:spacing w:after="0" w:line="62" w:lineRule="exact"/>
        <w:rPr>
          <w:sz w:val="20"/>
          <w:szCs w:val="20"/>
          <w:color w:val="auto"/>
        </w:rPr>
      </w:pPr>
    </w:p>
    <w:p>
      <w:pPr>
        <w:ind w:left="680" w:hanging="244"/>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Whenever the context may require, any pronoun shall include the corresponding masculine, feminine and neuter forms.</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words “include,” “includes” and “including” shall be deemed to be followed by the phrase “without limitation.”</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word “will” shall be construed to have the same meaning and effect as the word “shall.”</w:t>
      </w:r>
    </w:p>
    <w:p>
      <w:pPr>
        <w:spacing w:after="0" w:line="117" w:lineRule="exact"/>
        <w:rPr>
          <w:rFonts w:ascii="Arial" w:cs="Arial" w:eastAsia="Arial" w:hAnsi="Arial"/>
          <w:sz w:val="18"/>
          <w:szCs w:val="18"/>
          <w:color w:val="auto"/>
        </w:rPr>
      </w:pPr>
    </w:p>
    <w:p>
      <w:pPr>
        <w:ind w:right="120" w:firstLine="436"/>
        <w:spacing w:after="0" w:line="277" w:lineRule="auto"/>
        <w:tabs>
          <w:tab w:leader="none" w:pos="6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words “herein,” “hereof” and “hereunder,” and words of similar import, when used in any Loan Document, shall be construed to refer to such Loan Document in its entirety and not to any particular provision hereof.</w:t>
      </w:r>
    </w:p>
    <w:p>
      <w:pPr>
        <w:spacing w:after="0" w:line="62" w:lineRule="exact"/>
        <w:rPr>
          <w:rFonts w:ascii="Arial" w:cs="Arial" w:eastAsia="Arial" w:hAnsi="Arial"/>
          <w:sz w:val="18"/>
          <w:szCs w:val="18"/>
          <w:color w:val="auto"/>
        </w:rPr>
      </w:pPr>
    </w:p>
    <w:p>
      <w:pPr>
        <w:jc w:val="both"/>
        <w:ind w:firstLine="436"/>
        <w:spacing w:after="0" w:line="279" w:lineRule="auto"/>
        <w:tabs>
          <w:tab w:leader="none" w:pos="665"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definition of or reference to any agreement, instrument or other document herein or in any Loan Document shall be construed as referring to such agreement, instrument or other document as from time to time amended, restated, amended and restated, supplemented or otherwise modified or extended, replaced or refinanced (subject to any restrictions or qualifications on such amendments, restatements, amendment and restatements, supplements or modifications or extensions, replacements or refinancings set forth herein).</w:t>
      </w:r>
    </w:p>
    <w:p>
      <w:pPr>
        <w:spacing w:after="0" w:line="63" w:lineRule="exact"/>
        <w:rPr>
          <w:rFonts w:ascii="Arial" w:cs="Arial" w:eastAsia="Arial" w:hAnsi="Arial"/>
          <w:sz w:val="17"/>
          <w:szCs w:val="17"/>
          <w:color w:val="auto"/>
        </w:rPr>
      </w:pPr>
    </w:p>
    <w:p>
      <w:pPr>
        <w:ind w:right="700" w:firstLine="436"/>
        <w:spacing w:after="0" w:line="277"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reference to any Requirement of Law in any Loan Document shall include all statutory and regulatory provisions consolidating, amending, replacing, supplementing or interpreting such Requirement of Law.</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reference herein or in any Loan Document to any Person shall be construed to include such Person’s successors and permitted assigns.</w:t>
      </w:r>
    </w:p>
    <w:p>
      <w:pPr>
        <w:spacing w:after="0" w:line="140" w:lineRule="exact"/>
        <w:rPr>
          <w:rFonts w:ascii="Arial" w:cs="Arial" w:eastAsia="Arial" w:hAnsi="Arial"/>
          <w:sz w:val="16"/>
          <w:szCs w:val="16"/>
          <w:color w:val="auto"/>
        </w:rPr>
      </w:pPr>
    </w:p>
    <w:p>
      <w:pPr>
        <w:ind w:right="40" w:firstLine="436"/>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references herein or in any Loan Document to Articles, Sections, clauses, paragraphs, Exhibits and Schedules shall be construed to refer to Articles, Sections, clauses and paragraphs of, and Exhibits and Schedules to, such Loan Document.</w:t>
      </w:r>
    </w:p>
    <w:p>
      <w:pPr>
        <w:spacing w:after="0" w:line="62" w:lineRule="exact"/>
        <w:rPr>
          <w:rFonts w:ascii="Arial" w:cs="Arial" w:eastAsia="Arial" w:hAnsi="Arial"/>
          <w:sz w:val="18"/>
          <w:szCs w:val="18"/>
          <w:color w:val="auto"/>
        </w:rPr>
      </w:pPr>
    </w:p>
    <w:p>
      <w:pPr>
        <w:ind w:right="60" w:firstLine="436"/>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computation of periods of time in any Loan Document from a specified date to a later specified date, the word “from” means “from and including”, the words “to” and “until” mean “to but excluding” and the word “through” means “to and including”.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40"/>
          </w:cols>
          <w:pgMar w:left="440" w:top="274" w:right="519" w:bottom="1440" w:gutter="0" w:footer="0" w:header="0"/>
        </w:sectPr>
      </w:pPr>
    </w:p>
    <w:bookmarkStart w:id="71" w:name="page72"/>
    <w:bookmarkEnd w:id="71"/>
    <w:p>
      <w:pPr>
        <w:ind w:right="200" w:firstLine="436"/>
        <w:spacing w:after="0" w:line="277" w:lineRule="auto"/>
        <w:tabs>
          <w:tab w:leader="none" w:pos="695"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words “asset” and “property”, when used in any Loan Document, shall be construed to have the same meaning and effect and to refer to any and all tangible and intangible assets and properties, including Cash, securities, accounts and contract rights.</w:t>
      </w:r>
    </w:p>
    <w:p>
      <w:pPr>
        <w:spacing w:after="0" w:line="62" w:lineRule="exact"/>
        <w:rPr>
          <w:rFonts w:ascii="Arial" w:cs="Arial" w:eastAsia="Arial" w:hAnsi="Arial"/>
          <w:sz w:val="18"/>
          <w:szCs w:val="18"/>
          <w:color w:val="auto"/>
        </w:rPr>
      </w:pPr>
    </w:p>
    <w:p>
      <w:pPr>
        <w:ind w:right="40" w:firstLine="436"/>
        <w:spacing w:after="0" w:line="272" w:lineRule="auto"/>
        <w:tabs>
          <w:tab w:leader="none" w:pos="655"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at any time with </w:t>
      </w:r>
      <w:r>
        <w:rPr>
          <w:rFonts w:ascii="Arial" w:cs="Arial" w:eastAsia="Arial" w:hAnsi="Arial"/>
          <w:sz w:val="17"/>
          <w:szCs w:val="17"/>
          <w:u w:val="single" w:color="auto"/>
          <w:color w:val="auto"/>
        </w:rPr>
        <w:t>Sections 5.16</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w:t>
      </w:r>
      <w:r>
        <w:rPr>
          <w:rFonts w:ascii="Arial" w:cs="Arial" w:eastAsia="Arial" w:hAnsi="Arial"/>
          <w:sz w:val="17"/>
          <w:szCs w:val="17"/>
          <w:color w:val="auto"/>
        </w:rPr>
        <w:t xml:space="preserve">, </w:t>
      </w:r>
      <w:r>
        <w:rPr>
          <w:rFonts w:ascii="Arial" w:cs="Arial" w:eastAsia="Arial" w:hAnsi="Arial"/>
          <w:sz w:val="17"/>
          <w:szCs w:val="17"/>
          <w:u w:val="single" w:color="auto"/>
          <w:color w:val="auto"/>
        </w:rPr>
        <w:t>6.04</w:t>
      </w:r>
      <w:r>
        <w:rPr>
          <w:rFonts w:ascii="Arial" w:cs="Arial" w:eastAsia="Arial" w:hAnsi="Arial"/>
          <w:sz w:val="17"/>
          <w:szCs w:val="17"/>
          <w:color w:val="auto"/>
        </w:rPr>
        <w:t xml:space="preserve">, </w:t>
      </w:r>
      <w:r>
        <w:rPr>
          <w:rFonts w:ascii="Arial" w:cs="Arial" w:eastAsia="Arial" w:hAnsi="Arial"/>
          <w:sz w:val="17"/>
          <w:szCs w:val="17"/>
          <w:u w:val="single" w:color="auto"/>
          <w:color w:val="auto"/>
        </w:rPr>
        <w:t>6.05</w:t>
      </w:r>
      <w:r>
        <w:rPr>
          <w:rFonts w:ascii="Arial" w:cs="Arial" w:eastAsia="Arial" w:hAnsi="Arial"/>
          <w:sz w:val="17"/>
          <w:szCs w:val="17"/>
          <w:color w:val="auto"/>
        </w:rPr>
        <w:t xml:space="preserve">, </w:t>
      </w:r>
      <w:r>
        <w:rPr>
          <w:rFonts w:ascii="Arial" w:cs="Arial" w:eastAsia="Arial" w:hAnsi="Arial"/>
          <w:sz w:val="17"/>
          <w:szCs w:val="17"/>
          <w:u w:val="single" w:color="auto"/>
          <w:color w:val="auto"/>
        </w:rPr>
        <w:t>6.06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6.07</w:t>
      </w:r>
      <w:r>
        <w:rPr>
          <w:rFonts w:ascii="Arial" w:cs="Arial" w:eastAsia="Arial" w:hAnsi="Arial"/>
          <w:sz w:val="17"/>
          <w:szCs w:val="17"/>
          <w:color w:val="auto"/>
        </w:rPr>
        <w:t xml:space="preserve">, in the event that any Affiliate transaction, Indebtedness, Lien, Restricted Payment, Restricted Debt Payment, Burdensome Agreement, Investment or Disposition, as applicable, meets the criteria of more than one of the categories of transactions or items permitted pursuant to any clause of such </w:t>
      </w:r>
      <w:r>
        <w:rPr>
          <w:rFonts w:ascii="Arial" w:cs="Arial" w:eastAsia="Arial" w:hAnsi="Arial"/>
          <w:sz w:val="17"/>
          <w:szCs w:val="17"/>
          <w:u w:val="single" w:color="auto"/>
          <w:color w:val="auto"/>
        </w:rPr>
        <w:t>Sections 5.16</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it is understood that the provisions of this </w:t>
      </w:r>
      <w:r>
        <w:rPr>
          <w:rFonts w:ascii="Arial" w:cs="Arial" w:eastAsia="Arial" w:hAnsi="Arial"/>
          <w:sz w:val="17"/>
          <w:szCs w:val="17"/>
          <w:u w:val="single" w:color="auto"/>
          <w:color w:val="auto"/>
        </w:rPr>
        <w:t>Section 1.03(l)</w:t>
      </w:r>
      <w:r>
        <w:rPr>
          <w:rFonts w:ascii="Arial" w:cs="Arial" w:eastAsia="Arial" w:hAnsi="Arial"/>
          <w:sz w:val="17"/>
          <w:szCs w:val="17"/>
          <w:color w:val="auto"/>
        </w:rPr>
        <w:t xml:space="preserve"> shall apply to any amount incurred in reliance on any provision of the definition of “Incremental Cap”), </w:t>
      </w:r>
      <w:r>
        <w:rPr>
          <w:rFonts w:ascii="Arial" w:cs="Arial" w:eastAsia="Arial" w:hAnsi="Arial"/>
          <w:sz w:val="17"/>
          <w:szCs w:val="17"/>
          <w:u w:val="single" w:color="auto"/>
          <w:color w:val="auto"/>
        </w:rPr>
        <w:t>6.02</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w:t>
      </w:r>
      <w:r>
        <w:rPr>
          <w:rFonts w:ascii="Arial" w:cs="Arial" w:eastAsia="Arial" w:hAnsi="Arial"/>
          <w:sz w:val="17"/>
          <w:szCs w:val="17"/>
          <w:u w:val="single" w:color="auto"/>
          <w:color w:val="auto"/>
        </w:rPr>
        <w:t>6.04</w:t>
      </w:r>
      <w:r>
        <w:rPr>
          <w:rFonts w:ascii="Arial" w:cs="Arial" w:eastAsia="Arial" w:hAnsi="Arial"/>
          <w:sz w:val="17"/>
          <w:szCs w:val="17"/>
          <w:color w:val="auto"/>
        </w:rPr>
        <w:t xml:space="preserve">, </w:t>
      </w:r>
      <w:r>
        <w:rPr>
          <w:rFonts w:ascii="Arial" w:cs="Arial" w:eastAsia="Arial" w:hAnsi="Arial"/>
          <w:sz w:val="17"/>
          <w:szCs w:val="17"/>
          <w:u w:val="single" w:color="auto"/>
          <w:color w:val="auto"/>
        </w:rPr>
        <w:t>6.05</w:t>
      </w:r>
      <w:r>
        <w:rPr>
          <w:rFonts w:ascii="Arial" w:cs="Arial" w:eastAsia="Arial" w:hAnsi="Arial"/>
          <w:sz w:val="17"/>
          <w:szCs w:val="17"/>
          <w:color w:val="auto"/>
        </w:rPr>
        <w:t xml:space="preserve">, </w:t>
      </w:r>
      <w:r>
        <w:rPr>
          <w:rFonts w:ascii="Arial" w:cs="Arial" w:eastAsia="Arial" w:hAnsi="Arial"/>
          <w:sz w:val="17"/>
          <w:szCs w:val="17"/>
          <w:u w:val="single" w:color="auto"/>
          <w:color w:val="auto"/>
        </w:rPr>
        <w:t>6.06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6.07</w:t>
      </w:r>
      <w:r>
        <w:rPr>
          <w:rFonts w:ascii="Arial" w:cs="Arial" w:eastAsia="Arial" w:hAnsi="Arial"/>
          <w:sz w:val="17"/>
          <w:szCs w:val="17"/>
          <w:color w:val="auto"/>
        </w:rPr>
        <w:t xml:space="preserve">, the Borrower, in its sole discretion, may, from time to time, classify or reclassify such transaction or item (or portion thereof) under one or more clauses of each such Section and will only be required to include the amount and type of such transaction (or portion thereof) in any one category;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69" w:lineRule="exact"/>
        <w:rPr>
          <w:rFonts w:ascii="Arial" w:cs="Arial" w:eastAsia="Arial" w:hAnsi="Arial"/>
          <w:sz w:val="17"/>
          <w:szCs w:val="17"/>
          <w:color w:val="auto"/>
        </w:rPr>
      </w:pPr>
    </w:p>
    <w:p>
      <w:pPr>
        <w:ind w:left="440" w:firstLine="419"/>
        <w:spacing w:after="0" w:line="290" w:lineRule="auto"/>
        <w:tabs>
          <w:tab w:leader="none" w:pos="1078"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upon the date on which financial statements of the type described in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are delivered on the date of or following the initial incurrence of any portion of any Indebtedness incurred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it is understood that the provisions of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shall apply to any amount incurred in reliance on any provision of the definition of “Incremental Cap”) (such portion of such Indebtedness, the “</w:t>
      </w:r>
      <w:r>
        <w:rPr>
          <w:rFonts w:ascii="Arial" w:cs="Arial" w:eastAsia="Arial" w:hAnsi="Arial"/>
          <w:sz w:val="16"/>
          <w:szCs w:val="16"/>
          <w:u w:val="single" w:color="auto"/>
          <w:color w:val="auto"/>
        </w:rPr>
        <w:t>Subject Indebtedness</w:t>
      </w:r>
      <w:r>
        <w:rPr>
          <w:rFonts w:ascii="Arial" w:cs="Arial" w:eastAsia="Arial" w:hAnsi="Arial"/>
          <w:sz w:val="16"/>
          <w:szCs w:val="16"/>
          <w:color w:val="auto"/>
        </w:rPr>
        <w:t xml:space="preserve">”), if any such Subject Indebtedness could, based on such financial statements, have been incurred in reliance on </w:t>
      </w:r>
      <w:r>
        <w:rPr>
          <w:rFonts w:ascii="Arial" w:cs="Arial" w:eastAsia="Arial" w:hAnsi="Arial"/>
          <w:sz w:val="16"/>
          <w:szCs w:val="16"/>
          <w:u w:val="single" w:color="auto"/>
          <w:color w:val="auto"/>
        </w:rPr>
        <w:t>Section 6.01(w)</w:t>
      </w:r>
      <w:r>
        <w:rPr>
          <w:rFonts w:ascii="Arial" w:cs="Arial" w:eastAsia="Arial" w:hAnsi="Arial"/>
          <w:sz w:val="16"/>
          <w:szCs w:val="16"/>
          <w:color w:val="auto"/>
        </w:rPr>
        <w:t xml:space="preserve"> or the Incremental Incurrence-Based Component, as applicable, such Subject Indebtedness shall automatically be reclassified as having been incurred under the applicable provisions of </w:t>
      </w:r>
      <w:r>
        <w:rPr>
          <w:rFonts w:ascii="Arial" w:cs="Arial" w:eastAsia="Arial" w:hAnsi="Arial"/>
          <w:sz w:val="16"/>
          <w:szCs w:val="16"/>
          <w:u w:val="single" w:color="auto"/>
          <w:color w:val="auto"/>
        </w:rPr>
        <w:t>Section 6.01(w)</w:t>
      </w:r>
      <w:r>
        <w:rPr>
          <w:rFonts w:ascii="Arial" w:cs="Arial" w:eastAsia="Arial" w:hAnsi="Arial"/>
          <w:sz w:val="16"/>
          <w:szCs w:val="16"/>
          <w:color w:val="auto"/>
        </w:rPr>
        <w:t xml:space="preserve"> or the Incremental Incurrence-Based Component, as applicable (subject to any other applicable provision of </w:t>
      </w:r>
      <w:r>
        <w:rPr>
          <w:rFonts w:ascii="Arial" w:cs="Arial" w:eastAsia="Arial" w:hAnsi="Arial"/>
          <w:sz w:val="16"/>
          <w:szCs w:val="16"/>
          <w:u w:val="single" w:color="auto"/>
          <w:color w:val="auto"/>
        </w:rPr>
        <w:t>Section 6.01(w)</w:t>
      </w:r>
      <w:r>
        <w:rPr>
          <w:rFonts w:ascii="Arial" w:cs="Arial" w:eastAsia="Arial" w:hAnsi="Arial"/>
          <w:sz w:val="16"/>
          <w:szCs w:val="16"/>
          <w:color w:val="auto"/>
        </w:rPr>
        <w:t xml:space="preserve"> or the Incremental Incurrence-Based Component, as applicable,) and any associated Lien will be deemed to have been permitted under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upon any such reclassification;</w:t>
      </w:r>
    </w:p>
    <w:p>
      <w:pPr>
        <w:spacing w:after="0" w:line="57" w:lineRule="exact"/>
        <w:rPr>
          <w:rFonts w:ascii="Arial" w:cs="Arial" w:eastAsia="Arial" w:hAnsi="Arial"/>
          <w:sz w:val="16"/>
          <w:szCs w:val="16"/>
          <w:color w:val="auto"/>
        </w:rPr>
      </w:pPr>
    </w:p>
    <w:p>
      <w:pPr>
        <w:jc w:val="both"/>
        <w:ind w:left="440" w:right="140" w:firstLine="419"/>
        <w:spacing w:after="0" w:line="259" w:lineRule="auto"/>
        <w:tabs>
          <w:tab w:leader="none" w:pos="1128"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upon the date on which financial statements of the type described in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are delivered on the date of or following the making of any Investment in reliance on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6.06(bb)</w:t>
      </w:r>
      <w:r>
        <w:rPr>
          <w:rFonts w:ascii="Arial" w:cs="Arial" w:eastAsia="Arial" w:hAnsi="Arial"/>
          <w:sz w:val="18"/>
          <w:szCs w:val="18"/>
          <w:color w:val="auto"/>
        </w:rPr>
        <w:t xml:space="preserve">), if all or any portion of such Investment could, based on such financial statements, have been made in reliance on </w:t>
      </w:r>
      <w:r>
        <w:rPr>
          <w:rFonts w:ascii="Arial" w:cs="Arial" w:eastAsia="Arial" w:hAnsi="Arial"/>
          <w:sz w:val="18"/>
          <w:szCs w:val="18"/>
          <w:u w:val="single" w:color="auto"/>
          <w:color w:val="auto"/>
        </w:rPr>
        <w:t>Section 6.06(bb)</w:t>
      </w:r>
      <w:r>
        <w:rPr>
          <w:rFonts w:ascii="Arial" w:cs="Arial" w:eastAsia="Arial" w:hAnsi="Arial"/>
          <w:sz w:val="18"/>
          <w:szCs w:val="18"/>
          <w:color w:val="auto"/>
        </w:rPr>
        <w:t xml:space="preserve">, such Investment (or the relevant portion thereof) shall automatically be reclassified as having been made in reliance on </w:t>
      </w:r>
      <w:r>
        <w:rPr>
          <w:rFonts w:ascii="Arial" w:cs="Arial" w:eastAsia="Arial" w:hAnsi="Arial"/>
          <w:sz w:val="18"/>
          <w:szCs w:val="18"/>
          <w:u w:val="single" w:color="auto"/>
          <w:color w:val="auto"/>
        </w:rPr>
        <w:t>Section 6.06(bb)</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40" w:right="100" w:firstLine="419"/>
        <w:spacing w:after="0" w:line="279" w:lineRule="auto"/>
        <w:tabs>
          <w:tab w:leader="none" w:pos="1178" w:val="left"/>
        </w:tabs>
        <w:numPr>
          <w:ilvl w:val="1"/>
          <w:numId w:val="63"/>
        </w:numPr>
        <w:rPr>
          <w:rFonts w:ascii="Arial" w:cs="Arial" w:eastAsia="Arial" w:hAnsi="Arial"/>
          <w:sz w:val="17"/>
          <w:szCs w:val="17"/>
          <w:color w:val="auto"/>
        </w:rPr>
      </w:pPr>
      <w:r>
        <w:rPr>
          <w:rFonts w:ascii="Arial" w:cs="Arial" w:eastAsia="Arial" w:hAnsi="Arial"/>
          <w:sz w:val="17"/>
          <w:szCs w:val="17"/>
          <w:color w:val="auto"/>
        </w:rPr>
        <w:t xml:space="preserve">upon the date on which financial statements of the type described in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are delivered on the date of or, following the making of any Restricted Payment under </w:t>
      </w:r>
      <w:r>
        <w:rPr>
          <w:rFonts w:ascii="Arial" w:cs="Arial" w:eastAsia="Arial" w:hAnsi="Arial"/>
          <w:sz w:val="17"/>
          <w:szCs w:val="17"/>
          <w:u w:val="single" w:color="auto"/>
          <w:color w:val="auto"/>
        </w:rPr>
        <w:t>Section 6.04(a)</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6.04(a)(xi)</w:t>
      </w:r>
      <w:r>
        <w:rPr>
          <w:rFonts w:ascii="Arial" w:cs="Arial" w:eastAsia="Arial" w:hAnsi="Arial"/>
          <w:sz w:val="17"/>
          <w:szCs w:val="17"/>
          <w:color w:val="auto"/>
        </w:rPr>
        <w:t xml:space="preserve">), if all or any portion of such Restricted Payment could, based on such financial statements, have been made in reliance on </w:t>
      </w:r>
      <w:r>
        <w:rPr>
          <w:rFonts w:ascii="Arial" w:cs="Arial" w:eastAsia="Arial" w:hAnsi="Arial"/>
          <w:sz w:val="17"/>
          <w:szCs w:val="17"/>
          <w:u w:val="single" w:color="auto"/>
          <w:color w:val="auto"/>
        </w:rPr>
        <w:t>Section 6.04(a)(xi</w:t>
      </w:r>
      <w:r>
        <w:rPr>
          <w:rFonts w:ascii="Arial" w:cs="Arial" w:eastAsia="Arial" w:hAnsi="Arial"/>
          <w:sz w:val="17"/>
          <w:szCs w:val="17"/>
          <w:color w:val="auto"/>
        </w:rPr>
        <w:t xml:space="preserve">), such Restricted Payment (or the relevant portion thereof) shall automatically be reclassified as having been made in reliance on </w:t>
      </w:r>
      <w:r>
        <w:rPr>
          <w:rFonts w:ascii="Arial" w:cs="Arial" w:eastAsia="Arial" w:hAnsi="Arial"/>
          <w:sz w:val="17"/>
          <w:szCs w:val="17"/>
          <w:u w:val="single" w:color="auto"/>
          <w:color w:val="auto"/>
        </w:rPr>
        <w:t>Section 6.04(a)(xi</w:t>
      </w:r>
      <w:r>
        <w:rPr>
          <w:rFonts w:ascii="Arial" w:cs="Arial" w:eastAsia="Arial" w:hAnsi="Arial"/>
          <w:sz w:val="17"/>
          <w:szCs w:val="17"/>
          <w:color w:val="auto"/>
        </w:rPr>
        <w:t>); and</w:t>
      </w:r>
    </w:p>
    <w:p>
      <w:pPr>
        <w:spacing w:after="0" w:line="63" w:lineRule="exact"/>
        <w:rPr>
          <w:rFonts w:ascii="Arial" w:cs="Arial" w:eastAsia="Arial" w:hAnsi="Arial"/>
          <w:sz w:val="17"/>
          <w:szCs w:val="17"/>
          <w:color w:val="auto"/>
        </w:rPr>
      </w:pPr>
    </w:p>
    <w:p>
      <w:pPr>
        <w:ind w:left="440" w:right="100" w:firstLine="419"/>
        <w:spacing w:after="0" w:line="279" w:lineRule="auto"/>
        <w:tabs>
          <w:tab w:leader="none" w:pos="1168" w:val="left"/>
        </w:tabs>
        <w:numPr>
          <w:ilvl w:val="1"/>
          <w:numId w:val="63"/>
        </w:numPr>
        <w:rPr>
          <w:rFonts w:ascii="Arial" w:cs="Arial" w:eastAsia="Arial" w:hAnsi="Arial"/>
          <w:sz w:val="17"/>
          <w:szCs w:val="17"/>
          <w:color w:val="auto"/>
        </w:rPr>
      </w:pPr>
      <w:r>
        <w:rPr>
          <w:rFonts w:ascii="Arial" w:cs="Arial" w:eastAsia="Arial" w:hAnsi="Arial"/>
          <w:sz w:val="17"/>
          <w:szCs w:val="17"/>
          <w:color w:val="auto"/>
        </w:rPr>
        <w:t xml:space="preserve">upon the date on which financial statements of the type described in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are delivered on the date of or, following the making of any Restricted Debt Payment under </w:t>
      </w:r>
      <w:r>
        <w:rPr>
          <w:rFonts w:ascii="Arial" w:cs="Arial" w:eastAsia="Arial" w:hAnsi="Arial"/>
          <w:sz w:val="17"/>
          <w:szCs w:val="17"/>
          <w:u w:val="single" w:color="auto"/>
          <w:color w:val="auto"/>
        </w:rPr>
        <w:t>Section 6.04(b)</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6.04(b)(vii)</w:t>
      </w:r>
      <w:r>
        <w:rPr>
          <w:rFonts w:ascii="Arial" w:cs="Arial" w:eastAsia="Arial" w:hAnsi="Arial"/>
          <w:sz w:val="17"/>
          <w:szCs w:val="17"/>
          <w:color w:val="auto"/>
        </w:rPr>
        <w:t xml:space="preserve">), if all or any portion of such Restricted Debt Payment could, based on such financial statements, have been made in reliance on </w:t>
      </w:r>
      <w:r>
        <w:rPr>
          <w:rFonts w:ascii="Arial" w:cs="Arial" w:eastAsia="Arial" w:hAnsi="Arial"/>
          <w:sz w:val="17"/>
          <w:szCs w:val="17"/>
          <w:u w:val="single" w:color="auto"/>
          <w:color w:val="auto"/>
        </w:rPr>
        <w:t>Section 6.04(b)(vii</w:t>
      </w:r>
      <w:r>
        <w:rPr>
          <w:rFonts w:ascii="Arial" w:cs="Arial" w:eastAsia="Arial" w:hAnsi="Arial"/>
          <w:sz w:val="17"/>
          <w:szCs w:val="17"/>
          <w:color w:val="auto"/>
        </w:rPr>
        <w:t xml:space="preserve">), such Restricted Debt Payment (or the relevant portion thereof) shall automatically be reclassified as having been made in reliance on </w:t>
      </w:r>
      <w:r>
        <w:rPr>
          <w:rFonts w:ascii="Arial" w:cs="Arial" w:eastAsia="Arial" w:hAnsi="Arial"/>
          <w:sz w:val="17"/>
          <w:szCs w:val="17"/>
          <w:u w:val="single" w:color="auto"/>
          <w:color w:val="auto"/>
        </w:rPr>
        <w:t>Section 6.04(b)(vii</w:t>
      </w:r>
      <w:r>
        <w:rPr>
          <w:rFonts w:ascii="Arial" w:cs="Arial" w:eastAsia="Arial" w:hAnsi="Arial"/>
          <w:sz w:val="17"/>
          <w:szCs w:val="17"/>
          <w:color w:val="auto"/>
        </w:rPr>
        <w:t>);</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it is understood and agreed that, with respect to the fourth Fiscal Quarter of any Fiscal Year, prior to the date on which financial statements of the type described in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for such Fiscal Year are delivered the Borrower may, in its sole discretion, rely on financial statements of the type described in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that are internally available to trigger the reclassification of any transaction based on the financial results as of the end of the fourth Fiscal Quarter of such Fiscal Year.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72" w:name="page73"/>
    <w:bookmarkEnd w:id="72"/>
    <w:p>
      <w:pPr>
        <w:ind w:left="-40" w:right="80" w:firstLine="436"/>
        <w:spacing w:after="0" w:line="291" w:lineRule="auto"/>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 is understood and agreed that any Indebtedness, Lien, Restricted Payment, Restricted Debt Payment, Burdensome Agreement, Investment, Disposition and/or Affiliate transaction need not be permitted solely by reference to one category of permitted Indebtedness, Lien, Restricted Payment, Restricted Debt Payment, Burdensome Agreement, Investment, Disposition and/or Affiliate transaction under </w:t>
      </w:r>
      <w:r>
        <w:rPr>
          <w:rFonts w:ascii="Arial" w:cs="Arial" w:eastAsia="Arial" w:hAnsi="Arial"/>
          <w:sz w:val="16"/>
          <w:szCs w:val="16"/>
          <w:u w:val="single" w:color="auto"/>
          <w:color w:val="auto"/>
        </w:rPr>
        <w:t>Section 5.16</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w:t>
      </w:r>
      <w:r>
        <w:rPr>
          <w:rFonts w:ascii="Arial" w:cs="Arial" w:eastAsia="Arial" w:hAnsi="Arial"/>
          <w:sz w:val="16"/>
          <w:szCs w:val="16"/>
          <w:color w:val="auto"/>
        </w:rPr>
        <w:t xml:space="preserve">, </w:t>
      </w:r>
      <w:r>
        <w:rPr>
          <w:rFonts w:ascii="Arial" w:cs="Arial" w:eastAsia="Arial" w:hAnsi="Arial"/>
          <w:sz w:val="16"/>
          <w:szCs w:val="16"/>
          <w:u w:val="single" w:color="auto"/>
          <w:color w:val="auto"/>
        </w:rPr>
        <w:t>6.05</w:t>
      </w:r>
      <w:r>
        <w:rPr>
          <w:rFonts w:ascii="Arial" w:cs="Arial" w:eastAsia="Arial" w:hAnsi="Arial"/>
          <w:sz w:val="16"/>
          <w:szCs w:val="16"/>
          <w:color w:val="auto"/>
        </w:rPr>
        <w:t xml:space="preserve">, </w:t>
      </w:r>
      <w:r>
        <w:rPr>
          <w:rFonts w:ascii="Arial" w:cs="Arial" w:eastAsia="Arial" w:hAnsi="Arial"/>
          <w:sz w:val="16"/>
          <w:szCs w:val="16"/>
          <w:u w:val="single" w:color="auto"/>
          <w:color w:val="auto"/>
        </w:rPr>
        <w:t>6.06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6.07</w:t>
      </w:r>
      <w:r>
        <w:rPr>
          <w:rFonts w:ascii="Arial" w:cs="Arial" w:eastAsia="Arial" w:hAnsi="Arial"/>
          <w:sz w:val="16"/>
          <w:szCs w:val="16"/>
          <w:color w:val="auto"/>
        </w:rPr>
        <w:t xml:space="preserve">, respectively, and may instead be permitted in part under any combination thereof, but the Borrower will only be required to include the amount and type of such transaction (or portion thereof) in one such category (or combination thereof). To the extent the applicability of </w:t>
      </w:r>
      <w:r>
        <w:rPr>
          <w:rFonts w:ascii="Arial" w:cs="Arial" w:eastAsia="Arial" w:hAnsi="Arial"/>
          <w:sz w:val="16"/>
          <w:szCs w:val="16"/>
          <w:u w:val="single" w:color="auto"/>
          <w:color w:val="auto"/>
        </w:rPr>
        <w:t>Section 5.16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6.07</w:t>
      </w:r>
      <w:r>
        <w:rPr>
          <w:rFonts w:ascii="Arial" w:cs="Arial" w:eastAsia="Arial" w:hAnsi="Arial"/>
          <w:sz w:val="16"/>
          <w:szCs w:val="16"/>
          <w:color w:val="auto"/>
        </w:rPr>
        <w:t xml:space="preserve"> with respect to any transaction is subject to a materiality threshold, such transaction shall only be required to comply with the provisions of such Sections to the extent of the amount of such transaction that is in excess of such materiality threshold.</w:t>
      </w:r>
    </w:p>
    <w:p>
      <w:pPr>
        <w:spacing w:after="0" w:line="58" w:lineRule="exact"/>
        <w:rPr>
          <w:rFonts w:ascii="Arial" w:cs="Arial" w:eastAsia="Arial" w:hAnsi="Arial"/>
          <w:sz w:val="16"/>
          <w:szCs w:val="16"/>
          <w:color w:val="auto"/>
        </w:rPr>
      </w:pPr>
    </w:p>
    <w:p>
      <w:pPr>
        <w:ind w:left="-40" w:right="140" w:firstLine="436"/>
        <w:spacing w:after="0" w:line="342" w:lineRule="auto"/>
        <w:tabs>
          <w:tab w:leader="none" w:pos="655" w:val="left"/>
        </w:tabs>
        <w:numPr>
          <w:ilvl w:val="0"/>
          <w:numId w:val="64"/>
        </w:numPr>
        <w:rPr>
          <w:rFonts w:ascii="Arial" w:cs="Arial" w:eastAsia="Arial" w:hAnsi="Arial"/>
          <w:sz w:val="16"/>
          <w:szCs w:val="16"/>
          <w:color w:val="auto"/>
        </w:rPr>
      </w:pPr>
      <w:r>
        <w:rPr>
          <w:rFonts w:ascii="Arial" w:cs="Arial" w:eastAsia="Arial" w:hAnsi="Arial"/>
          <w:sz w:val="16"/>
          <w:szCs w:val="16"/>
          <w:color w:val="auto"/>
        </w:rPr>
        <w:t>For purposes of any amount herein expressed as a percentage of Consolidated Adjusted EBITDA, “Consolidated Adjusted EBITDA”, unless the context otherwise requires, shall be deemed to refer to Consolidated Adjusted EBITDA of the Borrower and its Restricted Subsidiaries.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Accounting Terms; GAAP</w:t>
      </w:r>
      <w:r>
        <w:rPr>
          <w:rFonts w:ascii="Arial" w:cs="Arial" w:eastAsia="Arial" w:hAnsi="Arial"/>
          <w:sz w:val="18"/>
          <w:szCs w:val="18"/>
          <w:color w:val="auto"/>
        </w:rPr>
        <w:t>.</w:t>
      </w:r>
    </w:p>
    <w:p>
      <w:pPr>
        <w:spacing w:after="0" w:line="117" w:lineRule="exact"/>
        <w:rPr>
          <w:sz w:val="20"/>
          <w:szCs w:val="20"/>
          <w:color w:val="auto"/>
        </w:rPr>
      </w:pPr>
    </w:p>
    <w:p>
      <w:pPr>
        <w:ind w:left="-40" w:firstLine="436"/>
        <w:spacing w:after="0" w:line="285" w:lineRule="auto"/>
        <w:tabs>
          <w:tab w:leader="none" w:pos="645"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All financial statements to be delivered pursuant to this Agreement shall be prepared in accordance with GAAP as in effect from time to time and, except as otherwise expressly provided herein, all terms of an accounting nature that are used in calculating the First Lien Net Leverage Ratio, the Secured Net Leverage Ratio, the Total Net Leverage Ratio, Consolidated Adjusted EBITDA or Consolidated Total Assets shall be construed and interpreted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notifies the Administrative Agent that the Borrower requests an amendment to any provision hereof to eliminate the effect of any change occurring after the date of delivery of the financial statements described in </w:t>
      </w:r>
      <w:r>
        <w:rPr>
          <w:rFonts w:ascii="Arial" w:cs="Arial" w:eastAsia="Arial" w:hAnsi="Arial"/>
          <w:sz w:val="16"/>
          <w:szCs w:val="16"/>
          <w:u w:val="single" w:color="auto"/>
          <w:color w:val="auto"/>
        </w:rPr>
        <w:t>Section 3.04(a)</w:t>
      </w:r>
      <w:r>
        <w:rPr>
          <w:rFonts w:ascii="Arial" w:cs="Arial" w:eastAsia="Arial" w:hAnsi="Arial"/>
          <w:sz w:val="16"/>
          <w:szCs w:val="16"/>
          <w:color w:val="auto"/>
        </w:rPr>
        <w:t xml:space="preserv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becomes effective until such notice have been withdrawn or such provision amended in accordance 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the Borrower so requests, the Borrower and the Administrative Agent shall negotiate in good faith to enter into an amendment of the relevant affected provisions (without the payment of any amendment or similar fee to the Lenders) to preserve the original intent thereof in light of such change in GAAP or the application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Borrower or any subsidiary at “fair value,” as defined therein and (ii)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65" w:lineRule="exact"/>
        <w:rPr>
          <w:rFonts w:ascii="Arial" w:cs="Arial" w:eastAsia="Arial" w:hAnsi="Arial"/>
          <w:sz w:val="16"/>
          <w:szCs w:val="16"/>
          <w:color w:val="auto"/>
        </w:rPr>
      </w:pPr>
    </w:p>
    <w:p>
      <w:pPr>
        <w:ind w:left="-40" w:right="60" w:firstLine="436"/>
        <w:spacing w:after="0" w:line="270" w:lineRule="auto"/>
        <w:tabs>
          <w:tab w:leader="none" w:pos="655"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but subject to </w:t>
      </w:r>
      <w:r>
        <w:rPr>
          <w:rFonts w:ascii="Arial" w:cs="Arial" w:eastAsia="Arial" w:hAnsi="Arial"/>
          <w:sz w:val="17"/>
          <w:szCs w:val="17"/>
          <w:u w:val="single" w:color="auto"/>
          <w:color w:val="auto"/>
        </w:rPr>
        <w:t>Section 1.12</w:t>
      </w:r>
      <w:r>
        <w:rPr>
          <w:rFonts w:ascii="Arial" w:cs="Arial" w:eastAsia="Arial" w:hAnsi="Arial"/>
          <w:sz w:val="17"/>
          <w:szCs w:val="17"/>
          <w:color w:val="auto"/>
        </w:rPr>
        <w:t>, all financial ratios and tests (including the First Lien Net Leverage Ratio, the Secured Net Leverage Ratio, the Total Net Leverage Ratio and the amount of Consolidated Total Assets and Consolidated Adjusted EBITDA) contained in this Agreement that are calculated with respect to any Test Period during which any Subject Transaction occurs shall be calculated with respect to such Test Period and such Subject Transaction on a Pro Forma Basis. Further, if since the beginning of any such Test Period and on or prior to the date of any required calculation of any financial ratio or test (i) any Subject Transaction has occurred or (ii) any Person that subsequently became a Restricted Subsidiary or was merged, amalgamated or consolidated with or into the Borrower or any of its Restricted Subsidiaries or any joint venture since the beginning of such Test Period has consummated any Subject Transaction, then, in each case, any applicable financial ratio or test shall be calculated on a Pro Forma Basis for such Test Period as if such Subject Transaction had occurred at the beginning of the applicable Test Period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40"/>
          </w:cols>
          <w:pgMar w:left="480" w:top="274" w:right="479" w:bottom="1440" w:gutter="0" w:footer="0" w:header="0"/>
        </w:sectPr>
      </w:pPr>
    </w:p>
    <w:bookmarkStart w:id="73" w:name="page74"/>
    <w:bookmarkEnd w:id="73"/>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Consolidated Total Assets (or with respect to any determination pertaining to the balance sheet, including the acquisition of Cash and/or Cash Equivalents), as of the last day of such Test Period) (it being understood, for the avoidance of doubt, that solely for purposes of (A) calculating actual compliance with </w:t>
      </w:r>
      <w:r>
        <w:rPr>
          <w:rFonts w:ascii="Arial" w:cs="Arial" w:eastAsia="Arial" w:hAnsi="Arial"/>
          <w:sz w:val="18"/>
          <w:szCs w:val="18"/>
          <w:u w:val="single" w:color="auto"/>
          <w:color w:val="auto"/>
        </w:rPr>
        <w:t>Section 6.10(a)</w:t>
      </w:r>
      <w:r>
        <w:rPr>
          <w:rFonts w:ascii="Arial" w:cs="Arial" w:eastAsia="Arial" w:hAnsi="Arial"/>
          <w:sz w:val="18"/>
          <w:szCs w:val="18"/>
          <w:color w:val="auto"/>
        </w:rPr>
        <w:t xml:space="preserve"> and (B) calculating the Total Net Leverage Ratio for purposes of the definitions of “Applicable Rate” and “Commitment Fee Rate”, in each case, the date of the required calculation shall be the last day of the Test Period, and no Subject Transaction occurring thereafter shall be taken into account).</w:t>
      </w:r>
    </w:p>
    <w:p>
      <w:pPr>
        <w:spacing w:after="0" w:line="80" w:lineRule="exact"/>
        <w:rPr>
          <w:sz w:val="20"/>
          <w:szCs w:val="20"/>
          <w:color w:val="auto"/>
        </w:rPr>
      </w:pPr>
    </w:p>
    <w:p>
      <w:pPr>
        <w:ind w:firstLine="436"/>
        <w:spacing w:after="0" w:line="293" w:lineRule="auto"/>
        <w:tabs>
          <w:tab w:leader="none" w:pos="685"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above or in the definition of “Capital Lease,”, only those leases (assuming for purposes hereof that such leases were then in existence) that would constitute Capital Leases in conformity with GAAP as in effect prior to giving effect to the adoption of ASU No. 2016-02 “Leases (Topic 842)” and ASU No. 2018-11 “Leases (Topic 842)” shall be considered Capital Leases hereunder or under any other Loan Document, and all calculations and deliverables under this Agreement or any other Loan Document shall be made, prepared or available, as applicable, in accordance therewith; </w:t>
      </w:r>
      <w:r>
        <w:rPr>
          <w:rFonts w:ascii="Arial" w:cs="Arial" w:eastAsia="Arial" w:hAnsi="Arial"/>
          <w:sz w:val="16"/>
          <w:szCs w:val="16"/>
          <w:u w:val="single" w:color="auto"/>
          <w:color w:val="auto"/>
        </w:rPr>
        <w:t>provided</w:t>
      </w:r>
      <w:r>
        <w:rPr>
          <w:rFonts w:ascii="Arial" w:cs="Arial" w:eastAsia="Arial" w:hAnsi="Arial"/>
          <w:sz w:val="16"/>
          <w:szCs w:val="16"/>
          <w:color w:val="auto"/>
        </w:rPr>
        <w:t>, that all financial statements required to be provided hereunder may, at the option of the Borrower, be prepared in accordance with GAAP without giving effect to the foregoing treatment of Capital Leases.</w:t>
      </w:r>
    </w:p>
    <w:p>
      <w:pPr>
        <w:spacing w:after="0" w:line="16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Effectuation of Transactions</w:t>
      </w:r>
      <w:r>
        <w:rPr>
          <w:rFonts w:ascii="Arial" w:cs="Arial" w:eastAsia="Arial" w:hAnsi="Arial"/>
          <w:sz w:val="18"/>
          <w:szCs w:val="18"/>
          <w:color w:val="auto"/>
        </w:rPr>
        <w:t>. Each of the representations and warranties contained in the Loan Documents (and all corresponding definitions) is made after giving effect to the Transactions, unless the context otherwise requires.</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Timing of Payment or Performance</w:t>
      </w:r>
      <w:r>
        <w:rPr>
          <w:rFonts w:ascii="Arial" w:cs="Arial" w:eastAsia="Arial" w:hAnsi="Arial"/>
          <w:sz w:val="18"/>
          <w:szCs w:val="18"/>
          <w:color w:val="auto"/>
        </w:rPr>
        <w:t>. When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spacing w:after="0" w:line="187"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herein, all references herein to times of day shall be references to New York City time (daylight or standard,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Currency Equivalents Generally</w:t>
      </w:r>
      <w:r>
        <w:rPr>
          <w:rFonts w:ascii="Arial" w:cs="Arial" w:eastAsia="Arial" w:hAnsi="Arial"/>
          <w:sz w:val="18"/>
          <w:szCs w:val="18"/>
          <w:color w:val="auto"/>
        </w:rPr>
        <w:t>.</w:t>
      </w:r>
    </w:p>
    <w:p>
      <w:pPr>
        <w:spacing w:after="0" w:line="117" w:lineRule="exact"/>
        <w:rPr>
          <w:sz w:val="20"/>
          <w:szCs w:val="20"/>
          <w:color w:val="auto"/>
        </w:rPr>
      </w:pPr>
    </w:p>
    <w:p>
      <w:pPr>
        <w:ind w:right="140" w:firstLine="436"/>
        <w:spacing w:after="0" w:line="259" w:lineRule="auto"/>
        <w:tabs>
          <w:tab w:leader="none" w:pos="68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Administrative Agent shall determine the Spot Rate as of each Revaluation Date to be used for calculating the Dollar Equivalent amount of any Revolving Loan and/or Letter of Credit that is denominated in any Alternate Currency. The Spot Rate shall become effective as of such Revaluation Date and shall be the Spot Rate employed in converting any amount between any Alternate Currency and Dollars until the next occurring Revaluation Date.</w:t>
      </w:r>
    </w:p>
    <w:p>
      <w:pPr>
        <w:spacing w:after="0" w:line="78" w:lineRule="exact"/>
        <w:rPr>
          <w:rFonts w:ascii="Arial" w:cs="Arial" w:eastAsia="Arial" w:hAnsi="Arial"/>
          <w:sz w:val="18"/>
          <w:szCs w:val="18"/>
          <w:color w:val="auto"/>
        </w:rPr>
      </w:pPr>
    </w:p>
    <w:p>
      <w:pPr>
        <w:ind w:firstLine="436"/>
        <w:spacing w:after="0" w:line="287"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For purposes of any determination under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6.10(a)</w:t>
      </w:r>
      <w:r>
        <w:rPr>
          <w:rFonts w:ascii="Arial" w:cs="Arial" w:eastAsia="Arial" w:hAnsi="Arial"/>
          <w:sz w:val="16"/>
          <w:szCs w:val="16"/>
          <w:color w:val="auto"/>
        </w:rPr>
        <w:t xml:space="preserve"> and the calculation of compliance with any financial ratio for purposes of taking any action hereunder) or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with respect to any Affiliate transaction, the amount of any Indebtedness, Lien, Restricted Payment, Restricted Debt Payment, Investment, Disposition or other transaction, event or circumstance, or any determination under any other provision of this Agreement, (any of the foregoing, a “</w:t>
      </w:r>
      <w:r>
        <w:rPr>
          <w:rFonts w:ascii="Arial" w:cs="Arial" w:eastAsia="Arial" w:hAnsi="Arial"/>
          <w:sz w:val="16"/>
          <w:szCs w:val="16"/>
          <w:u w:val="single" w:color="auto"/>
          <w:color w:val="auto"/>
        </w:rPr>
        <w:t>specified transaction</w:t>
      </w:r>
      <w:r>
        <w:rPr>
          <w:rFonts w:ascii="Arial" w:cs="Arial" w:eastAsia="Arial" w:hAnsi="Arial"/>
          <w:sz w:val="16"/>
          <w:szCs w:val="16"/>
          <w:color w:val="auto"/>
        </w:rPr>
        <w:t xml:space="preserve">”), in a currency other than Dollars, (i) the Dollar equivalent amount of a specified transaction in a currency other than Dollars shall be calculated based on the rate of exchange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Borrower) for such foreign currency, as in effect at 11:00 a.m. (London time) on the date of such specified transaction (which, in the case of any Restricted Payment, shall be deemed to be the date of the declaration thereof and, in the case of the incurrence of Indebtedness, shall be deemed to be on the date first committed); </w:t>
      </w:r>
      <w:r>
        <w:rPr>
          <w:rFonts w:ascii="Arial" w:cs="Arial" w:eastAsia="Arial" w:hAnsi="Arial"/>
          <w:sz w:val="16"/>
          <w:szCs w:val="16"/>
          <w:u w:val="single" w:color="auto"/>
          <w:color w:val="auto"/>
        </w:rPr>
        <w:t>provided</w:t>
      </w:r>
      <w:r>
        <w:rPr>
          <w:rFonts w:ascii="Arial" w:cs="Arial" w:eastAsia="Arial" w:hAnsi="Arial"/>
          <w:sz w:val="16"/>
          <w:szCs w:val="16"/>
          <w:color w:val="auto"/>
        </w:rPr>
        <w:t>, that if any Indebtedness is incurred (and, if applicable, associated Lien granted) to refinance or replace other Indebtedness denominated in a currency other than Dollars, and the relevant refinancing or replacement would cause the applicable Dollar-denominated restriction to be exceeded if calculated at the relevant currency exchange rate in effect on the date of such refinancing or</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440" w:top="274" w:right="479" w:bottom="1440" w:gutter="0" w:footer="0" w:header="0"/>
        </w:sectPr>
      </w:pPr>
    </w:p>
    <w:bookmarkStart w:id="74" w:name="page75"/>
    <w:bookmarkEnd w:id="74"/>
    <w:p>
      <w:pPr>
        <w:ind w:left="4"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replacement, such Dollar-denominated restriction shall be deemed not to have been exceeded so long as the principal amount of such refinancing or replacement Indebtedness (and, if applicable, associated Lien granted) does not exceed an amount sufficient to repay the principal amount of such Indebtedness being refinanced or replaced, except by an amount equal to (x) unpaid accrued interest and premiums (including tender premiums) thereon plus other reasonable and customary fees and expenses (including upfront fees and original issue discount) incurred in connection with such refinancing or replacement, (y) any existing commitment unutilized thereunder and (z) any additional amount permitted to be incurred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w:t>
      </w:r>
    </w:p>
    <w:p>
      <w:pPr>
        <w:spacing w:after="0" w:line="2" w:lineRule="exact"/>
        <w:rPr>
          <w:sz w:val="20"/>
          <w:szCs w:val="20"/>
          <w:color w:val="auto"/>
        </w:rPr>
      </w:pPr>
    </w:p>
    <w:p>
      <w:pPr>
        <w:ind w:left="4" w:hanging="4"/>
        <w:spacing w:after="0" w:line="284" w:lineRule="auto"/>
        <w:tabs>
          <w:tab w:leader="none" w:pos="269"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for the avoidance of doubt, no Default or Event of Default shall be deemed to have occurred solely as a result of a change in the rate of currency exchange occurring after the time of any specified transaction so long as such specified transaction was permitted at the time incurred, made, acquired, committed, entered or declared as set forth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For purposes of </w:t>
      </w:r>
      <w:r>
        <w:rPr>
          <w:rFonts w:ascii="Arial" w:cs="Arial" w:eastAsia="Arial" w:hAnsi="Arial"/>
          <w:sz w:val="16"/>
          <w:szCs w:val="16"/>
          <w:u w:val="single" w:color="auto"/>
          <w:color w:val="auto"/>
        </w:rPr>
        <w:t>Section 6.10(a)</w:t>
      </w:r>
      <w:r>
        <w:rPr>
          <w:rFonts w:ascii="Arial" w:cs="Arial" w:eastAsia="Arial" w:hAnsi="Arial"/>
          <w:sz w:val="16"/>
          <w:szCs w:val="16"/>
          <w:color w:val="auto"/>
        </w:rPr>
        <w:t xml:space="preserve"> and the calculation of compliance with any financial ratio for purposes of taking any action hereunder, on any relevant date of determination, amounts denominated in currencies other than Dollars shall be translated into Dollars at the applicable currency exchange rate used in preparing the financial statements delivered pursuant to </w:t>
      </w:r>
      <w:r>
        <w:rPr>
          <w:rFonts w:ascii="Arial" w:cs="Arial" w:eastAsia="Arial" w:hAnsi="Arial"/>
          <w:sz w:val="16"/>
          <w:szCs w:val="16"/>
          <w:u w:val="single" w:color="auto"/>
          <w:color w:val="auto"/>
        </w:rPr>
        <w:t>Sections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prior to the first such delivery, the financial statements referred to in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as applicable, for the relevant Test Period and will, with respect to any Indebtedness, reflect the currency translation effects, determined in accordance with GAAP, of any Hedge Agreement permitted hereunder in respect of currency exchange risks with respect to the applicable currency in effect on the date of determination for the Dollar equivalent amount of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Indebtedness that is subject to a Debt FX Hedge shall be determined in accordance with the definition of “Consolidated Total Debt”. Notwithstanding the foregoing or anything to the contrary herein, to the extent that the Borrower would not be in compliance with </w:t>
      </w:r>
      <w:r>
        <w:rPr>
          <w:rFonts w:ascii="Arial" w:cs="Arial" w:eastAsia="Arial" w:hAnsi="Arial"/>
          <w:sz w:val="16"/>
          <w:szCs w:val="16"/>
          <w:u w:val="single" w:color="auto"/>
          <w:color w:val="auto"/>
        </w:rPr>
        <w:t>Section 6.10(a)</w:t>
      </w:r>
      <w:r>
        <w:rPr>
          <w:rFonts w:ascii="Arial" w:cs="Arial" w:eastAsia="Arial" w:hAnsi="Arial"/>
          <w:sz w:val="16"/>
          <w:szCs w:val="16"/>
          <w:color w:val="auto"/>
        </w:rPr>
        <w:t xml:space="preserve"> if any Indebtedness denominated in a currency other than Dollars were to be translated into Dollars on the basis of the applicable currency exchange rate used in preparing the financial statements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as applicable, for the relevant Test Period, but would be in compliance with </w:t>
      </w:r>
      <w:r>
        <w:rPr>
          <w:rFonts w:ascii="Arial" w:cs="Arial" w:eastAsia="Arial" w:hAnsi="Arial"/>
          <w:sz w:val="16"/>
          <w:szCs w:val="16"/>
          <w:u w:val="single" w:color="auto"/>
          <w:color w:val="auto"/>
        </w:rPr>
        <w:t>Section 6.10(a)</w:t>
      </w:r>
      <w:r>
        <w:rPr>
          <w:rFonts w:ascii="Arial" w:cs="Arial" w:eastAsia="Arial" w:hAnsi="Arial"/>
          <w:sz w:val="16"/>
          <w:szCs w:val="16"/>
          <w:color w:val="auto"/>
        </w:rPr>
        <w:t xml:space="preserve"> if such Indebtedness that is denominated in a currency other than in Dollars were instead translated into Dollars on the basis of the average relevant currency exchange rates over such Test Period (taking into account the currency translation effects, determined in accordance with GAAP, of any Hedge Agreement permitted hereunder in respect of currency exchange risks with respect to the applicable currency in effect on the date of determination for the Dollar equivalent amount of such Indebtedness), then, solely for purposes of compliance with </w:t>
      </w:r>
      <w:r>
        <w:rPr>
          <w:rFonts w:ascii="Arial" w:cs="Arial" w:eastAsia="Arial" w:hAnsi="Arial"/>
          <w:sz w:val="16"/>
          <w:szCs w:val="16"/>
          <w:u w:val="single" w:color="auto"/>
          <w:color w:val="auto"/>
        </w:rPr>
        <w:t>Section 6.10(a)</w:t>
      </w:r>
      <w:r>
        <w:rPr>
          <w:rFonts w:ascii="Arial" w:cs="Arial" w:eastAsia="Arial" w:hAnsi="Arial"/>
          <w:sz w:val="16"/>
          <w:szCs w:val="16"/>
          <w:color w:val="auto"/>
        </w:rPr>
        <w:t xml:space="preserve">, the Total Net Leverage Ratio as of the last day of such Test Period shall be calculated on the basis of such average relevant currency exchange rates;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Indebtedness that is subject to a Debt FX Hedge shall be determined in accordance with the definition of “Consolidated Total Debt”.</w:t>
      </w:r>
    </w:p>
    <w:p>
      <w:pPr>
        <w:spacing w:after="0" w:line="61" w:lineRule="exact"/>
        <w:rPr>
          <w:rFonts w:ascii="Arial" w:cs="Arial" w:eastAsia="Arial" w:hAnsi="Arial"/>
          <w:sz w:val="16"/>
          <w:szCs w:val="16"/>
          <w:color w:val="auto"/>
        </w:rPr>
      </w:pPr>
    </w:p>
    <w:p>
      <w:pPr>
        <w:jc w:val="both"/>
        <w:ind w:left="4" w:right="240" w:firstLine="436"/>
        <w:spacing w:after="0" w:line="263" w:lineRule="auto"/>
        <w:tabs>
          <w:tab w:leader="none" w:pos="689" w:val="left"/>
        </w:tabs>
        <w:numPr>
          <w:ilvl w:val="1"/>
          <w:numId w:val="68"/>
        </w:numPr>
        <w:rPr>
          <w:rFonts w:ascii="Arial" w:cs="Arial" w:eastAsia="Arial" w:hAnsi="Arial"/>
          <w:sz w:val="18"/>
          <w:szCs w:val="18"/>
          <w:color w:val="auto"/>
        </w:rPr>
      </w:pPr>
      <w:r>
        <w:rPr>
          <w:rFonts w:ascii="Arial" w:cs="Arial" w:eastAsia="Arial" w:hAnsi="Arial"/>
          <w:sz w:val="18"/>
          <w:szCs w:val="18"/>
          <w:color w:val="auto"/>
        </w:rPr>
        <w:t>Each provision of this Agreement shall be subject to such reasonable changes of construction as the Administrative Agent may from time to time specify with the Borrower’s consent to appropriately reflect a change in currency of any country and any relevant market convention or practice relating to such change in currency.</w:t>
      </w:r>
    </w:p>
    <w:p>
      <w:pPr>
        <w:spacing w:after="0" w:line="184" w:lineRule="exact"/>
        <w:rPr>
          <w:sz w:val="20"/>
          <w:szCs w:val="20"/>
          <w:color w:val="auto"/>
        </w:rPr>
      </w:pPr>
    </w:p>
    <w:p>
      <w:pPr>
        <w:ind w:left="4" w:right="40" w:firstLine="440"/>
        <w:spacing w:after="0" w:line="273" w:lineRule="auto"/>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u w:val="single" w:color="auto"/>
          <w:color w:val="auto"/>
        </w:rPr>
        <w:t>Cashless Rollovers</w:t>
      </w:r>
      <w:r>
        <w:rPr>
          <w:rFonts w:ascii="Arial" w:cs="Arial" w:eastAsia="Arial" w:hAnsi="Arial"/>
          <w:sz w:val="17"/>
          <w:szCs w:val="17"/>
          <w:color w:val="auto"/>
        </w:rPr>
        <w:t>. Notwithstanding anything to the contrary contained in this Agreement or in any other Loan Document, to the extent that any Lender extends the maturity date of, or replaces, renews or refinances, any of its then-existing Loans with Incremental Loans, Replacement Term Loans, Loans in connection with any Revolver Replacement Facility, Extended Term Loans, Extended Revolving Loans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Alternate Currencies</w:t>
      </w:r>
      <w:r>
        <w:rPr>
          <w:rFonts w:ascii="Arial" w:cs="Arial" w:eastAsia="Arial" w:hAnsi="Arial"/>
          <w:sz w:val="18"/>
          <w:szCs w:val="18"/>
          <w:color w:val="auto"/>
        </w:rPr>
        <w:t>.</w:t>
      </w:r>
    </w:p>
    <w:p>
      <w:pPr>
        <w:spacing w:after="0" w:line="117" w:lineRule="exact"/>
        <w:rPr>
          <w:sz w:val="20"/>
          <w:szCs w:val="20"/>
          <w:color w:val="auto"/>
        </w:rPr>
      </w:pPr>
    </w:p>
    <w:p>
      <w:pPr>
        <w:ind w:left="4" w:right="240" w:firstLine="436"/>
        <w:spacing w:after="0" w:line="255" w:lineRule="auto"/>
        <w:tabs>
          <w:tab w:leader="none" w:pos="6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Borrower may from time to time request that Revolving Loans be made and/or Letters of Credit be issued in an Alternate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relevant requested currency is a lawful currency (other than Dollars) that is readily available and freely transferable and convertible into Dollars;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Swingline Loans may only be made in Dollars. In the case of any such request with respect to the making of Revolving Loans, such request shall be subject to the approval of the Administrative Agent and the Revolving Lenders and in the case of any such request with respect to the issuance of Letters of Credit, such request shall be subject to the approval of the Administrative Agent and each applicable Issuing Bank.</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4"/>
          </w:cols>
          <w:pgMar w:left="436" w:top="274" w:right="459" w:bottom="1440" w:gutter="0" w:footer="0" w:header="0"/>
        </w:sectPr>
      </w:pPr>
    </w:p>
    <w:bookmarkStart w:id="75" w:name="page76"/>
    <w:bookmarkEnd w:id="75"/>
    <w:p>
      <w:pPr>
        <w:ind w:right="20" w:firstLine="436"/>
        <w:spacing w:after="0" w:line="291" w:lineRule="auto"/>
        <w:tabs>
          <w:tab w:leader="none" w:pos="695"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such request shall be made to the Administrative Agent not later than 11:00 a.m. 10 Business Days prior to the date of any Credit Extension to be made in the applicable Alternate Currency (or such other time or date as may be agreed by the Administrative Agent). In the case of any such request pertaining to Revolving Loans, the Administrative Agent shall promptly notify each Revolving Lender thereof and in the case of any such request pertaining to Letters of Credit, the Administrative Agent shall promptly notify each applicable Issuing Bank thereof. Each such Revolving Lender (in the case of any such request pertaining to Revolving Loans) and/or each applicable Issuing Bank (in the case of a request pertaining to Letters of Credit) shall notify the Administrative Agent, not later than 11:00 a.m., five Business Days after receipt of such request whether it consents, in its sole discretion, to the making of Revolving Loans or the issuance of Letters of Credit, as the case may be, in such requested currency.</w:t>
      </w:r>
    </w:p>
    <w:p>
      <w:pPr>
        <w:spacing w:after="0" w:line="58" w:lineRule="exact"/>
        <w:rPr>
          <w:rFonts w:ascii="Arial" w:cs="Arial" w:eastAsia="Arial" w:hAnsi="Arial"/>
          <w:sz w:val="16"/>
          <w:szCs w:val="16"/>
          <w:color w:val="auto"/>
        </w:rPr>
      </w:pPr>
    </w:p>
    <w:p>
      <w:pPr>
        <w:ind w:right="160" w:firstLine="436"/>
        <w:spacing w:after="0" w:line="253" w:lineRule="auto"/>
        <w:tabs>
          <w:tab w:leader="none" w:pos="685"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Any failure by any Revolving Lender or the relevant Issuing Bank, as the case may be, to respond to such request within the time period specified in the preceding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shall be deemed to be a refusal by such Revolving Lender or Issuing Bank, as the case may be, to permit Revolving Loans to be made or Letters of Credit to be issued, as applicable, in such requested currency. If the Administrative Agent and all the Revolving Lenders that would be obligated to make Credit Extensions denominated in such requested currency consent to making Revolving Loans in the requested currency, the Administrative Agent shall so notify the Borrower, and such currency shall thereupon be deemed for all purposes to be an Alternate Currency hereunder for purposes of any Borrowing of Revolving Loans and if the Administrative Agent and each applicable Issuing Bank consent to the issuance of Letters of Credit in the requested currency, the Administrative Agent shall so notify the Borrower and such currency shall thereupon be deemed for all purposes to be an Alternate Currency hereunder for purposes of any Letter of Credit issuance. If the Administrative Agent fails to obtain the requisite consent to any request for an additional currency under this </w:t>
      </w:r>
      <w:r>
        <w:rPr>
          <w:rFonts w:ascii="Arial" w:cs="Arial" w:eastAsia="Arial" w:hAnsi="Arial"/>
          <w:sz w:val="18"/>
          <w:szCs w:val="18"/>
          <w:u w:val="single" w:color="auto"/>
          <w:color w:val="auto"/>
        </w:rPr>
        <w:t>Section 1.10</w:t>
      </w:r>
      <w:r>
        <w:rPr>
          <w:rFonts w:ascii="Arial" w:cs="Arial" w:eastAsia="Arial" w:hAnsi="Arial"/>
          <w:sz w:val="18"/>
          <w:szCs w:val="18"/>
          <w:color w:val="auto"/>
        </w:rPr>
        <w:t>, the Administrative Agent shall promptly so notify the Borrower.</w:t>
      </w:r>
    </w:p>
    <w:p>
      <w:pPr>
        <w:spacing w:after="0" w:line="86" w:lineRule="exact"/>
        <w:rPr>
          <w:rFonts w:ascii="Arial" w:cs="Arial" w:eastAsia="Arial" w:hAnsi="Arial"/>
          <w:sz w:val="18"/>
          <w:szCs w:val="18"/>
          <w:color w:val="auto"/>
        </w:rPr>
      </w:pPr>
    </w:p>
    <w:p>
      <w:pPr>
        <w:ind w:right="200" w:firstLine="436"/>
        <w:spacing w:after="0" w:line="263"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It being understood that in connection with the establishment of any Alternate Currency, the Administrative Agent and the Borrower shall be authorized, without the consent of any Lender or Issuing Bank, to amend this Agreement and the other Loan Documents to the extent necessary or advisable to implement such Alternate Currency under the Loan Documents.</w:t>
      </w:r>
    </w:p>
    <w:p>
      <w:pPr>
        <w:spacing w:after="0" w:line="184"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Rates; LIBOR Notification</w:t>
      </w:r>
      <w:r>
        <w:rPr>
          <w:rFonts w:ascii="Arial" w:cs="Arial" w:eastAsia="Arial" w:hAnsi="Arial"/>
          <w:sz w:val="16"/>
          <w:szCs w:val="16"/>
          <w:color w:val="auto"/>
        </w:rPr>
        <w:t>. The interest rate on LIBO Rate Loans is determined by reference to the Published 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w:t>
      </w:r>
      <w:r>
        <w:rPr>
          <w:rFonts w:ascii="Arial" w:cs="Arial" w:eastAsia="Arial" w:hAnsi="Arial"/>
          <w:sz w:val="16"/>
          <w:szCs w:val="16"/>
          <w:u w:val="single" w:color="auto"/>
          <w:color w:val="auto"/>
        </w:rPr>
        <w:t>IBA</w:t>
      </w:r>
      <w:r>
        <w:rPr>
          <w:rFonts w:ascii="Arial" w:cs="Arial" w:eastAsia="Arial" w:hAnsi="Arial"/>
          <w:sz w:val="16"/>
          <w:szCs w:val="16"/>
          <w:color w:val="auto"/>
        </w:rPr>
        <w:t>”) for purposes of the IBA setting the London interbank offered rate. On March 5, 2021, the IBA stated that as a result of its not having access to input data necessary to calculate LIBOR settings on a representative basis beyond the intended cessation dates set forth in the table below, it would have to cease publication of all 35 LIBOR settings immediately after such dates: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LIBOR Currency</w:t>
            </w:r>
          </w:p>
        </w:tc>
        <w:tc>
          <w:tcPr>
            <w:tcW w:w="1200" w:type="dxa"/>
            <w:vAlign w:val="bottom"/>
          </w:tcPr>
          <w:p>
            <w:pPr>
              <w:spacing w:after="0"/>
              <w:rPr>
                <w:sz w:val="16"/>
                <w:szCs w:val="16"/>
                <w:color w:val="auto"/>
              </w:rPr>
            </w:pPr>
          </w:p>
        </w:tc>
        <w:tc>
          <w:tcPr>
            <w:tcW w:w="3620" w:type="dxa"/>
            <w:vAlign w:val="bottom"/>
            <w:gridSpan w:val="2"/>
          </w:tcPr>
          <w:p>
            <w:pPr>
              <w:ind w:left="1260"/>
              <w:spacing w:after="0"/>
              <w:rPr>
                <w:sz w:val="20"/>
                <w:szCs w:val="20"/>
                <w:color w:val="auto"/>
              </w:rPr>
            </w:pPr>
            <w:r>
              <w:rPr>
                <w:rFonts w:ascii="Arial" w:cs="Arial" w:eastAsia="Arial" w:hAnsi="Arial"/>
                <w:sz w:val="14"/>
                <w:szCs w:val="14"/>
                <w:b w:val="1"/>
                <w:bCs w:val="1"/>
                <w:color w:val="auto"/>
              </w:rPr>
              <w:t>LIBOR Settings</w:t>
            </w:r>
          </w:p>
        </w:tc>
        <w:tc>
          <w:tcPr>
            <w:tcW w:w="3420" w:type="dxa"/>
            <w:vAlign w:val="bottom"/>
          </w:tcPr>
          <w:p>
            <w:pPr>
              <w:ind w:left="1560"/>
              <w:spacing w:after="0"/>
              <w:rPr>
                <w:sz w:val="20"/>
                <w:szCs w:val="20"/>
                <w:color w:val="auto"/>
              </w:rPr>
            </w:pPr>
            <w:r>
              <w:rPr>
                <w:rFonts w:ascii="Arial" w:cs="Arial" w:eastAsia="Arial" w:hAnsi="Arial"/>
                <w:sz w:val="14"/>
                <w:szCs w:val="14"/>
                <w:b w:val="1"/>
                <w:bCs w:val="1"/>
                <w:color w:val="auto"/>
              </w:rPr>
              <w:t>Date</w:t>
            </w:r>
          </w:p>
        </w:tc>
      </w:tr>
      <w:tr>
        <w:trPr>
          <w:trHeight w:val="189"/>
        </w:trPr>
        <w:tc>
          <w:tcPr>
            <w:tcW w:w="10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Dollars</w:t>
            </w:r>
          </w:p>
        </w:tc>
        <w:tc>
          <w:tcPr>
            <w:tcW w:w="1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1-week, 2-month</w:t>
            </w:r>
          </w:p>
        </w:tc>
        <w:tc>
          <w:tcPr>
            <w:tcW w:w="100" w:type="dxa"/>
            <w:vAlign w:val="bottom"/>
          </w:tcPr>
          <w:p>
            <w:pPr>
              <w:spacing w:after="0"/>
              <w:rPr>
                <w:sz w:val="16"/>
                <w:szCs w:val="16"/>
                <w:color w:val="auto"/>
              </w:rPr>
            </w:pPr>
          </w:p>
        </w:tc>
        <w:tc>
          <w:tcPr>
            <w:tcW w:w="342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December 31, 2021</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4820" w:type="dxa"/>
            <w:vAlign w:val="bottom"/>
            <w:gridSpan w:val="3"/>
          </w:tcPr>
          <w:p>
            <w:pPr>
              <w:ind w:left="1200"/>
              <w:spacing w:after="0"/>
              <w:rPr>
                <w:sz w:val="20"/>
                <w:szCs w:val="20"/>
                <w:color w:val="auto"/>
              </w:rPr>
            </w:pPr>
            <w:r>
              <w:rPr>
                <w:rFonts w:ascii="Arial" w:cs="Arial" w:eastAsia="Arial" w:hAnsi="Arial"/>
                <w:sz w:val="18"/>
                <w:szCs w:val="18"/>
                <w:color w:val="auto"/>
              </w:rPr>
              <w:t>All other settings</w:t>
            </w:r>
          </w:p>
        </w:tc>
        <w:tc>
          <w:tcPr>
            <w:tcW w:w="3420" w:type="dxa"/>
            <w:vAlign w:val="bottom"/>
          </w:tcPr>
          <w:p>
            <w:pPr>
              <w:ind w:left="20"/>
              <w:spacing w:after="0"/>
              <w:rPr>
                <w:sz w:val="20"/>
                <w:szCs w:val="20"/>
                <w:color w:val="auto"/>
              </w:rPr>
            </w:pPr>
            <w:r>
              <w:rPr>
                <w:rFonts w:ascii="Arial" w:cs="Arial" w:eastAsia="Arial" w:hAnsi="Arial"/>
                <w:sz w:val="18"/>
                <w:szCs w:val="18"/>
                <w:color w:val="auto"/>
              </w:rPr>
              <w:t>June 30, 2023</w:t>
            </w:r>
          </w:p>
        </w:tc>
      </w:tr>
      <w:tr>
        <w:trPr>
          <w:trHeight w:val="216"/>
        </w:trPr>
        <w:tc>
          <w:tcPr>
            <w:tcW w:w="1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820" w:type="dxa"/>
            <w:vAlign w:val="bottom"/>
            <w:gridSpan w:val="3"/>
          </w:tcPr>
          <w:p>
            <w:pPr>
              <w:ind w:left="1200"/>
              <w:spacing w:after="0"/>
              <w:rPr>
                <w:sz w:val="20"/>
                <w:szCs w:val="20"/>
                <w:color w:val="auto"/>
              </w:rPr>
            </w:pPr>
            <w:r>
              <w:rPr>
                <w:rFonts w:ascii="Arial" w:cs="Arial" w:eastAsia="Arial" w:hAnsi="Arial"/>
                <w:sz w:val="18"/>
                <w:szCs w:val="18"/>
                <w:color w:val="auto"/>
              </w:rPr>
              <w:t>(i.e., Overnight/Spot Next, 1-month, 3-month,</w:t>
            </w:r>
          </w:p>
        </w:tc>
        <w:tc>
          <w:tcPr>
            <w:tcW w:w="3420" w:type="dxa"/>
            <w:vAlign w:val="bottom"/>
          </w:tcPr>
          <w:p>
            <w:pPr>
              <w:spacing w:after="0"/>
              <w:rPr>
                <w:sz w:val="18"/>
                <w:szCs w:val="18"/>
                <w:color w:val="auto"/>
              </w:rPr>
            </w:pPr>
          </w:p>
        </w:tc>
      </w:tr>
      <w:tr>
        <w:trPr>
          <w:trHeight w:val="230"/>
        </w:trPr>
        <w:tc>
          <w:tcPr>
            <w:tcW w:w="10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820" w:type="dxa"/>
            <w:vAlign w:val="bottom"/>
            <w:gridSpan w:val="3"/>
          </w:tcPr>
          <w:p>
            <w:pPr>
              <w:ind w:left="1200"/>
              <w:spacing w:after="0"/>
              <w:rPr>
                <w:sz w:val="20"/>
                <w:szCs w:val="20"/>
                <w:color w:val="auto"/>
              </w:rPr>
            </w:pPr>
            <w:r>
              <w:rPr>
                <w:rFonts w:ascii="Arial" w:cs="Arial" w:eastAsia="Arial" w:hAnsi="Arial"/>
                <w:sz w:val="18"/>
                <w:szCs w:val="18"/>
                <w:color w:val="auto"/>
              </w:rPr>
              <w:t>6-month and 12-month)</w:t>
            </w:r>
          </w:p>
        </w:tc>
        <w:tc>
          <w:tcPr>
            <w:tcW w:w="3420" w:type="dxa"/>
            <w:vAlign w:val="bottom"/>
          </w:tcPr>
          <w:p>
            <w:pPr>
              <w:spacing w:after="0"/>
              <w:rPr>
                <w:sz w:val="19"/>
                <w:szCs w:val="19"/>
                <w:color w:val="auto"/>
              </w:rPr>
            </w:pP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GBP, EUR, CHF, JPY</w:t>
            </w:r>
          </w:p>
        </w:tc>
        <w:tc>
          <w:tcPr>
            <w:tcW w:w="4820" w:type="dxa"/>
            <w:vAlign w:val="bottom"/>
            <w:gridSpan w:val="3"/>
          </w:tcPr>
          <w:p>
            <w:pPr>
              <w:ind w:left="1200"/>
              <w:spacing w:after="0"/>
              <w:rPr>
                <w:sz w:val="20"/>
                <w:szCs w:val="20"/>
                <w:color w:val="auto"/>
              </w:rPr>
            </w:pPr>
            <w:r>
              <w:rPr>
                <w:rFonts w:ascii="Arial" w:cs="Arial" w:eastAsia="Arial" w:hAnsi="Arial"/>
                <w:sz w:val="18"/>
                <w:szCs w:val="18"/>
                <w:color w:val="auto"/>
              </w:rPr>
              <w:t>All settings</w:t>
            </w:r>
          </w:p>
        </w:tc>
        <w:tc>
          <w:tcPr>
            <w:tcW w:w="3420" w:type="dxa"/>
            <w:vAlign w:val="bottom"/>
          </w:tcPr>
          <w:p>
            <w:pPr>
              <w:ind w:left="20"/>
              <w:spacing w:after="0"/>
              <w:rPr>
                <w:sz w:val="20"/>
                <w:szCs w:val="20"/>
                <w:color w:val="auto"/>
              </w:rPr>
            </w:pPr>
            <w:r>
              <w:rPr>
                <w:rFonts w:ascii="Arial" w:cs="Arial" w:eastAsia="Arial" w:hAnsi="Arial"/>
                <w:sz w:val="18"/>
                <w:szCs w:val="18"/>
                <w:color w:val="auto"/>
              </w:rPr>
              <w:t>December 31, 2021</w:t>
            </w:r>
          </w:p>
        </w:tc>
      </w:tr>
    </w:tbl>
    <w:p>
      <w:pPr>
        <w:spacing w:after="0" w:line="20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The IBA did not identify any successor administrator in its announcement. In light of this eventuality, public and private sector industry initiatives are currently underway to identify new or alternative reference rates to be used in place of the London interbank offered rate.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provides a mechanism for determining an alternative rate of interest for Loans denominated in Dollars. The Administrative Agent will promptly notify the Borrower, pursuant to </w:t>
      </w:r>
      <w:r>
        <w:rPr>
          <w:rFonts w:ascii="Arial" w:cs="Arial" w:eastAsia="Arial" w:hAnsi="Arial"/>
          <w:sz w:val="17"/>
          <w:szCs w:val="17"/>
          <w:u w:val="single" w:color="auto"/>
          <w:color w:val="auto"/>
        </w:rPr>
        <w:t>Section 1.13</w:t>
      </w:r>
      <w:r>
        <w:rPr>
          <w:rFonts w:ascii="Arial" w:cs="Arial" w:eastAsia="Arial" w:hAnsi="Arial"/>
          <w:sz w:val="17"/>
          <w:szCs w:val="17"/>
          <w:color w:val="auto"/>
        </w:rPr>
        <w:t>, of any change to the reference rate upon which the interest rate on LIBO Rate Loans is based.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76" w:name="page77"/>
    <w:bookmarkEnd w:id="76"/>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1.12. </w:t>
      </w:r>
      <w:r>
        <w:rPr>
          <w:rFonts w:ascii="Arial" w:cs="Arial" w:eastAsia="Arial" w:hAnsi="Arial"/>
          <w:sz w:val="18"/>
          <w:szCs w:val="18"/>
          <w:u w:val="single" w:color="auto"/>
          <w:color w:val="auto"/>
        </w:rPr>
        <w:t>Certain Calculations and Tests</w:t>
      </w:r>
      <w:r>
        <w:rPr>
          <w:rFonts w:ascii="Arial" w:cs="Arial" w:eastAsia="Arial" w:hAnsi="Arial"/>
          <w:sz w:val="18"/>
          <w:szCs w:val="18"/>
          <w:color w:val="auto"/>
        </w:rPr>
        <w:t>.</w:t>
      </w:r>
    </w:p>
    <w:p>
      <w:pPr>
        <w:spacing w:after="0" w:line="117" w:lineRule="exact"/>
        <w:rPr>
          <w:sz w:val="20"/>
          <w:szCs w:val="20"/>
          <w:color w:val="auto"/>
        </w:rPr>
      </w:pPr>
    </w:p>
    <w:p>
      <w:pPr>
        <w:ind w:left="-20" w:firstLine="436"/>
        <w:spacing w:after="0" w:line="284" w:lineRule="auto"/>
        <w:tabs>
          <w:tab w:leader="none" w:pos="665"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to the extent that the terms of this Agreement require (i) compliance with any financial ratio or test (including, </w:t>
      </w:r>
      <w:r>
        <w:rPr>
          <w:rFonts w:ascii="Arial" w:cs="Arial" w:eastAsia="Arial" w:hAnsi="Arial"/>
          <w:sz w:val="16"/>
          <w:szCs w:val="16"/>
          <w:u w:val="single" w:color="auto"/>
          <w:color w:val="auto"/>
        </w:rPr>
        <w:t>Section 6.10(a),</w:t>
      </w:r>
      <w:r>
        <w:rPr>
          <w:rFonts w:ascii="Arial" w:cs="Arial" w:eastAsia="Arial" w:hAnsi="Arial"/>
          <w:sz w:val="16"/>
          <w:szCs w:val="16"/>
          <w:color w:val="auto"/>
        </w:rPr>
        <w:t xml:space="preserve"> any First Lien Net Leverage Ratio test, any Secured Net Leverage Ratio test or any Total Net Leverage Ratio test) and/or any cap expressed as a percentage of Consolidated Adjusted EBITDA or Consolidated Total Assets, (ii) the absence of a Default or Event of Default (or any type of Default or Event of Default), (iii) the making or accuracy of any representation and/or warranty or (iv) compliance with availability under any basket or cap (including any basket or cap expressed as a percentage of Consolidated Adjusted EBITDA or Consolidated Total Assets), in each case, a condition to (A) the consummation of any transaction in connection with any acquisition or similar Investment (including the assumption or incurrence of Indebtedness), (B) the making of any Restricted Payment and/or (C) the making of any Restricted Debt Payment, the determination of whether the relevant condition is satisfied may be made, at the election of the Borrower, (1) in the case of any acquisition or similar Investment (including with respect to any Indebtedness contemplated, assumed or incurred in connection therewith), at the time of (or on the basis of the financial statements for the most recently ended Test Period at the time of) either (x) the execution of the definitive agreement with respect to such acquisition or Investment, (y) in connection with an acquisition to which the United Kingdom City Code or Takeover and Mergers (or any comparable Requirement of Law) applies, the date on which a “Rule 2.7 announcement” of a firm intention to make an offer in respect of the target of an acquisition (or equivalent notice under comparable Requirements of Law) or (z) the consummation of such acquisition or Investment, (2) in the case of any Restricted Payment (including with respect to any Indebtedness contemplated or incurred in connection therewith), at the time of (or on the basis of the financial statements for the most recently ended Test Period at the time of) either (x) the declaration of such Restricted Payment or (y) the making of such Restricted Payment and (3) in the case of any Restricted Debt Payment (including with respect to any Indebtedness contemplated or incurred in connection therewith), at the time of (or on the basis of the financial statements for the most recently ended Test Period at the time of) either (x) delivery of irrevocable (which may be conditional) notice with respect to such Restricted Debt Payment or (y) the making of such Restricted Debt Payment, in each case, after giving effect, on a Pro Forma Basis, to (I) the relevant acquisition, Investment, Restricted Payment, Restricted Debt Payment and/or any related Indebtedness (including the intended use of proceeds thereof) and (II) to the extent definitive documents in respect thereof have been executed, the Restricted Payment has been declared or delivery of notice with respect to a Restricted Debt Payment has been delivered (which definitive documents, declaration or notice has not terminated or expired without the consummation thereof), any other Subject Transaction that the Borrower has elected to treat in accordance with this </w:t>
      </w:r>
      <w:r>
        <w:rPr>
          <w:rFonts w:ascii="Arial" w:cs="Arial" w:eastAsia="Arial" w:hAnsi="Arial"/>
          <w:sz w:val="16"/>
          <w:szCs w:val="16"/>
          <w:u w:val="single" w:color="auto"/>
          <w:color w:val="auto"/>
        </w:rPr>
        <w:t>clause (a)</w:t>
      </w:r>
      <w:r>
        <w:rPr>
          <w:rFonts w:ascii="Arial" w:cs="Arial" w:eastAsia="Arial" w:hAnsi="Arial"/>
          <w:sz w:val="16"/>
          <w:szCs w:val="16"/>
          <w:color w:val="auto"/>
        </w:rPr>
        <w:t>.</w:t>
      </w:r>
    </w:p>
    <w:p>
      <w:pPr>
        <w:spacing w:after="0" w:line="286" w:lineRule="exact"/>
        <w:rPr>
          <w:rFonts w:ascii="Arial" w:cs="Arial" w:eastAsia="Arial" w:hAnsi="Arial"/>
          <w:sz w:val="16"/>
          <w:szCs w:val="16"/>
          <w:color w:val="auto"/>
        </w:rPr>
      </w:pPr>
    </w:p>
    <w:p>
      <w:pPr>
        <w:ind w:left="-20" w:firstLine="436"/>
        <w:spacing w:after="0" w:line="293" w:lineRule="auto"/>
        <w:tabs>
          <w:tab w:leader="none" w:pos="675"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For purposes of determining the permissibility of any action, change, transaction or event that requires a calculation of any financial ratio or test (including </w:t>
      </w:r>
      <w:r>
        <w:rPr>
          <w:rFonts w:ascii="Arial" w:cs="Arial" w:eastAsia="Arial" w:hAnsi="Arial"/>
          <w:sz w:val="16"/>
          <w:szCs w:val="16"/>
          <w:u w:val="single" w:color="auto"/>
          <w:color w:val="auto"/>
        </w:rPr>
        <w:t>Section 6.10(a)</w:t>
      </w:r>
      <w:r>
        <w:rPr>
          <w:rFonts w:ascii="Arial" w:cs="Arial" w:eastAsia="Arial" w:hAnsi="Arial"/>
          <w:sz w:val="16"/>
          <w:szCs w:val="16"/>
          <w:color w:val="auto"/>
        </w:rPr>
        <w:t xml:space="preserve">, any First Lien Net Leverage Ratio test, any Secured Net Leverage Ratio test, any Total Net Leverage Ratio test and/or the amount of Consolidated Adjusted EBITDA or Consolidated Total Assets), such financial ratio or test shall be calculated (subject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at the time such action is taken, such change is made, such transaction is consummated or such event occurs, as the case may be, and no Default or Event of Default shall be deemed to have occurred solely as a result of a change in such financial ratio or test or amount occurring after such calculation, or after the time such action is taken, such change is made, such transaction is consummated or such event occurs, as the case may be.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80"/>
          </w:cols>
          <w:pgMar w:left="460" w:top="274" w:right="459" w:bottom="1440" w:gutter="0" w:footer="0" w:header="0"/>
        </w:sectPr>
      </w:pPr>
    </w:p>
    <w:bookmarkStart w:id="77" w:name="page78"/>
    <w:bookmarkEnd w:id="77"/>
    <w:p>
      <w:pPr>
        <w:ind w:right="40" w:firstLine="436"/>
        <w:spacing w:after="0" w:line="268" w:lineRule="auto"/>
        <w:tabs>
          <w:tab w:leader="none" w:pos="685" w:val="left"/>
        </w:tabs>
        <w:numPr>
          <w:ilvl w:val="0"/>
          <w:numId w:val="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with respect to any amount incurred or transaction entered into (or consummated) in reliance on a provision of this Agreement that does not require compliance with a financial ratio or test (including any First Lien Net Leverage Ratio test, any Secured Net Leverage Ratio test and/or any Total Net Leverage Ratio test) (any such amount, including any such amount drawn or deemed to have been drawn under any revolving credit facility and, for the avoidance of doubt, any amount that is expressed as a percentage of Consolidated Adjusted EBITDA or Consolidated Total Assets, a “</w:t>
      </w:r>
      <w:r>
        <w:rPr>
          <w:rFonts w:ascii="Arial" w:cs="Arial" w:eastAsia="Arial" w:hAnsi="Arial"/>
          <w:sz w:val="17"/>
          <w:szCs w:val="17"/>
          <w:u w:val="single" w:color="auto"/>
          <w:color w:val="auto"/>
        </w:rPr>
        <w:t>Fixed Amount</w:t>
      </w:r>
      <w:r>
        <w:rPr>
          <w:rFonts w:ascii="Arial" w:cs="Arial" w:eastAsia="Arial" w:hAnsi="Arial"/>
          <w:sz w:val="17"/>
          <w:szCs w:val="17"/>
          <w:color w:val="auto"/>
        </w:rPr>
        <w:t xml:space="preserve">”) substantially concurrently with any amount incurred or transaction entered into (or consummated) in reliance on a provision of this Agreement that requires compliance with a financial ratio or test (including </w:t>
      </w:r>
      <w:r>
        <w:rPr>
          <w:rFonts w:ascii="Arial" w:cs="Arial" w:eastAsia="Arial" w:hAnsi="Arial"/>
          <w:sz w:val="17"/>
          <w:szCs w:val="17"/>
          <w:u w:val="single" w:color="auto"/>
          <w:color w:val="auto"/>
        </w:rPr>
        <w:t>Section 6.10(a)</w:t>
      </w:r>
      <w:r>
        <w:rPr>
          <w:rFonts w:ascii="Arial" w:cs="Arial" w:eastAsia="Arial" w:hAnsi="Arial"/>
          <w:sz w:val="17"/>
          <w:szCs w:val="17"/>
          <w:color w:val="auto"/>
        </w:rPr>
        <w:t>, any First Lien Net Leverage Ratio test, any Secured Net Leverage Ratio test and/or any Total Net Leverage Ratio test) (any such amount, an “</w:t>
      </w:r>
      <w:r>
        <w:rPr>
          <w:rFonts w:ascii="Arial" w:cs="Arial" w:eastAsia="Arial" w:hAnsi="Arial"/>
          <w:sz w:val="17"/>
          <w:szCs w:val="17"/>
          <w:u w:val="single" w:color="auto"/>
          <w:color w:val="auto"/>
        </w:rPr>
        <w:t>Incurrence-Based</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xml:space="preserve">”), it is understood and agreed that (i) any Fixed Amount shall be disregarded in the calculation of the financial ratio or test applicable to the relevant Incurrence-Based Amount and (ii) except as provided in the preceding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pro forma effect shall be given to the entire transaction. The Borrower may elect that any amount incurred or transaction entered into (or consummated) in reliance on one or more of any Incurrence-Based Amount or any Fixed Amount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that unless the Borrower elects otherwise and except as set forth in the definition of “Incremental Cap”, each such amount or transaction shall be deemed incurred, entered into or consummated first under any Incurrence-Based Amount to the maximum extent permitted thereunder.</w:t>
      </w:r>
    </w:p>
    <w:p>
      <w:pPr>
        <w:spacing w:after="0" w:line="78" w:lineRule="exact"/>
        <w:rPr>
          <w:rFonts w:ascii="Arial" w:cs="Arial" w:eastAsia="Arial" w:hAnsi="Arial"/>
          <w:sz w:val="17"/>
          <w:szCs w:val="17"/>
          <w:color w:val="auto"/>
        </w:rPr>
      </w:pPr>
    </w:p>
    <w:p>
      <w:pPr>
        <w:ind w:right="340" w:firstLine="436"/>
        <w:spacing w:after="0" w:line="308" w:lineRule="auto"/>
        <w:tabs>
          <w:tab w:leader="none" w:pos="69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spacing w:after="0" w:line="38" w:lineRule="exact"/>
        <w:rPr>
          <w:rFonts w:ascii="Arial" w:cs="Arial" w:eastAsia="Arial" w:hAnsi="Arial"/>
          <w:sz w:val="17"/>
          <w:szCs w:val="17"/>
          <w:color w:val="auto"/>
        </w:rPr>
      </w:pPr>
    </w:p>
    <w:p>
      <w:pPr>
        <w:ind w:firstLine="436"/>
        <w:spacing w:after="0" w:line="259" w:lineRule="auto"/>
        <w:tabs>
          <w:tab w:leader="none" w:pos="685"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increase in any amount secured by any Lien by virtue of the accrual of interest, the accretion of accreted value, the payment of interest or a dividend in the form of additional Indebtedness, amortization of original issue discount and/or any increase in the amount of Indebtedness outstanding solely as a result of any fluctuation in the exchange rate of any applicable currency will not be deemed to be the creation, incurrence, assumption, or the permission or sufferance to exist of a Lien for purposes of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260" w:firstLine="436"/>
        <w:spacing w:after="0" w:line="259" w:lineRule="auto"/>
        <w:tabs>
          <w:tab w:leader="none" w:pos="6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With respect to any pro forma calculation that is required to be made in connection with any acquisition or similar Investment in respect of which financial statements for the applicable target are not available for the same Test Period for which financial statements of the Borrower are available, the Borrower shall make the relevant calculation on the basis of the relevant available financial statements (even if for differing periods) or such other commercially reasonable basis as the Borrower may elect.</w:t>
      </w:r>
    </w:p>
    <w:p>
      <w:pPr>
        <w:spacing w:after="0" w:line="78" w:lineRule="exact"/>
        <w:rPr>
          <w:rFonts w:ascii="Arial" w:cs="Arial" w:eastAsia="Arial" w:hAnsi="Arial"/>
          <w:sz w:val="18"/>
          <w:szCs w:val="18"/>
          <w:color w:val="auto"/>
        </w:rPr>
      </w:pPr>
    </w:p>
    <w:p>
      <w:pPr>
        <w:ind w:firstLine="436"/>
        <w:spacing w:after="0" w:line="268" w:lineRule="auto"/>
        <w:tabs>
          <w:tab w:leader="none" w:pos="695"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In connection with the implementation or assumption of any revolving commitment and/or any delayed draw commitment (in each case, other than any such commitment implemented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in reliance on any Incurrence-Based Amount, the Borrower may, in its sole discretion elect to, by written notice to the Administrative Agent (a “</w:t>
      </w:r>
      <w:r>
        <w:rPr>
          <w:rFonts w:ascii="Arial" w:cs="Arial" w:eastAsia="Arial" w:hAnsi="Arial"/>
          <w:sz w:val="17"/>
          <w:szCs w:val="17"/>
          <w:u w:val="single" w:color="auto"/>
          <w:color w:val="auto"/>
        </w:rPr>
        <w:t>Specified Commitment Notice</w:t>
      </w:r>
      <w:r>
        <w:rPr>
          <w:rFonts w:ascii="Arial" w:cs="Arial" w:eastAsia="Arial" w:hAnsi="Arial"/>
          <w:sz w:val="17"/>
          <w:szCs w:val="17"/>
          <w:color w:val="auto"/>
        </w:rPr>
        <w:t>”), either (a) treat all or any portion of such revolving commitment and/or delayed draw commitment as having been fully drawn on the date of implementation or assumption (such commitment (or portion thereof), a “</w:t>
      </w:r>
      <w:r>
        <w:rPr>
          <w:rFonts w:ascii="Arial" w:cs="Arial" w:eastAsia="Arial" w:hAnsi="Arial"/>
          <w:sz w:val="17"/>
          <w:szCs w:val="17"/>
          <w:u w:val="single" w:color="auto"/>
          <w:color w:val="auto"/>
        </w:rPr>
        <w:t>Specified Commitment</w:t>
      </w:r>
      <w:r>
        <w:rPr>
          <w:rFonts w:ascii="Arial" w:cs="Arial" w:eastAsia="Arial" w:hAnsi="Arial"/>
          <w:sz w:val="17"/>
          <w:szCs w:val="17"/>
          <w:color w:val="auto"/>
        </w:rPr>
        <w:t xml:space="preserve">”), in which case (i) the Borrower shall not be required to comply with any financial ratio or test in connection with any drawing thereunder after the date of incurrence or assumption and (ii) other than for purposes of (A) the Applicable Rate, (B) the Commitment Fee Rate and/or (C) actual compliance with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the amount of such Specified Commitment shall be deemed to have been an actual incurrence of Indebtedness thereunder on the date of implementation or assumption for purposes of calculating any Incurrence-Based Amount or (b) test the permissibility of all or any portion of any drawing under such revolving commitment and/or delayed draw commitment on the date of such drawing (if any), in which case, such revolving commitment and/or delayed draw commitment (or portion thereof) shall only be treated as drawn for purposes of any Incurrence-Based Amount to the extent of any actual drawing thereunder that is outstanding at the applicable time of determination. It is understood and agreed that the Borrower may, at any time in its sole discretion, (x) deliver a Specified Commitment Notice with respect to any revolving commitment and/or delayed draw commitment and/or (y) withdraw any Specified Commitment Notice with respect to all or any portion of any revolving commitment and/or delayed draw commitment and instead elect to treat such revolving commitment and/or delayed draw commitment in accordance with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the immediately preceding sentence.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78" w:name="page79"/>
    <w:bookmarkEnd w:id="78"/>
    <w:p>
      <w:pPr>
        <w:ind w:right="220" w:firstLine="436"/>
        <w:spacing w:after="0" w:line="277"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determination of the Weighted Average Life to Maturity of any Indebtedness shall be made by the Borrower in good faith at the time of the incurrence of such Indebtedness.</w:t>
      </w:r>
    </w:p>
    <w:p>
      <w:pPr>
        <w:spacing w:after="0" w:line="170" w:lineRule="exact"/>
        <w:rPr>
          <w:rFonts w:ascii="Arial" w:cs="Arial" w:eastAsia="Arial" w:hAnsi="Arial"/>
          <w:sz w:val="18"/>
          <w:szCs w:val="18"/>
          <w:color w:val="auto"/>
        </w:rPr>
      </w:pPr>
    </w:p>
    <w:p>
      <w:pPr>
        <w:ind w:right="60" w:firstLine="436"/>
        <w:spacing w:after="0" w:line="25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It is understood and agreed that the Borrower and/or any Restricted Subsidiary may incur Indebtedness permitted under any provision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to refinance Indebtedness originally incurred under the same provision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while the Indebtedness being refinanced remains outstanding so long as the proceeds of the applicable refinancing Indebtedness are promptly deposited with the trustee or other applicable representative of the holders of the Indebtedness being refinanced, which proceeds will be applied to satisfy and discharge the Indebtedness being refinanced in accordance with the documentation governing such Indebtedness.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Effect of Benchmark Transition Event</w:t>
      </w:r>
      <w:r>
        <w:rPr>
          <w:rFonts w:ascii="Arial" w:cs="Arial" w:eastAsia="Arial" w:hAnsi="Arial"/>
          <w:sz w:val="18"/>
          <w:szCs w:val="18"/>
          <w:color w:val="auto"/>
        </w:rPr>
        <w:t>.</w:t>
      </w:r>
    </w:p>
    <w:p>
      <w:pPr>
        <w:spacing w:after="0" w:line="117" w:lineRule="exact"/>
        <w:rPr>
          <w:sz w:val="20"/>
          <w:szCs w:val="20"/>
          <w:color w:val="auto"/>
        </w:rPr>
      </w:pPr>
    </w:p>
    <w:p>
      <w:pPr>
        <w:ind w:right="120" w:firstLine="436"/>
        <w:spacing w:after="0" w:line="311" w:lineRule="auto"/>
        <w:tabs>
          <w:tab w:leader="none" w:pos="685"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with respect to Dollars, that:</w:t>
      </w:r>
    </w:p>
    <w:p>
      <w:pPr>
        <w:spacing w:after="0" w:line="40" w:lineRule="exact"/>
        <w:rPr>
          <w:rFonts w:ascii="Arial" w:cs="Arial" w:eastAsia="Arial" w:hAnsi="Arial"/>
          <w:sz w:val="16"/>
          <w:szCs w:val="16"/>
          <w:color w:val="auto"/>
        </w:rPr>
      </w:pPr>
    </w:p>
    <w:p>
      <w:pPr>
        <w:ind w:left="440" w:right="340" w:firstLine="419"/>
        <w:spacing w:after="0" w:line="263" w:lineRule="auto"/>
        <w:tabs>
          <w:tab w:leader="none" w:pos="1078" w:val="left"/>
        </w:tabs>
        <w:numPr>
          <w:ilvl w:val="1"/>
          <w:numId w:val="74"/>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the LIBO Rate for Dollars for any Interest Period hereunder or any other tenors of LIBOR, including because the LIBO Rate for Dollars is not available or published on a current basis at such time and such circumstances are unlikely to be temporary; or</w:t>
      </w:r>
    </w:p>
    <w:p>
      <w:pPr>
        <w:spacing w:after="0" w:line="75" w:lineRule="exact"/>
        <w:rPr>
          <w:rFonts w:ascii="Arial" w:cs="Arial" w:eastAsia="Arial" w:hAnsi="Arial"/>
          <w:sz w:val="18"/>
          <w:szCs w:val="18"/>
          <w:color w:val="auto"/>
        </w:rPr>
      </w:pPr>
    </w:p>
    <w:p>
      <w:pPr>
        <w:ind w:left="440" w:right="40" w:firstLine="419"/>
        <w:spacing w:after="0" w:line="275" w:lineRule="auto"/>
        <w:tabs>
          <w:tab w:leader="none" w:pos="1128"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administrator of the LIBO Rate for Dollars or a Governmental Authority having jurisdiction over the Administrative Agent or such administrator has made a public statement identifying a specific date after which the LIBO Rate or the Published LIBO Rate for Dollars shall no longer be made available, or used for determining the interest rate of loans denominated in Dollars, provided that, in each case, at the time of such statement, there is no successor administrator that is reasonably satisfactory to the Administrative Agent that will continue to provide the LIBO Rate for Dollars after such specific date (such specific date, the “</w:t>
      </w:r>
      <w:r>
        <w:rPr>
          <w:rFonts w:ascii="Arial" w:cs="Arial" w:eastAsia="Arial" w:hAnsi="Arial"/>
          <w:sz w:val="17"/>
          <w:szCs w:val="17"/>
          <w:u w:val="single" w:color="auto"/>
          <w:color w:val="auto"/>
        </w:rPr>
        <w:t>Scheduled Unavailability Date</w:t>
      </w:r>
      <w:r>
        <w:rPr>
          <w:rFonts w:ascii="Arial" w:cs="Arial" w:eastAsia="Arial" w:hAnsi="Arial"/>
          <w:sz w:val="17"/>
          <w:szCs w:val="17"/>
          <w:color w:val="auto"/>
        </w:rPr>
        <w:t>”); or</w:t>
      </w:r>
    </w:p>
    <w:p>
      <w:pPr>
        <w:spacing w:after="0" w:line="68" w:lineRule="exact"/>
        <w:rPr>
          <w:rFonts w:ascii="Arial" w:cs="Arial" w:eastAsia="Arial" w:hAnsi="Arial"/>
          <w:sz w:val="17"/>
          <w:szCs w:val="17"/>
          <w:color w:val="auto"/>
        </w:rPr>
      </w:pPr>
    </w:p>
    <w:p>
      <w:pPr>
        <w:ind w:left="440" w:right="340" w:firstLine="419"/>
        <w:spacing w:after="0" w:line="308" w:lineRule="auto"/>
        <w:tabs>
          <w:tab w:leader="none" w:pos="1178"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administrator of the LIBO Rate for Dollars or a Governmental Authority having jurisdiction over such administrator has made a public statement announcing that all Interest Periods and other tenors of the LIBO Rate are no longer representative; or</w:t>
      </w:r>
    </w:p>
    <w:p>
      <w:pPr>
        <w:spacing w:after="0" w:line="38" w:lineRule="exact"/>
        <w:rPr>
          <w:rFonts w:ascii="Arial" w:cs="Arial" w:eastAsia="Arial" w:hAnsi="Arial"/>
          <w:sz w:val="17"/>
          <w:szCs w:val="17"/>
          <w:color w:val="auto"/>
        </w:rPr>
      </w:pPr>
    </w:p>
    <w:p>
      <w:pPr>
        <w:ind w:left="440" w:firstLine="419"/>
        <w:spacing w:after="0" w:line="342" w:lineRule="auto"/>
        <w:tabs>
          <w:tab w:leader="none" w:pos="1168" w:val="left"/>
        </w:tabs>
        <w:numPr>
          <w:ilvl w:val="1"/>
          <w:numId w:val="74"/>
        </w:numPr>
        <w:rPr>
          <w:rFonts w:ascii="Arial" w:cs="Arial" w:eastAsia="Arial" w:hAnsi="Arial"/>
          <w:sz w:val="16"/>
          <w:szCs w:val="16"/>
          <w:color w:val="auto"/>
        </w:rPr>
      </w:pPr>
      <w:r>
        <w:rPr>
          <w:rFonts w:ascii="Arial" w:cs="Arial" w:eastAsia="Arial" w:hAnsi="Arial"/>
          <w:sz w:val="16"/>
          <w:szCs w:val="16"/>
          <w:color w:val="auto"/>
        </w:rPr>
        <w:t xml:space="preserve">syndicated loans being executed at the time of such determination, or that include language similar to that contained in this </w:t>
      </w:r>
      <w:r>
        <w:rPr>
          <w:rFonts w:ascii="Arial" w:cs="Arial" w:eastAsia="Arial" w:hAnsi="Arial"/>
          <w:sz w:val="16"/>
          <w:szCs w:val="16"/>
          <w:u w:val="single" w:color="auto"/>
          <w:color w:val="auto"/>
        </w:rPr>
        <w:t>Section 1.13</w:t>
      </w:r>
      <w:r>
        <w:rPr>
          <w:rFonts w:ascii="Arial" w:cs="Arial" w:eastAsia="Arial" w:hAnsi="Arial"/>
          <w:sz w:val="16"/>
          <w:szCs w:val="16"/>
          <w:color w:val="auto"/>
        </w:rPr>
        <w:t>, are being executed or amended (as applicable) to incorporate or adopt a new benchmark interest rate to replace the LIBO Rate for Dollars,</w:t>
      </w:r>
    </w:p>
    <w:p>
      <w:pPr>
        <w:spacing w:after="0" w:line="124" w:lineRule="exact"/>
        <w:rPr>
          <w:sz w:val="20"/>
          <w:szCs w:val="20"/>
          <w:color w:val="auto"/>
        </w:rPr>
      </w:pPr>
    </w:p>
    <w:p>
      <w:pPr>
        <w:ind w:right="120" w:firstLine="440"/>
        <w:spacing w:after="0" w:line="270" w:lineRule="auto"/>
        <w:rPr>
          <w:sz w:val="20"/>
          <w:szCs w:val="20"/>
          <w:color w:val="auto"/>
        </w:rPr>
      </w:pPr>
      <w:r>
        <w:rPr>
          <w:rFonts w:ascii="Arial" w:cs="Arial" w:eastAsia="Arial" w:hAnsi="Arial"/>
          <w:sz w:val="17"/>
          <w:szCs w:val="17"/>
          <w:color w:val="auto"/>
        </w:rPr>
        <w:t xml:space="preserve">then, reasonably promptly after such determination by the Administrative Agent or receipt by the Administrative Agent of such notice from the Borrower or the Required Lenders, notwithstanding anything to the contrary in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the Administrative Agent and the Borrower may amend this Agreement solely for the purpose of replacing the LIBO Rate for Dollars in accordance with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with (x) one or more SOFR-Based Rates or (y) another alternate benchmark rate giving due consideration to any evolving or then existing convention for comparable syndicated credit facilities for such alternative benchmarks for Dollars and, in each case, including any mathematical or other adjustments to such benchmark giving due consideration to any evolving or then existing convention for comparable syndicated credit facilities for such benchmark for Dollars, which adjustment or method for calculating such adjustment shall be published on an information service as selected by the Administrative Agent from time to time in its reasonable discretion in consultation with the Borrower and may be periodically updated (each, an “</w:t>
      </w:r>
      <w:r>
        <w:rPr>
          <w:rFonts w:ascii="Arial" w:cs="Arial" w:eastAsia="Arial" w:hAnsi="Arial"/>
          <w:sz w:val="17"/>
          <w:szCs w:val="17"/>
          <w:u w:val="single" w:color="auto"/>
          <w:color w:val="auto"/>
        </w:rPr>
        <w:t>Adjustment</w:t>
      </w:r>
      <w:r>
        <w:rPr>
          <w:rFonts w:ascii="Arial" w:cs="Arial" w:eastAsia="Arial" w:hAnsi="Arial"/>
          <w:sz w:val="17"/>
          <w:szCs w:val="17"/>
          <w:color w:val="auto"/>
        </w:rPr>
        <w:t>;” and any such proposed rate, a “</w:t>
      </w:r>
      <w:r>
        <w:rPr>
          <w:rFonts w:ascii="Arial" w:cs="Arial" w:eastAsia="Arial" w:hAnsi="Arial"/>
          <w:sz w:val="17"/>
          <w:szCs w:val="17"/>
          <w:u w:val="single" w:color="auto"/>
          <w:color w:val="auto"/>
        </w:rPr>
        <w:t>Successor Rate</w:t>
      </w:r>
      <w:r>
        <w:rPr>
          <w:rFonts w:ascii="Arial" w:cs="Arial" w:eastAsia="Arial" w:hAnsi="Arial"/>
          <w:sz w:val="17"/>
          <w:szCs w:val="17"/>
          <w:color w:val="auto"/>
        </w:rPr>
        <w:t>”), and any such</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79" w:name="page80"/>
    <w:bookmarkEnd w:id="79"/>
    <w:p>
      <w:pPr>
        <w:ind w:left="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amendment shall become effective at 5:00 p.m. on the fifth Business Day after the Administrative Agent shall have posted such proposed amendment to all Lenders unless, prior to such time, Lenders comprising the Required Lenders have delivered to the Administrative Agent written notice that the Required Lenders object to any Adjustment or any rate which is not a SOFR-Based Rate;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such Required Lenders shall not be entitled to object to any SOFR-Based Rate contained in any such amendment.</w:t>
      </w:r>
    </w:p>
    <w:p>
      <w:pPr>
        <w:spacing w:after="0" w:line="171" w:lineRule="exact"/>
        <w:rPr>
          <w:sz w:val="20"/>
          <w:szCs w:val="20"/>
          <w:color w:val="auto"/>
        </w:rPr>
      </w:pPr>
    </w:p>
    <w:p>
      <w:pPr>
        <w:jc w:val="both"/>
        <w:ind w:left="4" w:right="120" w:firstLine="440"/>
        <w:spacing w:after="0" w:line="286" w:lineRule="auto"/>
        <w:rPr>
          <w:sz w:val="20"/>
          <w:szCs w:val="20"/>
          <w:color w:val="auto"/>
        </w:rPr>
      </w:pPr>
      <w:r>
        <w:rPr>
          <w:rFonts w:ascii="Arial" w:cs="Arial" w:eastAsia="Arial" w:hAnsi="Arial"/>
          <w:sz w:val="17"/>
          <w:szCs w:val="17"/>
          <w:color w:val="auto"/>
        </w:rPr>
        <w:t xml:space="preserve">Any Successor Rate shall be applied in a manner consistent with market practice for comparable syndicated loans being executed at the time of such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such market practice is not administratively feasible for the Administrative Agent, such Successor Rate shall be applied in a manner as otherwise reasonably determined by the Administrative Agent in consultation with the Borrower.</w:t>
      </w:r>
    </w:p>
    <w:p>
      <w:pPr>
        <w:spacing w:after="0" w:line="165" w:lineRule="exact"/>
        <w:rPr>
          <w:sz w:val="20"/>
          <w:szCs w:val="20"/>
          <w:color w:val="auto"/>
        </w:rPr>
      </w:pPr>
    </w:p>
    <w:p>
      <w:pPr>
        <w:jc w:val="both"/>
        <w:ind w:left="4" w:right="140" w:firstLine="440"/>
        <w:spacing w:after="0" w:line="291" w:lineRule="auto"/>
        <w:rPr>
          <w:sz w:val="20"/>
          <w:szCs w:val="20"/>
          <w:color w:val="auto"/>
        </w:rPr>
      </w:pPr>
      <w:r>
        <w:rPr>
          <w:rFonts w:ascii="Arial" w:cs="Arial" w:eastAsia="Arial" w:hAnsi="Arial"/>
          <w:sz w:val="16"/>
          <w:szCs w:val="16"/>
          <w:color w:val="auto"/>
        </w:rPr>
        <w:t>Notwithstanding anything to the contrary herein, if at any time any Successor Rate as so determined would otherwise be less than (x) in the case of Initial Term Loans, 0.00% per annum, then the Successor Rate with respect to such Initial Term Loans will be deemed to be 0.00% per annum and</w:t>
      </w:r>
    </w:p>
    <w:p>
      <w:pPr>
        <w:ind w:left="4" w:right="60" w:hanging="4"/>
        <w:spacing w:after="0" w:line="260" w:lineRule="auto"/>
        <w:tabs>
          <w:tab w:leader="none" w:pos="259"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Initial Revolving Loans, 0.00% per annum, then the Successor Rate with respect to such Initial Revolving Loans will be deemed to be 0.00% per annum, in each case, for the purposes of this Agreement and the other Loan Documents.</w:t>
      </w:r>
    </w:p>
    <w:p>
      <w:pPr>
        <w:spacing w:after="0" w:line="185"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8"/>
          <w:szCs w:val="18"/>
          <w:color w:val="auto"/>
        </w:rPr>
        <w:t xml:space="preserve">In connection with the implementation of a Successor Rate, the Administrative Agent will have the right to make Successor Rate Conforming Changes from time to time and, notwithstanding anything to the contrary herein or in any other Loan Document, any amendments implementing such Successor Rate Conforming Changes will become effective without any further action or consent of any other party to this Agreement (other than the Borrower (such consent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such amendment effected, the Administrative Agent shall post each such amendment implementing such Successor Rate Conforming Changes to the Borrower and the Lenders reasonably promptly after such amendment becomes effective.</w:t>
      </w:r>
    </w:p>
    <w:p>
      <w:pPr>
        <w:spacing w:after="0" w:line="84" w:lineRule="exact"/>
        <w:rPr>
          <w:sz w:val="20"/>
          <w:szCs w:val="20"/>
          <w:color w:val="auto"/>
        </w:rPr>
      </w:pPr>
    </w:p>
    <w:p>
      <w:pPr>
        <w:ind w:left="4" w:right="40" w:firstLine="436"/>
        <w:spacing w:after="0" w:line="285" w:lineRule="auto"/>
        <w:tabs>
          <w:tab w:leader="none" w:pos="699"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If, at the end of any Interest Period, relevant interest payment date or payment period for interest calculated, no Successor Rate has been determined in accordance with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or the Scheduled Unavailability Date has occurred (as applicable), the Administrative Agent will promptly so notify the Borrower and each Lender and thereafter, (x) the obligation of the Lenders to make or maintain LIBO Rate Loans in Dollars shall be suspended (to the extent of the affected LIBO Rate Loans, Interest Periods, interest payment dates or payment periods) and (y) the LIBO Rate component shall no longer be utilized in determining the Base Rate, until the Successor Rate has been determined in accordance with </w:t>
      </w:r>
      <w:r>
        <w:rPr>
          <w:rFonts w:ascii="Arial" w:cs="Arial" w:eastAsia="Arial" w:hAnsi="Arial"/>
          <w:sz w:val="16"/>
          <w:szCs w:val="16"/>
          <w:u w:val="single" w:color="auto"/>
          <w:color w:val="auto"/>
        </w:rPr>
        <w:t>clause</w:t>
      </w:r>
    </w:p>
    <w:p>
      <w:pPr>
        <w:spacing w:after="0" w:line="1" w:lineRule="exact"/>
        <w:rPr>
          <w:rFonts w:ascii="Arial" w:cs="Arial" w:eastAsia="Arial" w:hAnsi="Arial"/>
          <w:sz w:val="16"/>
          <w:szCs w:val="16"/>
          <w:color w:val="auto"/>
        </w:rPr>
      </w:pPr>
    </w:p>
    <w:p>
      <w:pPr>
        <w:ind w:left="4" w:right="140" w:hanging="4"/>
        <w:spacing w:after="0" w:line="281" w:lineRule="auto"/>
        <w:tabs>
          <w:tab w:leader="none" w:pos="294" w:val="left"/>
        </w:tabs>
        <w:numPr>
          <w:ilvl w:val="0"/>
          <w:numId w:val="77"/>
        </w:numPr>
        <w:rPr>
          <w:rFonts w:ascii="Arial" w:cs="Arial" w:eastAsia="Arial" w:hAnsi="Arial"/>
          <w:sz w:val="16"/>
          <w:szCs w:val="16"/>
          <w:u w:val="single" w:color="auto"/>
          <w:color w:val="auto"/>
        </w:rPr>
      </w:pPr>
      <w:r>
        <w:rPr>
          <w:rFonts w:ascii="Arial" w:cs="Arial" w:eastAsia="Arial" w:hAnsi="Arial"/>
          <w:sz w:val="16"/>
          <w:szCs w:val="16"/>
          <w:color w:val="auto"/>
        </w:rPr>
        <w:t>Upon receipt of such notice, the Borrower may revoke any pending request for a Borrowing of, conversion to or continuation of LIBO Rate Loans (to the extent of the affected LIBO Rate Loans, Interest Periods, interest payment dates or payment periods) or, failing that, (i) any requested Loans denominated in Dollars will be deemed to have converted such request into a request for a Borrowing of ABR Loans (subject to the foregoing clause</w:t>
      </w:r>
    </w:p>
    <w:p>
      <w:pPr>
        <w:spacing w:after="0" w:line="1" w:lineRule="exact"/>
        <w:rPr>
          <w:rFonts w:ascii="Arial" w:cs="Arial" w:eastAsia="Arial" w:hAnsi="Arial"/>
          <w:sz w:val="16"/>
          <w:szCs w:val="16"/>
          <w:u w:val="single" w:color="auto"/>
          <w:color w:val="auto"/>
        </w:rPr>
      </w:pPr>
    </w:p>
    <w:p>
      <w:pPr>
        <w:ind w:left="4" w:right="140" w:hanging="4"/>
        <w:spacing w:after="0" w:line="260" w:lineRule="auto"/>
        <w:tabs>
          <w:tab w:leader="none" w:pos="259"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amount specified therein) and (ii) any outstanding affected LIBO Rate Loans denominated in Dollars will be deemed to have been converted into ABR Loans at the end of the applicable Interest Period.</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1.14.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Certain Determinations</w:t>
      </w:r>
      <w:r>
        <w:rPr>
          <w:rFonts w:ascii="Arial" w:cs="Arial" w:eastAsia="Arial" w:hAnsi="Arial"/>
          <w:sz w:val="18"/>
          <w:szCs w:val="18"/>
          <w:color w:val="auto"/>
        </w:rPr>
        <w:t>.</w:t>
      </w:r>
    </w:p>
    <w:p>
      <w:pPr>
        <w:spacing w:after="0" w:line="117" w:lineRule="exact"/>
        <w:rPr>
          <w:sz w:val="20"/>
          <w:szCs w:val="20"/>
          <w:color w:val="auto"/>
        </w:rPr>
      </w:pPr>
    </w:p>
    <w:p>
      <w:pPr>
        <w:ind w:left="4" w:right="120" w:firstLine="436"/>
        <w:spacing w:after="0" w:line="273" w:lineRule="auto"/>
        <w:tabs>
          <w:tab w:leader="none" w:pos="689"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For the avoidance of doubt, in connection with any incurrence of Indebtedness under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“Required Lenders” and “Required Revolving Lenders” shall be calculated on a Pro Forma Basis in accordance with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and the definition of “Incremental Cap”;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waiver, amendment or modification obtained on such basis (i) will become operative substantially contemporaneously with the incurrence of such Indebtedness and (ii) shall not affect the rights or duties under this Agreement of any Lender holding any Loan and/or Commitment under any then-outstanding Class in a manner that does not affect the rights or duties of the Lenders in respect of the Indebtedness incurred in reliance on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in connection with the relevant amendment.</w:t>
      </w:r>
    </w:p>
    <w:p>
      <w:pPr>
        <w:spacing w:after="0" w:line="11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64"/>
          </w:cols>
          <w:pgMar w:left="436" w:top="274" w:right="499" w:bottom="1440" w:gutter="0" w:footer="0" w:header="0"/>
        </w:sectPr>
      </w:pPr>
    </w:p>
    <w:bookmarkStart w:id="80" w:name="page81"/>
    <w:bookmarkEnd w:id="80"/>
    <w:p>
      <w:pPr>
        <w:ind w:left="704" w:hanging="264"/>
        <w:spacing w:after="0"/>
        <w:tabs>
          <w:tab w:leader="none" w:pos="704" w:val="left"/>
        </w:tabs>
        <w:numPr>
          <w:ilvl w:val="1"/>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ind w:left="4" w:right="60" w:firstLine="436"/>
        <w:spacing w:after="0" w:line="255" w:lineRule="auto"/>
        <w:tabs>
          <w:tab w:leader="none" w:pos="689" w:val="left"/>
        </w:tabs>
        <w:numPr>
          <w:ilvl w:val="1"/>
          <w:numId w:val="80"/>
        </w:numPr>
        <w:rPr>
          <w:rFonts w:ascii="Arial" w:cs="Arial" w:eastAsia="Arial" w:hAnsi="Arial"/>
          <w:sz w:val="18"/>
          <w:szCs w:val="18"/>
          <w:color w:val="auto"/>
        </w:rPr>
      </w:pPr>
      <w:r>
        <w:rPr>
          <w:rFonts w:ascii="Arial" w:cs="Arial" w:eastAsia="Arial" w:hAnsi="Arial"/>
          <w:sz w:val="18"/>
          <w:szCs w:val="18"/>
          <w:color w:val="auto"/>
        </w:rPr>
        <w:t>With respect to any determination under the terms of this Agreement that is vested in the Borrower, the Borrower shall have a right, in its sole discretion (but not any obligation), to deliver notice of such determination to the Administrative Agent, together with a reasonably detailed description thereof, which notice shall be conclusive evidence that such determination satisfied the applicable standard under this Agreement or the relevant other Loan Document unless, within five Business Days following receipt of notice of such determination (and the related description) from the Borrower, the Required Lenders deliver a written objection to such determination to the Borrower, which written objection states, with specificity, the basis upon which the Required Lenders object to such determination.</w:t>
      </w:r>
    </w:p>
    <w:p>
      <w:pPr>
        <w:spacing w:after="0" w:line="84" w:lineRule="exact"/>
        <w:rPr>
          <w:rFonts w:ascii="Arial" w:cs="Arial" w:eastAsia="Arial" w:hAnsi="Arial"/>
          <w:sz w:val="18"/>
          <w:szCs w:val="18"/>
          <w:color w:val="auto"/>
        </w:rPr>
      </w:pPr>
    </w:p>
    <w:p>
      <w:pPr>
        <w:ind w:left="4" w:firstLine="436"/>
        <w:spacing w:after="0" w:line="269" w:lineRule="auto"/>
        <w:tabs>
          <w:tab w:leader="none" w:pos="699"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or in any other Loan Document, if, after delivery of any Compliance Certificate pursuant to </w:t>
      </w:r>
      <w:r>
        <w:rPr>
          <w:rFonts w:ascii="Arial" w:cs="Arial" w:eastAsia="Arial" w:hAnsi="Arial"/>
          <w:sz w:val="17"/>
          <w:szCs w:val="17"/>
          <w:u w:val="single" w:color="auto"/>
          <w:color w:val="auto"/>
        </w:rPr>
        <w:t>Section 5.01(c)</w:t>
      </w:r>
      <w:r>
        <w:rPr>
          <w:rFonts w:ascii="Arial" w:cs="Arial" w:eastAsia="Arial" w:hAnsi="Arial"/>
          <w:sz w:val="17"/>
          <w:szCs w:val="17"/>
          <w:color w:val="auto"/>
        </w:rPr>
        <w:t>, it is subsequently determined that the Total Net Leverage Ratio set forth in such Compliance Certificate is inaccurate for any reason and the result of such inaccuracy is that the Lenders received any amount of interest or any fee for any relevant period based on an Applicable Rate or Commitment Fee Rate that is greater than or less than the amount that would have applied if the Total Net Leverage Ratio set forth in such Compliance Certificate had been accurately reported, then, for all purposes under this Agreement, the Applicable Rate and the Commitment Fee Rate for each day during the relevant period shall be revised to be based upon the accurately determined Total Net Leverage Ratio and, in such event, any shortfall in the amount of any applicable interest payment shall be due and payable within five Business Days following the date on which the Borrower becomes aware of the relevant inaccuracy. In the event that (A) any inaccuracy in the calculation of the Total Net Leverage Ratio resulted in a shortfall in the amount of any required interest or principal payment and (B) such inaccuracy resulted from a good faith mistake on the part of the Borrower in the preparation of such calculation, no Default or Event of Default shall arise under this Agreement with respect thereto unless the relevant amount has not been paid within the period described in the preceding sentence.</w:t>
      </w:r>
    </w:p>
    <w:p>
      <w:pPr>
        <w:spacing w:after="0" w:line="73" w:lineRule="exact"/>
        <w:rPr>
          <w:rFonts w:ascii="Arial" w:cs="Arial" w:eastAsia="Arial" w:hAnsi="Arial"/>
          <w:sz w:val="17"/>
          <w:szCs w:val="17"/>
          <w:color w:val="auto"/>
        </w:rPr>
      </w:pPr>
    </w:p>
    <w:p>
      <w:pPr>
        <w:ind w:left="684" w:hanging="244"/>
        <w:spacing w:after="0"/>
        <w:tabs>
          <w:tab w:leader="none" w:pos="684" w:val="left"/>
        </w:tabs>
        <w:numPr>
          <w:ilvl w:val="1"/>
          <w:numId w:val="80"/>
        </w:numPr>
        <w:rPr>
          <w:rFonts w:ascii="Arial" w:cs="Arial" w:eastAsia="Arial" w:hAnsi="Arial"/>
          <w:sz w:val="16"/>
          <w:szCs w:val="16"/>
          <w:color w:val="auto"/>
        </w:rPr>
      </w:pPr>
      <w:r>
        <w:rPr>
          <w:rFonts w:ascii="Arial" w:cs="Arial" w:eastAsia="Arial" w:hAnsi="Arial"/>
          <w:sz w:val="16"/>
          <w:szCs w:val="16"/>
          <w:color w:val="auto"/>
        </w:rPr>
        <w:t>With respect to determination of the permissibility of any transaction by Holdings, the Borrower and/or any subsidiary under this Agreement,</w:t>
      </w:r>
    </w:p>
    <w:p>
      <w:pPr>
        <w:spacing w:after="0" w:line="46" w:lineRule="exact"/>
        <w:rPr>
          <w:rFonts w:ascii="Arial" w:cs="Arial" w:eastAsia="Arial" w:hAnsi="Arial"/>
          <w:sz w:val="16"/>
          <w:szCs w:val="16"/>
          <w:color w:val="auto"/>
        </w:rPr>
      </w:pPr>
    </w:p>
    <w:p>
      <w:pPr>
        <w:ind w:left="4" w:right="100" w:hanging="4"/>
        <w:spacing w:after="0" w:line="273" w:lineRule="auto"/>
        <w:tabs>
          <w:tab w:leader="none" w:pos="219"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delivery by the Borrower of a third party valuation report from (A) a nationally recognized accounting, appraisal, investment banking or consulting firm or (B) another firm reasonably acceptable to the Administrative Agent, in each case, shall be conclusive with respect to the value of the assets covered thereby and (ii) any determination of whether an action is taken “in the ordinary course of business” or “in a manner consistent with past practice” (or, in either case, any similar expression) shall be made by the Borrower in good faith.</w:t>
      </w:r>
    </w:p>
    <w:p>
      <w:pPr>
        <w:spacing w:after="0" w:line="68" w:lineRule="exact"/>
        <w:rPr>
          <w:rFonts w:ascii="Arial" w:cs="Arial" w:eastAsia="Arial" w:hAnsi="Arial"/>
          <w:sz w:val="17"/>
          <w:szCs w:val="17"/>
          <w:color w:val="auto"/>
        </w:rPr>
      </w:pPr>
    </w:p>
    <w:p>
      <w:pPr>
        <w:ind w:left="4" w:right="80" w:firstLine="436"/>
        <w:spacing w:after="0" w:line="263" w:lineRule="auto"/>
        <w:tabs>
          <w:tab w:leader="none" w:pos="669"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It is understood and agreed for the avoidance of doubt that the carve-outs from the provisions of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may include items or activities that are not restricted by the relevant provision and the inclusion of such items or activities shall not be construed to expand the scope of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Article 6</w:t>
      </w:r>
      <w:r>
        <w:rPr>
          <w:rFonts w:ascii="Arial" w:cs="Arial" w:eastAsia="Arial" w:hAnsi="Arial"/>
          <w:sz w:val="18"/>
          <w:szCs w:val="18"/>
          <w:color w:val="auto"/>
        </w:rPr>
        <w:t>, as applicable.</w:t>
      </w:r>
    </w:p>
    <w:p>
      <w:pPr>
        <w:spacing w:after="0" w:line="184" w:lineRule="exact"/>
        <w:rPr>
          <w:sz w:val="20"/>
          <w:szCs w:val="20"/>
          <w:color w:val="auto"/>
        </w:rPr>
      </w:pPr>
    </w:p>
    <w:p>
      <w:pPr>
        <w:jc w:val="both"/>
        <w:ind w:left="4" w:right="360" w:firstLine="440"/>
        <w:spacing w:after="0" w:line="259"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Conflicts</w:t>
      </w:r>
      <w:r>
        <w:rPr>
          <w:rFonts w:ascii="Arial" w:cs="Arial" w:eastAsia="Arial" w:hAnsi="Arial"/>
          <w:sz w:val="18"/>
          <w:szCs w:val="18"/>
          <w:color w:val="auto"/>
        </w:rPr>
        <w:t>. In the event of any conflict or inconsistency between any term or provision of this Agreement (excluding the Exhibits hereto) and any term or provision of any Exhibit to this Agreement, the term or provision of this Agreement shall govern, and the Borrower shall be entitled to make such revisions to the relevant term or provision of the applicable Exhibit to ensure that such term or provision is consistent with the corresponding term or provision of this Agreement.</w:t>
      </w:r>
    </w:p>
    <w:p>
      <w:pPr>
        <w:spacing w:after="0" w:line="187" w:lineRule="exact"/>
        <w:rPr>
          <w:sz w:val="20"/>
          <w:szCs w:val="20"/>
          <w:color w:val="auto"/>
        </w:rPr>
      </w:pPr>
    </w:p>
    <w:p>
      <w:pPr>
        <w:ind w:left="4" w:right="120" w:firstLine="440"/>
        <w:spacing w:after="0" w:line="255" w:lineRule="auto"/>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Confidentiality; Privilege, Etc</w:t>
      </w:r>
      <w:r>
        <w:rPr>
          <w:rFonts w:ascii="Arial" w:cs="Arial" w:eastAsia="Arial" w:hAnsi="Arial"/>
          <w:sz w:val="18"/>
          <w:szCs w:val="18"/>
          <w:color w:val="auto"/>
        </w:rPr>
        <w:t>. Notwithstanding any obligation to provide information under any Loan Document or allow the Administrative Agent, the Lenders or any third party to access or inspect the books and records of Holdings or its subsidiaries or otherwise as set forth in this Agreement or any other Loan Document, none of Holdings or any of its subsidiaries will be required to disclose or permit the inspection or discussion of, any document, information or other matter (a) that constitutes a non-financial trade secret or non-financial proprietary information of any Person, (b) in respect of which disclosure to the Administrative Agent or any Lender (or any of their respective Representatives) is prohibited by applicable Requirements of</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4"/>
          </w:cols>
          <w:pgMar w:left="436" w:top="274" w:right="439" w:bottom="1440" w:gutter="0" w:footer="0" w:header="0"/>
        </w:sectPr>
      </w:pPr>
    </w:p>
    <w:bookmarkStart w:id="81" w:name="page82"/>
    <w:bookmarkEnd w:id="81"/>
    <w:p>
      <w:pPr>
        <w:jc w:val="both"/>
        <w:ind w:left="4"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Law, (c) that is subject to attorney-client or similar privilege or constitutes attorney work product and/or (d) in respect of which Holdings and/or any of its subsidiaries owes confidentiality obligations to any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confidentiality obligations were not entered into in contemplation of the requirements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such information has not been provided in reliance on </w:t>
      </w:r>
      <w:r>
        <w:rPr>
          <w:rFonts w:ascii="Arial" w:cs="Arial" w:eastAsia="Arial" w:hAnsi="Arial"/>
          <w:sz w:val="16"/>
          <w:szCs w:val="16"/>
          <w:u w:val="single" w:color="auto"/>
          <w:color w:val="auto"/>
        </w:rPr>
        <w:t>clauses (c)</w:t>
      </w:r>
      <w:r>
        <w:rPr>
          <w:rFonts w:ascii="Arial" w:cs="Arial" w:eastAsia="Arial" w:hAnsi="Arial"/>
          <w:sz w:val="16"/>
          <w:szCs w:val="16"/>
          <w:color w:val="auto"/>
        </w:rPr>
        <w:t xml:space="preserve"> and/or</w:t>
      </w:r>
    </w:p>
    <w:p>
      <w:pPr>
        <w:spacing w:after="0" w:line="2" w:lineRule="exact"/>
        <w:rPr>
          <w:sz w:val="20"/>
          <w:szCs w:val="20"/>
          <w:color w:val="auto"/>
        </w:rPr>
      </w:pPr>
    </w:p>
    <w:p>
      <w:pPr>
        <w:ind w:left="264" w:hanging="264"/>
        <w:spacing w:after="0"/>
        <w:tabs>
          <w:tab w:leader="none" w:pos="264" w:val="left"/>
        </w:tabs>
        <w:numPr>
          <w:ilvl w:val="0"/>
          <w:numId w:val="82"/>
        </w:numPr>
        <w:rPr>
          <w:rFonts w:ascii="Arial" w:cs="Arial" w:eastAsia="Arial" w:hAnsi="Arial"/>
          <w:sz w:val="18"/>
          <w:szCs w:val="18"/>
          <w:u w:val="single" w:color="auto"/>
          <w:color w:val="auto"/>
        </w:rPr>
      </w:pPr>
      <w:r>
        <w:rPr>
          <w:rFonts w:ascii="Arial" w:cs="Arial" w:eastAsia="Arial" w:hAnsi="Arial"/>
          <w:sz w:val="18"/>
          <w:szCs w:val="18"/>
          <w:color w:val="auto"/>
        </w:rPr>
        <w:t>above, notice that information is being withheld on such basis must be provided to the Administrative Agent.</w:t>
      </w:r>
    </w:p>
    <w:p>
      <w:pPr>
        <w:spacing w:after="0" w:line="200" w:lineRule="exact"/>
        <w:rPr>
          <w:sz w:val="20"/>
          <w:szCs w:val="20"/>
          <w:color w:val="auto"/>
        </w:rPr>
      </w:pPr>
    </w:p>
    <w:p>
      <w:pPr>
        <w:spacing w:after="0" w:line="2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THE CREDITS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w:t>
      </w:r>
      <w:r>
        <w:rPr>
          <w:rFonts w:ascii="Arial" w:cs="Arial" w:eastAsia="Arial" w:hAnsi="Arial"/>
          <w:sz w:val="18"/>
          <w:szCs w:val="18"/>
          <w:color w:val="auto"/>
        </w:rPr>
        <w:t>.</w:t>
      </w:r>
    </w:p>
    <w:p>
      <w:pPr>
        <w:spacing w:after="0" w:line="117" w:lineRule="exact"/>
        <w:rPr>
          <w:sz w:val="20"/>
          <w:szCs w:val="20"/>
          <w:color w:val="auto"/>
        </w:rPr>
      </w:pPr>
    </w:p>
    <w:p>
      <w:pPr>
        <w:ind w:left="4" w:right="460" w:firstLine="436"/>
        <w:spacing w:after="0" w:line="291" w:lineRule="auto"/>
        <w:tabs>
          <w:tab w:leader="none" w:pos="689" w:val="left"/>
        </w:tabs>
        <w:numPr>
          <w:ilvl w:val="1"/>
          <w:numId w:val="83"/>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(i) each Initial Term Lender severally, and not jointly, agrees to make term loans (the “</w:t>
      </w:r>
      <w:r>
        <w:rPr>
          <w:rFonts w:ascii="Arial" w:cs="Arial" w:eastAsia="Arial" w:hAnsi="Arial"/>
          <w:sz w:val="16"/>
          <w:szCs w:val="16"/>
          <w:u w:val="single" w:color="auto"/>
          <w:color w:val="auto"/>
        </w:rPr>
        <w:t>Initial Term Loans</w:t>
      </w:r>
      <w:r>
        <w:rPr>
          <w:rFonts w:ascii="Arial" w:cs="Arial" w:eastAsia="Arial" w:hAnsi="Arial"/>
          <w:sz w:val="16"/>
          <w:szCs w:val="16"/>
          <w:color w:val="auto"/>
        </w:rPr>
        <w:t>”) to the Borrower on the Closing Date in Dollars in a principal amount not to exceed its Initial Term Loan Commitment and</w:t>
      </w:r>
    </w:p>
    <w:p>
      <w:pPr>
        <w:ind w:left="4" w:hanging="4"/>
        <w:spacing w:after="0" w:line="251" w:lineRule="auto"/>
        <w:tabs>
          <w:tab w:leader="none" w:pos="269"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Initial Revolving Lender severally, and not jointly, agrees to make revolving loans (the “</w:t>
      </w:r>
      <w:r>
        <w:rPr>
          <w:rFonts w:ascii="Arial" w:cs="Arial" w:eastAsia="Arial" w:hAnsi="Arial"/>
          <w:sz w:val="18"/>
          <w:szCs w:val="18"/>
          <w:u w:val="single" w:color="auto"/>
          <w:color w:val="auto"/>
        </w:rPr>
        <w:t>Initial Revolving Loans</w:t>
      </w:r>
      <w:r>
        <w:rPr>
          <w:rFonts w:ascii="Arial" w:cs="Arial" w:eastAsia="Arial" w:hAnsi="Arial"/>
          <w:sz w:val="18"/>
          <w:szCs w:val="18"/>
          <w:color w:val="auto"/>
        </w:rPr>
        <w:t xml:space="preserve">”) to the Borrower in Dollars or any Alternate Currency as may be requested by the Borrower, at any time and from time to time on and after the Closing Date, and until the earlier of the Initial Revolving Credit Maturity Date and the termination of the Initial Revolving Credit Commitment of such Initial Revolving Lender in accordance with the 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Borrowing of Initial Revolving Loans, the Outstanding Amount of such Initial Revolving Lender’s Initial Revolving Credit Exposure shall not exceed such Initial Revolving Lender’s Initial Revolving Credit Commitment. Within the foregoing limits and subject to the terms, conditions and limitations set forth herein, (x) Revolving Loans denominated in Dollars may consist of ABR Loans, LIBO Rate Loans, or a combination thereof, and may be borrowed, paid, repaid and reborrowed and (y) Revolving Loans denominated in any Alternate Currency shall consist of LIBO Rate Loans, and may be borrowed, paid, repaid and reborrowed. Amounts paid or prepaid in respect of the Initial Term Loans may not be reborrowed.</w:t>
      </w:r>
    </w:p>
    <w:p>
      <w:pPr>
        <w:spacing w:after="0" w:line="89" w:lineRule="exact"/>
        <w:rPr>
          <w:rFonts w:ascii="Arial" w:cs="Arial" w:eastAsia="Arial" w:hAnsi="Arial"/>
          <w:sz w:val="18"/>
          <w:szCs w:val="18"/>
          <w:color w:val="auto"/>
        </w:rPr>
      </w:pPr>
    </w:p>
    <w:p>
      <w:pPr>
        <w:ind w:left="4" w:right="100" w:firstLine="436"/>
        <w:spacing w:after="0" w:line="301" w:lineRule="auto"/>
        <w:tabs>
          <w:tab w:leader="none" w:pos="699" w:val="left"/>
        </w:tabs>
        <w:numPr>
          <w:ilvl w:val="1"/>
          <w:numId w:val="84"/>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and any applicable Refinancing Amendment, Extension Amendment, or Incremental Facility Amendment, each Lender with an Additional Commitment of a given Class, severally and not jointly, agrees to make Additional Loans of such Class to the Borrower, which Loans shall not exceed for any such Lender at the time of any incurrence thereof the Additional Commitment of such Class of such Lender as set forth in the applicable Refinancing Amendment, Extension Amendment or Incremental Facility Amendment.</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117" w:lineRule="exact"/>
        <w:rPr>
          <w:sz w:val="20"/>
          <w:szCs w:val="20"/>
          <w:color w:val="auto"/>
        </w:rPr>
      </w:pPr>
    </w:p>
    <w:p>
      <w:pPr>
        <w:jc w:val="both"/>
        <w:ind w:left="4" w:right="240" w:firstLine="436"/>
        <w:spacing w:after="0" w:line="263" w:lineRule="auto"/>
        <w:tabs>
          <w:tab w:leader="none" w:pos="689"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Each Loan (other than a Swingline Loan) shall be made as part of a Borrowing consisting of Loans of the same Class and Type made by the Lenders ratably in accordance with their respective Commitments of the applicable Class. Each Swingline Loan shall be made in accordance with the terms and procedures set forth in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 w:right="80" w:firstLine="436"/>
        <w:spacing w:after="0" w:line="284" w:lineRule="auto"/>
        <w:tabs>
          <w:tab w:leader="none" w:pos="699"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each Borrowing shall be comprised entirely of ABR Loans or LIBO Rate Loans as the Borrower may request in accordance 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Revolving Loan denominated in any Alternate Currency shall be a LIBO Rate Loan, and each Swingline Loan shall be an ABR Loan. Each Lender at its option may make any LIBO Rate Loan by causing any domestic or foreign branch or Affiliate of such Lender to make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exercise of such option shall not affect the obligation of the Borrower to repay such Loan in accordance with the terms of this Agreement, (ii) such LIBO Rate Loan shall be deemed to have been made and held by such Lender, and the obligation of the Borrower to repay such LIBO Rate Loan shall nevertheless be to such Lender for the account of such domestic or foreign branch or Affiliate of such Lender and</w:t>
      </w:r>
    </w:p>
    <w:p>
      <w:pPr>
        <w:spacing w:after="0" w:line="4" w:lineRule="exact"/>
        <w:rPr>
          <w:rFonts w:ascii="Arial" w:cs="Arial" w:eastAsia="Arial" w:hAnsi="Arial"/>
          <w:sz w:val="16"/>
          <w:szCs w:val="16"/>
          <w:color w:val="auto"/>
        </w:rPr>
      </w:pPr>
    </w:p>
    <w:p>
      <w:pPr>
        <w:ind w:left="4" w:right="580" w:hanging="4"/>
        <w:spacing w:after="0" w:line="323" w:lineRule="auto"/>
        <w:tabs>
          <w:tab w:leader="none" w:pos="319"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exercising such option, such Lender shall use reasonable efforts to minimize increased costs to the Borrower resulting therefrom (which obligation of such Lender shall not require it to take, or refrain from taking, actions that it determines would result in increased costs for which it</w:t>
      </w:r>
    </w:p>
    <w:p>
      <w:pPr>
        <w:spacing w:after="0" w:line="7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4"/>
          </w:cols>
          <w:pgMar w:left="436" w:top="274" w:right="459" w:bottom="1440" w:gutter="0" w:footer="0" w:header="0"/>
        </w:sectPr>
      </w:pPr>
    </w:p>
    <w:bookmarkStart w:id="82" w:name="page83"/>
    <w:bookmarkEnd w:id="82"/>
    <w:p>
      <w:pPr>
        <w:ind w:left="4"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will not be compensated hereunder or that it otherwise determines would be disadvantageous to it and in the event of such request for costs for which compensation is provided under this Agreement, the provisions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apply);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such domestic or foreign branch or Affiliate of such Lender shall be entitled to any greater indemnification under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in respect of any US federal withholding tax with respect to such LIBO Rate Loan than that to which the applicable Lender was entitled on the date on which such Loan was made (except in connection with any indemnification entitlement arising as a result of any Change in Law after the date on which such Loan was made).</w:t>
      </w:r>
    </w:p>
    <w:p>
      <w:pPr>
        <w:spacing w:after="0" w:line="53" w:lineRule="exact"/>
        <w:rPr>
          <w:sz w:val="20"/>
          <w:szCs w:val="20"/>
          <w:color w:val="auto"/>
        </w:rPr>
      </w:pPr>
    </w:p>
    <w:p>
      <w:pPr>
        <w:ind w:left="4" w:right="20" w:firstLine="436"/>
        <w:spacing w:after="0" w:line="285" w:lineRule="auto"/>
        <w:tabs>
          <w:tab w:leader="none" w:pos="689"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At the commencement of each Interest Period for any LIBO Rate Borrowing, such LIBO Rate Borrowing shall comprise an aggregate principal amount that is an integral multiple of $100,000 and not less than $1,000,000 (or the Dollar Equivalent thereof in the case of any LIBO Rate Borrowing denominated in any Alternate Currency). Each ABR Borrowing when made shall be in a minimum principal amount of $500,000 and in an integral multiple of $100,000;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ABR Revolving Loan Borrowing may be made in a lesser aggregate amount that is (x) equal to the entire aggregate unused Revolving Credit Commitment or (y) required to finance the reimbursement of an LC Disbursement as contemplated by</w:t>
      </w:r>
    </w:p>
    <w:p>
      <w:pPr>
        <w:spacing w:after="0" w:line="1" w:lineRule="exact"/>
        <w:rPr>
          <w:rFonts w:ascii="Arial" w:cs="Arial" w:eastAsia="Arial" w:hAnsi="Arial"/>
          <w:sz w:val="16"/>
          <w:szCs w:val="16"/>
          <w:color w:val="auto"/>
        </w:rPr>
      </w:pPr>
    </w:p>
    <w:p>
      <w:pPr>
        <w:ind w:left="4" w:right="28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2.05(d)</w:t>
      </w:r>
      <w:r>
        <w:rPr>
          <w:rFonts w:ascii="Arial" w:cs="Arial" w:eastAsia="Arial" w:hAnsi="Arial"/>
          <w:sz w:val="18"/>
          <w:szCs w:val="18"/>
          <w:color w:val="auto"/>
        </w:rPr>
        <w:t xml:space="preserve">. Borrowings of more than one Type and Class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10 different Interest Periods in effect for LIBO Rate Borrowings at any time outstanding (or such greater number of different Interest Periods as the Administrative Agent may agree from time to time).</w:t>
      </w:r>
    </w:p>
    <w:p>
      <w:pPr>
        <w:spacing w:after="0" w:line="81" w:lineRule="exact"/>
        <w:rPr>
          <w:rFonts w:ascii="Arial" w:cs="Arial" w:eastAsia="Arial" w:hAnsi="Arial"/>
          <w:sz w:val="16"/>
          <w:szCs w:val="16"/>
          <w:color w:val="auto"/>
        </w:rPr>
      </w:pPr>
    </w:p>
    <w:p>
      <w:pPr>
        <w:ind w:left="4" w:right="380" w:firstLine="436"/>
        <w:spacing w:after="0" w:line="342" w:lineRule="auto"/>
        <w:tabs>
          <w:tab w:leader="none" w:pos="699"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the Borrower shall not, nor shall it be entitled to, request, or to elect to convert or continue, any Borrowing if the Interest Period requested with respect thereto would end after the Maturity Date applicable to the relevant Loans.</w:t>
      </w:r>
    </w:p>
    <w:p>
      <w:pPr>
        <w:spacing w:after="0" w:line="124" w:lineRule="exact"/>
        <w:rPr>
          <w:sz w:val="20"/>
          <w:szCs w:val="20"/>
          <w:color w:val="auto"/>
        </w:rPr>
      </w:pPr>
    </w:p>
    <w:p>
      <w:pPr>
        <w:ind w:left="4" w:firstLine="440"/>
        <w:spacing w:after="0" w:line="282"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Requests for Borrowings</w:t>
      </w:r>
      <w:r>
        <w:rPr>
          <w:rFonts w:ascii="Arial" w:cs="Arial" w:eastAsia="Arial" w:hAnsi="Arial"/>
          <w:sz w:val="16"/>
          <w:szCs w:val="16"/>
          <w:color w:val="auto"/>
        </w:rPr>
        <w:t>. Each Term Loan Borrowing, each Revolving Loan Borrowing, each conversion of Term Loans or Revolving Loans from one Type to the other, and each continuation of LIBO Rate Loans shall be made upon irrevocable notice by the Borrower to the Administrative Agent, which may be given by a Borrowing Request or an Interest Election Request,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notice in respect of any Term Loan Borrowing and/or any Revolving Loan Borrowing (x) to be made on the Closing Date may be conditioned on the occurrence of the Closing Date, (y) to be made in connection with any acquisition, investment or repayment or redemption of Indebtedness may be conditioned on the closing of such Permitted Acquisition, permitted Investment or permitted repayment or redemption of Indebtedness or (z) for any other purpose to which the Administrative Agent may consent (such consent not to be unreasonably withheld or delayed), may be conditioned on the occurrence of the relevant event). Each such notice must be in the form of a Borrowing Request or an Interest Election Request, as applicable, appropriately completed and signed by a Responsible Officer of the Borrower and must be received by the Administrative Agent (by hand delivery or other electronic transmission (including “.pdf” or “.tif”)) not later than (i) 12:00 p.m. three Business Days prior to the requested day of any Borrowing of, conversion to or continuation of LIBO Rate Loans (or one Business Day in the case of any Borrowing of LIBO Rate Loans to be made on the Closing Date) and (ii) 10:00 a.m. on the requested date of any Borrowing of or conversion to ABR Loans (other than Swingline Loans) (or, in each case, such later time as is reasonably acceptable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Borrower wishes to request LIBO Rate Loans having an Interest Period other than one, three or six months in duration or such shorter period as provided in the definition of “Interest Period”, (A) the applicable notice from the Borrower must be received by the Administrative Agent not later than 12:00 p.m. four Business Days prior to the requested date of the relevant Borrowing, conversion or continuation (or such later time as is reasonably acceptable to the Administrative Agent), whereupon the Administrative Agent shall give prompt notice to the appropriate Lenders of such request, (B) the relevant requested Interest Period shall be deemed to be available to each appropriate Lender unless such Lender has delivered written notice to the Administrative Agent indicating that such Interest Period is not available to such Lender within one Business Day following the date on which the notice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is posted by the Administrative Agent and</w:t>
      </w:r>
    </w:p>
    <w:p>
      <w:pPr>
        <w:spacing w:after="0" w:line="11" w:lineRule="exact"/>
        <w:rPr>
          <w:sz w:val="20"/>
          <w:szCs w:val="20"/>
          <w:color w:val="auto"/>
        </w:rPr>
      </w:pPr>
    </w:p>
    <w:p>
      <w:pPr>
        <w:ind w:left="4" w:right="240" w:hanging="4"/>
        <w:spacing w:after="0" w:line="260" w:lineRule="auto"/>
        <w:tabs>
          <w:tab w:leader="none" w:pos="289"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 later than 12:00 p.m. three Business Days before the requested date of the relevant Borrowing, conversion or continuation, the Administrative Agent shall notify the Borrower whether or not the requested Interest Period is available to the appropriate Lenders.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4"/>
          </w:cols>
          <w:pgMar w:left="436" w:top="274" w:right="459" w:bottom="1440" w:gutter="0" w:footer="0" w:header="0"/>
        </w:sectPr>
      </w:pPr>
    </w:p>
    <w:bookmarkStart w:id="83" w:name="page84"/>
    <w:bookmarkEnd w:id="83"/>
    <w:p>
      <w:pPr>
        <w:ind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no election as to the Type of Borrowing is specified, then the requested Borrowing shall be an ABR Borrowing. If no Interest Period is specified with respect to any requested LIBO Rate Borrowing, then the Borrower shall be deemed to have selected an Interest Period of one month’s duration. The Administrative Agent shall advise each Lender of the details and amount of any Loan to be made as part of the relevant requested Borrowing (x) in the case of any ABR Borrowing, on the same Business Day of receipt of a Borrowing Request in accordance with this Section or (y) in the case of any LIBO Rate Borrowing, no later than one Business Day following receipt of a Borrowing Request in accordance with this Section.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6" w:lineRule="auto"/>
        <w:tabs>
          <w:tab w:leader="none" w:pos="685" w:val="left"/>
        </w:tabs>
        <w:numPr>
          <w:ilvl w:val="0"/>
          <w:numId w:val="89"/>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the Swingline Lender agrees to make swingline loans (“</w:t>
      </w:r>
      <w:r>
        <w:rPr>
          <w:rFonts w:ascii="Arial" w:cs="Arial" w:eastAsia="Arial" w:hAnsi="Arial"/>
          <w:sz w:val="16"/>
          <w:szCs w:val="16"/>
          <w:u w:val="single" w:color="auto"/>
          <w:color w:val="auto"/>
        </w:rPr>
        <w:t>Swingline Loans</w:t>
      </w:r>
      <w:r>
        <w:rPr>
          <w:rFonts w:ascii="Arial" w:cs="Arial" w:eastAsia="Arial" w:hAnsi="Arial"/>
          <w:sz w:val="16"/>
          <w:szCs w:val="16"/>
          <w:color w:val="auto"/>
        </w:rPr>
        <w:t xml:space="preserve">”) to the Borrower from time to time on and after the Closing Date and until the Latest Revolving Credit Maturity Date, in an aggregate principal amount at any time outstanding not to exceed $15,000,000;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Swingline Lender shall not be required to make any Swingline Loan to refinance any outstanding Swingline Loan and (ii) after giving effect to any Swingline Loan, the aggregate Outstanding Amount of all Revolving Loans, Swingline Loans and LC Exposure shall not exceed the Total Revolving Credit Commitment. Each Swingline Loan shall be in a minimum principal amount of not less than $100,000 or such lesser amount as may be agreed by the Swingline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any Swingline Loan may be in an aggregate amount that is (1) equal to the entire unused balance of the aggregate unused Revolving Credit Commitments or (2) required to finance the reimbursement of an LC Disbursement as contemplated by </w:t>
      </w:r>
      <w:r>
        <w:rPr>
          <w:rFonts w:ascii="Arial" w:cs="Arial" w:eastAsia="Arial" w:hAnsi="Arial"/>
          <w:sz w:val="16"/>
          <w:szCs w:val="16"/>
          <w:u w:val="single" w:color="auto"/>
          <w:color w:val="auto"/>
        </w:rPr>
        <w:t>Section 2.05(d)</w:t>
      </w:r>
      <w:r>
        <w:rPr>
          <w:rFonts w:ascii="Arial" w:cs="Arial" w:eastAsia="Arial" w:hAnsi="Arial"/>
          <w:sz w:val="16"/>
          <w:szCs w:val="16"/>
          <w:color w:val="auto"/>
        </w:rPr>
        <w:t xml:space="preserve">. Within the foregoing limits and subject to the terms and conditions set forth herein, Swingline Loans may be borrowed, prepaid and reborrowed. To request a Swingline Loan, the Borrower shall notify the Swingline Lender (with a copy to the Administrative Agent) of such request by delivery of a written Borrowing Request, appropriately completed and signed by a Responsible Officer of the Borrower, not later than 1:00 p.m. on the day of a proposed Swingline Loan. The Swingline Lender shall make each Swingline Loan available to the Borrower on the same Business Day by means of a credit to the account designated in the related Borrowing Request or otherwise in accordance with the instructions of the Borrower (including, in the case of a Swingline Loan made to finance the reimbursement of any LC Disbursement as provided in </w:t>
      </w:r>
      <w:r>
        <w:rPr>
          <w:rFonts w:ascii="Arial" w:cs="Arial" w:eastAsia="Arial" w:hAnsi="Arial"/>
          <w:sz w:val="16"/>
          <w:szCs w:val="16"/>
          <w:u w:val="single" w:color="auto"/>
          <w:color w:val="auto"/>
        </w:rPr>
        <w:t>Section 2.05(e)</w:t>
      </w:r>
      <w:r>
        <w:rPr>
          <w:rFonts w:ascii="Arial" w:cs="Arial" w:eastAsia="Arial" w:hAnsi="Arial"/>
          <w:sz w:val="16"/>
          <w:szCs w:val="16"/>
          <w:color w:val="auto"/>
        </w:rPr>
        <w:t>, by remittance to the applicable Issuing Bank).</w:t>
      </w:r>
    </w:p>
    <w:p>
      <w:pPr>
        <w:spacing w:after="0" w:line="62" w:lineRule="exact"/>
        <w:rPr>
          <w:rFonts w:ascii="Arial" w:cs="Arial" w:eastAsia="Arial" w:hAnsi="Arial"/>
          <w:sz w:val="16"/>
          <w:szCs w:val="16"/>
          <w:color w:val="auto"/>
        </w:rPr>
      </w:pPr>
    </w:p>
    <w:p>
      <w:pPr>
        <w:ind w:firstLine="436"/>
        <w:spacing w:after="0" w:line="267" w:lineRule="auto"/>
        <w:tabs>
          <w:tab w:leader="none" w:pos="695"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The Swingline Lender may by written notice given to the Administrative Agent not later than 12:00 p.m. on any Business Day require the Revolving Lenders to purchase a participation on the Business Day following receipt of such notice in all or a portion of the Swingline Loans outstanding. Such notice shall specify the aggregate amount of Swingline Loans in which the Revolving Lenders will participate. Promptly upon receipt of such notice, the Administrative Agent will give notice thereof to each Revolving Lender, specifying in such notice such Revolving Lender’s Applicable Revolving Credit Percentage of such Swingline Loan or Swingline Loans. Each Revolving Lender hereby absolutely and unconditionally agrees, upon receipt of notice as provided above, to pay to the Administrative Agent, for the account of the Swingline Lender, such Lender’s Applicable Revolving Credit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Credit Commitments, and that each such payment shall be made without any offset, abatement, withholding or reduction whatsoever. Each Revolving Lender shall comply with its obligation under this paragraph by effecting a wire transfer of immediately available funds, in the same manner as provided in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with respect to Revolving Loans made by such Revolving Lender (and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the payment obligations of the Revolving Lenders pursuant to this </w:t>
      </w:r>
      <w:r>
        <w:rPr>
          <w:rFonts w:ascii="Arial" w:cs="Arial" w:eastAsia="Arial" w:hAnsi="Arial"/>
          <w:sz w:val="17"/>
          <w:szCs w:val="17"/>
          <w:u w:val="single" w:color="auto"/>
          <w:color w:val="auto"/>
        </w:rPr>
        <w:t>Section 2.04(b)</w:t>
      </w:r>
      <w:r>
        <w:rPr>
          <w:rFonts w:ascii="Arial" w:cs="Arial" w:eastAsia="Arial" w:hAnsi="Arial"/>
          <w:sz w:val="17"/>
          <w:szCs w:val="17"/>
          <w:color w:val="auto"/>
        </w:rPr>
        <w:t xml:space="preserve">), and the Administrative Agent shall promptly remit to the Swingline Lender the amounts so received by it from the Revolving Lenders. The Administrative Agent shall notify the Borrower of any participation in any Swingline Loan acquired pursuant to this </w:t>
      </w:r>
      <w:r>
        <w:rPr>
          <w:rFonts w:ascii="Arial" w:cs="Arial" w:eastAsia="Arial" w:hAnsi="Arial"/>
          <w:sz w:val="17"/>
          <w:szCs w:val="17"/>
          <w:u w:val="single" w:color="auto"/>
          <w:color w:val="auto"/>
        </w:rPr>
        <w:t>Section 2.04(b)</w:t>
      </w:r>
      <w:r>
        <w:rPr>
          <w:rFonts w:ascii="Arial" w:cs="Arial" w:eastAsia="Arial" w:hAnsi="Arial"/>
          <w:sz w:val="17"/>
          <w:szCs w:val="17"/>
          <w:color w:val="auto"/>
        </w:rPr>
        <w:t>, and thereafter any payment in respect of such Swingline Loan shall be made to the Administrative Agent and not to the Swingline Lender. Any amounts received by the Swingline Lender from the Borrower in respect of any Swingline Loan after receipt by the Swingline Lender of the proceeds of any sale of participations therein shall be promptly remitted by the Swingline Lender to the Administrative Agent, and any such amount received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84" w:name="page85"/>
    <w:bookmarkEnd w:id="84"/>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the Administrative Agent shall be promptly remitted by the Administrative Agent to each Revolving Lender that has made its payment pursuant to this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and to the Swingline Lender, as their interests may appear;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and to the extent such payment is required to be funded to the Borrower for any reason, such payment shall be repaid to the Swingline Lender or the Administrative Agent, as the case may be, and thereafter to the Borrower. The purchase of participations in a Swingline Loan pursuant to this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shall not relieve the Borrower of any default in the payment thereof.</w:t>
      </w:r>
    </w:p>
    <w:p>
      <w:pPr>
        <w:spacing w:after="0" w:line="80" w:lineRule="exact"/>
        <w:rPr>
          <w:sz w:val="20"/>
          <w:szCs w:val="20"/>
          <w:color w:val="auto"/>
        </w:rPr>
      </w:pPr>
    </w:p>
    <w:p>
      <w:pPr>
        <w:ind w:right="60" w:firstLine="436"/>
        <w:spacing w:after="0" w:line="291" w:lineRule="auto"/>
        <w:tabs>
          <w:tab w:leader="none" w:pos="685"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If any Revolving Lender fails to make available to the Administrative Agent (for the account of the Swingline Lender) any amount required to be paid by such Revolving Lender pursuant to the foregoing provisions of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the Swingline Lender shall be entitled to recover from such Revolving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Effective Rate from time to time in effect and a rate determined by the Administrative Agent in accordance with banking industry rules on interbank compensation. A certificate of the Swingline Lender submitted to any Revolving Lender (through the Administrative Agent) with respect to any amount owing under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shall be conclusive absent manifest error.</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85" w:lineRule="auto"/>
        <w:tabs>
          <w:tab w:leader="none" w:pos="685"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the terms and conditions set forth herein, (i) each Issuing Bank agrees, in each case in reliance upon the agreements of the other Revolving Lenders set forth in this </w:t>
      </w:r>
      <w:r>
        <w:rPr>
          <w:rFonts w:ascii="Arial" w:cs="Arial" w:eastAsia="Arial" w:hAnsi="Arial"/>
          <w:sz w:val="16"/>
          <w:szCs w:val="16"/>
          <w:u w:val="single" w:color="auto"/>
          <w:color w:val="auto"/>
        </w:rPr>
        <w:t>Section 2.05</w:t>
      </w:r>
      <w:r>
        <w:rPr>
          <w:rFonts w:ascii="Arial" w:cs="Arial" w:eastAsia="Arial" w:hAnsi="Arial"/>
          <w:sz w:val="16"/>
          <w:szCs w:val="16"/>
          <w:color w:val="auto"/>
        </w:rPr>
        <w:t>, (A) from time to time on any Business Day during the period from the Closing Date to the fifth Business Day prior to the Latest Revolving Credit Maturity Date, upon the request of the Borrower, to issue Letters of Credit, issued on sight basis only on behalf of the Borrower and/or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will be the applicant) and to amend or renew any Letter of Credit previously issued by it, in accordance with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and (B) to honor any draft under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Issuing Bank shall be required to issue any Letter of Credit if (x) the Stated Amount of such Letter of Credit, taken together with the aggregate Stated Amount of all other then-outstanding Letters of Credit then issued by such Issuing Bank would exceed such Issuing Bank’s Letter of Credit Commitment or (y) the issuance of such Letter of Credit would violate any policies or procedures of such Issuing Bank applicable to letters of credit generally and consistently applied by such Issuing Bank to similarly situated borrowers, and (ii) each Revolving Lender severally agrees to participate in each Letter of Credit as provided in </w:t>
      </w:r>
      <w:r>
        <w:rPr>
          <w:rFonts w:ascii="Arial" w:cs="Arial" w:eastAsia="Arial" w:hAnsi="Arial"/>
          <w:sz w:val="16"/>
          <w:szCs w:val="16"/>
          <w:u w:val="single" w:color="auto"/>
          <w:color w:val="auto"/>
        </w:rPr>
        <w:t>Section 2.05(d)</w:t>
      </w:r>
      <w:r>
        <w:rPr>
          <w:rFonts w:ascii="Arial" w:cs="Arial" w:eastAsia="Arial" w:hAnsi="Arial"/>
          <w:sz w:val="16"/>
          <w:szCs w:val="16"/>
          <w:color w:val="auto"/>
        </w:rPr>
        <w:t>. It is understood and agreed that no Issuing Bank shall be required (but shall be permitted) to issue any Letter of Credit that (x) is not denominated in Dollars, (y) has a face amount that is less than $100,000 and (z) if (1) any order, judgment or decree of any Governmental Authority with jurisdiction over such Issuing Bank shall by its terms purport to enjoin or restrain such Issuing Bank from issuing such Letter of Credit, or any law applicable to such Issuing Bank or any directive (whether or not having the force of law) from any Governmental Authority with jurisdiction over such Issuing Bank shall prohibit, or direct that such Issuing Bank refrain from, the issuance of letters of credit generally or such Letter of Credit in particular or (2) the issuance of such Letter of Credit would violate one or more policies to such Issuing Bank now or hereafter applicable to similarly situated borrowers under comparable credit facilities and letters of credit generally.</w:t>
      </w:r>
    </w:p>
    <w:p>
      <w:pPr>
        <w:spacing w:after="0" w:line="68" w:lineRule="exact"/>
        <w:rPr>
          <w:rFonts w:ascii="Arial" w:cs="Arial" w:eastAsia="Arial" w:hAnsi="Arial"/>
          <w:sz w:val="16"/>
          <w:szCs w:val="16"/>
          <w:color w:val="auto"/>
        </w:rPr>
      </w:pPr>
    </w:p>
    <w:p>
      <w:pPr>
        <w:ind w:left="440" w:firstLine="419"/>
        <w:spacing w:after="0" w:line="291" w:lineRule="auto"/>
        <w:tabs>
          <w:tab w:leader="none" w:pos="1078"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Extension; Certain Conditions</w:t>
      </w:r>
      <w:r>
        <w:rPr>
          <w:rFonts w:ascii="Arial" w:cs="Arial" w:eastAsia="Arial" w:hAnsi="Arial"/>
          <w:sz w:val="16"/>
          <w:szCs w:val="16"/>
          <w:color w:val="auto"/>
        </w:rPr>
        <w:t>. To request the issuance of any Letter of Credit, the Borrower shall deliver to the applicable Issuing Bank and the Administrative Agent, at least three Business Days in advance of the requested date of issuance (or such shorter period as is acceptable to the applicable Issuing Bank or, in the case of any issuance to be made in an Alternate Currency, five Business Days in advance of the requested date of issuance), a Letter of Credit Request (it being understood that, to the extent applicable, the issuance of any Letter of Credit expressly for the benefit of any subsidiary that is not a Loan Party shall be contingent upon the Administrative Agent’s receipt of any documentation and other information with respect to such subsidiary that has not been previously provided with respect to any Loan Party, that is required by regulatory authorities under applicable “know your customer” and anti-money laundering rules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85" w:name="page86"/>
    <w:bookmarkEnd w:id="85"/>
    <w:p>
      <w:pPr>
        <w:ind w:left="44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regulations, including the USA PATRIOT Act, and reasonably requested by the applicable Issuing Bank at least three Business Days prior to the requested date of issuance). To request an amendment, extension or renewal of an outstanding Letter of Credit, (other than any automatic extension of a Letter of Credit permitted under </w:t>
      </w:r>
      <w:r>
        <w:rPr>
          <w:rFonts w:ascii="Arial" w:cs="Arial" w:eastAsia="Arial" w:hAnsi="Arial"/>
          <w:sz w:val="17"/>
          <w:szCs w:val="17"/>
          <w:u w:val="single" w:color="auto"/>
          <w:color w:val="auto"/>
        </w:rPr>
        <w:t>Section 2.05(c)</w:t>
      </w:r>
      <w:r>
        <w:rPr>
          <w:rFonts w:ascii="Arial" w:cs="Arial" w:eastAsia="Arial" w:hAnsi="Arial"/>
          <w:sz w:val="17"/>
          <w:szCs w:val="17"/>
          <w:color w:val="auto"/>
        </w:rPr>
        <w:t xml:space="preserve">) the Borrower shall submit a Letter of Credit Request to the applicable Issuing Bank or Issuing Banks selected by the Borrower (with a copy to the Administrative Agent) at least three Business Days in advance of the requested date of amendment, extension or renewal (or such shorter period as is acceptable to the applicable Issuing Bank), identifying the Letter of Credit to be amended, extended or renewed, and specifying the proposed date (which shall be a Business Day) and other details of the amendment, extension or renewal. If requested by the applicable Issuing Bank in connection with any request for any Letter of Credit, the Borrower also shall submit a letter of credit application on such Issuing Bank’s standard form. In the event of any inconsistency between the terms and conditions of this Agreement and the terms and conditions of any form of letter of credit application or other agreement submitted by the Borrower to, or entered into by the Borrower with, the applicable Issuing Bank relating to any Letter of Credit, the terms and conditions of this Agreement shall control. No Letter of Credit, letter of credit application or other document entered into by the Borrower with any Issuing Bank relating to any Letter of Credit shall contain any representation or warranty, covenant or event of default not set forth in this Agreement (and to the extent any representation or warranty, covenant or event of default in any letter of credit application or any such other document is inconsistent herewith, the same shall be rendered null and void (or reformed automatically without further action by any Person to conform to the terms of this Agreement), and all representations and warranties, covenants and events of default set forth therein shall contain standards, qualifications, thresholds and exceptions for materiality or otherwise consistent with those set forth in this Agreement (and, to the extent any representation or warranty, covenant or event of default in any letter of credit application or any such other document is inconsistent herewith, the same shall be deemed to automatically incorporate the applicable standards, qualifications, thresholds and exceptions set forth herein without action by any Person). No Letter of Credit may be issued, amended, extended or renewed unless (and with respect to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below, upon the issuance, amendment, extension or renewal of each Letter of Credit, the Borrower shall be deemed to represent and warrant that), after giving effect to such issuance, amendment, extension, or renewal (i) the LC Exposure does not exceed the Letter of Credit Sublimit, and (ii) (A) the aggregate amount of the Initial Revolving Credit Exposure shall not exceed the aggregate amount of the Initial Revolving Credit Commitments then in effect, (B) the aggregate amount of the Additional Revolving Credit Exposure attributable to any Class of Additional Revolving Credit Commitments does not exceed the aggregate amount of the Additional Revolving Credit Commitments of such Class then in effect and (C) if such Letter of Credit has a term that extends beyond the Maturity Date applicable to the Revolving Credit Commitments of any Class, the aggregate amount of the LC Exposure attributable to Letters of Credit expiring after such Maturity Date (1) does not exceed the aggregate amount of the Revolving Credit Commitments then in effect that are scheduled to remain in effect after such Maturity Date or (2) is subject to Letter of Credit Support.</w:t>
      </w:r>
    </w:p>
    <w:p>
      <w:pPr>
        <w:spacing w:after="0" w:line="90" w:lineRule="exact"/>
        <w:rPr>
          <w:sz w:val="20"/>
          <w:szCs w:val="20"/>
          <w:color w:val="auto"/>
        </w:rPr>
      </w:pPr>
    </w:p>
    <w:p>
      <w:pPr>
        <w:ind w:firstLine="436"/>
        <w:spacing w:after="0" w:line="257"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No Letter of Credit shall expire later than the earlier of (A) the date that is one year after the date of the issuance of such Letter of Credit (or such later date to which the applicable Issuing Bank may agree) and (B) the date that is five Business Days prior to the Latest Revolving Credit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Letter of Credit may provide for the automatic extension thereof for any number of additional periods of up to one year in duration (which additional periods shall not extend beyond the date referred to in the preceding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unless such Letter of Credit is subject to Letter of Credit Support).</w:t>
      </w:r>
    </w:p>
    <w:p>
      <w:pPr>
        <w:spacing w:after="0" w:line="79" w:lineRule="exact"/>
        <w:rPr>
          <w:rFonts w:ascii="Arial" w:cs="Arial" w:eastAsia="Arial" w:hAnsi="Arial"/>
          <w:sz w:val="18"/>
          <w:szCs w:val="18"/>
          <w:color w:val="auto"/>
        </w:rPr>
      </w:pPr>
    </w:p>
    <w:p>
      <w:pPr>
        <w:ind w:firstLine="436"/>
        <w:spacing w:after="0" w:line="296" w:lineRule="auto"/>
        <w:tabs>
          <w:tab w:leader="none" w:pos="68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By the issuance of any Letter of Credit (or an amendment to any Letter of Credit increasing the amount thereof) (or by the execution and delivery of this Agreement in the case of any Existing Letter of Credit) and without any further action on the part of the applicable Issuing Bank or the Revolving Lenders, the applicable Issuing Bank hereby grants to each Revolving Lender, and each Revolving Lender hereby acquires from such Issuing Bank, a participation in such Letter of Credit equal to such Revolving Lender’s Applicable Revolving Credit Percentage of the aggregate amount available to be drawn under such Letter of Credit (in respect of any Letter of Credit issued in an Alternate Currency, expressed in the Dollar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86" w:name="page87"/>
    <w:bookmarkEnd w:id="8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Equivalent thereof). In consideration and in furtherance of the foregoing, each Revolving Lender hereby absolutely and unconditionally agrees to pay to the Administrative Agent, for the account of the applicable Issuing Bank, such Lender’s Applicable Percentage of each LC Disbursement made by such Issuing Bank and not reimbursed by the Borrower on the date due as provided in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of this Section, or of any reimbursement payment required to be refunded to the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Event of Default or reduction or termination of the Revolving Credit Commitments, and that each such payment shall be made without any offset, abatement, withholding or reduction whatsoever.</w:t>
      </w:r>
    </w:p>
    <w:p>
      <w:pPr>
        <w:spacing w:after="0" w:line="192" w:lineRule="exact"/>
        <w:rPr>
          <w:sz w:val="20"/>
          <w:szCs w:val="20"/>
          <w:color w:val="auto"/>
        </w:rPr>
      </w:pPr>
    </w:p>
    <w:p>
      <w:pPr>
        <w:ind w:left="700" w:hanging="264"/>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86" w:lineRule="auto"/>
        <w:tabs>
          <w:tab w:leader="none" w:pos="1078"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If the applicable Issuing Bank makes any LC Disbursement in respect of a Letter of Credit, the Borrower shall reimburse such LC Disbursement by paying to the Administrative Agent an amount equal to such LC Disbursement not later than 1:00 p.m. two Business Days immediately following the date on which the Borrower receives notice of such LC Disbursement under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subject to the conditions to borrowing set forth herein, request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that such payment be financed</w:t>
      </w:r>
    </w:p>
    <w:p>
      <w:pPr>
        <w:spacing w:after="0" w:line="1" w:lineRule="exact"/>
        <w:rPr>
          <w:rFonts w:ascii="Arial" w:cs="Arial" w:eastAsia="Arial" w:hAnsi="Arial"/>
          <w:sz w:val="16"/>
          <w:szCs w:val="16"/>
          <w:color w:val="auto"/>
        </w:rPr>
      </w:pPr>
    </w:p>
    <w:p>
      <w:pPr>
        <w:ind w:left="440"/>
        <w:spacing w:after="0" w:line="284" w:lineRule="auto"/>
        <w:rPr>
          <w:rFonts w:ascii="Arial" w:cs="Arial" w:eastAsia="Arial" w:hAnsi="Arial"/>
          <w:sz w:val="16"/>
          <w:szCs w:val="16"/>
          <w:color w:val="auto"/>
        </w:rPr>
      </w:pPr>
      <w:r>
        <w:rPr>
          <w:rFonts w:ascii="Arial" w:cs="Arial" w:eastAsia="Arial" w:hAnsi="Arial"/>
          <w:sz w:val="16"/>
          <w:szCs w:val="16"/>
          <w:color w:val="auto"/>
        </w:rPr>
        <w:t>(A) in the case of a Letter of Credit denominated in Dollars, with an ABR Revolving Loan Borrowing denominated in Dollars in an equivalent amount and (B) in the case of a Letter of Credit denominated in an Alternate Currency, a LIBO Rate Revolving Loan denominated in any Alternate Currency in an equivalent amount (any such Revolving Loan Borrowing, a “</w:t>
      </w:r>
      <w:r>
        <w:rPr>
          <w:rFonts w:ascii="Arial" w:cs="Arial" w:eastAsia="Arial" w:hAnsi="Arial"/>
          <w:sz w:val="16"/>
          <w:szCs w:val="16"/>
          <w:u w:val="single" w:color="auto"/>
          <w:color w:val="auto"/>
        </w:rPr>
        <w:t>Letter of Credit Reimbursement Loan</w:t>
      </w:r>
      <w:r>
        <w:rPr>
          <w:rFonts w:ascii="Arial" w:cs="Arial" w:eastAsia="Arial" w:hAnsi="Arial"/>
          <w:sz w:val="16"/>
          <w:szCs w:val="16"/>
          <w:color w:val="auto"/>
        </w:rPr>
        <w:t xml:space="preserve">”), and, to the extent so financed, the obligation of the Borrower to make such payment shall be discharged and replaced by the resulting Borrowing (it being understood and agreed that the Borrower may also request a Swingline Loan to reimburse such LC Disbursement in accordance with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subject, in the case of any such Swingline Loan, to the satisfaction of the applicable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If the Borrower fails to make such payment when due, the Administrative Agent shall notify each Revolving Lender of the applicable LC Disbursement, the payment then due from the Borrower in respect thereof and such Revolving Lender’s Applicable Revolving Credit Percentage thereof. Promptly following receipt of such notice, each Revolving Lender shall pay to the Administrative Agent its Applicable Revolving Credit Percentage of the payment then due from the Borrower, in the same manner as provided in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with respect to Loans made by such Revolving Lender (and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to the payment obligations of the Revolving Lenders), and the Administrative Agent shall promptly pay to the applicable Issuing Bank the amounts so received by it from the Revolving Lenders.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w:t>
      </w:r>
    </w:p>
    <w:p>
      <w:pPr>
        <w:spacing w:after="0" w:line="67" w:lineRule="exact"/>
        <w:rPr>
          <w:rFonts w:ascii="Arial" w:cs="Arial" w:eastAsia="Arial" w:hAnsi="Arial"/>
          <w:sz w:val="16"/>
          <w:szCs w:val="16"/>
          <w:color w:val="auto"/>
        </w:rPr>
      </w:pPr>
    </w:p>
    <w:p>
      <w:pPr>
        <w:ind w:left="440" w:right="60" w:firstLine="419"/>
        <w:spacing w:after="0" w:line="270" w:lineRule="auto"/>
        <w:tabs>
          <w:tab w:leader="none" w:pos="1128" w:val="left"/>
        </w:tabs>
        <w:numPr>
          <w:ilvl w:val="1"/>
          <w:numId w:val="93"/>
        </w:numPr>
        <w:rPr>
          <w:rFonts w:ascii="Arial" w:cs="Arial" w:eastAsia="Arial" w:hAnsi="Arial"/>
          <w:sz w:val="17"/>
          <w:szCs w:val="17"/>
          <w:color w:val="auto"/>
        </w:rPr>
      </w:pPr>
      <w:r>
        <w:rPr>
          <w:rFonts w:ascii="Arial" w:cs="Arial" w:eastAsia="Arial" w:hAnsi="Arial"/>
          <w:sz w:val="17"/>
          <w:szCs w:val="17"/>
          <w:color w:val="auto"/>
        </w:rPr>
        <w:t xml:space="preserve">If any Revolving Lender fails to make available to the Administrative Agent for the account of the applicable Issuing Bank any amount required to be paid by such Revolving Lender pursuant to the foregoing provisions of this </w:t>
      </w:r>
      <w:r>
        <w:rPr>
          <w:rFonts w:ascii="Arial" w:cs="Arial" w:eastAsia="Arial" w:hAnsi="Arial"/>
          <w:sz w:val="17"/>
          <w:szCs w:val="17"/>
          <w:u w:val="single" w:color="auto"/>
          <w:color w:val="auto"/>
        </w:rPr>
        <w:t>Section 2.05(d)</w:t>
      </w:r>
      <w:r>
        <w:rPr>
          <w:rFonts w:ascii="Arial" w:cs="Arial" w:eastAsia="Arial" w:hAnsi="Arial"/>
          <w:sz w:val="17"/>
          <w:szCs w:val="17"/>
          <w:color w:val="auto"/>
        </w:rPr>
        <w:t xml:space="preserve"> by the time specified therein, such Issuing Bank shall be entitled to recover from such Revolving Lender (acting through the Administrative Agent), on demand, such amount with interest thereon for the period from the date such payment is required to the date on which such payment is immediately available to such Issuing Bank at a rate per annum equal to the greater of the Federal Funds Effective Rate (or, in the case of any Letter of Credit denominated in any Alternate Currency, the Administrative Agent’s customary rate for interbank advances in such Alternate Currency) from time to time in effect and a rate determined by the Administrative Agent in accordance with banking industry rules on interbank compensation. A certificate of the applicable Issuing Bank submitted to any Revolving Lender (through the Administrative Agent) with respect to any amount owing under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shall be conclusive absent manifest error.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87" w:name="page88"/>
    <w:bookmarkEnd w:id="87"/>
    <w:p>
      <w:pPr>
        <w:ind w:left="-20" w:right="40" w:firstLine="436"/>
        <w:spacing w:after="0" w:line="284" w:lineRule="auto"/>
        <w:tabs>
          <w:tab w:leader="none" w:pos="665"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Absolute</w:t>
      </w:r>
      <w:r>
        <w:rPr>
          <w:rFonts w:ascii="Arial" w:cs="Arial" w:eastAsia="Arial" w:hAnsi="Arial"/>
          <w:sz w:val="16"/>
          <w:szCs w:val="16"/>
          <w:color w:val="auto"/>
        </w:rPr>
        <w:t xml:space="preserve">. The obligation of the Borrower to reimburse LC Disbursements as provided in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of this Section shall be absolute and unconditional and irrespective of (i) any lack of validity or enforceability of any Letter of Credit or this Agreement, or any term or provision therein, (ii) any draft or other document presented under any Letter of Credit proving to be forged, fraudulent or invalid in any respect or any statement therein being untrue or inaccurate in any respect, (iii) payment by the applicable Issuing Bank under any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obligations of the Borrower hereunder. Neither the Administrative Agent, the Revolving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such Issuing Bank from liability to the Borrower to the extent of any direct damages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bad faith or willful misconduct on the part of applicable Issuing Bank (as finally determined by a court of competent jurisdiction), such Issuing Bank shall be deemed to have exercised care in each such determination. In furtherance of the foregoing and without limiting the generality thereof, the parties agree that, with respect to any document presented which appears on its face to be in substantial compliance with the terms of any Letter of Credit, the applicable Issuing Bank may, in its sole discretion, either accept and make payment upon such document without responsibility for further investigation, regardless of any notice or information to the contrary, or refuse to accept and make payment upon such document if such document is not in strict compliance with the terms of such Letter of Credit.</w:t>
      </w:r>
    </w:p>
    <w:p>
      <w:pPr>
        <w:spacing w:after="0" w:line="73" w:lineRule="exact"/>
        <w:rPr>
          <w:rFonts w:ascii="Arial" w:cs="Arial" w:eastAsia="Arial" w:hAnsi="Arial"/>
          <w:sz w:val="16"/>
          <w:szCs w:val="16"/>
          <w:color w:val="auto"/>
        </w:rPr>
      </w:pPr>
    </w:p>
    <w:p>
      <w:pPr>
        <w:ind w:left="-20" w:right="120" w:firstLine="436"/>
        <w:spacing w:after="0" w:line="279" w:lineRule="auto"/>
        <w:tabs>
          <w:tab w:leader="none" w:pos="645"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Disbursement Procedures</w:t>
      </w:r>
      <w:r>
        <w:rPr>
          <w:rFonts w:ascii="Arial" w:cs="Arial" w:eastAsia="Arial" w:hAnsi="Arial"/>
          <w:sz w:val="17"/>
          <w:szCs w:val="17"/>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by electronic means upon any LC Disbursement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failure to give or delay in giving such notice shall relieve the Borrower of its obligation to reimburse such Issuing Bank and the Revolving Lenders with respect to any such LC Disbursement.</w:t>
      </w:r>
    </w:p>
    <w:p>
      <w:pPr>
        <w:spacing w:after="0" w:line="63" w:lineRule="exact"/>
        <w:rPr>
          <w:rFonts w:ascii="Arial" w:cs="Arial" w:eastAsia="Arial" w:hAnsi="Arial"/>
          <w:sz w:val="17"/>
          <w:szCs w:val="17"/>
          <w:color w:val="auto"/>
        </w:rPr>
      </w:pPr>
    </w:p>
    <w:p>
      <w:pPr>
        <w:ind w:left="-20" w:firstLine="436"/>
        <w:spacing w:after="0" w:line="287" w:lineRule="auto"/>
        <w:tabs>
          <w:tab w:leader="none" w:pos="675"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any Issuing Bank makes any LC Disbursement, then unless the Borrower reimburses such LC Disbursement in full on the date such LC Disbursement is made, the unpaid amount thereof shall bear interest, for each day from and including the date such LC Disbursement is made to but excluding the date that the Borrower reimburses such LC Disbursement (or the date on which such LC Disbursement is reimbursed with the proceeds of Loans, as applicable), at the rate per annum then applicable (x) in the case of any Letter of Credit denominated in Dollars, to Initial Revolving Loans that are ABR Loans and (y) in the case of any Letter of Credit denominated in any Alternate Currency, Initial Revolving Loans that are LIBO Rate Loans (or, to the extent of the participation in such LC Disbursement by any Revolving Lender of another Class, the rate per annum then applicable to the Revolving Loans of such other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fails to reimburse such LC Disbursement when due pursuant to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of this Section, then </w:t>
      </w:r>
      <w:r>
        <w:rPr>
          <w:rFonts w:ascii="Arial" w:cs="Arial" w:eastAsia="Arial" w:hAnsi="Arial"/>
          <w:sz w:val="16"/>
          <w:szCs w:val="16"/>
          <w:u w:val="single" w:color="auto"/>
          <w:color w:val="auto"/>
        </w:rPr>
        <w:t>Section 2.13(d)</w:t>
      </w:r>
      <w:r>
        <w:rPr>
          <w:rFonts w:ascii="Arial" w:cs="Arial" w:eastAsia="Arial" w:hAnsi="Arial"/>
          <w:sz w:val="16"/>
          <w:szCs w:val="16"/>
          <w:color w:val="auto"/>
        </w:rPr>
        <w:t xml:space="preserve"> shall apply. Interest accrued pursuant to this paragraph shall be for the account of the applicable Issuing Bank, except that interest accrued on and after the date of payment by any Revolving Lender pursuant to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of this Section to reimburse such Issuing Bank shall be for the account of such Revolving Lender to the extent of such payment and shall be payable on the date on which the Borrower is required to reimburse the applicable LC Disbursement in full (and, thereafter, on demand).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0"/>
          </w:cols>
          <w:pgMar w:left="460" w:top="274" w:right="459" w:bottom="1440" w:gutter="0" w:footer="0" w:header="0"/>
        </w:sectPr>
      </w:pPr>
    </w:p>
    <w:bookmarkStart w:id="88" w:name="page89"/>
    <w:bookmarkEnd w:id="88"/>
    <w:p>
      <w:pPr>
        <w:ind w:left="-40" w:right="100" w:firstLine="436"/>
        <w:spacing w:after="0" w:line="288" w:lineRule="auto"/>
        <w:tabs>
          <w:tab w:leader="none" w:pos="655"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Replacement or Resignation of an Issuing Bank; Designation of New Issuing Banks</w:t>
      </w:r>
      <w:r>
        <w:rPr>
          <w:rFonts w:ascii="Arial" w:cs="Arial" w:eastAsia="Arial" w:hAnsi="Arial"/>
          <w:sz w:val="16"/>
          <w:szCs w:val="16"/>
          <w:color w:val="auto"/>
        </w:rPr>
        <w:t xml:space="preserve">. Any Issuing Bank may be replaced with the consent of the Administrative Agent (not to be unreasonably withheld or delayed) and the Borrower at any time by written agreement among the Borrower, the Administrative Agent and the successor Issuing Bank. The Administrative Agent shall notify the Revolving Lenders of any such replacement of an Issuing Bank. At the time any such replacement becomes effective, unless otherwise agreed by the replaced Issuing Bank, the Borrower shall pay all unpaid fees accrued prior to such date for the account of the replaced Issuing Bank pursuant to </w:t>
      </w:r>
      <w:r>
        <w:rPr>
          <w:rFonts w:ascii="Arial" w:cs="Arial" w:eastAsia="Arial" w:hAnsi="Arial"/>
          <w:sz w:val="16"/>
          <w:szCs w:val="16"/>
          <w:u w:val="single" w:color="auto"/>
          <w:color w:val="auto"/>
        </w:rPr>
        <w:t>Section 2.12(b)(ii)</w:t>
      </w:r>
      <w:r>
        <w:rPr>
          <w:rFonts w:ascii="Arial" w:cs="Arial" w:eastAsia="Arial" w:hAnsi="Arial"/>
          <w:sz w:val="16"/>
          <w:szCs w:val="16"/>
          <w:color w:val="auto"/>
        </w:rPr>
        <w:t>. From and after the effective date of any such replacement,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any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60" w:lineRule="exact"/>
        <w:rPr>
          <w:rFonts w:ascii="Arial" w:cs="Arial" w:eastAsia="Arial" w:hAnsi="Arial"/>
          <w:sz w:val="16"/>
          <w:szCs w:val="16"/>
          <w:color w:val="auto"/>
        </w:rPr>
      </w:pPr>
    </w:p>
    <w:p>
      <w:pPr>
        <w:ind w:left="400" w:firstLine="419"/>
        <w:spacing w:after="0" w:line="268" w:lineRule="auto"/>
        <w:tabs>
          <w:tab w:leader="none" w:pos="1038" w:val="left"/>
        </w:tabs>
        <w:numPr>
          <w:ilvl w:val="1"/>
          <w:numId w:val="95"/>
        </w:numPr>
        <w:rPr>
          <w:rFonts w:ascii="Arial" w:cs="Arial" w:eastAsia="Arial" w:hAnsi="Arial"/>
          <w:sz w:val="17"/>
          <w:szCs w:val="17"/>
          <w:color w:val="auto"/>
        </w:rPr>
      </w:pPr>
      <w:r>
        <w:rPr>
          <w:rFonts w:ascii="Arial" w:cs="Arial" w:eastAsia="Arial" w:hAnsi="Arial"/>
          <w:sz w:val="17"/>
          <w:szCs w:val="17"/>
          <w:color w:val="auto"/>
        </w:rPr>
        <w:t xml:space="preserve">The Borrower may, at any time and from time to time with the consent of the Administrative Agent (which consent shall not be unreasonably withheld or delayed) and the relevant Revolving Lender, designate one or more additional Revolving Lenders to act as an issuing bank under the terms of this Agreement. Any Revolving Lender designated as an issuing bank pursuant to this </w:t>
      </w:r>
      <w:r>
        <w:rPr>
          <w:rFonts w:ascii="Arial" w:cs="Arial" w:eastAsia="Arial" w:hAnsi="Arial"/>
          <w:sz w:val="17"/>
          <w:szCs w:val="17"/>
          <w:u w:val="single" w:color="auto"/>
          <w:color w:val="auto"/>
        </w:rPr>
        <w:t>paragraph (i)</w:t>
      </w:r>
      <w:r>
        <w:rPr>
          <w:rFonts w:ascii="Arial" w:cs="Arial" w:eastAsia="Arial" w:hAnsi="Arial"/>
          <w:sz w:val="17"/>
          <w:szCs w:val="17"/>
          <w:color w:val="auto"/>
        </w:rPr>
        <w:t xml:space="preserve"> who agrees in writing to such designation shall be deemed to be an “Issuing Bank” (in addition to being a Revolving Lender) in respect of Letters of Credit issued or to be issued by such Revolving Lender in respect of its Letter of Credit Commitment (the amount of which Letter of Credit Commitment shall be specified in the agreement pursuant to which such Revolving Lender becomes an Issuing Bank), and, with respect to such Letters of Credit, such term shall thereafter apply to the other Issuing Bank and such Revolving Lender; provided, that for the avoidance of doubt, it is understood and agreed that the Letter of Credit Commitments of the other Issuing Banks shall not be reduced or otherwise be affected by the appointment of any additional Revolving Lender as an Issuing Bank pursuant to this </w:t>
      </w:r>
      <w:r>
        <w:rPr>
          <w:rFonts w:ascii="Arial" w:cs="Arial" w:eastAsia="Arial" w:hAnsi="Arial"/>
          <w:sz w:val="17"/>
          <w:szCs w:val="17"/>
          <w:u w:val="single" w:color="auto"/>
          <w:color w:val="auto"/>
        </w:rPr>
        <w:t>paragraph (i)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notwithstanding anything to the contrary contained herein, this Agreement may be amended to give effect to such appointment with the consent of the Borrower, the Administrative Agent (which consent shall not be unreasonably withheld or delayed) and such Issuing Bank being appointed in accordance with this </w:t>
      </w:r>
      <w:r>
        <w:rPr>
          <w:rFonts w:ascii="Arial" w:cs="Arial" w:eastAsia="Arial" w:hAnsi="Arial"/>
          <w:sz w:val="17"/>
          <w:szCs w:val="17"/>
          <w:u w:val="single" w:color="auto"/>
          <w:color w:val="auto"/>
        </w:rPr>
        <w:t>Section 2.05(h)</w:t>
      </w:r>
      <w:r>
        <w:rPr>
          <w:rFonts w:ascii="Arial" w:cs="Arial" w:eastAsia="Arial" w:hAnsi="Arial"/>
          <w:sz w:val="17"/>
          <w:szCs w:val="17"/>
          <w:color w:val="auto"/>
        </w:rPr>
        <w:t>, which amendment may determine the face amount of Letters of Credit required to be issued by such Issuing Bank, and the consent of no other Lender shall be required therefor.</w:t>
      </w:r>
    </w:p>
    <w:p>
      <w:pPr>
        <w:spacing w:after="0" w:line="78" w:lineRule="exact"/>
        <w:rPr>
          <w:rFonts w:ascii="Arial" w:cs="Arial" w:eastAsia="Arial" w:hAnsi="Arial"/>
          <w:sz w:val="17"/>
          <w:szCs w:val="17"/>
          <w:color w:val="auto"/>
        </w:rPr>
      </w:pPr>
    </w:p>
    <w:p>
      <w:pPr>
        <w:ind w:left="400" w:firstLine="419"/>
        <w:spacing w:after="0" w:line="286" w:lineRule="auto"/>
        <w:tabs>
          <w:tab w:leader="none" w:pos="1088"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each Issuing Bank may, upon 30 days’ prior written notice to the Borrower, each other Issuing Bank and the Lenders, resign as Issuing Bank, which resignation shall be effective as of the date referenced in such notice (but in no event less than 30 days (or such later date as the relevant Issuing Bank may agree) after the delivery of such written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effectiveness of such resignation shall be conditioned on and subject to the appointment of a replacement Issuing Bank reasonably satisfactory to the Borrower who agrees to assume the entire Letter of Credit Commitment of the resigning Issuing Bank, and no such resignation shall become effective unless and until such replacement Issuing Bank has accepted such appointment and agreed to provide such Letter of Credit Commitment on terms acceptable 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it is understood and agreed that in the event of any such resignation, any Letter of Credit then outstanding shall remain outstanding (irrespective of whether any amount have been drawn at such time). In the event of any such resignation of any Issuing Bank, the Borrower shall be entitled, but shall not be obligated, to appoint another Revolving Lender that is willing, in its sole discretion to accept such appointment in writing as successor Issuing Bank in respect of such resigning Issuing Bank; it being understood that the resignation of any such Issuing Bank shall not be effective in the event of a failure to appoint any such successor Issuing Bank and/or a failure of any Revolving Lender to accept such appointment as Issuing Bank. Upon the acceptance of any appointment as Issuing Bank hereunder, the successor Issuing Bank shall thereupon succeed to and become vested with all the rights, powers, privileges and duties of the retiring Issuing Bank, and the retiring Issuing Bank shall be discharged from its duties and obligations in such capacity 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20"/>
          </w:cols>
          <w:pgMar w:left="480" w:top="274" w:right="499" w:bottom="1440" w:gutter="0" w:footer="0" w:header="0"/>
        </w:sectPr>
      </w:pPr>
    </w:p>
    <w:bookmarkStart w:id="89" w:name="page90"/>
    <w:bookmarkEnd w:id="89"/>
    <w:p>
      <w:pPr>
        <w:ind w:left="660" w:hanging="224"/>
        <w:spacing w:after="0"/>
        <w:tabs>
          <w:tab w:leader="none" w:pos="660" w:val="left"/>
        </w:tabs>
        <w:numPr>
          <w:ilvl w:val="0"/>
          <w:numId w:val="9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Collateralization</w:t>
      </w:r>
      <w:r>
        <w:rPr>
          <w:rFonts w:ascii="Arial" w:cs="Arial" w:eastAsia="Arial" w:hAnsi="Arial"/>
          <w:sz w:val="18"/>
          <w:szCs w:val="18"/>
          <w:color w:val="auto"/>
        </w:rPr>
        <w:t>.</w:t>
      </w:r>
    </w:p>
    <w:p>
      <w:pPr>
        <w:spacing w:after="0" w:line="117" w:lineRule="exact"/>
        <w:rPr>
          <w:rFonts w:ascii="Arial" w:cs="Arial" w:eastAsia="Arial" w:hAnsi="Arial"/>
          <w:sz w:val="18"/>
          <w:szCs w:val="18"/>
          <w:u w:val="single" w:color="auto"/>
          <w:color w:val="auto"/>
        </w:rPr>
      </w:pPr>
    </w:p>
    <w:p>
      <w:pPr>
        <w:ind w:left="440" w:right="20" w:firstLine="419"/>
        <w:spacing w:after="0" w:line="254" w:lineRule="auto"/>
        <w:tabs>
          <w:tab w:leader="none" w:pos="1078"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If any Event of Default exists and the Loans have been declared due and payable in accordance with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hereof, then on the Business Day following the date on which the Borrower receives notice from the Administrative Agent (at the direction of the Required Revolving Lenders) demanding the deposit of Cash collateral pursuant to this </w:t>
      </w:r>
      <w:r>
        <w:rPr>
          <w:rFonts w:ascii="Arial" w:cs="Arial" w:eastAsia="Arial" w:hAnsi="Arial"/>
          <w:sz w:val="18"/>
          <w:szCs w:val="18"/>
          <w:u w:val="single" w:color="auto"/>
          <w:color w:val="auto"/>
        </w:rPr>
        <w:t>paragraph (i)</w:t>
      </w:r>
      <w:r>
        <w:rPr>
          <w:rFonts w:ascii="Arial" w:cs="Arial" w:eastAsia="Arial" w:hAnsi="Arial"/>
          <w:sz w:val="18"/>
          <w:szCs w:val="18"/>
          <w:color w:val="auto"/>
        </w:rPr>
        <w:t>, the Borrower shall deposit (or shall cause to be deposited), in an interest-bearing account with the Administrative Agent, in the name of the Administrative Agent and for the benefit of the Revolving Lenders (the “</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an amount in Cash equal to 100% of the LC Exposure as of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amount then on deposit in the LC Collateral Account);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8"/>
          <w:szCs w:val="18"/>
          <w:u w:val="single" w:color="auto"/>
          <w:color w:val="auto"/>
        </w:rPr>
        <w:t>Section 7.01(f)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left="440" w:right="40" w:firstLine="419"/>
        <w:spacing w:after="0" w:line="269" w:lineRule="auto"/>
        <w:tabs>
          <w:tab w:leader="none" w:pos="1128" w:val="left"/>
        </w:tabs>
        <w:numPr>
          <w:ilvl w:val="1"/>
          <w:numId w:val="96"/>
        </w:numPr>
        <w:rPr>
          <w:rFonts w:ascii="Arial" w:cs="Arial" w:eastAsia="Arial" w:hAnsi="Arial"/>
          <w:sz w:val="17"/>
          <w:szCs w:val="17"/>
          <w:color w:val="auto"/>
        </w:rPr>
      </w:pPr>
      <w:r>
        <w:rPr>
          <w:rFonts w:ascii="Arial" w:cs="Arial" w:eastAsia="Arial" w:hAnsi="Arial"/>
          <w:sz w:val="17"/>
          <w:szCs w:val="17"/>
          <w:color w:val="auto"/>
        </w:rPr>
        <w:t xml:space="preserve">Any such deposit under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shall be held by the Administrative Agent as collateral for the payment and performance of the Secured Obligations in accordance with the provisions of this </w:t>
      </w:r>
      <w:r>
        <w:rPr>
          <w:rFonts w:ascii="Arial" w:cs="Arial" w:eastAsia="Arial" w:hAnsi="Arial"/>
          <w:sz w:val="17"/>
          <w:szCs w:val="17"/>
          <w:u w:val="single" w:color="auto"/>
          <w:color w:val="auto"/>
        </w:rPr>
        <w:t>paragraph (i)</w:t>
      </w:r>
      <w:r>
        <w:rPr>
          <w:rFonts w:ascii="Arial" w:cs="Arial" w:eastAsia="Arial" w:hAnsi="Arial"/>
          <w:sz w:val="17"/>
          <w:szCs w:val="17"/>
          <w:color w:val="auto"/>
        </w:rPr>
        <w:t>. The Administrative Agent shall have exclusive dominion and control, including the exclusive right of withdrawal, over such account, and the Borrower hereby grants the Administrative Agent, for the benefit of the Secured Parties, a first priority security interest in the LC Collateral Account. Interest or profits, if any, on such investments shall accumulate in such account. Moneys in such account shall be applied by the Administrative Agent to reimburse the applicable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the Required Revolving Lenders) be applied to satisfy other Secured Obligations. If the Borrower is required to provide an amount of Cash collateral hereunder as a result of the occurrence of an Event of Default, such amount (together with all interest and other earnings with respect thereto, to the extent not applied as aforesaid) shall be returned to the Borrower promptly (but in no event later than three Business Days) after such Event of Default has been cured or waived.</w:t>
      </w:r>
    </w:p>
    <w:p>
      <w:pPr>
        <w:spacing w:after="0" w:line="74" w:lineRule="exact"/>
        <w:rPr>
          <w:sz w:val="20"/>
          <w:szCs w:val="20"/>
          <w:color w:val="auto"/>
        </w:rPr>
      </w:pPr>
    </w:p>
    <w:p>
      <w:pPr>
        <w:ind w:firstLine="436"/>
        <w:spacing w:after="0" w:line="291" w:lineRule="auto"/>
        <w:tabs>
          <w:tab w:leader="none" w:pos="655"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Reporting</w:t>
      </w:r>
      <w:r>
        <w:rPr>
          <w:rFonts w:ascii="Arial" w:cs="Arial" w:eastAsia="Arial" w:hAnsi="Arial"/>
          <w:sz w:val="16"/>
          <w:szCs w:val="16"/>
          <w:color w:val="auto"/>
        </w:rPr>
        <w:t>. (i) Not later than the third Business Day following the last day of each month and at each issuance of a Letter of Credit (or at such other intervals as the Administrative Agent and the applicable Issuing Bank shall agree), each Issuing Bank shall provide to the Administrative Agent a schedule of the Letters of Credit issued by it, and (ii) at each issuance of a Letter of Credit, the applicable Issuing Bank shall provide to the Administrative Agent a description of such Letter of Credit, in each case, in form and substance reasonably satisfactory to the Administrative Agent, showing the date of issuance of each (or such) Letter of Credit, the account party, the original face amount (if any), the expiration date, and the reference number of any Letter of Credit outstanding at any time during such month (or of such Letter of Credit, as applicable), and showing the aggregate amount (if any) payable by the Borrower to such Issuing Bank during such month (or with respect to such Letter of Credit, as applicable).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59" w:lineRule="auto"/>
        <w:tabs>
          <w:tab w:leader="none" w:pos="685"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Lender shall make (x) each LIBO Rate Loan to be made by it hereunder available to the Administrative Agent not later than 12:00 p.m., and (y) each ABR Loan to be made by it hereunder available to the Administrative Agent not later than 1:00 p.m., in each case, on the Business Day specified in the applicable Borrowing Request by wire transfer of immediately available funds to the account of the Administrative Agent most recently designated by it for such purpose by notice to the Lenders in an amount equal to such Lender’s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90" w:name="page91"/>
    <w:bookmarkEnd w:id="90"/>
    <w:p>
      <w:pPr>
        <w:ind w:left="4"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respective Applicable Percentage;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Swingline Loans shall be made as provided in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The Administrative Agent will make such Loans available to the Borrower by promptly crediting the amounts so received on the same Business Day, in like funds, to the account designated in the relevant Borrowing Request or as otherwise directed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ABR Revolving Loans (or LIBO Rate Revolving Loans in the case of any Letter of Credit denominated in any Alternate Currency) made to finance the reimbursement of any LC Disbursement as provided in </w:t>
      </w:r>
      <w:r>
        <w:rPr>
          <w:rFonts w:ascii="Arial" w:cs="Arial" w:eastAsia="Arial" w:hAnsi="Arial"/>
          <w:sz w:val="17"/>
          <w:szCs w:val="17"/>
          <w:u w:val="single" w:color="auto"/>
          <w:color w:val="auto"/>
        </w:rPr>
        <w:t>Section 2.05(e)</w:t>
      </w:r>
      <w:r>
        <w:rPr>
          <w:rFonts w:ascii="Arial" w:cs="Arial" w:eastAsia="Arial" w:hAnsi="Arial"/>
          <w:sz w:val="17"/>
          <w:szCs w:val="17"/>
          <w:color w:val="auto"/>
        </w:rPr>
        <w:t xml:space="preserve"> shall be remitted by the Administrative Agent to the applicable Issuing Bank.</w:t>
      </w:r>
    </w:p>
    <w:p>
      <w:pPr>
        <w:spacing w:after="0" w:line="68" w:lineRule="exact"/>
        <w:rPr>
          <w:sz w:val="20"/>
          <w:szCs w:val="20"/>
          <w:color w:val="auto"/>
        </w:rPr>
      </w:pPr>
    </w:p>
    <w:p>
      <w:pPr>
        <w:ind w:left="4" w:firstLine="436"/>
        <w:spacing w:after="0" w:line="284" w:lineRule="auto"/>
        <w:tabs>
          <w:tab w:leader="none" w:pos="699"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Unless the Administrative Agent has received notice from any Lender that such Lender will not make available to the Administrative Agent such Lender’s share of any Borrowing prior to the proposed date of such Borrowing (or, in the case of any Borrowing of ABR Loans, prior to 12:00 p.m. on the date of such Borrowing), the Administrative Agent may assume that such Lender has made such share available on such date in accordance with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Section and may, in reliance upon such assumption, make available to the Borrower a corresponding amount. In such event, if any Lender has not in fact made its share of the applicable Borrowing available to the Administrative Agent, then the applicable Lender and the Borrower severally agree to pay to the Administrative Agent forthwith on demand (without duplication) such corresponding amount with interest thereon, for each day from and including the date such amount is made available to the Borrower to but excluding the date of payment to the Administrative Agent, at</w:t>
      </w:r>
    </w:p>
    <w:p>
      <w:pPr>
        <w:spacing w:after="0" w:line="2" w:lineRule="exact"/>
        <w:rPr>
          <w:rFonts w:ascii="Arial" w:cs="Arial" w:eastAsia="Arial" w:hAnsi="Arial"/>
          <w:sz w:val="16"/>
          <w:szCs w:val="16"/>
          <w:color w:val="auto"/>
        </w:rPr>
      </w:pPr>
    </w:p>
    <w:p>
      <w:pPr>
        <w:ind w:left="4" w:hanging="4"/>
        <w:spacing w:after="0" w:line="268" w:lineRule="auto"/>
        <w:tabs>
          <w:tab w:leader="none" w:pos="21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in the case of such Lender, the greater of the Federal Funds Effective Rate (or, with respect to any amount denominated in any Alternate Currency, the rate of interest per annum at which overnight deposits in the applicable Alternate Currency, on an amount approximately equal to the amount with respect to which such rate is being determined, would be offered for such day by the Administrative Agent in the applicable offshore interbank market for such currency) and a rate determined by the Administrative Agent in accordance with banking industry rules on interbank compensation or (ii) in the case of the Borrower, the interest rate applicable to Loans comprising such Borrowing at such time. If such Lender pays such amount to the Administrative Agent, then such amount shall constitute such Lender’s Loan included in such Borrowing and the obligation of the Borrower to repay the Administrative Agent such corresponding amount pursuant to this </w:t>
      </w:r>
      <w:r>
        <w:rPr>
          <w:rFonts w:ascii="Arial" w:cs="Arial" w:eastAsia="Arial" w:hAnsi="Arial"/>
          <w:sz w:val="17"/>
          <w:szCs w:val="17"/>
          <w:u w:val="single" w:color="auto"/>
          <w:color w:val="auto"/>
        </w:rPr>
        <w:t>Section 2.07(b)</w:t>
      </w:r>
      <w:r>
        <w:rPr>
          <w:rFonts w:ascii="Arial" w:cs="Arial" w:eastAsia="Arial" w:hAnsi="Arial"/>
          <w:sz w:val="17"/>
          <w:szCs w:val="17"/>
          <w:color w:val="auto"/>
        </w:rPr>
        <w:t xml:space="preserve"> shall cease.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w:t>
      </w:r>
    </w:p>
    <w:p>
      <w:pPr>
        <w:spacing w:after="0" w:line="1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Type; Interest Elections</w:t>
      </w:r>
      <w:r>
        <w:rPr>
          <w:rFonts w:ascii="Arial" w:cs="Arial" w:eastAsia="Arial" w:hAnsi="Arial"/>
          <w:sz w:val="18"/>
          <w:szCs w:val="18"/>
          <w:color w:val="auto"/>
        </w:rPr>
        <w:t>.</w:t>
      </w:r>
    </w:p>
    <w:p>
      <w:pPr>
        <w:spacing w:after="0" w:line="117" w:lineRule="exact"/>
        <w:rPr>
          <w:sz w:val="20"/>
          <w:szCs w:val="20"/>
          <w:color w:val="auto"/>
        </w:rPr>
      </w:pPr>
    </w:p>
    <w:p>
      <w:pPr>
        <w:ind w:left="4" w:right="120" w:firstLine="436"/>
        <w:spacing w:after="0" w:line="293" w:lineRule="auto"/>
        <w:tabs>
          <w:tab w:leader="none" w:pos="68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Each Borrowing shall initially be of the Type specified in the applicable Borrowing Request and, in the case of any LIBO Rate Borrowing, shall have an initial Interest Period as specified in such Borrowing Request. Thereafter, the Borrower may elect to convert any Borrowing denominated in Dollars to a Borrowing of a different Type or to continue such Borrowing and, in the case of a LIBO Rate Borrowing, may elect Interest Periods therefor, all as provided in this Section. The Borrower may elect different options with respect to different portions of the affected Borrowing, in which case each such portion shall be allocated ratably among the Lenders based upon their Applicable Percentages and the Loans comprising each such portion shall be considered a separate Borrowing. This Section shall not apply to Swingline Loans, which may not be a LIBO Rate Borrowing.</w:t>
      </w:r>
    </w:p>
    <w:p>
      <w:pPr>
        <w:spacing w:after="0" w:line="56" w:lineRule="exact"/>
        <w:rPr>
          <w:rFonts w:ascii="Arial" w:cs="Arial" w:eastAsia="Arial" w:hAnsi="Arial"/>
          <w:sz w:val="16"/>
          <w:szCs w:val="16"/>
          <w:color w:val="auto"/>
        </w:rPr>
      </w:pPr>
    </w:p>
    <w:p>
      <w:pPr>
        <w:ind w:left="4" w:right="60" w:firstLine="436"/>
        <w:spacing w:after="0" w:line="259" w:lineRule="auto"/>
        <w:tabs>
          <w:tab w:leader="none" w:pos="69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To make an election pursuant to this Section, the Borrower shall deliver an Interest Election Request, appropriately completed and signed by a Responsible Officer of the Borrower, to the Administrative Agent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If any such Interest Election Request requests a LIBO Rate Borrowing but does not specify an Interest Period, then the Borrower shall be deemed to have selected an Interest Period of one month’s duration.</w:t>
      </w:r>
    </w:p>
    <w:p>
      <w:pPr>
        <w:spacing w:after="0" w:line="78" w:lineRule="exact"/>
        <w:rPr>
          <w:rFonts w:ascii="Arial" w:cs="Arial" w:eastAsia="Arial" w:hAnsi="Arial"/>
          <w:sz w:val="18"/>
          <w:szCs w:val="18"/>
          <w:color w:val="auto"/>
        </w:rPr>
      </w:pPr>
    </w:p>
    <w:p>
      <w:pPr>
        <w:ind w:left="4" w:right="60" w:firstLine="436"/>
        <w:spacing w:after="0" w:line="277" w:lineRule="auto"/>
        <w:tabs>
          <w:tab w:leader="none" w:pos="68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applicable Lender of the details thereof and of such Lender’s portion of each resulting Borrowing.</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4"/>
          </w:cols>
          <w:pgMar w:left="436" w:top="274" w:right="459" w:bottom="1440" w:gutter="0" w:footer="0" w:header="0"/>
        </w:sectPr>
      </w:pPr>
    </w:p>
    <w:bookmarkStart w:id="91" w:name="page92"/>
    <w:bookmarkEnd w:id="91"/>
    <w:p>
      <w:pPr>
        <w:ind w:left="4" w:right="640" w:firstLine="436"/>
        <w:spacing w:after="0" w:line="263" w:lineRule="auto"/>
        <w:tabs>
          <w:tab w:leader="none" w:pos="699"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Borrower fails to deliver (or cause to be delivered) a timely Interest Election Request with respect to a LIBO Rate Borrowing denominated in Dollars prior to the end of the Interest Period applicable thereto, then, unless such Borrowing is repaid as provided herein, such Borrowing shall be converted at the end of such Interest Period to an ABR Borrowing.</w:t>
      </w:r>
    </w:p>
    <w:p>
      <w:pPr>
        <w:spacing w:after="0" w:line="75" w:lineRule="exact"/>
        <w:rPr>
          <w:rFonts w:ascii="Arial" w:cs="Arial" w:eastAsia="Arial" w:hAnsi="Arial"/>
          <w:sz w:val="18"/>
          <w:szCs w:val="18"/>
          <w:color w:val="auto"/>
        </w:rPr>
      </w:pPr>
    </w:p>
    <w:p>
      <w:pPr>
        <w:ind w:left="684" w:hanging="244"/>
        <w:spacing w:after="0"/>
        <w:tabs>
          <w:tab w:leader="none" w:pos="68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It is understood and agreed that only a Borrowing denominated in Dollars may be made in the form of, or converted into, an ABR Loan.</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Termination and Reduction of Commitments</w:t>
      </w:r>
      <w:r>
        <w:rPr>
          <w:rFonts w:ascii="Arial" w:cs="Arial" w:eastAsia="Arial" w:hAnsi="Arial"/>
          <w:sz w:val="18"/>
          <w:szCs w:val="18"/>
          <w:color w:val="auto"/>
        </w:rPr>
        <w:t>.</w:t>
      </w:r>
    </w:p>
    <w:p>
      <w:pPr>
        <w:spacing w:after="0" w:line="117" w:lineRule="exact"/>
        <w:rPr>
          <w:sz w:val="20"/>
          <w:szCs w:val="20"/>
          <w:color w:val="auto"/>
        </w:rPr>
      </w:pPr>
    </w:p>
    <w:p>
      <w:pPr>
        <w:ind w:left="4" w:right="40" w:firstLine="436"/>
        <w:spacing w:after="0" w:line="291" w:lineRule="auto"/>
        <w:tabs>
          <w:tab w:leader="none" w:pos="689" w:val="left"/>
        </w:tabs>
        <w:numPr>
          <w:ilvl w:val="1"/>
          <w:numId w:val="103"/>
        </w:numPr>
        <w:rPr>
          <w:rFonts w:ascii="Arial" w:cs="Arial" w:eastAsia="Arial" w:hAnsi="Arial"/>
          <w:sz w:val="16"/>
          <w:szCs w:val="16"/>
          <w:color w:val="auto"/>
        </w:rPr>
      </w:pPr>
      <w:r>
        <w:rPr>
          <w:rFonts w:ascii="Arial" w:cs="Arial" w:eastAsia="Arial" w:hAnsi="Arial"/>
          <w:sz w:val="16"/>
          <w:szCs w:val="16"/>
          <w:color w:val="auto"/>
        </w:rPr>
        <w:t>Unless previously terminated, (i) the Initial Term Loan Commitments on the Closing Date shall automatically terminate upon the making of the Initial Term Loans on the Closing Date, (ii) the Initial Revolving Credit Commitments shall automatically terminate on the Initial Revolving Credit Maturity Date, (iii) the Additional Term Loan Commitments of any Class shall automatically terminate upon the making of the Additional Term Loans of such Class and, if any such Additional Term Loan Commitment is not drawn on the date that such Additional Term Loan Commitment is required to be drawn pursuant to the applicable Refinancing Amendment, Extension Amendment or Incremental Facility Amendment, the undrawn amount thereof shall automatically terminate and (iv) the Additional Revolving Credit Commitments of any Class shall automatically terminate on the Maturity Date specified therefor in the applicable Refinancing Amendment, Extension Amendment or Incremental Facility Amendment, as applicable.</w:t>
      </w:r>
    </w:p>
    <w:p>
      <w:pPr>
        <w:spacing w:after="0" w:line="58" w:lineRule="exact"/>
        <w:rPr>
          <w:rFonts w:ascii="Arial" w:cs="Arial" w:eastAsia="Arial" w:hAnsi="Arial"/>
          <w:sz w:val="16"/>
          <w:szCs w:val="16"/>
          <w:color w:val="auto"/>
        </w:rPr>
      </w:pPr>
    </w:p>
    <w:p>
      <w:pPr>
        <w:ind w:left="4" w:right="120" w:firstLine="436"/>
        <w:spacing w:after="0" w:line="271" w:lineRule="auto"/>
        <w:tabs>
          <w:tab w:leader="none" w:pos="699" w:val="left"/>
        </w:tabs>
        <w:numPr>
          <w:ilvl w:val="1"/>
          <w:numId w:val="103"/>
        </w:numPr>
        <w:rPr>
          <w:rFonts w:ascii="Arial" w:cs="Arial" w:eastAsia="Arial" w:hAnsi="Arial"/>
          <w:sz w:val="17"/>
          <w:szCs w:val="17"/>
          <w:color w:val="auto"/>
        </w:rPr>
      </w:pPr>
      <w:r>
        <w:rPr>
          <w:rFonts w:ascii="Arial" w:cs="Arial" w:eastAsia="Arial" w:hAnsi="Arial"/>
          <w:sz w:val="17"/>
          <w:szCs w:val="17"/>
          <w:color w:val="auto"/>
        </w:rPr>
        <w:t xml:space="preserve">Upon delivery of the notice required by </w:t>
      </w:r>
      <w:r>
        <w:rPr>
          <w:rFonts w:ascii="Arial" w:cs="Arial" w:eastAsia="Arial" w:hAnsi="Arial"/>
          <w:sz w:val="17"/>
          <w:szCs w:val="17"/>
          <w:u w:val="single" w:color="auto"/>
          <w:color w:val="auto"/>
        </w:rPr>
        <w:t>Section 2.09(c)</w:t>
      </w:r>
      <w:r>
        <w:rPr>
          <w:rFonts w:ascii="Arial" w:cs="Arial" w:eastAsia="Arial" w:hAnsi="Arial"/>
          <w:sz w:val="17"/>
          <w:szCs w:val="17"/>
          <w:color w:val="auto"/>
        </w:rPr>
        <w:t xml:space="preserve">, the Borrower may at any time terminate or from time to time reduce the Revolving Credit Commitments of any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each reduction of the Revolving Credit Commitments of any Class shall be in an amount that is an integral multiple of $1,000,000 and not less than $1,000,000 and (ii) the Borrower shall not terminate or reduce the Revolving Credit Commitments of any Class if, after giving effect to any concurrent prepayment of Revolving Loans, Swingline Loans and/or the provision of Letter of Credit Support with respect to any outstanding Letter of Credit, the aggregate amount of the Revolving Credit Exposure attributable to the Revolving Credit Commitments of such Class would exceed the aggregate amount of the Revolving Credit Commitments of such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the establishment of any Class of Additional Revolving Credit Commitments, any such termination or reduction of the Revolving Credit Commitments of any Class shall be subject to the provisions set forth in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9.02</w:t>
      </w:r>
      <w:r>
        <w:rPr>
          <w:rFonts w:ascii="Arial" w:cs="Arial" w:eastAsia="Arial" w:hAnsi="Arial"/>
          <w:sz w:val="17"/>
          <w:szCs w:val="17"/>
          <w:color w:val="auto"/>
        </w:rPr>
        <w:t>, as applicable.</w:t>
      </w:r>
    </w:p>
    <w:p>
      <w:pPr>
        <w:spacing w:after="0" w:line="70" w:lineRule="exact"/>
        <w:rPr>
          <w:rFonts w:ascii="Arial" w:cs="Arial" w:eastAsia="Arial" w:hAnsi="Arial"/>
          <w:sz w:val="17"/>
          <w:szCs w:val="17"/>
          <w:color w:val="auto"/>
        </w:rPr>
      </w:pPr>
    </w:p>
    <w:p>
      <w:pPr>
        <w:ind w:left="684" w:hanging="244"/>
        <w:spacing w:after="0"/>
        <w:tabs>
          <w:tab w:leader="none" w:pos="684"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The Borrower shall notify the Administrative Agent of any election to terminate or reduce any Revolving Credit Commitment under </w:t>
      </w:r>
      <w:r>
        <w:rPr>
          <w:rFonts w:ascii="Arial" w:cs="Arial" w:eastAsia="Arial" w:hAnsi="Arial"/>
          <w:sz w:val="16"/>
          <w:szCs w:val="16"/>
          <w:u w:val="single" w:color="auto"/>
          <w:color w:val="auto"/>
        </w:rPr>
        <w:t>paragraph</w:t>
      </w:r>
    </w:p>
    <w:p>
      <w:pPr>
        <w:spacing w:after="0" w:line="46" w:lineRule="exact"/>
        <w:rPr>
          <w:rFonts w:ascii="Arial" w:cs="Arial" w:eastAsia="Arial" w:hAnsi="Arial"/>
          <w:sz w:val="16"/>
          <w:szCs w:val="16"/>
          <w:color w:val="auto"/>
        </w:rPr>
      </w:pPr>
    </w:p>
    <w:p>
      <w:pPr>
        <w:ind w:left="4" w:hanging="4"/>
        <w:spacing w:after="0" w:line="268" w:lineRule="auto"/>
        <w:tabs>
          <w:tab w:leader="none" w:pos="259" w:val="left"/>
        </w:tabs>
        <w:numPr>
          <w:ilvl w:val="0"/>
          <w:numId w:val="104"/>
        </w:numPr>
        <w:rPr>
          <w:rFonts w:ascii="Arial" w:cs="Arial" w:eastAsia="Arial" w:hAnsi="Arial"/>
          <w:sz w:val="17"/>
          <w:szCs w:val="17"/>
          <w:u w:val="single" w:color="auto"/>
          <w:color w:val="auto"/>
        </w:rPr>
      </w:pPr>
      <w:r>
        <w:rPr>
          <w:rFonts w:ascii="Arial" w:cs="Arial" w:eastAsia="Arial" w:hAnsi="Arial"/>
          <w:sz w:val="17"/>
          <w:szCs w:val="17"/>
          <w:color w:val="auto"/>
        </w:rPr>
        <w:t xml:space="preserve">of this Section in writing at least three Business Days prior to the effective date of such termination or reduction (or such later date to which the Administrative Agent may agree), specifying such election and the effective date thereof. Promptly following receipt of any such notice, the Administrative Agent shall advise the Revolving Lenders of each applicable Class of the contents thereof. Each notice delivered by the Borrower pursuant to this Section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may state that it is conditioned upon the effectiveness of other transactions or other events, in which case such notice may be revoked by the Borrower (by written notice to the Administrative Agent on or prior to the specified effective date) if such condition is not satisfied. Any termination or reduction of any Revolving Credit Commitment pursuant to this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shall be permanent. Upon any reduction of any Revolving Credit Commitment, the Revolving Credit Commitment of each Revolving Lender of the relevant Class shall be reduced by such Revolving Lender’s Applicable Percentage of the amount of such reduction.</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117" w:lineRule="exact"/>
        <w:rPr>
          <w:sz w:val="20"/>
          <w:szCs w:val="20"/>
          <w:color w:val="auto"/>
        </w:rPr>
      </w:pPr>
    </w:p>
    <w:p>
      <w:pPr>
        <w:ind w:left="4" w:right="80" w:firstLine="436"/>
        <w:spacing w:after="0" w:line="279" w:lineRule="auto"/>
        <w:tabs>
          <w:tab w:leader="none" w:pos="689"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 The Borrower hereby unconditionally promises to repay the outstanding principal amount of the Initial Term Loans to the Administrative Agent for the account of each Term Lender (A) on the last day of each March, June, September and December (commencing December 31, 2021) prior to the Initial Term Loan Maturity Date (each such date being referred to as a “</w:t>
      </w:r>
      <w:r>
        <w:rPr>
          <w:rFonts w:ascii="Arial" w:cs="Arial" w:eastAsia="Arial" w:hAnsi="Arial"/>
          <w:sz w:val="17"/>
          <w:szCs w:val="17"/>
          <w:u w:val="single" w:color="auto"/>
          <w:color w:val="auto"/>
        </w:rPr>
        <w:t>Loan Installment Date</w:t>
      </w:r>
      <w:r>
        <w:rPr>
          <w:rFonts w:ascii="Arial" w:cs="Arial" w:eastAsia="Arial" w:hAnsi="Arial"/>
          <w:sz w:val="17"/>
          <w:szCs w:val="17"/>
          <w:color w:val="auto"/>
        </w:rPr>
        <w:t>”), (x) from December 31, 2021 through and including September 30, 2023, in an amount equal to 0.625% of the original principal amount of</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64"/>
          </w:cols>
          <w:pgMar w:left="436" w:top="274" w:right="499" w:bottom="1440" w:gutter="0" w:footer="0" w:header="0"/>
        </w:sectPr>
      </w:pPr>
    </w:p>
    <w:bookmarkStart w:id="92" w:name="page93"/>
    <w:bookmarkEnd w:id="92"/>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Initial Term Loans outstanding on the Closing Date and (y) commencing on December 31, 2023 and thereafter, in an amount equal to 1.25% of the original principal amount of the Initial Term Loans outstanding on the Closing Date (in each case of </w:t>
      </w:r>
      <w:r>
        <w:rPr>
          <w:rFonts w:ascii="Arial" w:cs="Arial" w:eastAsia="Arial" w:hAnsi="Arial"/>
          <w:sz w:val="17"/>
          <w:szCs w:val="17"/>
          <w:u w:val="single" w:color="auto"/>
          <w:color w:val="auto"/>
        </w:rPr>
        <w:t>clauses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xml:space="preserve"> above, as such payments may be reduced from time to time as a result of the application of prepayments in accordance with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and repurchases and assignments in accordance with </w:t>
      </w:r>
      <w:r>
        <w:rPr>
          <w:rFonts w:ascii="Arial" w:cs="Arial" w:eastAsia="Arial" w:hAnsi="Arial"/>
          <w:sz w:val="17"/>
          <w:szCs w:val="17"/>
          <w:u w:val="single" w:color="auto"/>
          <w:color w:val="auto"/>
        </w:rPr>
        <w:t>Section 9.05(g)</w:t>
      </w:r>
      <w:r>
        <w:rPr>
          <w:rFonts w:ascii="Arial" w:cs="Arial" w:eastAsia="Arial" w:hAnsi="Arial"/>
          <w:sz w:val="17"/>
          <w:szCs w:val="17"/>
          <w:color w:val="auto"/>
        </w:rPr>
        <w:t xml:space="preserve"> or increased in connection with the incurrence of Incremental Term Loans), and (B) on the Initial Term Loan Maturity Date, in an amount equal to the remainder of the principal amount of such Initial Term Loans outstanding on such date, together, in each case, with accrued and unpaid interest on the principal amount to be paid to but excluding the date of such payment.</w:t>
      </w:r>
    </w:p>
    <w:p>
      <w:pPr>
        <w:spacing w:after="0" w:line="70" w:lineRule="exact"/>
        <w:rPr>
          <w:sz w:val="20"/>
          <w:szCs w:val="20"/>
          <w:color w:val="auto"/>
        </w:rPr>
      </w:pPr>
    </w:p>
    <w:p>
      <w:pPr>
        <w:ind w:left="440" w:right="60" w:firstLine="419"/>
        <w:spacing w:after="0" w:line="257" w:lineRule="auto"/>
        <w:tabs>
          <w:tab w:leader="none" w:pos="1128" w:val="left"/>
        </w:tabs>
        <w:numPr>
          <w:ilvl w:val="1"/>
          <w:numId w:val="106"/>
        </w:numPr>
        <w:rPr>
          <w:rFonts w:ascii="Arial" w:cs="Arial" w:eastAsia="Arial" w:hAnsi="Arial"/>
          <w:sz w:val="18"/>
          <w:szCs w:val="18"/>
          <w:u w:val="single" w:color="auto"/>
          <w:color w:val="auto"/>
        </w:rPr>
      </w:pPr>
      <w:r>
        <w:rPr>
          <w:rFonts w:ascii="Arial" w:cs="Arial" w:eastAsia="Arial" w:hAnsi="Arial"/>
          <w:sz w:val="18"/>
          <w:szCs w:val="18"/>
          <w:color w:val="auto"/>
        </w:rPr>
        <w:t xml:space="preserve">The Borrower shall repay the Additional Term Loans of any Class in such scheduled amortization installments and on such date or dates as shall be specified therefor in the applicable Refinancing Amendment, Incremental Facility Amendment or Extension Amendment (as such payments may be reduced from time to time as a result of the application of prepayments in accordance with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or repurchases in accordance with </w:t>
      </w:r>
      <w:r>
        <w:rPr>
          <w:rFonts w:ascii="Arial" w:cs="Arial" w:eastAsia="Arial" w:hAnsi="Arial"/>
          <w:sz w:val="18"/>
          <w:szCs w:val="18"/>
          <w:u w:val="single" w:color="auto"/>
          <w:color w:val="auto"/>
        </w:rPr>
        <w:t>Section 9.05(g)</w:t>
      </w:r>
      <w:r>
        <w:rPr>
          <w:rFonts w:ascii="Arial" w:cs="Arial" w:eastAsia="Arial" w:hAnsi="Arial"/>
          <w:sz w:val="18"/>
          <w:szCs w:val="18"/>
          <w:color w:val="auto"/>
        </w:rPr>
        <w:t xml:space="preserve"> or increased as a result of any increase in the amount of such Additional Term Loans of such Class pursuant to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79" w:lineRule="exact"/>
        <w:rPr>
          <w:rFonts w:ascii="Arial" w:cs="Arial" w:eastAsia="Arial" w:hAnsi="Arial"/>
          <w:sz w:val="18"/>
          <w:szCs w:val="18"/>
          <w:u w:val="single" w:color="auto"/>
          <w:color w:val="auto"/>
        </w:rPr>
      </w:pPr>
    </w:p>
    <w:p>
      <w:pPr>
        <w:ind w:right="40" w:firstLine="436"/>
        <w:spacing w:after="0" w:line="257" w:lineRule="auto"/>
        <w:tabs>
          <w:tab w:leader="none" w:pos="6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The Borrower hereby unconditionally promises to pay in Dollars or the relevant Alternate Currency (A) to the Administrative Agent for the account of each Initial Revolving Lender, the then-unpaid principal amount of the Initial Revolving Loans of such Lender on the Initial Revolving Credit Maturity Date, (B) to the Administrative Agent for the account of each Additional Revolving Lender, the then-unpaid principal amount of each Additional Revolving Loan of such Additional Revolving Lender on the Maturity Date applicable thereto and (C) to the Swingline Lender, the then unpaid principal amount of each Swingline Loan on the Latest Revolving Credit Maturity Date.</w:t>
      </w:r>
    </w:p>
    <w:p>
      <w:pPr>
        <w:spacing w:after="0" w:line="79" w:lineRule="exact"/>
        <w:rPr>
          <w:rFonts w:ascii="Arial" w:cs="Arial" w:eastAsia="Arial" w:hAnsi="Arial"/>
          <w:sz w:val="18"/>
          <w:szCs w:val="18"/>
          <w:color w:val="auto"/>
        </w:rPr>
      </w:pPr>
    </w:p>
    <w:p>
      <w:pPr>
        <w:ind w:left="440" w:firstLine="419"/>
        <w:spacing w:after="0" w:line="290" w:lineRule="auto"/>
        <w:tabs>
          <w:tab w:leader="none" w:pos="1128" w:val="left"/>
        </w:tabs>
        <w:numPr>
          <w:ilvl w:val="1"/>
          <w:numId w:val="107"/>
        </w:numPr>
        <w:rPr>
          <w:rFonts w:ascii="Arial" w:cs="Arial" w:eastAsia="Arial" w:hAnsi="Arial"/>
          <w:sz w:val="16"/>
          <w:szCs w:val="16"/>
          <w:color w:val="auto"/>
        </w:rPr>
      </w:pPr>
      <w:r>
        <w:rPr>
          <w:rFonts w:ascii="Arial" w:cs="Arial" w:eastAsia="Arial" w:hAnsi="Arial"/>
          <w:sz w:val="16"/>
          <w:szCs w:val="16"/>
          <w:color w:val="auto"/>
        </w:rPr>
        <w:t>On the Maturity Date applicable to the Revolving Credit Commitments of any Class, the Borrower shall (A) cancel and return outstanding Letters of Credit (or alternatively, with respect to any outstanding Letter of Credit, provide Letter of Credit Support with respect thereto), in each case to the extent necessary so that, after giving effect thereto, the aggregate amount of the Revolving Credit Exposure attributable to the Revolving Credit Commitments of any other Class does not exceed the Revolving Credit Commitments of such other Class then in effect, (B) prepay Swingline Loans to the extent necessary so that, after giving effect thereto, the aggregate amount of the Revolving Credit Exposure attributable to the Revolving Credit Commitments of any other Class shall not exceed the Revolving Credit Commitments of such other Class then in effect and (C) make payment in full of all accrued and unpaid fees and all reimbursable expenses and other Obligations with respect to the Revolving Facility of the applicable Class then due, together with accrued and unpaid interest (if any) thereon.</w:t>
      </w:r>
    </w:p>
    <w:p>
      <w:pPr>
        <w:spacing w:after="0" w:line="57" w:lineRule="exact"/>
        <w:rPr>
          <w:rFonts w:ascii="Arial" w:cs="Arial" w:eastAsia="Arial" w:hAnsi="Arial"/>
          <w:sz w:val="16"/>
          <w:szCs w:val="16"/>
          <w:color w:val="auto"/>
        </w:rPr>
      </w:pPr>
    </w:p>
    <w:p>
      <w:pPr>
        <w:ind w:right="180" w:firstLine="436"/>
        <w:spacing w:after="0" w:line="263" w:lineRule="auto"/>
        <w:tabs>
          <w:tab w:leader="none" w:pos="68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75" w:lineRule="exact"/>
        <w:rPr>
          <w:rFonts w:ascii="Arial" w:cs="Arial" w:eastAsia="Arial" w:hAnsi="Arial"/>
          <w:sz w:val="18"/>
          <w:szCs w:val="18"/>
          <w:color w:val="auto"/>
        </w:rPr>
      </w:pPr>
    </w:p>
    <w:p>
      <w:pPr>
        <w:ind w:right="20" w:firstLine="436"/>
        <w:spacing w:after="0" w:line="259" w:lineRule="auto"/>
        <w:tabs>
          <w:tab w:leader="none" w:pos="6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Class, Type and currency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or the Issuing Banks and each Lender’s or Issuing Bank’s share thereof.</w:t>
      </w:r>
    </w:p>
    <w:p>
      <w:pPr>
        <w:spacing w:after="0" w:line="78" w:lineRule="exact"/>
        <w:rPr>
          <w:rFonts w:ascii="Arial" w:cs="Arial" w:eastAsia="Arial" w:hAnsi="Arial"/>
          <w:sz w:val="18"/>
          <w:szCs w:val="18"/>
          <w:color w:val="auto"/>
        </w:rPr>
      </w:pPr>
    </w:p>
    <w:p>
      <w:pPr>
        <w:ind w:right="20" w:firstLine="436"/>
        <w:spacing w:after="0" w:line="293" w:lineRule="auto"/>
        <w:tabs>
          <w:tab w:leader="none" w:pos="68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w:t>
      </w:r>
      <w:r>
        <w:rPr>
          <w:rFonts w:ascii="Arial" w:cs="Arial" w:eastAsia="Arial" w:hAnsi="Arial"/>
          <w:sz w:val="16"/>
          <w:szCs w:val="16"/>
          <w:u w:val="single" w:color="auto"/>
          <w:color w:val="auto"/>
        </w:rPr>
        <w:t>paragraphs (c)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this Section shall be prima facie evidence of the existence and amounts of the obligations recorded therein (absent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failure of any Lender or the Administrative Agent to maintain such accounts or any manifest error therein shall not in any manner affect the obligation of the Borrower to repay the Loans in accordance with the terms of this Agreement, (ii) in the event of any inconsistency between the accounts maintained by the Administrative Agent pursuant to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of this Section and any Lender’s records, the accounts of the Administrative Agent shall govern and (iii) in the event of any inconsistency between the Register and any other accounts maintained by the Administrative Agent, the Register shall govern absent manifest error.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93" w:name="page94"/>
    <w:bookmarkEnd w:id="93"/>
    <w:p>
      <w:pPr>
        <w:ind w:right="120" w:firstLine="436"/>
        <w:spacing w:after="0" w:line="254" w:lineRule="auto"/>
        <w:tabs>
          <w:tab w:leader="none" w:pos="665"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Lender may request that any Loan made by it be evidenced by a Promissory Note. In such event, the Borrower shall prepare, execute and deliver a Promissory Note to such Lender payable to such Lender and its registered permitted assigns; it being understood and agreed that such Lender (and/or its applicable permitted assign) shall be required to return such Promissory Note to the Borrower in accordance with </w:t>
      </w:r>
      <w:r>
        <w:rPr>
          <w:rFonts w:ascii="Arial" w:cs="Arial" w:eastAsia="Arial" w:hAnsi="Arial"/>
          <w:sz w:val="18"/>
          <w:szCs w:val="18"/>
          <w:u w:val="single" w:color="auto"/>
          <w:color w:val="auto"/>
        </w:rPr>
        <w:t>Section 9.05(b)(iii)</w:t>
      </w:r>
      <w:r>
        <w:rPr>
          <w:rFonts w:ascii="Arial" w:cs="Arial" w:eastAsia="Arial" w:hAnsi="Arial"/>
          <w:sz w:val="18"/>
          <w:szCs w:val="18"/>
          <w:color w:val="auto"/>
        </w:rPr>
        <w:t xml:space="preserve"> and upon the occurrence of the Termination Date (or as promptly thereafter as practicable). If any Lender loses the original copy of its Promissory Note, it shall execute an affidavit of loss containing an indemnification provision that is reasonably satisfactory to the Borrower. The obligation of each Lender to execute and deliver an affidavit of loss containing an indemnification provision that is reasonably satisfactory to the Borrower shall survive the Termination Date.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60" w:firstLine="419"/>
        <w:spacing w:after="0" w:line="259" w:lineRule="auto"/>
        <w:tabs>
          <w:tab w:leader="none" w:pos="107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Upon prior notice in accordance with </w:t>
      </w:r>
      <w:r>
        <w:rPr>
          <w:rFonts w:ascii="Arial" w:cs="Arial" w:eastAsia="Arial" w:hAnsi="Arial"/>
          <w:sz w:val="18"/>
          <w:szCs w:val="18"/>
          <w:u w:val="single" w:color="auto"/>
          <w:color w:val="auto"/>
        </w:rPr>
        <w:t>paragraph (a)(iii)</w:t>
      </w:r>
      <w:r>
        <w:rPr>
          <w:rFonts w:ascii="Arial" w:cs="Arial" w:eastAsia="Arial" w:hAnsi="Arial"/>
          <w:sz w:val="18"/>
          <w:szCs w:val="18"/>
          <w:color w:val="auto"/>
        </w:rPr>
        <w:t xml:space="preserve"> of this Section, the Borrower shall have the right at any time and from time to time to prepay any Borrowing of Term Loans of one or more Classes (such Class or Classes to be selected by the Borrower in its sole discretion) in whole or in part without premium or penalty (but subject if applicable, to </w:t>
      </w:r>
      <w:r>
        <w:rPr>
          <w:rFonts w:ascii="Arial" w:cs="Arial" w:eastAsia="Arial" w:hAnsi="Arial"/>
          <w:sz w:val="18"/>
          <w:szCs w:val="18"/>
          <w:u w:val="single" w:color="auto"/>
          <w:color w:val="auto"/>
        </w:rPr>
        <w:t>Section 2.16</w:t>
      </w:r>
      <w:r>
        <w:rPr>
          <w:rFonts w:ascii="Arial" w:cs="Arial" w:eastAsia="Arial" w:hAnsi="Arial"/>
          <w:sz w:val="18"/>
          <w:szCs w:val="18"/>
          <w:color w:val="auto"/>
        </w:rPr>
        <w:t>). Each such prepayment shall be paid to the Lenders in accordance with their respective Applicable Percentages of the relevant Class.</w:t>
      </w:r>
    </w:p>
    <w:p>
      <w:pPr>
        <w:spacing w:after="0" w:line="78" w:lineRule="exact"/>
        <w:rPr>
          <w:rFonts w:ascii="Arial" w:cs="Arial" w:eastAsia="Arial" w:hAnsi="Arial"/>
          <w:sz w:val="18"/>
          <w:szCs w:val="18"/>
          <w:color w:val="auto"/>
        </w:rPr>
      </w:pPr>
    </w:p>
    <w:p>
      <w:pPr>
        <w:ind w:left="440" w:firstLine="419"/>
        <w:spacing w:after="0" w:line="286" w:lineRule="auto"/>
        <w:tabs>
          <w:tab w:leader="none" w:pos="1128"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Upon prior notice in accordance with </w:t>
      </w:r>
      <w:r>
        <w:rPr>
          <w:rFonts w:ascii="Arial" w:cs="Arial" w:eastAsia="Arial" w:hAnsi="Arial"/>
          <w:sz w:val="16"/>
          <w:szCs w:val="16"/>
          <w:u w:val="single" w:color="auto"/>
          <w:color w:val="auto"/>
        </w:rPr>
        <w:t>paragraph (a)(iii)</w:t>
      </w:r>
      <w:r>
        <w:rPr>
          <w:rFonts w:ascii="Arial" w:cs="Arial" w:eastAsia="Arial" w:hAnsi="Arial"/>
          <w:sz w:val="16"/>
          <w:szCs w:val="16"/>
          <w:color w:val="auto"/>
        </w:rPr>
        <w:t xml:space="preserve"> of this Section, the Borrower shall have the right at any time and from time to time to prepay any Borrowing of Revolving Loans of any Class and/or any Borrowing of Swingline Loans, in whole or in part without premium or penalty (but subject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after the establishment of any Class of Additional Revolving Loans, any such prepayment of any Borrowing of Revolving Loans of any Class shall be subject to the provisions set forth in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9.02</w:t>
      </w:r>
      <w:r>
        <w:rPr>
          <w:rFonts w:ascii="Arial" w:cs="Arial" w:eastAsia="Arial" w:hAnsi="Arial"/>
          <w:sz w:val="16"/>
          <w:szCs w:val="16"/>
          <w:color w:val="auto"/>
        </w:rPr>
        <w:t>, as applicable and</w:t>
      </w:r>
    </w:p>
    <w:p>
      <w:pPr>
        <w:spacing w:after="0" w:line="1" w:lineRule="exact"/>
        <w:rPr>
          <w:rFonts w:ascii="Arial" w:cs="Arial" w:eastAsia="Arial" w:hAnsi="Arial"/>
          <w:sz w:val="16"/>
          <w:szCs w:val="16"/>
          <w:color w:val="auto"/>
        </w:rPr>
      </w:pPr>
    </w:p>
    <w:p>
      <w:pPr>
        <w:ind w:left="440" w:right="260"/>
        <w:spacing w:after="0" w:line="323" w:lineRule="auto"/>
        <w:rPr>
          <w:rFonts w:ascii="Arial" w:cs="Arial" w:eastAsia="Arial" w:hAnsi="Arial"/>
          <w:sz w:val="16"/>
          <w:szCs w:val="16"/>
          <w:color w:val="auto"/>
        </w:rPr>
      </w:pPr>
      <w:r>
        <w:rPr>
          <w:rFonts w:ascii="Arial" w:cs="Arial" w:eastAsia="Arial" w:hAnsi="Arial"/>
          <w:sz w:val="16"/>
          <w:szCs w:val="16"/>
          <w:color w:val="auto"/>
        </w:rPr>
        <w:t>(B) no Borrowing of Revolving Loans may be prepaid unless all Swingline Loans then outstanding, if any, are prepaid concurrently therewith. Each such prepayment shall be paid to the Revolving Lenders in accordance with their respective Applicable Percentages of the relevant Class.</w:t>
      </w:r>
    </w:p>
    <w:p>
      <w:pPr>
        <w:spacing w:after="0" w:line="30" w:lineRule="exact"/>
        <w:rPr>
          <w:rFonts w:ascii="Arial" w:cs="Arial" w:eastAsia="Arial" w:hAnsi="Arial"/>
          <w:sz w:val="16"/>
          <w:szCs w:val="16"/>
          <w:color w:val="auto"/>
        </w:rPr>
      </w:pPr>
    </w:p>
    <w:p>
      <w:pPr>
        <w:ind w:left="440" w:firstLine="419"/>
        <w:spacing w:after="0" w:line="286" w:lineRule="auto"/>
        <w:tabs>
          <w:tab w:leader="none" w:pos="1178"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The Borrower shall notify the Administrative Agent (and the Swingline Lender, if applicable) pursuant to delivery to the Administrative Agent (and the Swingline Lender, if applicable) of a Notice of Loan Prepayment in writing of any prepayment under this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(i) in the case of any prepayment of a LIBO Rate Borrowing, not later than 12:00 p.m. three Business Days before the date of prepayment, (ii) in the case of any prepayment of an ABR Borrowing, not later than 11:00 a.m., on the date of prepayment or (iii) in the case of any prepayment of any Swingline Loan, not later than 1:00 p.m. on the date of prepayment (or, in each case, such later time as to which the Administrative Agent may reasonably agree). Each such notice shall be irrevocable (except as set forth in the proviso to this sentence) and shall specify the prepayment date and the principal amount of each Borrowing or portion or each relevant Class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notice of prepayment delivered by the Borrower may be conditioned upon the effectiveness of other transactions or other events, in which case such notice may be revoked by the Borrower (by notice to the Administrative Agent on or prior to the specified effective date) if such condition is not satisfied. Promptly following receipt of any such notice relating to any Borrowing, the Administrative Agent shall advise the applicable Lenders of the contents thereof. Each partial prepayment of any Borrowing shall be in an amount at least equal to the amount that would be permitted in the case of a Borrowing of the same Type and Class as provided in </w:t>
      </w:r>
      <w:r>
        <w:rPr>
          <w:rFonts w:ascii="Arial" w:cs="Arial" w:eastAsia="Arial" w:hAnsi="Arial"/>
          <w:sz w:val="16"/>
          <w:szCs w:val="16"/>
          <w:u w:val="single" w:color="auto"/>
          <w:color w:val="auto"/>
        </w:rPr>
        <w:t>Section 2.02(c)</w:t>
      </w:r>
      <w:r>
        <w:rPr>
          <w:rFonts w:ascii="Arial" w:cs="Arial" w:eastAsia="Arial" w:hAnsi="Arial"/>
          <w:sz w:val="16"/>
          <w:szCs w:val="16"/>
          <w:color w:val="auto"/>
        </w:rPr>
        <w:t>, or such lesser amount that is then outstanding with respect to such Borrowing being repaid (and in increments of $100,000 in excess thereof or such lesser incremental amount that is then outstanding with respect to such Borrowing being repaid). Each prepayment of Term Loans shall be applied to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94" w:name="page95"/>
    <w:bookmarkEnd w:id="94"/>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Class or Classes of Term Loans specified in the applicable prepayment notice, and each prepayment of Term Loans of such Class or Classes made pursuant to this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shall be applied against the remaining scheduled installments of principal due in respect of the Term Loans of such Class or Classes in the manner specified by the Borrower or, in the absence of any such specification on or prior to the date of the relevant optional prepayment, in direct order of maturity.</w:t>
      </w:r>
    </w:p>
    <w:p>
      <w:pPr>
        <w:spacing w:after="0" w:line="187" w:lineRule="exact"/>
        <w:rPr>
          <w:sz w:val="20"/>
          <w:szCs w:val="20"/>
          <w:color w:val="auto"/>
        </w:rPr>
      </w:pPr>
    </w:p>
    <w:p>
      <w:pPr>
        <w:ind w:left="264" w:hanging="264"/>
        <w:spacing w:after="0"/>
        <w:tabs>
          <w:tab w:leader="none" w:pos="264"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44" w:hanging="221"/>
        <w:spacing w:after="0"/>
        <w:tabs>
          <w:tab w:leader="none" w:pos="64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firstLine="419"/>
        <w:spacing w:after="0" w:line="272" w:lineRule="auto"/>
        <w:tabs>
          <w:tab w:leader="none" w:pos="691" w:val="left"/>
        </w:tabs>
        <w:numPr>
          <w:ilvl w:val="1"/>
          <w:numId w:val="110"/>
        </w:numPr>
        <w:rPr>
          <w:rFonts w:ascii="Arial" w:cs="Arial" w:eastAsia="Arial" w:hAnsi="Arial"/>
          <w:sz w:val="17"/>
          <w:szCs w:val="17"/>
          <w:color w:val="auto"/>
        </w:rPr>
      </w:pPr>
      <w:r>
        <w:rPr>
          <w:rFonts w:ascii="Arial" w:cs="Arial" w:eastAsia="Arial" w:hAnsi="Arial"/>
          <w:sz w:val="17"/>
          <w:szCs w:val="17"/>
          <w:color w:val="auto"/>
        </w:rPr>
        <w:t>No later than the fifth Business Day following the receipt of Net Proceeds in respect of any Prepayment Asset Sale or Net Insurance/Condemnation Proceeds, in each case, in excess of the greater of $10,000,000 and 10% of Consolidated Adjusted EBITDA as of the last day of the most recently ended Test Period (the “</w:t>
      </w:r>
      <w:r>
        <w:rPr>
          <w:rFonts w:ascii="Arial" w:cs="Arial" w:eastAsia="Arial" w:hAnsi="Arial"/>
          <w:sz w:val="17"/>
          <w:szCs w:val="17"/>
          <w:u w:val="single" w:color="auto"/>
          <w:color w:val="auto"/>
        </w:rPr>
        <w:t>De Minimis Proceeds Threshold</w:t>
      </w:r>
      <w:r>
        <w:rPr>
          <w:rFonts w:ascii="Arial" w:cs="Arial" w:eastAsia="Arial" w:hAnsi="Arial"/>
          <w:sz w:val="17"/>
          <w:szCs w:val="17"/>
          <w:color w:val="auto"/>
        </w:rPr>
        <w:t>”) in any Fiscal Year, the Borrower shall apply (or cause to be applied) 100% of such Net Proceeds of such Prepayment Asset Sale or Net Insurance/Condemnation Proceeds received with respect thereto in excess of the De Minimis Proceeds Threshold (collectively, the “</w:t>
      </w:r>
      <w:r>
        <w:rPr>
          <w:rFonts w:ascii="Arial" w:cs="Arial" w:eastAsia="Arial" w:hAnsi="Arial"/>
          <w:sz w:val="17"/>
          <w:szCs w:val="17"/>
          <w:u w:val="single" w:color="auto"/>
          <w:color w:val="auto"/>
        </w:rPr>
        <w:t>Subject Proceeds</w:t>
      </w:r>
      <w:r>
        <w:rPr>
          <w:rFonts w:ascii="Arial" w:cs="Arial" w:eastAsia="Arial" w:hAnsi="Arial"/>
          <w:sz w:val="17"/>
          <w:szCs w:val="17"/>
          <w:color w:val="auto"/>
        </w:rPr>
        <w:t>”) to prepay the outstanding principal amount of, and accrued interest on, the Initial Term Loans and Additional Term Loans then subject to ratable prepayment requirements (the “</w:t>
      </w:r>
      <w:r>
        <w:rPr>
          <w:rFonts w:ascii="Arial" w:cs="Arial" w:eastAsia="Arial" w:hAnsi="Arial"/>
          <w:sz w:val="17"/>
          <w:szCs w:val="17"/>
          <w:u w:val="single" w:color="auto"/>
          <w:color w:val="auto"/>
        </w:rPr>
        <w:t>Subject Loans</w:t>
      </w:r>
      <w:r>
        <w:rPr>
          <w:rFonts w:ascii="Arial" w:cs="Arial" w:eastAsia="Arial" w:hAnsi="Arial"/>
          <w:sz w:val="17"/>
          <w:szCs w:val="17"/>
          <w:color w:val="auto"/>
        </w:rPr>
        <w:t xml:space="preserve">”) in accordance with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below; </w:t>
      </w:r>
      <w:r>
        <w:rPr>
          <w:rFonts w:ascii="Arial" w:cs="Arial" w:eastAsia="Arial" w:hAnsi="Arial"/>
          <w:sz w:val="17"/>
          <w:szCs w:val="17"/>
          <w:u w:val="single" w:color="auto"/>
          <w:color w:val="auto"/>
        </w:rPr>
        <w:t>provided</w:t>
      </w:r>
      <w:r>
        <w:rPr>
          <w:rFonts w:ascii="Arial" w:cs="Arial" w:eastAsia="Arial" w:hAnsi="Arial"/>
          <w:sz w:val="17"/>
          <w:szCs w:val="17"/>
          <w:color w:val="auto"/>
        </w:rPr>
        <w:t>, that:</w:t>
      </w:r>
    </w:p>
    <w:p>
      <w:pPr>
        <w:spacing w:after="0" w:line="69" w:lineRule="exact"/>
        <w:rPr>
          <w:rFonts w:ascii="Arial" w:cs="Arial" w:eastAsia="Arial" w:hAnsi="Arial"/>
          <w:sz w:val="17"/>
          <w:szCs w:val="17"/>
          <w:color w:val="auto"/>
        </w:rPr>
      </w:pPr>
    </w:p>
    <w:p>
      <w:pPr>
        <w:ind w:left="544" w:right="180" w:firstLine="408"/>
        <w:spacing w:after="0" w:line="277" w:lineRule="auto"/>
        <w:tabs>
          <w:tab w:leader="none" w:pos="1239" w:val="left"/>
        </w:tabs>
        <w:numPr>
          <w:ilvl w:val="3"/>
          <w:numId w:val="110"/>
        </w:numPr>
        <w:rPr>
          <w:rFonts w:ascii="Arial" w:cs="Arial" w:eastAsia="Arial" w:hAnsi="Arial"/>
          <w:sz w:val="18"/>
          <w:szCs w:val="18"/>
          <w:color w:val="auto"/>
        </w:rPr>
      </w:pPr>
      <w:r>
        <w:rPr>
          <w:rFonts w:ascii="Arial" w:cs="Arial" w:eastAsia="Arial" w:hAnsi="Arial"/>
          <w:sz w:val="18"/>
          <w:szCs w:val="18"/>
          <w:color w:val="auto"/>
        </w:rPr>
        <w:t xml:space="preserve">it is understood that only the amount in excess of the De Minimis Proceeds Threshold shall be required to be applied to make a prepayment in accordance with this </w:t>
      </w:r>
      <w:r>
        <w:rPr>
          <w:rFonts w:ascii="Arial" w:cs="Arial" w:eastAsia="Arial" w:hAnsi="Arial"/>
          <w:sz w:val="18"/>
          <w:szCs w:val="18"/>
          <w:u w:val="single" w:color="auto"/>
          <w:color w:val="auto"/>
        </w:rPr>
        <w:t>Section 2.11(b)(ii)</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544" w:firstLine="408"/>
        <w:spacing w:after="0" w:line="284" w:lineRule="auto"/>
        <w:tabs>
          <w:tab w:leader="none" w:pos="1229" w:val="left"/>
        </w:tabs>
        <w:numPr>
          <w:ilvl w:val="3"/>
          <w:numId w:val="110"/>
        </w:numPr>
        <w:rPr>
          <w:rFonts w:ascii="Arial" w:cs="Arial" w:eastAsia="Arial" w:hAnsi="Arial"/>
          <w:sz w:val="16"/>
          <w:szCs w:val="16"/>
          <w:color w:val="auto"/>
        </w:rPr>
      </w:pPr>
      <w:r>
        <w:rPr>
          <w:rFonts w:ascii="Arial" w:cs="Arial" w:eastAsia="Arial" w:hAnsi="Arial"/>
          <w:sz w:val="16"/>
          <w:szCs w:val="16"/>
          <w:color w:val="auto"/>
        </w:rPr>
        <w:t xml:space="preserve">if prior to the date on which any such prepayment is required to be made, the Borrower notifies the Administrative Agent of its intention to reinvest the applicable Subject Proceeds in the business of the Borrower and/or any Restricted Subsidiary (other than an investment in Cash or Cash Equivalents), then the Borrower shall not be required to make a mandatory prepayment under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in respect of the applicable Subject Proceeds to the extent (1) the applicable Subject Proceeds are so reinvested within 18 months following receipt thereof, or (2) the Borrower or any Restricted Subsidiary has committed to so reinvest the applicable Subject Proceeds during such 18 month period and the applicable Subject Proceeds are so reinvested within six months after the expiration of such 18 month period or</w:t>
      </w:r>
    </w:p>
    <w:p>
      <w:pPr>
        <w:spacing w:after="0" w:line="4" w:lineRule="exact"/>
        <w:rPr>
          <w:rFonts w:ascii="Arial" w:cs="Arial" w:eastAsia="Arial" w:hAnsi="Arial"/>
          <w:sz w:val="16"/>
          <w:szCs w:val="16"/>
          <w:color w:val="auto"/>
        </w:rPr>
      </w:pPr>
    </w:p>
    <w:p>
      <w:pPr>
        <w:ind w:left="544" w:firstLine="7"/>
        <w:spacing w:after="0" w:line="252" w:lineRule="auto"/>
        <w:tabs>
          <w:tab w:leader="none" w:pos="798"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the Borrower or any Restricted Subsidiary has committed to so reinvest the applicable Subject Proceeds during such 18 month period and such commitment is terminated and a new commitment is made within the six months after the expiration of such 18 month period and the application Proceeds are so reinvested within three months after the expiration of such 24 month period; it being understood that if the applicable Subject Proceeds have not been so reinvested prior to the expiration of the applicable period, the Borrower shall promptly prepay the Subject Loans with the amount of applicable Subject Proceeds not so reinvested as set forth above (without regard to the immediately preceding proviso); and</w:t>
      </w:r>
    </w:p>
    <w:p>
      <w:pPr>
        <w:spacing w:after="0" w:line="85" w:lineRule="exact"/>
        <w:rPr>
          <w:rFonts w:ascii="Arial" w:cs="Arial" w:eastAsia="Arial" w:hAnsi="Arial"/>
          <w:sz w:val="18"/>
          <w:szCs w:val="18"/>
          <w:color w:val="auto"/>
        </w:rPr>
      </w:pPr>
    </w:p>
    <w:p>
      <w:pPr>
        <w:ind w:left="544" w:right="40" w:firstLine="408"/>
        <w:spacing w:after="0" w:line="271" w:lineRule="auto"/>
        <w:tabs>
          <w:tab w:leader="none" w:pos="1229" w:val="left"/>
        </w:tabs>
        <w:numPr>
          <w:ilvl w:val="3"/>
          <w:numId w:val="111"/>
        </w:numPr>
        <w:rPr>
          <w:rFonts w:ascii="Arial" w:cs="Arial" w:eastAsia="Arial" w:hAnsi="Arial"/>
          <w:sz w:val="17"/>
          <w:szCs w:val="17"/>
          <w:color w:val="auto"/>
        </w:rPr>
      </w:pPr>
      <w:r>
        <w:rPr>
          <w:rFonts w:ascii="Arial" w:cs="Arial" w:eastAsia="Arial" w:hAnsi="Arial"/>
          <w:sz w:val="17"/>
          <w:szCs w:val="17"/>
          <w:color w:val="auto"/>
        </w:rPr>
        <w:t>if, at the time that any such prepayment would be required hereunder, the Borrower or any of its Restricted Subsidiaries is required to repay or repurchase any other First Lien Debt pursuant to the terms of the documentation governing such Indebtedness (such Indebtedness required to be so prepaid or offered to be so repurchased, “</w:t>
      </w:r>
      <w:r>
        <w:rPr>
          <w:rFonts w:ascii="Arial" w:cs="Arial" w:eastAsia="Arial" w:hAnsi="Arial"/>
          <w:sz w:val="17"/>
          <w:szCs w:val="17"/>
          <w:u w:val="single" w:color="auto"/>
          <w:color w:val="auto"/>
        </w:rPr>
        <w:t>Other Applicable Indebtedness</w:t>
      </w:r>
      <w:r>
        <w:rPr>
          <w:rFonts w:ascii="Arial" w:cs="Arial" w:eastAsia="Arial" w:hAnsi="Arial"/>
          <w:sz w:val="17"/>
          <w:szCs w:val="17"/>
          <w:color w:val="auto"/>
        </w:rPr>
        <w:t>”) (or offer to repurchase such Other Applicable Indebtedness), then the relevant Person may apply the Subject Proceeds on a pro rata basis to the prepayment of the Subject Loans and to the repurchase or repayment of the Other Applicable Indebtedness (determined on the basis of the aggregate outstanding principal amount of the Subject Loans and the Other Applicable Indebtedness (or accreted amount if such Other Applicable Indebtedness is issued with original issue discount) at such time); it being understood that (1) the portion of the Subject Proceeds allocated to the Other Applicable Indebtedness shall not exceed the amount of the</w:t>
      </w:r>
    </w:p>
    <w:p>
      <w:pPr>
        <w:spacing w:after="0" w:line="11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564"/>
          </w:cols>
          <w:pgMar w:left="876" w:top="274" w:right="459" w:bottom="1440" w:gutter="0" w:footer="0" w:header="0"/>
        </w:sectPr>
      </w:pPr>
    </w:p>
    <w:bookmarkStart w:id="95" w:name="page96"/>
    <w:bookmarkEnd w:id="95"/>
    <w:p>
      <w:pPr>
        <w:ind w:left="5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Proceeds that is required to be allocated to the Other Applicable Indebtedness pursuant to the terms thereof, (and the remaining amount, if any, of the Subject Proceeds shall be allocated to the Subject Loans in accordance with the terms hereof), and the amount of the prepayment of the Subject Loans that would have otherwise been required pursuant to this </w:t>
      </w:r>
      <w:r>
        <w:rPr>
          <w:rFonts w:ascii="Arial" w:cs="Arial" w:eastAsia="Arial" w:hAnsi="Arial"/>
          <w:sz w:val="17"/>
          <w:szCs w:val="17"/>
          <w:u w:val="single" w:color="auto"/>
          <w:color w:val="auto"/>
        </w:rPr>
        <w:t>Section 2.11(b)(ii)</w:t>
      </w:r>
      <w:r>
        <w:rPr>
          <w:rFonts w:ascii="Arial" w:cs="Arial" w:eastAsia="Arial" w:hAnsi="Arial"/>
          <w:sz w:val="17"/>
          <w:szCs w:val="17"/>
          <w:color w:val="auto"/>
        </w:rPr>
        <w:t xml:space="preserve"> shall be reduced accordingly and (2) to the extent the holders of the Other Applicable Indebtedness decline to have such Indebtedness prepaid or repurchased, the declined amount shall promptly (and in any event within 10 Business Days after the date of such rejection) be applied to prepay the Subject Loans in accordance with the terms hereof and any other relevant Other Applicable Indebtedness with a corresponding requirement on a pro rata basis (determined in a manner consistent with that set forth in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it being understood and agreed that if any Term Lender or holder of such Other Applicable Indebtedness declines any prepayment contemplated by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above, the Borrower shall not be required to subsequently offer the amount of the relevant declined prepayment to any Term Lender or any holder of Other Applicable Indebtedness.</w:t>
      </w:r>
    </w:p>
    <w:p>
      <w:pPr>
        <w:spacing w:after="0" w:line="77" w:lineRule="exact"/>
        <w:rPr>
          <w:sz w:val="20"/>
          <w:szCs w:val="20"/>
          <w:color w:val="auto"/>
        </w:rPr>
      </w:pPr>
    </w:p>
    <w:p>
      <w:pPr>
        <w:ind w:right="40" w:firstLine="419"/>
        <w:spacing w:after="0" w:line="287" w:lineRule="auto"/>
        <w:tabs>
          <w:tab w:leader="none" w:pos="73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In the event that the Borrower or any of its Restricted Subsidiaries receives Net Proceeds from the issuance or incurrence of Indebtedness by the Borrower or any of its Restricted Subsidiaries (other than Indebtedness that is permitted to be incurred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except to the extent the relevant Indebtedness constitutes (A) Refinancing Indebtedness (including Replacement Debt) incurred to refinance all or a portion of any Class of Term Loans pursuant to </w:t>
      </w:r>
      <w:r>
        <w:rPr>
          <w:rFonts w:ascii="Arial" w:cs="Arial" w:eastAsia="Arial" w:hAnsi="Arial"/>
          <w:sz w:val="16"/>
          <w:szCs w:val="16"/>
          <w:u w:val="single" w:color="auto"/>
          <w:color w:val="auto"/>
        </w:rPr>
        <w:t>Section 6.01(p)</w:t>
      </w:r>
      <w:r>
        <w:rPr>
          <w:rFonts w:ascii="Arial" w:cs="Arial" w:eastAsia="Arial" w:hAnsi="Arial"/>
          <w:sz w:val="16"/>
          <w:szCs w:val="16"/>
          <w:color w:val="auto"/>
        </w:rPr>
        <w:t xml:space="preserve">, (B) Incremental Loans incurred in reliance on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of “Incremental Cap” to refinance all or a portion of any Class of Term Loans pursuant 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(C) Replacement Term Loans incurred to refinance all or any portion of any Class of Term Loans in accordance with the requirements of </w:t>
      </w:r>
      <w:r>
        <w:rPr>
          <w:rFonts w:ascii="Arial" w:cs="Arial" w:eastAsia="Arial" w:hAnsi="Arial"/>
          <w:sz w:val="16"/>
          <w:szCs w:val="16"/>
          <w:u w:val="single" w:color="auto"/>
          <w:color w:val="auto"/>
        </w:rPr>
        <w:t>Section 9.02(c)</w:t>
      </w:r>
      <w:r>
        <w:rPr>
          <w:rFonts w:ascii="Arial" w:cs="Arial" w:eastAsia="Arial" w:hAnsi="Arial"/>
          <w:sz w:val="16"/>
          <w:szCs w:val="16"/>
          <w:color w:val="auto"/>
        </w:rPr>
        <w:t xml:space="preserve"> and/or (D) Incremental Equivalent Debt incurred in reliance on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of “Incremental Cap”, to refinance all or a portion of the Loans in accordance with the requirements of the definition thereof, in each case to the extent required by the terms thereof to prepay or offer to prepay such Indebtedness), the Borrower shall, promptly upon (and in any event not later than two Business Days thereafter) the receipt of such Net Proceeds by the Borrower or its applicable Restricted Subsidiary, apply (or cause to be applied) an amount equal to 100% of such Net Proceeds to prepay the outstanding principal amount of the relevant Class or Classes of Term Loans in accordance with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below.</w:t>
      </w:r>
    </w:p>
    <w:p>
      <w:pPr>
        <w:spacing w:after="0" w:line="63" w:lineRule="exact"/>
        <w:rPr>
          <w:rFonts w:ascii="Arial" w:cs="Arial" w:eastAsia="Arial" w:hAnsi="Arial"/>
          <w:sz w:val="16"/>
          <w:szCs w:val="16"/>
          <w:color w:val="auto"/>
        </w:rPr>
      </w:pPr>
    </w:p>
    <w:p>
      <w:pPr>
        <w:ind w:left="720" w:hanging="301"/>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to the contrary:</w:t>
      </w:r>
    </w:p>
    <w:p>
      <w:pPr>
        <w:spacing w:after="0" w:line="117" w:lineRule="exact"/>
        <w:rPr>
          <w:rFonts w:ascii="Arial" w:cs="Arial" w:eastAsia="Arial" w:hAnsi="Arial"/>
          <w:sz w:val="18"/>
          <w:szCs w:val="18"/>
          <w:color w:val="auto"/>
        </w:rPr>
      </w:pPr>
    </w:p>
    <w:p>
      <w:pPr>
        <w:ind w:left="540" w:right="40" w:firstLine="408"/>
        <w:spacing w:after="0" w:line="269" w:lineRule="auto"/>
        <w:tabs>
          <w:tab w:leader="none" w:pos="1236" w:val="left"/>
        </w:tabs>
        <w:numPr>
          <w:ilvl w:val="1"/>
          <w:numId w:val="112"/>
        </w:numPr>
        <w:rPr>
          <w:rFonts w:ascii="Arial" w:cs="Arial" w:eastAsia="Arial" w:hAnsi="Arial"/>
          <w:sz w:val="17"/>
          <w:szCs w:val="17"/>
          <w:color w:val="auto"/>
        </w:rPr>
      </w:pPr>
      <w:r>
        <w:rPr>
          <w:rFonts w:ascii="Arial" w:cs="Arial" w:eastAsia="Arial" w:hAnsi="Arial"/>
          <w:sz w:val="17"/>
          <w:szCs w:val="17"/>
          <w:color w:val="auto"/>
        </w:rPr>
        <w:t xml:space="preserve">the Borrower shall not be required to prepay (or cause to be prepaid) any amount that would otherwise be required to be paid pursuant to </w:t>
      </w:r>
      <w:r>
        <w:rPr>
          <w:rFonts w:ascii="Arial" w:cs="Arial" w:eastAsia="Arial" w:hAnsi="Arial"/>
          <w:sz w:val="17"/>
          <w:szCs w:val="17"/>
          <w:u w:val="single" w:color="auto"/>
          <w:color w:val="auto"/>
        </w:rPr>
        <w:t>Section 2.11(b)(ii)</w:t>
      </w:r>
      <w:r>
        <w:rPr>
          <w:rFonts w:ascii="Arial" w:cs="Arial" w:eastAsia="Arial" w:hAnsi="Arial"/>
          <w:sz w:val="17"/>
          <w:szCs w:val="17"/>
          <w:color w:val="auto"/>
        </w:rPr>
        <w:t xml:space="preserve"> above to the extent that the relevant Prepayment Asset Sale is consummated by any Foreign Subsidiary or any Domestic Subsidiary of any Foreign Subsidiary (any such Person, a “</w:t>
      </w:r>
      <w:r>
        <w:rPr>
          <w:rFonts w:ascii="Arial" w:cs="Arial" w:eastAsia="Arial" w:hAnsi="Arial"/>
          <w:sz w:val="17"/>
          <w:szCs w:val="17"/>
          <w:u w:val="single" w:color="auto"/>
          <w:color w:val="auto"/>
        </w:rPr>
        <w:t>Specified Subsidiary</w:t>
      </w:r>
      <w:r>
        <w:rPr>
          <w:rFonts w:ascii="Arial" w:cs="Arial" w:eastAsia="Arial" w:hAnsi="Arial"/>
          <w:sz w:val="17"/>
          <w:szCs w:val="17"/>
          <w:color w:val="auto"/>
        </w:rPr>
        <w:t>”) or the relevant Net Insurance/Condemnation Proceeds are received by any Specified Subsidiary, as the case may be, for so long as the repatriation and/or other transfer to the Borrower of any such amount at the time such prepayment would otherwise be required to be made would be, in the good faith determination of the Borrower, prohibited, restricted or delayed under any Requirement of Law (including for the avoidance of doubt, any Requirement of Law relating to financial assistance, corporate benefit, thin capitalization, capital maintenance and similar legal principles, restrictions on “upstreaming” and/or “cross-streaming” of Cash intra-group and Requirements of Law relating to the fiduciary and/or statutory duties of the directors (or equivalent Persons) of the Borrower and/or any of its Restricted Subsidiaries) or would conflict with the fiduciary and/or statutory duties of such Specified Subsidiary’s directors (or equivalent Persons), or result in, or could reasonably be expected to result in, a material risk of personal or criminal liability for any officer, director, employee, manager, member of management or consultant of such Specified Subsidiary;</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560"/>
          </w:cols>
          <w:pgMar w:left="880" w:top="274" w:right="459" w:bottom="1440" w:gutter="0" w:footer="0" w:header="0"/>
        </w:sectPr>
      </w:pPr>
    </w:p>
    <w:bookmarkStart w:id="96" w:name="page97"/>
    <w:bookmarkEnd w:id="96"/>
    <w:p>
      <w:pPr>
        <w:ind w:left="540" w:firstLine="408"/>
        <w:spacing w:after="0" w:line="257" w:lineRule="auto"/>
        <w:tabs>
          <w:tab w:leader="none" w:pos="1226" w:val="left"/>
        </w:tabs>
        <w:numPr>
          <w:ilvl w:val="2"/>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shall not be required to prepay (or cause to be prepaid) any amount that would otherwise be required to be paid pursuant to </w:t>
      </w:r>
      <w:r>
        <w:rPr>
          <w:rFonts w:ascii="Arial" w:cs="Arial" w:eastAsia="Arial" w:hAnsi="Arial"/>
          <w:sz w:val="18"/>
          <w:szCs w:val="18"/>
          <w:u w:val="single" w:color="auto"/>
          <w:color w:val="auto"/>
        </w:rPr>
        <w:t>Section 2.11(b)(ii)</w:t>
      </w:r>
      <w:r>
        <w:rPr>
          <w:rFonts w:ascii="Arial" w:cs="Arial" w:eastAsia="Arial" w:hAnsi="Arial"/>
          <w:sz w:val="18"/>
          <w:szCs w:val="18"/>
          <w:color w:val="auto"/>
        </w:rPr>
        <w:t xml:space="preserve"> to the extent that the relevant Subject Proceeds are received by any joint venture, in each case, for so long as the distribution and/or other transfer to the Borrower of such Subject Proceeds would, in the good faith determination of the Borrower, be prohibited at the time such prepayment would otherwise be required to be made under the Organizational Documents (or any relevant shareholders’ or similar agreement) governing such joint venture;</w:t>
      </w:r>
    </w:p>
    <w:p>
      <w:pPr>
        <w:spacing w:after="0" w:line="79" w:lineRule="exact"/>
        <w:rPr>
          <w:rFonts w:ascii="Arial" w:cs="Arial" w:eastAsia="Arial" w:hAnsi="Arial"/>
          <w:sz w:val="18"/>
          <w:szCs w:val="18"/>
          <w:color w:val="auto"/>
        </w:rPr>
      </w:pPr>
    </w:p>
    <w:p>
      <w:pPr>
        <w:ind w:left="1240" w:hanging="292"/>
        <w:spacing w:after="0"/>
        <w:tabs>
          <w:tab w:leader="none" w:pos="1240" w:val="left"/>
        </w:tabs>
        <w:numPr>
          <w:ilvl w:val="2"/>
          <w:numId w:val="113"/>
        </w:numPr>
        <w:rPr>
          <w:rFonts w:ascii="Arial" w:cs="Arial" w:eastAsia="Arial" w:hAnsi="Arial"/>
          <w:sz w:val="16"/>
          <w:szCs w:val="16"/>
          <w:color w:val="auto"/>
        </w:rPr>
      </w:pPr>
      <w:r>
        <w:rPr>
          <w:rFonts w:ascii="Arial" w:cs="Arial" w:eastAsia="Arial" w:hAnsi="Arial"/>
          <w:sz w:val="16"/>
          <w:szCs w:val="16"/>
          <w:color w:val="auto"/>
        </w:rPr>
        <w:t xml:space="preserve">the Borrower shall not be required to prepay any amount that would otherwise be required to be paid pursuant to </w:t>
      </w:r>
      <w:r>
        <w:rPr>
          <w:rFonts w:ascii="Arial" w:cs="Arial" w:eastAsia="Arial" w:hAnsi="Arial"/>
          <w:sz w:val="16"/>
          <w:szCs w:val="16"/>
          <w:u w:val="single" w:color="auto"/>
          <w:color w:val="auto"/>
        </w:rPr>
        <w:t>Section 2.11(b)</w:t>
      </w:r>
    </w:p>
    <w:p>
      <w:pPr>
        <w:spacing w:after="0" w:line="46" w:lineRule="exact"/>
        <w:rPr>
          <w:rFonts w:ascii="Arial" w:cs="Arial" w:eastAsia="Arial" w:hAnsi="Arial"/>
          <w:sz w:val="16"/>
          <w:szCs w:val="16"/>
          <w:color w:val="auto"/>
        </w:rPr>
      </w:pPr>
    </w:p>
    <w:p>
      <w:pPr>
        <w:jc w:val="both"/>
        <w:ind w:left="540" w:right="280" w:firstLine="7"/>
        <w:spacing w:after="0" w:line="253" w:lineRule="auto"/>
        <w:tabs>
          <w:tab w:leader="none" w:pos="805" w:val="left"/>
        </w:tabs>
        <w:numPr>
          <w:ilvl w:val="1"/>
          <w:numId w:val="114"/>
        </w:numPr>
        <w:rPr>
          <w:rFonts w:ascii="Arial" w:cs="Arial" w:eastAsia="Arial" w:hAnsi="Arial"/>
          <w:sz w:val="18"/>
          <w:szCs w:val="18"/>
          <w:u w:val="single" w:color="auto"/>
          <w:color w:val="auto"/>
        </w:rPr>
      </w:pPr>
      <w:r>
        <w:rPr>
          <w:rFonts w:ascii="Arial" w:cs="Arial" w:eastAsia="Arial" w:hAnsi="Arial"/>
          <w:sz w:val="18"/>
          <w:szCs w:val="18"/>
          <w:color w:val="auto"/>
        </w:rPr>
        <w:t xml:space="preserve">to the extent that the relevant Subject Proceeds are received by any Foreign Subsidiary that is not a Loan Party, in each case, for so long as the Borrower determines in good faith that the distribution to the Borrower of such Subject Proceeds would be prohibited at the time such prepayment would otherwise be required to be made under an agreement permitted pursuant to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by which such Foreign Subsidiary is bound governing any Indebtedness; and</w:t>
      </w:r>
    </w:p>
    <w:p>
      <w:pPr>
        <w:spacing w:after="0" w:line="84" w:lineRule="exact"/>
        <w:rPr>
          <w:rFonts w:ascii="Arial" w:cs="Arial" w:eastAsia="Arial" w:hAnsi="Arial"/>
          <w:sz w:val="18"/>
          <w:szCs w:val="18"/>
          <w:u w:val="single" w:color="auto"/>
          <w:color w:val="auto"/>
        </w:rPr>
      </w:pPr>
    </w:p>
    <w:p>
      <w:pPr>
        <w:ind w:left="540" w:right="60" w:firstLine="408"/>
        <w:spacing w:after="0" w:line="273" w:lineRule="auto"/>
        <w:tabs>
          <w:tab w:leader="none" w:pos="1236" w:val="left"/>
        </w:tabs>
        <w:numPr>
          <w:ilvl w:val="2"/>
          <w:numId w:val="114"/>
        </w:numPr>
        <w:rPr>
          <w:rFonts w:ascii="Arial" w:cs="Arial" w:eastAsia="Arial" w:hAnsi="Arial"/>
          <w:sz w:val="17"/>
          <w:szCs w:val="17"/>
          <w:color w:val="auto"/>
        </w:rPr>
      </w:pPr>
      <w:r>
        <w:rPr>
          <w:rFonts w:ascii="Arial" w:cs="Arial" w:eastAsia="Arial" w:hAnsi="Arial"/>
          <w:sz w:val="17"/>
          <w:szCs w:val="17"/>
          <w:color w:val="auto"/>
        </w:rPr>
        <w:t xml:space="preserve">if the Borrower determines in good faith that the repatriation (or other intercompany distribution or transfer) to the Borrower, directly or indirectly, from a Specified Subsidiary as a distribution or dividend (or other intercompany transfer) of any amount required to mandatorily prepay the Term Loans pursuant to </w:t>
      </w:r>
      <w:r>
        <w:rPr>
          <w:rFonts w:ascii="Arial" w:cs="Arial" w:eastAsia="Arial" w:hAnsi="Arial"/>
          <w:sz w:val="17"/>
          <w:szCs w:val="17"/>
          <w:u w:val="single" w:color="auto"/>
          <w:color w:val="auto"/>
        </w:rPr>
        <w:t>Section 2.11(b)(ii)</w:t>
      </w:r>
      <w:r>
        <w:rPr>
          <w:rFonts w:ascii="Arial" w:cs="Arial" w:eastAsia="Arial" w:hAnsi="Arial"/>
          <w:sz w:val="17"/>
          <w:szCs w:val="17"/>
          <w:color w:val="auto"/>
        </w:rPr>
        <w:t xml:space="preserve"> above would reasonably be expected to result in a material and adverse Tax liability (including any withholding Tax) being incurred by Holdings, the Borrower, any Parent Company and/or any Restricted Subsidiary (such amount, a “</w:t>
      </w:r>
      <w:r>
        <w:rPr>
          <w:rFonts w:ascii="Arial" w:cs="Arial" w:eastAsia="Arial" w:hAnsi="Arial"/>
          <w:sz w:val="17"/>
          <w:szCs w:val="17"/>
          <w:u w:val="single" w:color="auto"/>
          <w:color w:val="auto"/>
        </w:rPr>
        <w:t>Restricted Amount</w:t>
      </w:r>
      <w:r>
        <w:rPr>
          <w:rFonts w:ascii="Arial" w:cs="Arial" w:eastAsia="Arial" w:hAnsi="Arial"/>
          <w:sz w:val="17"/>
          <w:szCs w:val="17"/>
          <w:color w:val="auto"/>
        </w:rPr>
        <w:t xml:space="preserve">”), the amount that the Borrower shall be required to mandatorily prepay pursuant to </w:t>
      </w:r>
      <w:r>
        <w:rPr>
          <w:rFonts w:ascii="Arial" w:cs="Arial" w:eastAsia="Arial" w:hAnsi="Arial"/>
          <w:sz w:val="17"/>
          <w:szCs w:val="17"/>
          <w:u w:val="single" w:color="auto"/>
          <w:color w:val="auto"/>
        </w:rPr>
        <w:t>Section 2.11(b)(ii)</w:t>
      </w:r>
      <w:r>
        <w:rPr>
          <w:rFonts w:ascii="Arial" w:cs="Arial" w:eastAsia="Arial" w:hAnsi="Arial"/>
          <w:sz w:val="17"/>
          <w:szCs w:val="17"/>
          <w:color w:val="auto"/>
        </w:rPr>
        <w:t xml:space="preserve"> above, as applicable, shall be reduced by the Restricted Amount;</w:t>
      </w:r>
    </w:p>
    <w:p>
      <w:pPr>
        <w:spacing w:after="0" w:line="69" w:lineRule="exact"/>
        <w:rPr>
          <w:rFonts w:ascii="Arial" w:cs="Arial" w:eastAsia="Arial" w:hAnsi="Arial"/>
          <w:sz w:val="17"/>
          <w:szCs w:val="17"/>
          <w:color w:val="auto"/>
        </w:rPr>
      </w:pPr>
    </w:p>
    <w:p>
      <w:pPr>
        <w:ind w:right="20" w:firstLine="419"/>
        <w:spacing w:after="0" w:line="287" w:lineRule="auto"/>
        <w:tabs>
          <w:tab w:leader="none" w:pos="67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Any Term Lender may elect, by notice to the Administrative Agent at or prior to the time and in the manner specified by the Administrative Agent, prior to any prepayment of Term Loans required to be made by the Borrower pursuant to this </w:t>
      </w:r>
      <w:r>
        <w:rPr>
          <w:rFonts w:ascii="Arial" w:cs="Arial" w:eastAsia="Arial" w:hAnsi="Arial"/>
          <w:sz w:val="16"/>
          <w:szCs w:val="16"/>
          <w:u w:val="single" w:color="auto"/>
          <w:color w:val="auto"/>
        </w:rPr>
        <w:t>Section 2.11(b)</w:t>
      </w:r>
      <w:r>
        <w:rPr>
          <w:rFonts w:ascii="Arial" w:cs="Arial" w:eastAsia="Arial" w:hAnsi="Arial"/>
          <w:sz w:val="16"/>
          <w:szCs w:val="16"/>
          <w:color w:val="auto"/>
        </w:rPr>
        <w:t>, to decline all (but not a portion) of its Applicable Percentage of such prepayment (such declined amounts, the “</w:t>
      </w:r>
      <w:r>
        <w:rPr>
          <w:rFonts w:ascii="Arial" w:cs="Arial" w:eastAsia="Arial" w:hAnsi="Arial"/>
          <w:sz w:val="16"/>
          <w:szCs w:val="16"/>
          <w:u w:val="single" w:color="auto"/>
          <w:color w:val="auto"/>
        </w:rPr>
        <w:t>Declined Proceeds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no Lender may reject any prepayment made under </w:t>
      </w:r>
      <w:r>
        <w:rPr>
          <w:rFonts w:ascii="Arial" w:cs="Arial" w:eastAsia="Arial" w:hAnsi="Arial"/>
          <w:sz w:val="16"/>
          <w:szCs w:val="16"/>
          <w:u w:val="single" w:color="auto"/>
          <w:color w:val="auto"/>
        </w:rPr>
        <w:t>Section 2.11(b)(iii)</w:t>
      </w:r>
      <w:r>
        <w:rPr>
          <w:rFonts w:ascii="Arial" w:cs="Arial" w:eastAsia="Arial" w:hAnsi="Arial"/>
          <w:sz w:val="16"/>
          <w:szCs w:val="16"/>
          <w:color w:val="auto"/>
        </w:rPr>
        <w:t xml:space="preserve"> above to the extent that such prepayment is made with the Net Proceeds of (1) Refinancing Indebtedness (including Replacement Debt) incurred to refinance all or a portion of the Term Loans pursuant to </w:t>
      </w:r>
      <w:r>
        <w:rPr>
          <w:rFonts w:ascii="Arial" w:cs="Arial" w:eastAsia="Arial" w:hAnsi="Arial"/>
          <w:sz w:val="16"/>
          <w:szCs w:val="16"/>
          <w:u w:val="single" w:color="auto"/>
          <w:color w:val="auto"/>
        </w:rPr>
        <w:t>Section 6.01(p)</w:t>
      </w:r>
      <w:r>
        <w:rPr>
          <w:rFonts w:ascii="Arial" w:cs="Arial" w:eastAsia="Arial" w:hAnsi="Arial"/>
          <w:sz w:val="16"/>
          <w:szCs w:val="16"/>
          <w:color w:val="auto"/>
        </w:rPr>
        <w:t xml:space="preserve">, (2) Incremental Loans incurred to refinance all or a portion of the Term Loans pursuant 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(3) Replacement Term Loans incurred to refinance all or any portion of the Term Loans in accordance with the requirements of </w:t>
      </w:r>
      <w:r>
        <w:rPr>
          <w:rFonts w:ascii="Arial" w:cs="Arial" w:eastAsia="Arial" w:hAnsi="Arial"/>
          <w:sz w:val="16"/>
          <w:szCs w:val="16"/>
          <w:u w:val="single" w:color="auto"/>
          <w:color w:val="auto"/>
        </w:rPr>
        <w:t>Section 9.02(c)</w:t>
      </w:r>
      <w:r>
        <w:rPr>
          <w:rFonts w:ascii="Arial" w:cs="Arial" w:eastAsia="Arial" w:hAnsi="Arial"/>
          <w:sz w:val="16"/>
          <w:szCs w:val="16"/>
          <w:color w:val="auto"/>
        </w:rPr>
        <w:t xml:space="preserve"> and/or (4) Incremental Equivalent Debt incurred to refinance all or a portion of the Loans in accordance with the requirements of the definition thereof. If any Lender fails to deliver a written notice to the Administrative Agent of its election to decline receipt of its Applicable Percentage of any mandatory prepayment within the time frame specified by the Administrative Agent, such failure will be deemed to constitute an acceptance of such Lender’s Applicable Percentage of the total amount of such mandatory prepayment of Term Loans.</w:t>
      </w:r>
    </w:p>
    <w:p>
      <w:pPr>
        <w:spacing w:after="0" w:line="63" w:lineRule="exact"/>
        <w:rPr>
          <w:rFonts w:ascii="Arial" w:cs="Arial" w:eastAsia="Arial" w:hAnsi="Arial"/>
          <w:sz w:val="16"/>
          <w:szCs w:val="16"/>
          <w:color w:val="auto"/>
        </w:rPr>
      </w:pPr>
    </w:p>
    <w:p>
      <w:pPr>
        <w:ind w:right="20" w:firstLine="419"/>
        <w:spacing w:after="0" w:line="271" w:lineRule="auto"/>
        <w:tabs>
          <w:tab w:leader="none" w:pos="72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Except as otherwise contemplated by this Agreement or provided in, or intended with respect to, any Refinancing Amendment, any Incremental Facility Amendment, any Extension Amendment or any Replacement Debt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Refinancing Amendment, Incremental Facility Amendment or Extension Amendment may not provide that the applicable Class of Term Loans receive a greater than pro rata portion of any prepayment of Term Loans pursuant to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than would otherwise be permitted by this Agreement), in each case effectuated or issued in a manner consistent with this Agreement, each prepayment of Term Loans pursuant to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shall be allocated to prepay any Class of Term Loans as directed by the Borrower or, in the absence of such direction, ratably to each Class of Term Loans then outstanding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Initial Term Loans in right of payment and with respect to security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prepayment of Term Loans with the Net Proceeds of any Incremental Term Facility incurred in reliance on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560"/>
          </w:cols>
          <w:pgMar w:left="880" w:top="274" w:right="459" w:bottom="1440" w:gutter="0" w:footer="0" w:header="0"/>
        </w:sectPr>
      </w:pPr>
    </w:p>
    <w:bookmarkStart w:id="97" w:name="page98"/>
    <w:bookmarkEnd w:id="97"/>
    <w:p>
      <w:pPr>
        <w:ind w:left="3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definition of “Incremental Cap” to extend the Maturity Date of all or any portion of any Class of Term Loans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Incremental Equivalent Debt incurred in reliance on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of “Incremental Cap” to extend the Maturity Date of all or any portion of any Class of Term Loans and/or any Replacement Term Loan shall be applied to the applicable Class of Term Loans being extended, refinanced or replaced, as applicable). With respect to each relevant Class of Term Loans, any accepted prepayment under this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shall be applied against the remaining scheduled installments of principal due in respect of such Class of Term Loans as directed by the Borrower (or, in the absence of direction from the Borrower, to the remaining scheduled amortization payments in respect of the Term Loans of such Class in direct order of maturity), and each such prepayment shall be paid to the Term Lenders in accordance with their respective Applicable Percentage of the applicable Class. If no Lender exercises the right to decline a prepayment of the Term Loans pursuant to </w:t>
      </w:r>
      <w:r>
        <w:rPr>
          <w:rFonts w:ascii="Arial" w:cs="Arial" w:eastAsia="Arial" w:hAnsi="Arial"/>
          <w:sz w:val="17"/>
          <w:szCs w:val="17"/>
          <w:u w:val="single" w:color="auto"/>
          <w:color w:val="auto"/>
        </w:rPr>
        <w:t>Section 2.11(b)(v)</w:t>
      </w:r>
      <w:r>
        <w:rPr>
          <w:rFonts w:ascii="Arial" w:cs="Arial" w:eastAsia="Arial" w:hAnsi="Arial"/>
          <w:sz w:val="17"/>
          <w:szCs w:val="17"/>
          <w:color w:val="auto"/>
        </w:rPr>
        <w:t xml:space="preserve">, the amount of such mandatory prepayment shall be applied first to the then outstanding Term Loans of the relevant Class that are ABR Loans to the full extent thereof and then to the then outstanding Term Loans of such Class that are LIBO Rate Loans in a manner that minimizes the amount of any payment required to be made by the Borrower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w:t>
      </w:r>
    </w:p>
    <w:p>
      <w:pPr>
        <w:spacing w:after="0" w:line="74" w:lineRule="exact"/>
        <w:rPr>
          <w:sz w:val="20"/>
          <w:szCs w:val="20"/>
          <w:color w:val="auto"/>
        </w:rPr>
      </w:pPr>
    </w:p>
    <w:p>
      <w:pPr>
        <w:ind w:left="380" w:right="80" w:firstLine="419"/>
        <w:spacing w:after="0" w:line="284" w:lineRule="auto"/>
        <w:tabs>
          <w:tab w:leader="none" w:pos="1158"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(A) In the event that on any Revaluation Date (after giving effect to the determination of the Outstanding Amount of each Revolving Loan, Swingline Loan and/or LC Obligation) the aggregate Revolving Credit Exposure of any Class exceeds the Total Revolving Credit Commitment of such Class then in effect, the Borrower shall, within five Business Days of receipt of notice from the Administrative Agent, prepay the Revolving Loans or Swingline Loans and/or reduce LC Exposure (in each case, taking the Dollar Equivalent of any amount denominated in an Alternate Currency), in an aggregate amount sufficient to reduce such aggregate Revolving Credit Exposure as of the date of such payment to an amount not to exceed 100% of the Revolving Credit Commitment of such Class then in effect by taking any of the following actions as it shall determine at its sole discretion: (I) prepayment of Revolving Loans and/or Swingline Loans in accordance with </w:t>
      </w:r>
      <w:r>
        <w:rPr>
          <w:rFonts w:ascii="Arial" w:cs="Arial" w:eastAsia="Arial" w:hAnsi="Arial"/>
          <w:sz w:val="16"/>
          <w:szCs w:val="16"/>
          <w:u w:val="single" w:color="auto"/>
          <w:color w:val="auto"/>
        </w:rPr>
        <w:t>Section 2.11(a)</w:t>
      </w:r>
    </w:p>
    <w:p>
      <w:pPr>
        <w:spacing w:after="0" w:line="2" w:lineRule="exact"/>
        <w:rPr>
          <w:rFonts w:ascii="Arial" w:cs="Arial" w:eastAsia="Arial" w:hAnsi="Arial"/>
          <w:sz w:val="16"/>
          <w:szCs w:val="16"/>
          <w:color w:val="auto"/>
        </w:rPr>
      </w:pPr>
    </w:p>
    <w:p>
      <w:pPr>
        <w:ind w:left="640" w:hanging="264"/>
        <w:spacing w:after="0"/>
        <w:tabs>
          <w:tab w:leader="none" w:pos="640" w:val="left"/>
        </w:tabs>
        <w:numPr>
          <w:ilvl w:val="0"/>
          <w:numId w:val="117"/>
        </w:numPr>
        <w:rPr>
          <w:rFonts w:ascii="Arial" w:cs="Arial" w:eastAsia="Arial" w:hAnsi="Arial"/>
          <w:sz w:val="18"/>
          <w:szCs w:val="18"/>
          <w:u w:val="single" w:color="auto"/>
          <w:color w:val="auto"/>
        </w:rPr>
      </w:pPr>
      <w:r>
        <w:rPr>
          <w:rFonts w:ascii="Arial" w:cs="Arial" w:eastAsia="Arial" w:hAnsi="Arial"/>
          <w:sz w:val="18"/>
          <w:szCs w:val="18"/>
          <w:color w:val="auto"/>
        </w:rPr>
        <w:t>and/or (II) with respect to any excess LC Exposure, provide Letter of Credit Support with respect thereto.</w:t>
      </w:r>
    </w:p>
    <w:p>
      <w:pPr>
        <w:spacing w:after="0" w:line="102" w:lineRule="exact"/>
        <w:rPr>
          <w:rFonts w:ascii="Arial" w:cs="Arial" w:eastAsia="Arial" w:hAnsi="Arial"/>
          <w:sz w:val="18"/>
          <w:szCs w:val="18"/>
          <w:u w:val="single" w:color="auto"/>
          <w:color w:val="auto"/>
        </w:rPr>
      </w:pPr>
    </w:p>
    <w:p>
      <w:pPr>
        <w:ind w:left="920" w:right="260" w:firstLine="408"/>
        <w:spacing w:after="0" w:line="277" w:lineRule="auto"/>
        <w:tabs>
          <w:tab w:leader="none" w:pos="1606" w:val="left"/>
        </w:tabs>
        <w:numPr>
          <w:ilvl w:val="2"/>
          <w:numId w:val="117"/>
        </w:numPr>
        <w:rPr>
          <w:rFonts w:ascii="Arial" w:cs="Arial" w:eastAsia="Arial" w:hAnsi="Arial"/>
          <w:sz w:val="18"/>
          <w:szCs w:val="18"/>
          <w:color w:val="auto"/>
        </w:rPr>
      </w:pPr>
      <w:r>
        <w:rPr>
          <w:rFonts w:ascii="Arial" w:cs="Arial" w:eastAsia="Arial" w:hAnsi="Arial"/>
          <w:sz w:val="18"/>
          <w:szCs w:val="18"/>
          <w:color w:val="auto"/>
        </w:rPr>
        <w:t xml:space="preserve">Each prepayment of any Revolving Loan Borrowing under this </w:t>
      </w:r>
      <w:r>
        <w:rPr>
          <w:rFonts w:ascii="Arial" w:cs="Arial" w:eastAsia="Arial" w:hAnsi="Arial"/>
          <w:sz w:val="18"/>
          <w:szCs w:val="18"/>
          <w:u w:val="single" w:color="auto"/>
          <w:color w:val="auto"/>
        </w:rPr>
        <w:t>Section 2.11(b)(vii)</w:t>
      </w:r>
      <w:r>
        <w:rPr>
          <w:rFonts w:ascii="Arial" w:cs="Arial" w:eastAsia="Arial" w:hAnsi="Arial"/>
          <w:sz w:val="18"/>
          <w:szCs w:val="18"/>
          <w:color w:val="auto"/>
        </w:rPr>
        <w:t xml:space="preserve"> shall be paid to the Revolving Lenders in accordance with their respective Applicable Percentages of the applicable Class.</w:t>
      </w:r>
    </w:p>
    <w:p>
      <w:pPr>
        <w:spacing w:after="0" w:line="62" w:lineRule="exact"/>
        <w:rPr>
          <w:rFonts w:ascii="Arial" w:cs="Arial" w:eastAsia="Arial" w:hAnsi="Arial"/>
          <w:sz w:val="18"/>
          <w:szCs w:val="18"/>
          <w:color w:val="auto"/>
        </w:rPr>
      </w:pPr>
    </w:p>
    <w:p>
      <w:pPr>
        <w:jc w:val="both"/>
        <w:ind w:left="380" w:firstLine="419"/>
        <w:spacing w:after="0" w:line="259" w:lineRule="auto"/>
        <w:tabs>
          <w:tab w:leader="none" w:pos="120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Prepayments made under this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shall be (A) accompanied by accrued interest as required by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(which may, at the election of the Borrower, be netted in the calculation of the applicable prepayment amount (and in the event such election is made, the amount of the applicable prepayment of principal and the amount of such accrued interest shall be determined by the Borrower in good faith in consultation with the Administrative Agent)) and (B) subject to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17" w:lineRule="exact"/>
        <w:rPr>
          <w:sz w:val="20"/>
          <w:szCs w:val="20"/>
          <w:color w:val="auto"/>
        </w:rPr>
      </w:pPr>
    </w:p>
    <w:p>
      <w:pPr>
        <w:ind w:left="-60" w:firstLine="436"/>
        <w:spacing w:after="0" w:line="269" w:lineRule="auto"/>
        <w:tabs>
          <w:tab w:leader="none" w:pos="62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The Borrower agrees to pay to the Administrative Agent for the account of each Revolving Lender of any Class (other than any Defaulting Lender) a commitment fee, which shall accrue at a rate equal to the Commitment Fee Rate per annum applicable to the Revolving Credit Commitments of such Class on the average daily amount of the unused Revolving Credit Commitment of such Class of such Revolving Lender during the period from and including the Closing Date to the date on which such Lender’s Revolving Credit Commitment of such Class terminates. Accrued Commitment fees shall be payable in arrears on each Scheduled Payment Date for the quarterly period then most recently ended (or, in the case of the first such payment made after the Closing Date, for the period from the Closing Date to such date), and on the date on which the Revolving Credit Commitments of the applicable Class terminate. For purposes of calculating the commitment fee payable pursuant to this </w:t>
      </w:r>
      <w:r>
        <w:rPr>
          <w:rFonts w:ascii="Arial" w:cs="Arial" w:eastAsia="Arial" w:hAnsi="Arial"/>
          <w:sz w:val="17"/>
          <w:szCs w:val="17"/>
          <w:u w:val="single" w:color="auto"/>
          <w:color w:val="auto"/>
        </w:rPr>
        <w:t>Section 2.12(a)</w:t>
      </w:r>
      <w:r>
        <w:rPr>
          <w:rFonts w:ascii="Arial" w:cs="Arial" w:eastAsia="Arial" w:hAnsi="Arial"/>
          <w:sz w:val="17"/>
          <w:szCs w:val="17"/>
          <w:color w:val="auto"/>
        </w:rPr>
        <w:t>, the Revolving Credit Commitment of any Class shall be deemed to have been used to the extent of the outstanding principal amount of the Revolving Loans of such Class and the LC Exposure attributable to the Revolving Credit Commitment of such Class, but no portion of the Revolving Credit Commitment of any Class shall be deemed to have been used as a result of any outstanding Swingline Loan.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880"/>
          </w:cols>
          <w:pgMar w:left="500" w:top="274" w:right="519" w:bottom="1440" w:gutter="0" w:footer="0" w:header="0"/>
        </w:sectPr>
      </w:pPr>
    </w:p>
    <w:bookmarkStart w:id="98" w:name="page99"/>
    <w:bookmarkEnd w:id="98"/>
    <w:p>
      <w:pPr>
        <w:ind w:left="-20" w:firstLine="436"/>
        <w:spacing w:after="0" w:line="267" w:lineRule="auto"/>
        <w:tabs>
          <w:tab w:leader="none" w:pos="675" w:val="left"/>
        </w:tabs>
        <w:numPr>
          <w:ilvl w:val="0"/>
          <w:numId w:val="1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agrees to pay (i) to the Administrative Agent for the account of each Revolving Lender of any Class, a participation fee with respect to its participation in any outstanding Letter of Credit that is not subject to Letter of Credit Support, which shall accrue at the Applicable Rate used to determine the interest rate applicable to Revolving Loans of such Class that are LIBO Rate Loans on the daily portion of such Lender’s LC Exposure that is attributable to its Revolving Credit Commitment of such Class (excluding any portion thereof that is attributable to any unreimbursed LC Disbursement), during the period from and including the Closing Date to the earlier of (A) the later of the date on which such Revolving Lender’s Revolving Credit Commitment of such Class terminates and the date on which such Revolving Lender ceases to have any LC Exposure attributable to its Revolving Credit Commitment of such Class and (B) the Termination Date, and (ii) to each Issuing Bank, for its own account, a fronting fee, in respect of each Letter of Credit that is not subject to Letter of Credit Support issued by such Issuing Bank for the period from the date of issuance of such Letter of Credit to the earliest of (A) the expiration date of such Letter of Credit, (B) the date on which such Letter of Credit terminates, (C) the Termination Date, computed at a rate agreed by such Issuing Bank and the Borrower (but in any event not to exceed 0.125% per annum) of the daily available amount of such Letter of Credit, as well as such Issuing Bank’s standard fees with respect to the issuance, amendment, renewal or extension of any Letter of Credit or the processing of any drawing thereunder. Participation fees and fronting fees shall accrue to but excluding each Scheduled Payment Date and be payable in arrears for the quarterly period then most recently ended (or, in the case of the payment made on the first such date after the Closing Date, for the period from the Closing Date to such date) on each Scheduled 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that all such fees shall be payable on the date on which the Revolving Credit Commitments of the applicable Class terminate, and any such fees accruing after the date on which the Revolving Credit Commitments of the applicable Class terminate and prior to the Termination Date shall be payable on demand. Any other fee payable to any Issuing Bank pursuant to this paragraph shall be payable within 30 days after receipt of a written demand (accompanied by reasonable back-up documentation) therefor.</w:t>
      </w:r>
    </w:p>
    <w:p>
      <w:pPr>
        <w:spacing w:after="0" w:line="81" w:lineRule="exact"/>
        <w:rPr>
          <w:rFonts w:ascii="Arial" w:cs="Arial" w:eastAsia="Arial" w:hAnsi="Arial"/>
          <w:sz w:val="17"/>
          <w:szCs w:val="17"/>
          <w:color w:val="auto"/>
        </w:rPr>
      </w:pPr>
    </w:p>
    <w:p>
      <w:pPr>
        <w:ind w:left="660" w:hanging="244"/>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680" w:hanging="264"/>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Borrower agrees to pay to the Administrative Agent, for its own account, the annual administration fee described in the Fee Letter.</w:t>
      </w:r>
    </w:p>
    <w:p>
      <w:pPr>
        <w:spacing w:after="0" w:line="128" w:lineRule="exact"/>
        <w:rPr>
          <w:rFonts w:ascii="Arial" w:cs="Arial" w:eastAsia="Arial" w:hAnsi="Arial"/>
          <w:sz w:val="17"/>
          <w:szCs w:val="17"/>
          <w:color w:val="auto"/>
        </w:rPr>
      </w:pPr>
    </w:p>
    <w:p>
      <w:pPr>
        <w:jc w:val="both"/>
        <w:ind w:left="-20" w:right="80" w:firstLine="436"/>
        <w:spacing w:after="0" w:line="259" w:lineRule="auto"/>
        <w:tabs>
          <w:tab w:leader="none" w:pos="66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 due, in Dollars and in immediately available funds, to the Administrative Agent (or to the applicable Issuing Bank, in the case of fees payable to any Issuing Bank). Fees paid shall not be refundable under any circumstance except as otherwise provided in the Fee Letter. Fees payable hereunder shall accrue through and including the last day of the month immediately preceding the applicable fee payment date.</w:t>
      </w:r>
    </w:p>
    <w:p>
      <w:pPr>
        <w:spacing w:after="0" w:line="78" w:lineRule="exact"/>
        <w:rPr>
          <w:rFonts w:ascii="Arial" w:cs="Arial" w:eastAsia="Arial" w:hAnsi="Arial"/>
          <w:sz w:val="18"/>
          <w:szCs w:val="18"/>
          <w:color w:val="auto"/>
        </w:rPr>
      </w:pPr>
    </w:p>
    <w:p>
      <w:pPr>
        <w:ind w:left="640" w:hanging="224"/>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20" w:right="280" w:firstLine="436"/>
        <w:spacing w:after="0" w:line="263" w:lineRule="auto"/>
        <w:tabs>
          <w:tab w:leader="none" w:pos="67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Unless otherwise indicated herein, all computations of fees shall be made on the basis of a 360-day year and shall be payable for the actual days elapsed (including the first day but excluding the last day). Each determination by the Administrative Agent of the amount of any fee hereunder shall be conclusive and binding for all purposes, absent manifest error.</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17" w:lineRule="exact"/>
        <w:rPr>
          <w:sz w:val="20"/>
          <w:szCs w:val="20"/>
          <w:color w:val="auto"/>
        </w:rPr>
      </w:pPr>
    </w:p>
    <w:p>
      <w:pPr>
        <w:ind w:left="-20" w:right="40" w:firstLine="436"/>
        <w:spacing w:after="0" w:line="277" w:lineRule="auto"/>
        <w:tabs>
          <w:tab w:leader="none" w:pos="6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The Term Loans, the Revolving Loans and the Swing Loans, in each case, comprising each ABR Borrowing shall bear interest at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62" w:lineRule="exact"/>
        <w:rPr>
          <w:rFonts w:ascii="Arial" w:cs="Arial" w:eastAsia="Arial" w:hAnsi="Arial"/>
          <w:sz w:val="18"/>
          <w:szCs w:val="18"/>
          <w:color w:val="auto"/>
        </w:rPr>
      </w:pPr>
    </w:p>
    <w:p>
      <w:pPr>
        <w:ind w:left="-20" w:right="20" w:firstLine="436"/>
        <w:spacing w:after="0" w:line="263" w:lineRule="auto"/>
        <w:tabs>
          <w:tab w:leader="none" w:pos="67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The Term Loans and the Revolving Loans, in each case, comprising each LIBO Rate Borrowing (with any Revolving Loans denominated in any Alternate Currency being required to comprise a LIBO Rate Borrowing) shall bear interest at the LIBO Rate for the Interest Period in effect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80"/>
          </w:cols>
          <w:pgMar w:left="460" w:top="274" w:right="459" w:bottom="1440" w:gutter="0" w:footer="0" w:header="0"/>
        </w:sectPr>
      </w:pPr>
    </w:p>
    <w:bookmarkStart w:id="99" w:name="page100"/>
    <w:bookmarkEnd w:id="99"/>
    <w:p>
      <w:pPr>
        <w:ind w:left="640" w:hanging="244"/>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ind w:left="-40" w:firstLine="436"/>
        <w:spacing w:after="0" w:line="270" w:lineRule="auto"/>
        <w:tabs>
          <w:tab w:leader="none" w:pos="65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Notwithstanding the foregoing but in all cases subject to </w:t>
      </w:r>
      <w:r>
        <w:rPr>
          <w:rFonts w:ascii="Arial" w:cs="Arial" w:eastAsia="Arial" w:hAnsi="Arial"/>
          <w:sz w:val="17"/>
          <w:szCs w:val="17"/>
          <w:u w:val="single" w:color="auto"/>
          <w:color w:val="auto"/>
        </w:rPr>
        <w:t>Section 9.05(f)</w:t>
      </w:r>
      <w:r>
        <w:rPr>
          <w:rFonts w:ascii="Arial" w:cs="Arial" w:eastAsia="Arial" w:hAnsi="Arial"/>
          <w:sz w:val="17"/>
          <w:szCs w:val="17"/>
          <w:color w:val="auto"/>
        </w:rPr>
        <w:t xml:space="preserve">, if any principal of or interest on any Term Loan, Revolving Loan or Swingline Loan, any LC Disbursement or other amount payable by the Borrower hereunder is not, in each case, paid or reimbursed when due, whether at stated maturity, upon acceleration or otherwise, the relevant overdue amount shall bear interest, to the fullest extent permitted by applicable Requirements of Law, after as well as before judgment, at a rate per annum equal to (i) in the case of overdue principal or interest of any Term Loan, Revolving Loan, Swingline Loan or unreimbursed LC Disbursement, 2.00%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rate otherwise applicable to such Term Loan, Revolving Loan, Swingline Loan or LC Disbursement as provided in the preceding paragraphs of this Section or (ii) in the case of any fee and other amounts, 2.00%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rate applicable to Revolving Loans that are ABR Loans as provided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amount shall accrue pursuant to this </w:t>
      </w:r>
      <w:r>
        <w:rPr>
          <w:rFonts w:ascii="Arial" w:cs="Arial" w:eastAsia="Arial" w:hAnsi="Arial"/>
          <w:sz w:val="17"/>
          <w:szCs w:val="17"/>
          <w:u w:val="single" w:color="auto"/>
          <w:color w:val="auto"/>
        </w:rPr>
        <w:t>Section 2.13(d)</w:t>
      </w:r>
      <w:r>
        <w:rPr>
          <w:rFonts w:ascii="Arial" w:cs="Arial" w:eastAsia="Arial" w:hAnsi="Arial"/>
          <w:sz w:val="17"/>
          <w:szCs w:val="17"/>
          <w:color w:val="auto"/>
        </w:rPr>
        <w:t xml:space="preserve"> on any overdue amount, reimbursement obligation in respect of any LC Disbursement or other amount that is payable to any Defaulting Lender so long as such Lender is a Defaulting Lender.</w:t>
      </w:r>
    </w:p>
    <w:p>
      <w:pPr>
        <w:spacing w:after="0" w:line="72" w:lineRule="exact"/>
        <w:rPr>
          <w:rFonts w:ascii="Arial" w:cs="Arial" w:eastAsia="Arial" w:hAnsi="Arial"/>
          <w:sz w:val="17"/>
          <w:szCs w:val="17"/>
          <w:color w:val="auto"/>
        </w:rPr>
      </w:pPr>
    </w:p>
    <w:p>
      <w:pPr>
        <w:ind w:left="-40" w:right="20" w:firstLine="436"/>
        <w:spacing w:after="0" w:line="270" w:lineRule="auto"/>
        <w:tabs>
          <w:tab w:leader="none" w:pos="64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Accrued interest on each Term Loan, Revolving Loan and Swingline Loan shall be payable in arrears on each Interest Payment Date for such Term Loan, Revolving Loan or Swingline Loan and (i) on the Maturity Date applicable to such Loan, (ii) in the case of a Revolving Loan of any Class, upon termination of the Revolving Credit Commitments of such Class and (iii) in the case of any Swingline Loan, upon termination of all of the Revolving Credit Commitments,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interest accrued pursuant to </w:t>
      </w:r>
      <w:r>
        <w:rPr>
          <w:rFonts w:ascii="Arial" w:cs="Arial" w:eastAsia="Arial" w:hAnsi="Arial"/>
          <w:sz w:val="17"/>
          <w:szCs w:val="17"/>
          <w:u w:val="single" w:color="auto"/>
          <w:color w:val="auto"/>
        </w:rPr>
        <w:t>paragraph (d)</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shall be payable on demand, (B) except as provided in </w:t>
      </w:r>
      <w:r>
        <w:rPr>
          <w:rFonts w:ascii="Arial" w:cs="Arial" w:eastAsia="Arial" w:hAnsi="Arial"/>
          <w:sz w:val="17"/>
          <w:szCs w:val="17"/>
          <w:u w:val="single" w:color="auto"/>
          <w:color w:val="auto"/>
        </w:rPr>
        <w:t>Section 2.11(b)(viii)</w:t>
      </w:r>
      <w:r>
        <w:rPr>
          <w:rFonts w:ascii="Arial" w:cs="Arial" w:eastAsia="Arial" w:hAnsi="Arial"/>
          <w:sz w:val="17"/>
          <w:szCs w:val="17"/>
          <w:color w:val="auto"/>
        </w:rPr>
        <w:t>, in the event of any repayment or prepayment of any Term Loan, Revolving Loan (other than an ABR Revolving Loan of any Class prior to the termination of the Revolving Credit Commitments of such Class) or Swingline Loan, accrued interest on the principal amount repaid or prepaid shall be payable on the date of such repayment or prepayment and (C) in the event of any conversion of any LIBO Rate Loan prior to the end of the current Interest Period therefor, accrued interest on such Term Loan or Revolving Loan shall be payable on the effective date of such conversion.</w:t>
      </w:r>
    </w:p>
    <w:p>
      <w:pPr>
        <w:spacing w:after="0" w:line="72" w:lineRule="exact"/>
        <w:rPr>
          <w:rFonts w:ascii="Arial" w:cs="Arial" w:eastAsia="Arial" w:hAnsi="Arial"/>
          <w:sz w:val="17"/>
          <w:szCs w:val="17"/>
          <w:color w:val="auto"/>
        </w:rPr>
      </w:pPr>
    </w:p>
    <w:p>
      <w:pPr>
        <w:ind w:left="-40" w:right="20" w:firstLine="436"/>
        <w:spacing w:after="0" w:line="293" w:lineRule="auto"/>
        <w:tabs>
          <w:tab w:leader="none" w:pos="62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or LIBO Rate shall be determined by the Administrative Agent, and such determination shall be conclusive absent manifest error. Interest shall accrue on each Loan for the day on which the Loan is made and shall not accrue on a Loan, or any portion thereof, for the day on which the Loan or such portion is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Loan that is repaid on the same day on which it is made shall bear interest for one day.</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If, prior to the commencement of any Interest Period for a LIBO Rate Borrowing:</w:t>
      </w:r>
    </w:p>
    <w:p>
      <w:pPr>
        <w:spacing w:after="0" w:line="117" w:lineRule="exact"/>
        <w:rPr>
          <w:sz w:val="20"/>
          <w:szCs w:val="20"/>
          <w:color w:val="auto"/>
        </w:rPr>
      </w:pPr>
    </w:p>
    <w:p>
      <w:pPr>
        <w:ind w:left="-40" w:right="160" w:firstLine="436"/>
        <w:spacing w:after="0" w:line="257" w:lineRule="auto"/>
        <w:tabs>
          <w:tab w:leader="none" w:pos="64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subject to, and without limitation of,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if the Administrative Agent determines (which determination shall be conclusive absent manifest error) that (i) adequate and reasonable means do not exist for ascertaining the LIBO Rate for such Interest Period (and the circumstances described in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do not apply) or (ii) deposits in Dollars are not being offered to banks in the applicable offshore interbank eurodollar market for such currency for the applicable amount and Interest Period of such LIBO Rate Loan (in each respect of each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w:t>
      </w:r>
      <w:r>
        <w:rPr>
          <w:rFonts w:ascii="Arial" w:cs="Arial" w:eastAsia="Arial" w:hAnsi="Arial"/>
          <w:sz w:val="18"/>
          <w:szCs w:val="18"/>
          <w:u w:val="single" w:color="auto"/>
          <w:color w:val="auto"/>
        </w:rPr>
        <w:t>Impacted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Loans</w:t>
      </w:r>
      <w:r>
        <w:rPr>
          <w:rFonts w:ascii="Arial" w:cs="Arial" w:eastAsia="Arial" w:hAnsi="Arial"/>
          <w:sz w:val="18"/>
          <w:szCs w:val="18"/>
          <w:color w:val="auto"/>
        </w:rPr>
        <w:t>”); 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20"/>
          </w:cols>
          <w:pgMar w:left="480" w:top="274" w:right="499" w:bottom="1440" w:gutter="0" w:footer="0" w:header="0"/>
        </w:sectPr>
      </w:pPr>
    </w:p>
    <w:bookmarkStart w:id="100" w:name="page101"/>
    <w:bookmarkEnd w:id="100"/>
    <w:p>
      <w:pPr>
        <w:ind w:left="4" w:right="260" w:firstLine="436"/>
        <w:spacing w:after="0" w:line="308" w:lineRule="auto"/>
        <w:tabs>
          <w:tab w:leader="none" w:pos="699" w:val="left"/>
        </w:tabs>
        <w:numPr>
          <w:ilvl w:val="0"/>
          <w:numId w:val="1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is advised by the Required Lenders in writing that the LIBO Rate for such Interest Period will not adequately and fairly reflect the cost to such Lenders of making or maintaining their Loans included in such Borrowing for such Interest Period;</w:t>
      </w:r>
    </w:p>
    <w:p>
      <w:pPr>
        <w:spacing w:after="0" w:line="146" w:lineRule="exact"/>
        <w:rPr>
          <w:sz w:val="20"/>
          <w:szCs w:val="20"/>
          <w:color w:val="auto"/>
        </w:rPr>
      </w:pPr>
    </w:p>
    <w:p>
      <w:pPr>
        <w:ind w:left="4" w:right="80"/>
        <w:spacing w:after="0" w:line="287" w:lineRule="auto"/>
        <w:rPr>
          <w:sz w:val="20"/>
          <w:szCs w:val="20"/>
          <w:color w:val="auto"/>
        </w:rPr>
      </w:pPr>
      <w:r>
        <w:rPr>
          <w:rFonts w:ascii="Arial" w:cs="Arial" w:eastAsia="Arial" w:hAnsi="Arial"/>
          <w:sz w:val="16"/>
          <w:szCs w:val="16"/>
          <w:color w:val="auto"/>
        </w:rPr>
        <w:t>then the Administrative Agent shall reasonably promptly give notice thereof to the Borrower and the Lenders by telephone, facsimile or electronic mail promptly thereafter (but at least two Business Days prior to the first day of such Interest Period) and, until the Administrative Agent notifies the Borrower and the Lenders that the circumstances giving rise to such notice no longer exist, which the Administrative Agent agrees promptly to do,</w:t>
      </w:r>
    </w:p>
    <w:p>
      <w:pPr>
        <w:spacing w:after="0" w:line="2" w:lineRule="exact"/>
        <w:rPr>
          <w:sz w:val="20"/>
          <w:szCs w:val="20"/>
          <w:color w:val="auto"/>
        </w:rPr>
      </w:pPr>
    </w:p>
    <w:p>
      <w:pPr>
        <w:ind w:left="4" w:hanging="4"/>
        <w:spacing w:after="0" w:line="288" w:lineRule="auto"/>
        <w:tabs>
          <w:tab w:leader="none" w:pos="21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any Interest Election Request that requests the conversion of any Borrowing to, or continuation of any Borrowing as, a LIBO Rate Borrowing shall be ineffective and such Borrowing shall be converted to an ABR Borrowing on the last day of the Interest Period, (ii) if any Borrowing Request requests a LIBO Rate Borrowing, such Borrowing shall be made as an ABR Borrowing, (iii) the obligation of the Lenders to make or maintain a LIBO Rate Loan in Dollars shall be suspended and (iv) in the event of a determination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with respect to the LIBO Rate component of the Base Rate, the utilization of the LIBO Rate component of the Base Rate shall be suspended;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cases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the Borrower may instead revoke any pending Interest Election Request or Borrowing Request. In the case of any outstanding LIBO Rate Loans that are Impacted Loans, on the last day of the Interest Period applicable thereto, such Impacted Loans will be deemed to have been converted to ABR Loans.</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17" w:lineRule="exact"/>
        <w:rPr>
          <w:sz w:val="20"/>
          <w:szCs w:val="20"/>
          <w:color w:val="auto"/>
        </w:rPr>
      </w:pPr>
    </w:p>
    <w:p>
      <w:pPr>
        <w:ind w:left="684" w:hanging="244"/>
        <w:spacing w:after="0"/>
        <w:tabs>
          <w:tab w:leader="none" w:pos="68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any Change in Law:</w:t>
      </w:r>
    </w:p>
    <w:p>
      <w:pPr>
        <w:spacing w:after="0" w:line="117" w:lineRule="exact"/>
        <w:rPr>
          <w:rFonts w:ascii="Arial" w:cs="Arial" w:eastAsia="Arial" w:hAnsi="Arial"/>
          <w:sz w:val="18"/>
          <w:szCs w:val="18"/>
          <w:color w:val="auto"/>
        </w:rPr>
      </w:pPr>
    </w:p>
    <w:p>
      <w:pPr>
        <w:ind w:left="444" w:right="460" w:firstLine="419"/>
        <w:spacing w:after="0" w:line="342" w:lineRule="auto"/>
        <w:tabs>
          <w:tab w:leader="none" w:pos="1082"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imposes, modifies or deems applicable any reserve, special deposit or similar requirement against assets of, deposits with or for the account of, or credit extended by, any Lender (except any such reserve requirement reflected in the LIBO Rate) or Issuing Bank;</w:t>
      </w:r>
    </w:p>
    <w:p>
      <w:pPr>
        <w:spacing w:after="0" w:line="15" w:lineRule="exact"/>
        <w:rPr>
          <w:rFonts w:ascii="Arial" w:cs="Arial" w:eastAsia="Arial" w:hAnsi="Arial"/>
          <w:sz w:val="16"/>
          <w:szCs w:val="16"/>
          <w:color w:val="auto"/>
        </w:rPr>
      </w:pPr>
    </w:p>
    <w:p>
      <w:pPr>
        <w:ind w:left="444" w:right="60" w:firstLine="419"/>
        <w:spacing w:after="0" w:line="263" w:lineRule="auto"/>
        <w:tabs>
          <w:tab w:leader="none" w:pos="1132" w:val="left"/>
        </w:tabs>
        <w:numPr>
          <w:ilvl w:val="1"/>
          <w:numId w:val="125"/>
        </w:numPr>
        <w:rPr>
          <w:rFonts w:ascii="Arial" w:cs="Arial" w:eastAsia="Arial" w:hAnsi="Arial"/>
          <w:sz w:val="18"/>
          <w:szCs w:val="18"/>
          <w:u w:val="single" w:color="auto"/>
          <w:color w:val="auto"/>
        </w:rPr>
      </w:pPr>
      <w:r>
        <w:rPr>
          <w:rFonts w:ascii="Arial" w:cs="Arial" w:eastAsia="Arial" w:hAnsi="Arial"/>
          <w:sz w:val="18"/>
          <w:szCs w:val="18"/>
          <w:color w:val="auto"/>
        </w:rPr>
        <w:t xml:space="preserve">subjects any Lender or Issuing Bank to any Taxes (other than (A) Indemnified Taxes and Other Taxes indemnifiable under </w:t>
      </w:r>
      <w:r>
        <w:rPr>
          <w:rFonts w:ascii="Arial" w:cs="Arial" w:eastAsia="Arial" w:hAnsi="Arial"/>
          <w:sz w:val="18"/>
          <w:szCs w:val="18"/>
          <w:u w:val="single" w:color="auto"/>
          <w:color w:val="auto"/>
        </w:rPr>
        <w:t>Section 2.17</w:t>
      </w:r>
      <w:r>
        <w:rPr>
          <w:rFonts w:ascii="Arial" w:cs="Arial" w:eastAsia="Arial" w:hAnsi="Arial"/>
          <w:sz w:val="18"/>
          <w:szCs w:val="18"/>
          <w:color w:val="auto"/>
        </w:rPr>
        <w:t>, and (B) Excluded Taxes) on or with respect to its loans, letters of credit, commitments, or other obligations, or its deposits, reserves, other liabilities or capital attributable thereto; or</w:t>
      </w:r>
    </w:p>
    <w:p>
      <w:pPr>
        <w:spacing w:after="0" w:line="75" w:lineRule="exact"/>
        <w:rPr>
          <w:rFonts w:ascii="Arial" w:cs="Arial" w:eastAsia="Arial" w:hAnsi="Arial"/>
          <w:sz w:val="18"/>
          <w:szCs w:val="18"/>
          <w:u w:val="single" w:color="auto"/>
          <w:color w:val="auto"/>
        </w:rPr>
      </w:pPr>
    </w:p>
    <w:p>
      <w:pPr>
        <w:ind w:left="444" w:right="620" w:firstLine="419"/>
        <w:spacing w:after="0" w:line="308" w:lineRule="auto"/>
        <w:tabs>
          <w:tab w:leader="none" w:pos="1182" w:val="left"/>
        </w:tabs>
        <w:numPr>
          <w:ilvl w:val="1"/>
          <w:numId w:val="125"/>
        </w:numPr>
        <w:rPr>
          <w:rFonts w:ascii="Arial" w:cs="Arial" w:eastAsia="Arial" w:hAnsi="Arial"/>
          <w:sz w:val="17"/>
          <w:szCs w:val="17"/>
          <w:color w:val="auto"/>
        </w:rPr>
      </w:pPr>
      <w:r>
        <w:rPr>
          <w:rFonts w:ascii="Arial" w:cs="Arial" w:eastAsia="Arial" w:hAnsi="Arial"/>
          <w:sz w:val="17"/>
          <w:szCs w:val="17"/>
          <w:color w:val="auto"/>
        </w:rPr>
        <w:t>imposes on any Lender or Issuing Bank or the London interbank market any other condition, cost or expense (other than Taxes) affecting this Agreement or LIBO Rate Loans made by any Lender or any Letter of Credit or participation therein;</w:t>
      </w:r>
    </w:p>
    <w:p>
      <w:pPr>
        <w:spacing w:after="0" w:line="146"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 xml:space="preserve">and the result of any of the foregoing is to increase the cost to the relevant Lender of making or maintaining any LIBO Rate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in respect of any LIBO Rate Loan or Letter of Credit in an amount deemed by such Lender or Issuing Bank to be material, then, within 30 days after the Borrower’s receipt of the certificate contemplated by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the Borrower will pay (or cause to be paid) to such Lender or Issuing Bank, as applicable, such additional amount or amounts as will compensate such Lender or Issuing Bank, as applicable, for such additional costs incurred or reduction suffered;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liable for such compensation if (x) the relevant Change in Law occurs on a date prior to the date such Lender becomes a party hereto, (y) such Lender invokes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or (z) in the case of requests for reimbursement under </w:t>
      </w:r>
      <w:r>
        <w:rPr>
          <w:rFonts w:ascii="Arial" w:cs="Arial" w:eastAsia="Arial" w:hAnsi="Arial"/>
          <w:sz w:val="16"/>
          <w:szCs w:val="16"/>
          <w:u w:val="single" w:color="auto"/>
          <w:color w:val="auto"/>
        </w:rPr>
        <w:t>clause</w:t>
      </w:r>
    </w:p>
    <w:p>
      <w:pPr>
        <w:spacing w:after="0" w:line="1" w:lineRule="exact"/>
        <w:rPr>
          <w:sz w:val="20"/>
          <w:szCs w:val="20"/>
          <w:color w:val="auto"/>
        </w:rPr>
      </w:pPr>
    </w:p>
    <w:p>
      <w:pPr>
        <w:ind w:left="4" w:right="240" w:hanging="4"/>
        <w:spacing w:after="0" w:line="260" w:lineRule="auto"/>
        <w:tabs>
          <w:tab w:leader="none" w:pos="319" w:val="left"/>
        </w:tabs>
        <w:numPr>
          <w:ilvl w:val="0"/>
          <w:numId w:val="126"/>
        </w:numPr>
        <w:rPr>
          <w:rFonts w:ascii="Arial" w:cs="Arial" w:eastAsia="Arial" w:hAnsi="Arial"/>
          <w:sz w:val="18"/>
          <w:szCs w:val="18"/>
          <w:u w:val="single" w:color="auto"/>
          <w:color w:val="auto"/>
        </w:rPr>
      </w:pPr>
      <w:r>
        <w:rPr>
          <w:rFonts w:ascii="Arial" w:cs="Arial" w:eastAsia="Arial" w:hAnsi="Arial"/>
          <w:sz w:val="18"/>
          <w:szCs w:val="18"/>
          <w:color w:val="auto"/>
        </w:rPr>
        <w:t>above resulting from a market disruption, (A) the relevant circumstances do not generally affect the banking market or (B) the applicable request has not been made by Lenders constituting Required Lenders.</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84"/>
          </w:cols>
          <w:pgMar w:left="436" w:top="274" w:right="479" w:bottom="1440" w:gutter="0" w:footer="0" w:header="0"/>
        </w:sectPr>
      </w:pPr>
    </w:p>
    <w:bookmarkStart w:id="101" w:name="page102"/>
    <w:bookmarkEnd w:id="101"/>
    <w:p>
      <w:pPr>
        <w:ind w:left="4" w:right="100" w:firstLine="436"/>
        <w:spacing w:after="0" w:line="270" w:lineRule="auto"/>
        <w:tabs>
          <w:tab w:leader="none" w:pos="699" w:val="left"/>
        </w:tabs>
        <w:numPr>
          <w:ilvl w:val="1"/>
          <w:numId w:val="1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Lender or Issuing Bank determines that any Change in Law regarding liquidity or capital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Issuing Bank’s policies and the policies of such Lender’s or such Issuing Bank’s holding company with respect to liquidity or capital adequacy), then within 30 days of receipt by the Borrower of the certificate contemplated by </w:t>
      </w:r>
      <w:r>
        <w:rPr>
          <w:rFonts w:ascii="Arial" w:cs="Arial" w:eastAsia="Arial" w:hAnsi="Arial"/>
          <w:sz w:val="17"/>
          <w:szCs w:val="17"/>
          <w:u w:val="single" w:color="auto"/>
          <w:color w:val="auto"/>
        </w:rPr>
        <w:t>paragraph (c)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the Borrower will pay (or cause to be paid) to such Lender or such Issuing Bank, as applicable, such additional amount or amounts as will compensate such Lender or such Issuing Bank or such Lender’s or such Issuing Bank’s holding company for any such reduction suffered.</w:t>
      </w:r>
    </w:p>
    <w:p>
      <w:pPr>
        <w:spacing w:after="0" w:line="72" w:lineRule="exact"/>
        <w:rPr>
          <w:rFonts w:ascii="Arial" w:cs="Arial" w:eastAsia="Arial" w:hAnsi="Arial"/>
          <w:sz w:val="17"/>
          <w:szCs w:val="17"/>
          <w:color w:val="auto"/>
        </w:rPr>
      </w:pPr>
    </w:p>
    <w:p>
      <w:pPr>
        <w:ind w:left="684" w:hanging="244"/>
        <w:spacing w:after="0"/>
        <w:tabs>
          <w:tab w:leader="none" w:pos="684" w:val="left"/>
        </w:tabs>
        <w:numPr>
          <w:ilvl w:val="1"/>
          <w:numId w:val="127"/>
        </w:numPr>
        <w:rPr>
          <w:rFonts w:ascii="Arial" w:cs="Arial" w:eastAsia="Arial" w:hAnsi="Arial"/>
          <w:sz w:val="17"/>
          <w:szCs w:val="17"/>
          <w:color w:val="auto"/>
        </w:rPr>
      </w:pPr>
      <w:r>
        <w:rPr>
          <w:rFonts w:ascii="Arial" w:cs="Arial" w:eastAsia="Arial" w:hAnsi="Arial"/>
          <w:sz w:val="17"/>
          <w:szCs w:val="17"/>
          <w:color w:val="auto"/>
        </w:rPr>
        <w:t xml:space="preserve">Any Lender or Issuing Bank requesting compensation under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shall be required to deliver a certificate to the Borrower that</w:t>
      </w:r>
    </w:p>
    <w:p>
      <w:pPr>
        <w:spacing w:after="0" w:line="34" w:lineRule="exact"/>
        <w:rPr>
          <w:rFonts w:ascii="Arial" w:cs="Arial" w:eastAsia="Arial" w:hAnsi="Arial"/>
          <w:sz w:val="17"/>
          <w:szCs w:val="17"/>
          <w:color w:val="auto"/>
        </w:rPr>
      </w:pPr>
    </w:p>
    <w:p>
      <w:pPr>
        <w:ind w:left="4" w:right="40" w:hanging="4"/>
        <w:spacing w:after="0" w:line="253" w:lineRule="auto"/>
        <w:tabs>
          <w:tab w:leader="none" w:pos="21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sets forth the amount or amounts necessary to compensate such Lender or Issuing Bank or the holding company thereof, as applicable, as specified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(ii) sets forth, in reasonable detail, the manner in which such amount or amounts were determined and (iii) certifies that such Lender or Issuing Bank is generally charging such amounts to similarly situated borrowers, which certificate shall be conclusive absent manifest error.</w:t>
      </w:r>
    </w:p>
    <w:p>
      <w:pPr>
        <w:spacing w:after="0" w:line="84" w:lineRule="exact"/>
        <w:rPr>
          <w:rFonts w:ascii="Arial" w:cs="Arial" w:eastAsia="Arial" w:hAnsi="Arial"/>
          <w:sz w:val="18"/>
          <w:szCs w:val="18"/>
          <w:color w:val="auto"/>
        </w:rPr>
      </w:pPr>
    </w:p>
    <w:p>
      <w:pPr>
        <w:ind w:left="4" w:firstLine="436"/>
        <w:spacing w:after="0" w:line="273" w:lineRule="auto"/>
        <w:tabs>
          <w:tab w:leader="none" w:pos="699" w:val="left"/>
        </w:tabs>
        <w:numPr>
          <w:ilvl w:val="1"/>
          <w:numId w:val="128"/>
        </w:numPr>
        <w:rPr>
          <w:rFonts w:ascii="Arial" w:cs="Arial" w:eastAsia="Arial" w:hAnsi="Arial"/>
          <w:sz w:val="17"/>
          <w:szCs w:val="17"/>
          <w:color w:val="auto"/>
        </w:rPr>
      </w:pPr>
      <w:r>
        <w:rPr>
          <w:rFonts w:ascii="Arial" w:cs="Arial" w:eastAsia="Arial" w:hAnsi="Arial"/>
          <w:sz w:val="17"/>
          <w:szCs w:val="17"/>
          <w:color w:val="auto"/>
        </w:rPr>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Borrower shall not be required to compensate any Lender or an Issuing Bank pursuant to this Section for any increased costs or reductions incurred more than six months prior to the date that such Lender or Issuing Bank notifies the Borrower of the Change in Law giving rise to such increased costs or reductions and of such Lender’s or Issuing Bank’s intention to claim compensation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Change in Law giving rise to such increased costs or reductions is retroactive, then the six month period referred to above shall be extended to include the period of retroactive effect thereof.</w:t>
      </w:r>
    </w:p>
    <w:p>
      <w:pPr>
        <w:spacing w:after="0" w:line="178"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9.05(f)</w:t>
      </w:r>
      <w:r>
        <w:rPr>
          <w:rFonts w:ascii="Arial" w:cs="Arial" w:eastAsia="Arial" w:hAnsi="Arial"/>
          <w:sz w:val="16"/>
          <w:szCs w:val="16"/>
          <w:color w:val="auto"/>
        </w:rPr>
        <w:t xml:space="preserve">, in the event of (a) the conversion or prepayment of any principal of any LIBO Rate Loan other than on the last day of an Interest Period applicable thereto (whether voluntary, mandatory, automatic, by reason of acceleration or otherwise), (b) the failure to borrow, convert, continue or prepay any LIBO Rate Loan on the date or in the amount specified in any notice delivered pursuant hereto or (c) the assignment of any LIBO Rate Loan of any Lender other than on the last day of the Interest Period applicable thereto as a result of a request by the Borrower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then, in any such event, the Borrower shall compensate each Lender for the actual amount of any actual out-of-pocket loss, expense and/or liability (including any actual out-of-pocket loss, expense or liability incurred by reason of the liquidation or reemployment of deposits or other funds required by such Lender to fund or maintain LIBO Rate loans, but excluding loss of anticipated profit) that such Lender has incurred or sustained as a result of such event. Any Lender requesting compensation under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shall be required to deliver a certificate to the Borrower that (A) sets forth any amount or amounts that such Lender is entitled to receive pursuant to this Section, the basis therefor and, in reasonable detail, the manner in which such amount or amounts were determined and (B) certifies that such Lender is generally charging the relevant amounts to similarly situated borrowers, which certificate shall be conclusive absent manifest error. The Borrower shall pay such Lender the amount shown as due on any such certificate within 30 days after receipt thereof.</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4" w:right="80" w:firstLine="436"/>
        <w:spacing w:after="0" w:line="270" w:lineRule="auto"/>
        <w:tabs>
          <w:tab w:leader="none" w:pos="689"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Payments Free of Taxes</w:t>
      </w:r>
      <w:r>
        <w:rPr>
          <w:rFonts w:ascii="Arial" w:cs="Arial" w:eastAsia="Arial" w:hAnsi="Arial"/>
          <w:sz w:val="17"/>
          <w:szCs w:val="17"/>
          <w:color w:val="auto"/>
        </w:rPr>
        <w:t xml:space="preserve">. Any payment by or on account of any obligation of any Loan Party under any Loan Document shall be made without deduction or withholding for any Taxes, except as required by applicable Law. If any applicable Law (as determined in the good faith of the applicable withholding agent) requires the deduction or withholding of any Tax from any such payment, then (i) if such Tax is an Indemnified Tax and/or Other Tax, the amount payable by the applicable Loan Party shall be increased as necessary so that after such deduction or withholding has been made (including such deductions or withholdings applicable to additional sums payable under this </w:t>
      </w:r>
      <w:r>
        <w:rPr>
          <w:rFonts w:ascii="Arial" w:cs="Arial" w:eastAsia="Arial" w:hAnsi="Arial"/>
          <w:sz w:val="17"/>
          <w:szCs w:val="17"/>
          <w:u w:val="single" w:color="auto"/>
          <w:color w:val="auto"/>
        </w:rPr>
        <w:t>Section 2.17</w:t>
      </w:r>
      <w:r>
        <w:rPr>
          <w:rFonts w:ascii="Arial" w:cs="Arial" w:eastAsia="Arial" w:hAnsi="Arial"/>
          <w:sz w:val="17"/>
          <w:szCs w:val="17"/>
          <w:color w:val="auto"/>
        </w:rPr>
        <w:t>) each Lender (or, in the case of any payment made to the Administrative Agent for its own account, the Administrative Agent) receives an amount equal to the sum it would have received had no such deductions or withholdings been made, (ii) the applicable withholding agent shall be entitled to make such withholding or deductions and (iii) the applicable withholding agent shall timely pay the full amount withheld or deducted to the relevant Governmental Authority in accordance with applicable Requirements of Law.</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4"/>
          </w:cols>
          <w:pgMar w:left="436" w:top="274" w:right="459" w:bottom="1440" w:gutter="0" w:footer="0" w:header="0"/>
        </w:sectPr>
      </w:pPr>
    </w:p>
    <w:bookmarkStart w:id="102" w:name="page103"/>
    <w:bookmarkEnd w:id="102"/>
    <w:p>
      <w:pPr>
        <w:ind w:right="200" w:firstLine="436"/>
        <w:spacing w:after="0" w:line="342" w:lineRule="auto"/>
        <w:tabs>
          <w:tab w:leader="none" w:pos="695"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Other Taxes</w:t>
      </w:r>
      <w:r>
        <w:rPr>
          <w:rFonts w:ascii="Arial" w:cs="Arial" w:eastAsia="Arial" w:hAnsi="Arial"/>
          <w:sz w:val="16"/>
          <w:szCs w:val="16"/>
          <w:color w:val="auto"/>
        </w:rPr>
        <w:t>. In addition, the Loan Parties shall pay any Other Taxes to the relevant Governmental Authority in accordance with applicable Requirements of Law or at the option of the Administrative Agent timely reimburse it for the payment of Other Taxes.</w:t>
      </w:r>
    </w:p>
    <w:p>
      <w:pPr>
        <w:spacing w:after="0" w:line="15" w:lineRule="exact"/>
        <w:rPr>
          <w:rFonts w:ascii="Arial" w:cs="Arial" w:eastAsia="Arial" w:hAnsi="Arial"/>
          <w:sz w:val="16"/>
          <w:szCs w:val="16"/>
          <w:color w:val="auto"/>
        </w:rPr>
      </w:pPr>
    </w:p>
    <w:p>
      <w:pPr>
        <w:ind w:right="80" w:firstLine="436"/>
        <w:spacing w:after="0" w:line="283" w:lineRule="auto"/>
        <w:tabs>
          <w:tab w:leader="none" w:pos="685"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xml:space="preserve">. The Borrower shall indemnify the Administrative Agent and each Lender within 30 days after receipt of the certificate described in the succeeding sentence, for the full amount of any Indemnified Taxes or Other Taxes payable or paid by the Administrative Agent or such Lender, as applicable (including Indemnified Taxes or Other Taxes imposed or asserted on or attributable to amounts payable under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other than any penalties determined by a final and non-appealable judgment of a court of competent jurisdiction (or documented in any settlement agreement) to have resulted from the gross negligence, bad faith or willful misconduct of the Administrative Agent or such Lender, and, in each case, any reasonable expenses arising therefrom or with respect thereto, whether or not such Taxes were correctly or legally imposed or asserted;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reasonably believes that such Taxes were not correctly or legally asserted, the Administrative Agent or such Lender, as applicable, will use reasonable efforts to cooperate with the Borrower to obtain a refund of such Taxes (which shall be repaid to the Borrower in accordance with </w:t>
      </w:r>
      <w:r>
        <w:rPr>
          <w:rFonts w:ascii="Arial" w:cs="Arial" w:eastAsia="Arial" w:hAnsi="Arial"/>
          <w:sz w:val="16"/>
          <w:szCs w:val="16"/>
          <w:u w:val="single" w:color="auto"/>
          <w:color w:val="auto"/>
        </w:rPr>
        <w:t>Section 2.17(g)</w:t>
      </w:r>
      <w:r>
        <w:rPr>
          <w:rFonts w:ascii="Arial" w:cs="Arial" w:eastAsia="Arial" w:hAnsi="Arial"/>
          <w:sz w:val="16"/>
          <w:szCs w:val="16"/>
          <w:color w:val="auto"/>
        </w:rPr>
        <w:t>) at the expense of the Loan Parties, so long as such efforts would not, in the sole determination of the Administrative Agent or such Lender, result in any additional out-of-pocket costs or expenses not reimbursed by the Loan Parties or be otherwise materially disadvantageous to the Administrative Agent or such Lender, as applicable. In connection with any request for reimbursement under this</w:t>
      </w:r>
    </w:p>
    <w:p>
      <w:pPr>
        <w:spacing w:after="0" w:line="3" w:lineRule="exact"/>
        <w:rPr>
          <w:rFonts w:ascii="Arial" w:cs="Arial" w:eastAsia="Arial" w:hAnsi="Arial"/>
          <w:sz w:val="16"/>
          <w:szCs w:val="16"/>
          <w:color w:val="auto"/>
        </w:rPr>
      </w:pPr>
    </w:p>
    <w:p>
      <w:pPr>
        <w:ind w:right="240"/>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Section 2.17(c)</w:t>
      </w:r>
      <w:r>
        <w:rPr>
          <w:rFonts w:ascii="Arial" w:cs="Arial" w:eastAsia="Arial" w:hAnsi="Arial"/>
          <w:sz w:val="18"/>
          <w:szCs w:val="18"/>
          <w:color w:val="auto"/>
        </w:rPr>
        <w:t xml:space="preserve">, the relevant Lender or the Administrative Agent, as applicable, shall deliver a certificate to the Borrower setting forth, in reasonable detail, the basis and calculation of the amount of the relevant payment or liability. Notwithstanding anything to the contrary contained in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no Borrower shall be required to indemnify the Administrative Agent or any Lender pursuant to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for any amount to the extent the Administrative Agent or such Lender fails to notify the Borrower of such possible indemnification claim within 180 days after the Administrative Agent or such Lender receives written notice from the applicable taxing authority of the specific Tax assessment giving rise to such indemnification claim.</w:t>
      </w:r>
    </w:p>
    <w:p>
      <w:pPr>
        <w:spacing w:after="0" w:line="85" w:lineRule="exact"/>
        <w:rPr>
          <w:rFonts w:ascii="Arial" w:cs="Arial" w:eastAsia="Arial" w:hAnsi="Arial"/>
          <w:sz w:val="16"/>
          <w:szCs w:val="16"/>
          <w:color w:val="auto"/>
        </w:rPr>
      </w:pPr>
    </w:p>
    <w:p>
      <w:pPr>
        <w:ind w:left="700" w:hanging="264"/>
        <w:spacing w:after="0"/>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260" w:firstLine="436"/>
        <w:spacing w:after="0" w:line="259" w:lineRule="auto"/>
        <w:tabs>
          <w:tab w:leader="none" w:pos="68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any Taxes pursuant to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by any Loan Party to a Governmental Authority, the Borrower shall deliver to the Administrative Agent the original or a certified copy of a receipt issued, if any, by such Governmental Authority evidencing such payment, a copy of the return reporting such payment or other evidence of such payment that is reasonably satisfactory to the Administrative Agent.</w:t>
      </w:r>
    </w:p>
    <w:p>
      <w:pPr>
        <w:spacing w:after="0" w:line="78" w:lineRule="exact"/>
        <w:rPr>
          <w:rFonts w:ascii="Arial" w:cs="Arial" w:eastAsia="Arial" w:hAnsi="Arial"/>
          <w:sz w:val="18"/>
          <w:szCs w:val="18"/>
          <w:color w:val="auto"/>
        </w:rPr>
      </w:pPr>
    </w:p>
    <w:p>
      <w:pPr>
        <w:ind w:left="660" w:hanging="224"/>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71" w:lineRule="auto"/>
        <w:tabs>
          <w:tab w:leader="none" w:pos="1078" w:val="left"/>
        </w:tabs>
        <w:numPr>
          <w:ilvl w:val="1"/>
          <w:numId w:val="130"/>
        </w:numPr>
        <w:rPr>
          <w:rFonts w:ascii="Arial" w:cs="Arial" w:eastAsia="Arial" w:hAnsi="Arial"/>
          <w:sz w:val="17"/>
          <w:szCs w:val="17"/>
          <w:color w:val="auto"/>
        </w:rPr>
      </w:pPr>
      <w:r>
        <w:rPr>
          <w:rFonts w:ascii="Arial" w:cs="Arial" w:eastAsia="Arial" w:hAnsi="Arial"/>
          <w:sz w:val="17"/>
          <w:szCs w:val="17"/>
          <w:color w:val="auto"/>
        </w:rPr>
        <w:t>Any Lender that is entitled to an exemption from or reduction of any withholding Tax with respect to any payment made under any Loan Document shall deliver to the Borrower and the Administrative Agent, at the time or times reasonably requested by the Borrower or the Administrative Agent, such properly completed and executed documentation as the Borrower or the Administrative Agent may reasonably request to permit such payments to be made without withholding or at a reduced rate of withholding. In addition, any Lender, if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or not such Lender is subject to backup withholding or information reporting requirements. Each Lender hereby authorizes the Administrative Agent to deliver to the Borrower and to any successor Administrative Agent any documentation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80"/>
          </w:cols>
          <w:pgMar w:left="440" w:top="274" w:right="479" w:bottom="1440" w:gutter="0" w:footer="0" w:header="0"/>
        </w:sectPr>
      </w:pPr>
    </w:p>
    <w:bookmarkStart w:id="103" w:name="page104"/>
    <w:bookmarkEnd w:id="103"/>
    <w:p>
      <w:pPr>
        <w:ind w:left="4"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provided to the Administrative Agent pursuant to this </w:t>
      </w:r>
      <w:r>
        <w:rPr>
          <w:rFonts w:ascii="Arial" w:cs="Arial" w:eastAsia="Arial" w:hAnsi="Arial"/>
          <w:sz w:val="16"/>
          <w:szCs w:val="16"/>
          <w:u w:val="single" w:color="auto"/>
          <w:color w:val="auto"/>
        </w:rPr>
        <w:t>Section 2.17(f)</w:t>
      </w:r>
      <w:r>
        <w:rPr>
          <w:rFonts w:ascii="Arial" w:cs="Arial" w:eastAsia="Arial" w:hAnsi="Arial"/>
          <w:sz w:val="16"/>
          <w:szCs w:val="16"/>
          <w:color w:val="auto"/>
        </w:rPr>
        <w:t xml:space="preserve">.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paragraphs (f)(ii)(A)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p>
    <w:p>
      <w:pPr>
        <w:ind w:left="4" w:right="320" w:hanging="4"/>
        <w:spacing w:after="0" w:line="323" w:lineRule="auto"/>
        <w:tabs>
          <w:tab w:leader="none" w:pos="298" w:val="left"/>
        </w:tabs>
        <w:numPr>
          <w:ilvl w:val="0"/>
          <w:numId w:val="131"/>
        </w:numPr>
        <w:rPr>
          <w:rFonts w:ascii="Arial" w:cs="Arial" w:eastAsia="Arial" w:hAnsi="Arial"/>
          <w:sz w:val="16"/>
          <w:szCs w:val="16"/>
          <w:u w:val="single" w:color="auto"/>
          <w:color w:val="auto"/>
        </w:rPr>
      </w:pPr>
      <w:r>
        <w:rPr>
          <w:rFonts w:ascii="Arial" w:cs="Arial" w:eastAsia="Arial" w:hAnsi="Arial"/>
          <w:sz w:val="16"/>
          <w:szCs w:val="16"/>
          <w:color w:val="auto"/>
        </w:rPr>
        <w:t xml:space="preserve">of this </w:t>
      </w:r>
      <w:r>
        <w:rPr>
          <w:rFonts w:ascii="Arial" w:cs="Arial" w:eastAsia="Arial" w:hAnsi="Arial"/>
          <w:sz w:val="16"/>
          <w:szCs w:val="16"/>
          <w:u w:val="single" w:color="auto"/>
          <w:color w:val="auto"/>
        </w:rPr>
        <w:t>Section 2.17</w:t>
      </w:r>
      <w:r>
        <w:rPr>
          <w:rFonts w:ascii="Arial" w:cs="Arial" w:eastAsia="Arial" w:hAnsi="Arial"/>
          <w:sz w:val="16"/>
          <w:szCs w:val="16"/>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30" w:lineRule="exact"/>
        <w:rPr>
          <w:rFonts w:ascii="Arial" w:cs="Arial" w:eastAsia="Arial" w:hAnsi="Arial"/>
          <w:sz w:val="16"/>
          <w:szCs w:val="16"/>
          <w:u w:val="single" w:color="auto"/>
          <w:color w:val="auto"/>
        </w:rPr>
      </w:pPr>
    </w:p>
    <w:p>
      <w:pPr>
        <w:ind w:left="684" w:hanging="261"/>
        <w:spacing w:after="0"/>
        <w:tabs>
          <w:tab w:leader="none" w:pos="684"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544" w:right="40" w:firstLine="408"/>
        <w:spacing w:after="0" w:line="311" w:lineRule="auto"/>
        <w:tabs>
          <w:tab w:leader="none" w:pos="1239" w:val="left"/>
        </w:tabs>
        <w:numPr>
          <w:ilvl w:val="2"/>
          <w:numId w:val="131"/>
        </w:numPr>
        <w:rPr>
          <w:rFonts w:ascii="Arial" w:cs="Arial" w:eastAsia="Arial" w:hAnsi="Arial"/>
          <w:sz w:val="16"/>
          <w:szCs w:val="16"/>
          <w:color w:val="auto"/>
        </w:rPr>
      </w:pPr>
      <w:r>
        <w:rPr>
          <w:rFonts w:ascii="Arial" w:cs="Arial" w:eastAsia="Arial" w:hAnsi="Arial"/>
          <w:sz w:val="16"/>
          <w:szCs w:val="16"/>
          <w:color w:val="auto"/>
        </w:rPr>
        <w:t>each Lender that is a US Person shall deliver to the Borrower and the Administrative Agent on or prior to the date on which it becomes a Lender under this Agreement (and from time to time thereafter upon the reasonable request of the Borrower or the Administrative Agent), two executed copies of IRS Form W-9 certifying that such Lender is exempt from US federal backup withholding;</w:t>
      </w:r>
    </w:p>
    <w:p>
      <w:pPr>
        <w:spacing w:after="0" w:line="40" w:lineRule="exact"/>
        <w:rPr>
          <w:rFonts w:ascii="Arial" w:cs="Arial" w:eastAsia="Arial" w:hAnsi="Arial"/>
          <w:sz w:val="16"/>
          <w:szCs w:val="16"/>
          <w:color w:val="auto"/>
        </w:rPr>
      </w:pPr>
    </w:p>
    <w:p>
      <w:pPr>
        <w:ind w:left="544" w:right="40" w:firstLine="408"/>
        <w:spacing w:after="0" w:line="263" w:lineRule="auto"/>
        <w:tabs>
          <w:tab w:leader="none" w:pos="1229" w:val="left"/>
        </w:tabs>
        <w:numPr>
          <w:ilvl w:val="2"/>
          <w:numId w:val="131"/>
        </w:numPr>
        <w:rPr>
          <w:rFonts w:ascii="Arial" w:cs="Arial" w:eastAsia="Arial" w:hAnsi="Arial"/>
          <w:sz w:val="18"/>
          <w:szCs w:val="18"/>
          <w:color w:val="auto"/>
        </w:rPr>
      </w:pPr>
      <w:r>
        <w:rPr>
          <w:rFonts w:ascii="Arial" w:cs="Arial" w:eastAsia="Arial" w:hAnsi="Arial"/>
          <w:sz w:val="18"/>
          <w:szCs w:val="18"/>
          <w:color w:val="auto"/>
        </w:rPr>
        <w:t>each Foreign Lender shall, to the extent it is legally entitled to do so, deliver to the Borrower and the Administrative Agent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5" w:lineRule="exact"/>
        <w:rPr>
          <w:rFonts w:ascii="Arial" w:cs="Arial" w:eastAsia="Arial" w:hAnsi="Arial"/>
          <w:sz w:val="18"/>
          <w:szCs w:val="18"/>
          <w:color w:val="auto"/>
        </w:rPr>
      </w:pPr>
    </w:p>
    <w:p>
      <w:pPr>
        <w:ind w:left="984" w:right="140" w:firstLine="391"/>
        <w:spacing w:after="0" w:line="263" w:lineRule="auto"/>
        <w:tabs>
          <w:tab w:leader="none" w:pos="1622" w:val="left"/>
        </w:tabs>
        <w:numPr>
          <w:ilvl w:val="3"/>
          <w:numId w:val="131"/>
        </w:numPr>
        <w:rPr>
          <w:rFonts w:ascii="Arial" w:cs="Arial" w:eastAsia="Arial" w:hAnsi="Arial"/>
          <w:sz w:val="18"/>
          <w:szCs w:val="18"/>
          <w:color w:val="auto"/>
        </w:rPr>
      </w:pPr>
      <w:r>
        <w:rPr>
          <w:rFonts w:ascii="Arial" w:cs="Arial" w:eastAsia="Arial" w:hAnsi="Arial"/>
          <w:sz w:val="18"/>
          <w:szCs w:val="18"/>
          <w:color w:val="auto"/>
        </w:rPr>
        <w:t>in the case of any Foreign Lender claiming the benefits of an income tax treaty to which the US is a party, two executed copies of IRS Form W-8BEN or W-8BEN-E, as applicable, establishing any available exemption from, or reduction of, US federal withholding Tax;</w:t>
      </w:r>
    </w:p>
    <w:p>
      <w:pPr>
        <w:spacing w:after="0" w:line="75" w:lineRule="exact"/>
        <w:rPr>
          <w:rFonts w:ascii="Arial" w:cs="Arial" w:eastAsia="Arial" w:hAnsi="Arial"/>
          <w:sz w:val="18"/>
          <w:szCs w:val="18"/>
          <w:color w:val="auto"/>
        </w:rPr>
      </w:pPr>
    </w:p>
    <w:p>
      <w:pPr>
        <w:ind w:left="1624" w:hanging="249"/>
        <w:spacing w:after="0"/>
        <w:tabs>
          <w:tab w:leader="none" w:pos="1624" w:val="left"/>
        </w:tabs>
        <w:numPr>
          <w:ilvl w:val="3"/>
          <w:numId w:val="131"/>
        </w:numPr>
        <w:rPr>
          <w:rFonts w:ascii="Arial" w:cs="Arial" w:eastAsia="Arial" w:hAnsi="Arial"/>
          <w:sz w:val="18"/>
          <w:szCs w:val="18"/>
          <w:color w:val="auto"/>
        </w:rPr>
      </w:pPr>
      <w:r>
        <w:rPr>
          <w:rFonts w:ascii="Arial" w:cs="Arial" w:eastAsia="Arial" w:hAnsi="Arial"/>
          <w:sz w:val="18"/>
          <w:szCs w:val="18"/>
          <w:color w:val="auto"/>
        </w:rPr>
        <w:t>two executed copies of IRS Form W-8ECI (or any successor forms);</w:t>
      </w:r>
    </w:p>
    <w:p>
      <w:pPr>
        <w:spacing w:after="0" w:line="117" w:lineRule="exact"/>
        <w:rPr>
          <w:rFonts w:ascii="Arial" w:cs="Arial" w:eastAsia="Arial" w:hAnsi="Arial"/>
          <w:sz w:val="18"/>
          <w:szCs w:val="18"/>
          <w:color w:val="auto"/>
        </w:rPr>
      </w:pPr>
    </w:p>
    <w:p>
      <w:pPr>
        <w:ind w:left="984" w:right="80" w:firstLine="391"/>
        <w:spacing w:after="0" w:line="254" w:lineRule="auto"/>
        <w:tabs>
          <w:tab w:leader="none" w:pos="1622" w:val="left"/>
        </w:tabs>
        <w:numPr>
          <w:ilvl w:val="3"/>
          <w:numId w:val="131"/>
        </w:numPr>
        <w:rPr>
          <w:rFonts w:ascii="Arial" w:cs="Arial" w:eastAsia="Arial" w:hAnsi="Arial"/>
          <w:sz w:val="18"/>
          <w:szCs w:val="18"/>
          <w:color w:val="auto"/>
        </w:rPr>
      </w:pPr>
      <w:r>
        <w:rPr>
          <w:rFonts w:ascii="Arial" w:cs="Arial" w:eastAsia="Arial" w:hAnsi="Arial"/>
          <w:sz w:val="18"/>
          <w:szCs w:val="18"/>
          <w:color w:val="auto"/>
        </w:rPr>
        <w:t xml:space="preserve">in the case of any Foreign Lender claiming the benefits of the exemption for portfolio interest under Section 871(h) or 881(c) of the Code, (x) two executed copies of a certificate substantially in the form of </w:t>
      </w:r>
      <w:r>
        <w:rPr>
          <w:rFonts w:ascii="Arial" w:cs="Arial" w:eastAsia="Arial" w:hAnsi="Arial"/>
          <w:sz w:val="18"/>
          <w:szCs w:val="18"/>
          <w:u w:val="single" w:color="auto"/>
          <w:color w:val="auto"/>
        </w:rPr>
        <w:t>Exhibit O-1</w:t>
      </w:r>
      <w:r>
        <w:rPr>
          <w:rFonts w:ascii="Arial" w:cs="Arial" w:eastAsia="Arial" w:hAnsi="Arial"/>
          <w:sz w:val="18"/>
          <w:szCs w:val="18"/>
          <w:color w:val="auto"/>
        </w:rPr>
        <w:t xml:space="preserve"> to the effect that such Foreign Lender is not a “bank” within the meaning of Section 881(c)(3)(A) of the Code, a “10-percent shareholder” of the Borrower within the meaning of Section 871(h)(3)(B) of the Code, or a “controlled foreign corporation” related to the Borrower as described in Section 881(c)(3)(C) of the Code, and that no payments payable to such Lender are effectively connected with the conduct of a US trade or business (a “</w:t>
      </w:r>
      <w:r>
        <w:rPr>
          <w:rFonts w:ascii="Arial" w:cs="Arial" w:eastAsia="Arial" w:hAnsi="Arial"/>
          <w:sz w:val="18"/>
          <w:szCs w:val="18"/>
          <w:u w:val="single" w:color="auto"/>
          <w:color w:val="auto"/>
        </w:rPr>
        <w:t>Tax Compliance Certificate</w:t>
      </w:r>
      <w:r>
        <w:rPr>
          <w:rFonts w:ascii="Arial" w:cs="Arial" w:eastAsia="Arial" w:hAnsi="Arial"/>
          <w:sz w:val="18"/>
          <w:szCs w:val="18"/>
          <w:color w:val="auto"/>
        </w:rPr>
        <w:t>”) and (y) two executed copies of IRS Form W-8BEN or W-8BEN-E, as applicable (or any successor forms); or</w:t>
      </w:r>
    </w:p>
    <w:p>
      <w:pPr>
        <w:spacing w:after="0" w:line="86" w:lineRule="exact"/>
        <w:rPr>
          <w:rFonts w:ascii="Arial" w:cs="Arial" w:eastAsia="Arial" w:hAnsi="Arial"/>
          <w:sz w:val="18"/>
          <w:szCs w:val="18"/>
          <w:color w:val="auto"/>
        </w:rPr>
      </w:pPr>
    </w:p>
    <w:p>
      <w:pPr>
        <w:ind w:left="984" w:firstLine="391"/>
        <w:spacing w:after="0" w:line="254" w:lineRule="auto"/>
        <w:tabs>
          <w:tab w:leader="none" w:pos="1622" w:val="left"/>
        </w:tabs>
        <w:numPr>
          <w:ilvl w:val="3"/>
          <w:numId w:val="131"/>
        </w:numPr>
        <w:rPr>
          <w:rFonts w:ascii="Arial" w:cs="Arial" w:eastAsia="Arial" w:hAnsi="Arial"/>
          <w:sz w:val="18"/>
          <w:szCs w:val="18"/>
          <w:color w:val="auto"/>
        </w:rPr>
      </w:pPr>
      <w:r>
        <w:rPr>
          <w:rFonts w:ascii="Arial" w:cs="Arial" w:eastAsia="Arial" w:hAnsi="Arial"/>
          <w:sz w:val="18"/>
          <w:szCs w:val="18"/>
          <w:color w:val="auto"/>
        </w:rPr>
        <w:t>to the extent any Foreign Lender is not the beneficial owner (</w:t>
      </w:r>
      <w:r>
        <w:rPr>
          <w:rFonts w:ascii="Arial" w:cs="Arial" w:eastAsia="Arial" w:hAnsi="Arial"/>
          <w:sz w:val="18"/>
          <w:szCs w:val="18"/>
          <w:i w:val="1"/>
          <w:iCs w:val="1"/>
          <w:color w:val="auto"/>
        </w:rPr>
        <w:t>e.g.</w:t>
      </w:r>
      <w:r>
        <w:rPr>
          <w:rFonts w:ascii="Arial" w:cs="Arial" w:eastAsia="Arial" w:hAnsi="Arial"/>
          <w:sz w:val="18"/>
          <w:szCs w:val="18"/>
          <w:color w:val="auto"/>
        </w:rPr>
        <w:t xml:space="preserve">, where the Foreign Lender is a partnership or participating Lender), two executed copies of IRS Form W-8IMY (or any successor forms), accompanied by IRS Form W-8ECI, IRS Form W-8BEN or W-8BEN-E, a Tax Compliance Certificate substantially in the form of </w:t>
      </w:r>
      <w:r>
        <w:rPr>
          <w:rFonts w:ascii="Arial" w:cs="Arial" w:eastAsia="Arial" w:hAnsi="Arial"/>
          <w:sz w:val="18"/>
          <w:szCs w:val="18"/>
          <w:u w:val="single" w:color="auto"/>
          <w:color w:val="auto"/>
        </w:rPr>
        <w:t>Exhibit O-2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O-4</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Foreign Lender is a partnership (and not a participating Lender) and one or more direct or indirect partners of such Foreign Lender are claiming the portfolio interest exemption, such Foreign Lender may provide a Tax Compliance Certificate substantially in the form of </w:t>
      </w:r>
      <w:r>
        <w:rPr>
          <w:rFonts w:ascii="Arial" w:cs="Arial" w:eastAsia="Arial" w:hAnsi="Arial"/>
          <w:sz w:val="18"/>
          <w:szCs w:val="18"/>
          <w:u w:val="single" w:color="auto"/>
          <w:color w:val="auto"/>
        </w:rPr>
        <w:t>Exhibit O-3</w:t>
      </w:r>
      <w:r>
        <w:rPr>
          <w:rFonts w:ascii="Arial" w:cs="Arial" w:eastAsia="Arial" w:hAnsi="Arial"/>
          <w:sz w:val="18"/>
          <w:szCs w:val="18"/>
          <w:color w:val="auto"/>
        </w:rPr>
        <w:t xml:space="preserve"> on behalf of each such direct or indirect partner(s);</w:t>
      </w:r>
    </w:p>
    <w:p>
      <w:pPr>
        <w:spacing w:after="0" w:line="127"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544"/>
          </w:cols>
          <w:pgMar w:left="876" w:top="274" w:right="479" w:bottom="1440" w:gutter="0" w:footer="0" w:header="0"/>
        </w:sectPr>
      </w:pPr>
    </w:p>
    <w:bookmarkStart w:id="104" w:name="page105"/>
    <w:bookmarkEnd w:id="104"/>
    <w:p>
      <w:pPr>
        <w:ind w:left="980" w:firstLine="408"/>
        <w:spacing w:after="0" w:line="255" w:lineRule="auto"/>
        <w:tabs>
          <w:tab w:leader="none" w:pos="1666"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Foreign Lender shall, to the extent it is legally entitled to do so, deliver to the Borrower and the Administrative Agent on or prior to the date on which such Foreign Lender becomes a Lender under this Agreement (and from time to time thereafter upon the reasonable request of the Borrower or the Administrative Agent), two executed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or the Administrative Agent to determine the withholding or deduction required to be made; and</w:t>
      </w:r>
    </w:p>
    <w:p>
      <w:pPr>
        <w:spacing w:after="0" w:line="84" w:lineRule="exact"/>
        <w:rPr>
          <w:rFonts w:ascii="Arial" w:cs="Arial" w:eastAsia="Arial" w:hAnsi="Arial"/>
          <w:sz w:val="18"/>
          <w:szCs w:val="18"/>
          <w:color w:val="auto"/>
        </w:rPr>
      </w:pPr>
    </w:p>
    <w:p>
      <w:pPr>
        <w:ind w:left="980" w:firstLine="408"/>
        <w:spacing w:after="0" w:line="253" w:lineRule="auto"/>
        <w:tabs>
          <w:tab w:leader="none" w:pos="167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Requirements of Law and at such time or times reasonably requested by the Borrower or the Administrative Agent such documentation as is prescribed by applicable Requirements of Law (including as prescribed by Section 1471(b)(3)(C)(i) of the Code)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w:t>
      </w:r>
      <w:r>
        <w:rPr>
          <w:rFonts w:ascii="Arial" w:cs="Arial" w:eastAsia="Arial" w:hAnsi="Arial"/>
          <w:sz w:val="18"/>
          <w:szCs w:val="18"/>
          <w:u w:val="single" w:color="auto"/>
          <w:color w:val="auto"/>
        </w:rPr>
        <w:t>clause (D)</w:t>
      </w:r>
      <w:r>
        <w:rPr>
          <w:rFonts w:ascii="Arial" w:cs="Arial" w:eastAsia="Arial" w:hAnsi="Arial"/>
          <w:sz w:val="18"/>
          <w:szCs w:val="18"/>
          <w:color w:val="auto"/>
        </w:rPr>
        <w:t>, “FATCA” shall include any amendments made to FATCA after the date of this Agreement.</w:t>
      </w:r>
    </w:p>
    <w:p>
      <w:pPr>
        <w:spacing w:after="0" w:line="196" w:lineRule="exact"/>
        <w:rPr>
          <w:sz w:val="20"/>
          <w:szCs w:val="20"/>
          <w:color w:val="auto"/>
        </w:rPr>
      </w:pPr>
    </w:p>
    <w:p>
      <w:pPr>
        <w:ind w:right="300" w:firstLine="440"/>
        <w:spacing w:after="0" w:line="308" w:lineRule="auto"/>
        <w:rPr>
          <w:sz w:val="20"/>
          <w:szCs w:val="20"/>
          <w:color w:val="auto"/>
        </w:rPr>
      </w:pPr>
      <w:r>
        <w:rPr>
          <w:rFonts w:ascii="Arial" w:cs="Arial" w:eastAsia="Arial" w:hAnsi="Arial"/>
          <w:sz w:val="17"/>
          <w:szCs w:val="17"/>
          <w:color w:val="auto"/>
        </w:rPr>
        <w:t>For the avoidance of doubt, if a Lender is an entity disregarded from its owner for US federal income tax purposes, references to the foregoing documentation are intended to refer to documentation with respect to such Lender’s owner and, as applicable, such Lender.</w:t>
      </w:r>
    </w:p>
    <w:p>
      <w:pPr>
        <w:spacing w:after="0" w:line="146"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 xml:space="preserve">Each Lender agrees that if any documentation it previously delivered expires or becomes obsolete or inaccurate in any respect (including any specific documentation required above in this </w:t>
      </w:r>
      <w:r>
        <w:rPr>
          <w:rFonts w:ascii="Arial" w:cs="Arial" w:eastAsia="Arial" w:hAnsi="Arial"/>
          <w:sz w:val="18"/>
          <w:szCs w:val="18"/>
          <w:u w:val="single" w:color="auto"/>
          <w:color w:val="auto"/>
        </w:rPr>
        <w:t>Section 2.17(f)</w:t>
      </w:r>
      <w:r>
        <w:rPr>
          <w:rFonts w:ascii="Arial" w:cs="Arial" w:eastAsia="Arial" w:hAnsi="Arial"/>
          <w:sz w:val="18"/>
          <w:szCs w:val="18"/>
          <w:color w:val="auto"/>
        </w:rPr>
        <w:t>), it shall deliver to the Borrower and the Administrative Agent updated or other appropriate documentation (including any new documentation reasonably requested by the Borrower or the Administrative Agent) or promptly notify the Borrower and the Administrative Agent in writing of its legal ineligibility to do so.</w:t>
      </w:r>
    </w:p>
    <w:p>
      <w:pPr>
        <w:spacing w:after="0" w:line="187" w:lineRule="exact"/>
        <w:rPr>
          <w:sz w:val="20"/>
          <w:szCs w:val="20"/>
          <w:color w:val="auto"/>
        </w:rPr>
      </w:pPr>
    </w:p>
    <w:p>
      <w:pPr>
        <w:ind w:right="60" w:firstLine="436"/>
        <w:spacing w:after="0" w:line="285" w:lineRule="auto"/>
        <w:tabs>
          <w:tab w:leader="none" w:pos="695"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the Administrative Agent or any Lender determines, in its sole discretion, that it has received a refund (whether received in cash or applied as a credit against any cash taxes payable) of any Indemnified Taxes or Other Taxes as to which it has been indemnified by the Borrower or with respect to which any Loan Party has paid additional amounts pursuant to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it shall pay over such refund to the applicable Loan Party (but only to the extent of indemnity payments made, or additional amounts paid, by such Loan Party under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with respect to the Indemnified Taxes or Other Taxes giving rise to such refund), net of all out-of-pocket expenses of the Administrative Agent or such Lender (including any Taxes imposed with respect to such refund),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applicable Loan Party, upon the request of the Administrative Agent or such Lender, agrees to repay the amount paid over to such Loan Party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in no event will the Administrative Agent or any Lender be required to pay any amount to the applicable Loan Party pursuant to this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in no event will the Administrative Agent or any Lender be required to pay any amount to the Borrower pursuant to this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to the extent that the payment thereof would place the Administrative Agent or such Lender in a less favorable net after-Tax position than the position that the Administrative Agent or such Lender would have been in if the Tax subject to indemnification had not been deducted, withheld or otherwise imposed and the indemnification payments or additional amounts giving rise to such refund had never been paid.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shall not be construed to require the Administrative Agent or any Lender to make available its Tax returns (or any other information relating to its Taxes which it deems confidential) to the relevant Loan Party or any other Person.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105" w:name="page106"/>
    <w:bookmarkEnd w:id="105"/>
    <w:p>
      <w:pPr>
        <w:ind w:left="4" w:right="420" w:firstLine="436"/>
        <w:spacing w:after="0" w:line="263" w:lineRule="auto"/>
        <w:tabs>
          <w:tab w:leader="none" w:pos="699"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shall survive the resignation or replacement of the Administrative Agent or any assignment of rights by, or the replacement of, any Lender, the termination of the Commitments and the repayment, satisfaction or discharge of all obligations under any Loan Document.</w:t>
      </w:r>
    </w:p>
    <w:p>
      <w:pPr>
        <w:spacing w:after="0" w:line="75" w:lineRule="exact"/>
        <w:rPr>
          <w:rFonts w:ascii="Arial" w:cs="Arial" w:eastAsia="Arial" w:hAnsi="Arial"/>
          <w:sz w:val="18"/>
          <w:szCs w:val="18"/>
          <w:color w:val="auto"/>
        </w:rPr>
      </w:pPr>
    </w:p>
    <w:p>
      <w:pPr>
        <w:ind w:left="4" w:right="20" w:firstLine="436"/>
        <w:spacing w:after="0" w:line="277" w:lineRule="auto"/>
        <w:tabs>
          <w:tab w:leader="none" w:pos="659"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Definition of “Lender”</w:t>
      </w:r>
      <w:r>
        <w:rPr>
          <w:rFonts w:ascii="Arial" w:cs="Arial" w:eastAsia="Arial" w:hAnsi="Arial"/>
          <w:sz w:val="18"/>
          <w:szCs w:val="18"/>
          <w:color w:val="auto"/>
        </w:rPr>
        <w:t xml:space="preserve">. For the avoidance of doubt, the term “Lender” shall, for all purposes of this </w:t>
      </w:r>
      <w:r>
        <w:rPr>
          <w:rFonts w:ascii="Arial" w:cs="Arial" w:eastAsia="Arial" w:hAnsi="Arial"/>
          <w:sz w:val="18"/>
          <w:szCs w:val="18"/>
          <w:u w:val="single" w:color="auto"/>
          <w:color w:val="auto"/>
        </w:rPr>
        <w:t>Section 2.17</w:t>
      </w:r>
      <w:r>
        <w:rPr>
          <w:rFonts w:ascii="Arial" w:cs="Arial" w:eastAsia="Arial" w:hAnsi="Arial"/>
          <w:sz w:val="18"/>
          <w:szCs w:val="18"/>
          <w:color w:val="auto"/>
        </w:rPr>
        <w:t>, include any Issuing Bank and the Swingline Lender.</w:t>
      </w:r>
    </w:p>
    <w:p>
      <w:pPr>
        <w:spacing w:after="0" w:line="62" w:lineRule="exact"/>
        <w:rPr>
          <w:rFonts w:ascii="Arial" w:cs="Arial" w:eastAsia="Arial" w:hAnsi="Arial"/>
          <w:sz w:val="18"/>
          <w:szCs w:val="18"/>
          <w:color w:val="auto"/>
        </w:rPr>
      </w:pPr>
    </w:p>
    <w:p>
      <w:pPr>
        <w:ind w:left="4" w:firstLine="436"/>
        <w:spacing w:after="0" w:line="287" w:lineRule="auto"/>
        <w:tabs>
          <w:tab w:leader="none" w:pos="659" w:val="left"/>
        </w:tabs>
        <w:numPr>
          <w:ilvl w:val="1"/>
          <w:numId w:val="134"/>
        </w:numPr>
        <w:rPr>
          <w:rFonts w:ascii="Arial" w:cs="Arial" w:eastAsia="Arial" w:hAnsi="Arial"/>
          <w:sz w:val="16"/>
          <w:szCs w:val="16"/>
          <w:color w:val="auto"/>
        </w:rPr>
      </w:pPr>
      <w:r>
        <w:rPr>
          <w:rFonts w:ascii="Arial" w:cs="Arial" w:eastAsia="Arial" w:hAnsi="Arial"/>
          <w:sz w:val="16"/>
          <w:szCs w:val="16"/>
          <w:u w:val="single" w:color="auto"/>
          <w:color w:val="auto"/>
        </w:rPr>
        <w:t>Certain Documentation</w:t>
      </w:r>
      <w:r>
        <w:rPr>
          <w:rFonts w:ascii="Arial" w:cs="Arial" w:eastAsia="Arial" w:hAnsi="Arial"/>
          <w:sz w:val="16"/>
          <w:szCs w:val="16"/>
          <w:color w:val="auto"/>
        </w:rPr>
        <w:t>. On or before the date on which the Administrative Agent becomes a party to this Agreement, the Administrative Agent shall deliver to the Borrower whichever of the following is applicable: (i) if the Administrative Agent is a US Person, two executed copies of IRS Form W-9 certifying that such Administrative Agent is exempt from US federal backup withholding or (ii) if the Administrative Agent is not a US Person,</w:t>
      </w:r>
    </w:p>
    <w:p>
      <w:pPr>
        <w:spacing w:after="0" w:line="2" w:lineRule="exact"/>
        <w:rPr>
          <w:rFonts w:ascii="Arial" w:cs="Arial" w:eastAsia="Arial" w:hAnsi="Arial"/>
          <w:sz w:val="16"/>
          <w:szCs w:val="16"/>
          <w:color w:val="auto"/>
        </w:rPr>
      </w:pPr>
    </w:p>
    <w:p>
      <w:pPr>
        <w:ind w:left="4" w:right="20" w:hanging="4"/>
        <w:spacing w:after="0" w:line="288" w:lineRule="auto"/>
        <w:tabs>
          <w:tab w:leader="none" w:pos="299"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with respect to payments received for its own account, two executed copies of IRS Form W-8ECI or W-8BEN-E, as applicable and (ii) with respect to payments received on account of any Lender, two executed copies of IRS Form W-8IMY (together with all required accompanying documentation) certifying that the Administrative Agent is either a US branch and may be treated as a US person for purposes of applicable US federal withholding Tax or a qualified intermediary. At any time thereafter, the Administrative Agent shall provide updated documentation previously provided (or a successor form thereto) when any documentation previously delivered has expired or become obsolete or invalid or otherwise upon the reasonable request of the Borrower. Notwithstanding anything to the contrary in this </w:t>
      </w:r>
      <w:r>
        <w:rPr>
          <w:rFonts w:ascii="Arial" w:cs="Arial" w:eastAsia="Arial" w:hAnsi="Arial"/>
          <w:sz w:val="16"/>
          <w:szCs w:val="16"/>
          <w:u w:val="single" w:color="auto"/>
          <w:color w:val="auto"/>
        </w:rPr>
        <w:t>Section 2.17(j)</w:t>
      </w:r>
      <w:r>
        <w:rPr>
          <w:rFonts w:ascii="Arial" w:cs="Arial" w:eastAsia="Arial" w:hAnsi="Arial"/>
          <w:sz w:val="16"/>
          <w:szCs w:val="16"/>
          <w:color w:val="auto"/>
        </w:rPr>
        <w:t>, the Administrative Agent shall not be required to provide any documentation that the Administrative Agent is not legally eligible to deliver as a result of a Change in Law after the Closing Date.</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Payments Generally; Allocation of Proceeds; Sharing of Payments</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85" w:lineRule="auto"/>
        <w:tabs>
          <w:tab w:leader="none" w:pos="68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Unless otherwise specified, the Borrower shall make each payment required to be made by it hereunder (whether of principal, interest or fees, reimbursements of LC Disbursements, or of amounts payable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or otherwise) prior to 3:00 p.m. on the date when due. Each such payment shall be made in immediately available funds (or such other form of consideration as the relevant recipient may agree), without set-off or counterclaim. Any amount received after such time on any date may, in the discretion of the Administrative Agent, be deemed to have been received on the next succeeding Business Day for purposes of calculating interest thereon. Each such payment shall be made to the Administrative Agent to the applicable account designated by the Administrative Agent to the Borrower, except that payments pursuant to </w:t>
      </w:r>
      <w:r>
        <w:rPr>
          <w:rFonts w:ascii="Arial" w:cs="Arial" w:eastAsia="Arial" w:hAnsi="Arial"/>
          <w:sz w:val="16"/>
          <w:szCs w:val="16"/>
          <w:u w:val="single" w:color="auto"/>
          <w:color w:val="auto"/>
        </w:rPr>
        <w:t>Sections 2.12(b)(ii)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shall be made directly to the Person or Persons entitled thereto. The Administrative Agent shall distribute any such payment received by it for the account of any other Person to the appropriate recipient promptly following receipt thereof. Except as provided in </w:t>
      </w:r>
      <w:r>
        <w:rPr>
          <w:rFonts w:ascii="Arial" w:cs="Arial" w:eastAsia="Arial" w:hAnsi="Arial"/>
          <w:sz w:val="16"/>
          <w:szCs w:val="16"/>
          <w:u w:val="single" w:color="auto"/>
          <w:color w:val="auto"/>
        </w:rPr>
        <w:t>Sections 2.19(b)</w:t>
      </w:r>
      <w:r>
        <w:rPr>
          <w:rFonts w:ascii="Arial" w:cs="Arial" w:eastAsia="Arial" w:hAnsi="Arial"/>
          <w:sz w:val="16"/>
          <w:szCs w:val="16"/>
          <w:color w:val="auto"/>
        </w:rPr>
        <w:t xml:space="preserve">, </w:t>
      </w:r>
      <w:r>
        <w:rPr>
          <w:rFonts w:ascii="Arial" w:cs="Arial" w:eastAsia="Arial" w:hAnsi="Arial"/>
          <w:sz w:val="16"/>
          <w:szCs w:val="16"/>
          <w:u w:val="single" w:color="auto"/>
          <w:color w:val="auto"/>
        </w:rPr>
        <w:t>2.21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w:t>
      </w:r>
      <w:r>
        <w:rPr>
          <w:rFonts w:ascii="Arial" w:cs="Arial" w:eastAsia="Arial" w:hAnsi="Arial"/>
          <w:sz w:val="16"/>
          <w:szCs w:val="16"/>
          <w:u w:val="single" w:color="auto"/>
          <w:color w:val="auto"/>
        </w:rPr>
        <w:t>9.02(c)</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9.05</w:t>
      </w:r>
      <w:r>
        <w:rPr>
          <w:rFonts w:ascii="Arial" w:cs="Arial" w:eastAsia="Arial" w:hAnsi="Arial"/>
          <w:sz w:val="16"/>
          <w:szCs w:val="16"/>
          <w:color w:val="auto"/>
        </w:rPr>
        <w:t xml:space="preserve"> and/or any other express provision of this Agreement, each Borrowing, each payment or prepayment of principal of any Borrowing, each payment of interest on the Loans of a given Class and each conversion of any Borrowing to or continuation of any Borrowing as a Borrowing of any Type (and of the same Class) shall be allocated pro rata among the Lenders in accordance with their respective Applicable Percentages of the applicable Class. Each Lender agrees that in computing such Lender’s portion of any Borrowing to be made hereunder, the Administrative Agent may, in its discretion, round each Lender’s percentage of such Borrowing to the next higher or lower whole Dollar amount. All payments hereunder shall be made in Dollars or the relevant Alternate Currency, as applicable (or such other form of consideration as the relevant recipient may agree).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4"/>
          </w:cols>
          <w:pgMar w:left="436" w:top="274" w:right="459" w:bottom="1440" w:gutter="0" w:footer="0" w:header="0"/>
        </w:sectPr>
      </w:pPr>
    </w:p>
    <w:bookmarkStart w:id="106" w:name="page107"/>
    <w:bookmarkEnd w:id="106"/>
    <w:p>
      <w:pPr>
        <w:jc w:val="both"/>
        <w:ind w:left="-40" w:right="200" w:firstLine="436"/>
        <w:spacing w:after="0" w:line="342" w:lineRule="auto"/>
        <w:tabs>
          <w:tab w:leader="none" w:pos="655" w:val="left"/>
        </w:tabs>
        <w:numPr>
          <w:ilvl w:val="0"/>
          <w:numId w:val="1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in all respects to the provisions of any applicable Intercreditor Agreement, all proceeds of Collateral received by the Administrative Agent while an Event of Default exists and all or any portion of the Loans have been accelerated hereunder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shall be applied:</w:t>
      </w:r>
    </w:p>
    <w:p>
      <w:pPr>
        <w:spacing w:after="0" w:line="15" w:lineRule="exact"/>
        <w:rPr>
          <w:rFonts w:ascii="Arial" w:cs="Arial" w:eastAsia="Arial" w:hAnsi="Arial"/>
          <w:sz w:val="16"/>
          <w:szCs w:val="16"/>
          <w:color w:val="auto"/>
        </w:rPr>
      </w:pPr>
    </w:p>
    <w:p>
      <w:pPr>
        <w:ind w:left="400" w:right="120" w:firstLine="419"/>
        <w:spacing w:after="0" w:line="275" w:lineRule="auto"/>
        <w:tabs>
          <w:tab w:leader="none" w:pos="1038"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to the payment of all costs and expenses then due incurred by the Administrative Agent in connection with any collection, sale or realization on Collateral or otherwise in connection with this Agreement, any other Loan Document or any of the Secured Obligations, including all court costs and the fees and expenses of agents and legal counsel, the repayment of all advances made by the Administrative Agent hereunder or under any other Loan Document on behalf of any Loan Party and any other costs or expenses incurred in connection with the exercise of any right or remedy hereunder or under any other Loan Document,</w:t>
      </w:r>
    </w:p>
    <w:p>
      <w:pPr>
        <w:spacing w:after="0" w:line="68" w:lineRule="exact"/>
        <w:rPr>
          <w:rFonts w:ascii="Arial" w:cs="Arial" w:eastAsia="Arial" w:hAnsi="Arial"/>
          <w:sz w:val="17"/>
          <w:szCs w:val="17"/>
          <w:color w:val="auto"/>
        </w:rPr>
      </w:pPr>
    </w:p>
    <w:p>
      <w:pPr>
        <w:ind w:left="400" w:right="320" w:firstLine="419"/>
        <w:spacing w:after="0" w:line="342" w:lineRule="auto"/>
        <w:tabs>
          <w:tab w:leader="none" w:pos="1088"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on a pro rata basis, to pay any fees, indemnities or expense reimbursements constituting Secured Obligations then due to the Administrative Agent (other than those covered in clause first above) or to the Swingline Lender or any Issuing Bank from the Borrower,</w:t>
      </w:r>
    </w:p>
    <w:p>
      <w:pPr>
        <w:spacing w:after="0" w:line="15" w:lineRule="exact"/>
        <w:rPr>
          <w:rFonts w:ascii="Arial" w:cs="Arial" w:eastAsia="Arial" w:hAnsi="Arial"/>
          <w:sz w:val="16"/>
          <w:szCs w:val="16"/>
          <w:color w:val="auto"/>
        </w:rPr>
      </w:pPr>
    </w:p>
    <w:p>
      <w:pPr>
        <w:ind w:left="400" w:right="20" w:firstLine="419"/>
        <w:spacing w:after="0" w:line="273" w:lineRule="auto"/>
        <w:tabs>
          <w:tab w:leader="none" w:pos="1138"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on a pro rata basis in accordance with the amounts of the Secured Obligations (other than contingent indemnification obligations for which no claim has yet been made) owed to the Secured Parties on the date of any such distribution, to the payment in full of the Secured Obligations (including, with respect to LC Exposure, an amount to be paid to the Administrative Agent equal to 100% of the LC Exposure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amount then on deposit in the LC Collateral Account) on such date, to be held in the LC Collateral Account as Cash collateral for such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Letter of Credit expires undrawn, then any Cash collateral held to secure the related LC Exposure shall be applied in accordance with this </w:t>
      </w:r>
      <w:r>
        <w:rPr>
          <w:rFonts w:ascii="Arial" w:cs="Arial" w:eastAsia="Arial" w:hAnsi="Arial"/>
          <w:sz w:val="17"/>
          <w:szCs w:val="17"/>
          <w:u w:val="single" w:color="auto"/>
          <w:color w:val="auto"/>
        </w:rPr>
        <w:t>Section 2.18(b)</w:t>
      </w:r>
      <w:r>
        <w:rPr>
          <w:rFonts w:ascii="Arial" w:cs="Arial" w:eastAsia="Arial" w:hAnsi="Arial"/>
          <w:sz w:val="17"/>
          <w:szCs w:val="17"/>
          <w:color w:val="auto"/>
        </w:rPr>
        <w:t>, beginning with clause first above,</w:t>
      </w:r>
    </w:p>
    <w:p>
      <w:pPr>
        <w:spacing w:after="0" w:line="69" w:lineRule="exact"/>
        <w:rPr>
          <w:rFonts w:ascii="Arial" w:cs="Arial" w:eastAsia="Arial" w:hAnsi="Arial"/>
          <w:sz w:val="17"/>
          <w:szCs w:val="17"/>
          <w:color w:val="auto"/>
        </w:rPr>
      </w:pPr>
    </w:p>
    <w:p>
      <w:pPr>
        <w:ind w:left="1120" w:hanging="301"/>
        <w:spacing w:after="0"/>
        <w:tabs>
          <w:tab w:leader="none" w:pos="1120"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as provided in any applicable Intercreditor Agreement, and</w:t>
      </w:r>
    </w:p>
    <w:p>
      <w:pPr>
        <w:spacing w:after="0" w:line="117" w:lineRule="exact"/>
        <w:rPr>
          <w:rFonts w:ascii="Arial" w:cs="Arial" w:eastAsia="Arial" w:hAnsi="Arial"/>
          <w:sz w:val="18"/>
          <w:szCs w:val="18"/>
          <w:color w:val="auto"/>
        </w:rPr>
      </w:pPr>
    </w:p>
    <w:p>
      <w:pPr>
        <w:ind w:left="1080" w:hanging="261"/>
        <w:spacing w:after="0"/>
        <w:tabs>
          <w:tab w:leader="none" w:pos="1080"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or at the direction of, the Borrower or as a court of competent jurisdiction may otherwise direct.</w:t>
      </w:r>
    </w:p>
    <w:p>
      <w:pPr>
        <w:spacing w:after="0" w:line="117" w:lineRule="exact"/>
        <w:rPr>
          <w:rFonts w:ascii="Arial" w:cs="Arial" w:eastAsia="Arial" w:hAnsi="Arial"/>
          <w:sz w:val="18"/>
          <w:szCs w:val="18"/>
          <w:color w:val="auto"/>
        </w:rPr>
      </w:pPr>
    </w:p>
    <w:p>
      <w:pPr>
        <w:ind w:left="-40" w:firstLine="436"/>
        <w:spacing w:after="0" w:line="284" w:lineRule="auto"/>
        <w:tabs>
          <w:tab w:leader="none" w:pos="64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If any Lender obtains payment (whether voluntary, involuntary, through the exercise of any right of set-off or otherwise) in respect of any principal of or interest on any Loan of any Class or any participation in LC Disbursements or Swingline Loans held by it resulting in such Lender receiving payment of a greater proportion of the aggregate amount of its Loans of such Class and participations in LC Disbursements or Swingline Loans and accrued interest thereon than the proportion received by any other Lender with Loans of such Class and participations in LC Disbursements or Swingline Loans, then the Lender receiving such greater proportion shall purchase (for Cash at face value) participations in the Loans of such Class and sub-participations in LC Disbursements or Swingline Loans of other Lenders of such Class at such time outstanding to the extent necessary so that the benefit of all such payments shall be shared by the Lenders of such Class ratably in accordance with the aggregate amount of principal of and accrued interest on their respective Loans of such Class and participations in LC Disbursements or Swingline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 is purchased and all or any portion of the payment giving rise thereto is recovered, such participations shall be rescinded and the purchase price restored to the extent of such recovery, without interest, and (ii) the provisions of this paragraph shall not apply to (A) any payment made by the Borrower pursuant to and in accordance with the express terms of this Agreement or (B) any payment obtained by any Lender as consideration for the assignment of or sale of a participation in any Loan to any permitted assignee or participant, including any payment made or deemed made in connection with </w:t>
      </w:r>
      <w:r>
        <w:rPr>
          <w:rFonts w:ascii="Arial" w:cs="Arial" w:eastAsia="Arial" w:hAnsi="Arial"/>
          <w:sz w:val="16"/>
          <w:szCs w:val="16"/>
          <w:u w:val="single" w:color="auto"/>
          <w:color w:val="auto"/>
        </w:rPr>
        <w:t>Sections 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w:t>
      </w:r>
      <w:r>
        <w:rPr>
          <w:rFonts w:ascii="Arial" w:cs="Arial" w:eastAsia="Arial" w:hAnsi="Arial"/>
          <w:sz w:val="16"/>
          <w:szCs w:val="16"/>
          <w:u w:val="single" w:color="auto"/>
          <w:color w:val="auto"/>
        </w:rPr>
        <w:t>9.02(c)</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The Borrower consents to the foregoing and agrees, to the extent it may effectively do so under applicable Requirements of Law, that any Lender acquiring a participation pursuant to the foregoing arrangements may exercise rights of set-off and counterclaim against the Borrower with respect to such participation as fully as if such Lender were a direct creditor of the Borrower in the amount of such participation. The Administrative Agent will keep records (which shall be conclusive and binding in the absence of manifest error) of participations purchased under this </w:t>
      </w:r>
      <w:r>
        <w:rPr>
          <w:rFonts w:ascii="Arial" w:cs="Arial" w:eastAsia="Arial" w:hAnsi="Arial"/>
          <w:sz w:val="16"/>
          <w:szCs w:val="16"/>
          <w:u w:val="single" w:color="auto"/>
          <w:color w:val="auto"/>
        </w:rPr>
        <w:t>Section 2.18(c)</w:t>
      </w:r>
      <w:r>
        <w:rPr>
          <w:rFonts w:ascii="Arial" w:cs="Arial" w:eastAsia="Arial" w:hAnsi="Arial"/>
          <w:sz w:val="16"/>
          <w:szCs w:val="16"/>
          <w:color w:val="auto"/>
        </w:rPr>
        <w:t xml:space="preserve"> and will, in each case, notify the Lenders following any such purchase or repayment. Each Lender that purchases a participation pursuant to this </w:t>
      </w:r>
      <w:r>
        <w:rPr>
          <w:rFonts w:ascii="Arial" w:cs="Arial" w:eastAsia="Arial" w:hAnsi="Arial"/>
          <w:sz w:val="16"/>
          <w:szCs w:val="16"/>
          <w:u w:val="single" w:color="auto"/>
          <w:color w:val="auto"/>
        </w:rPr>
        <w:t>Section 2.18(c)</w:t>
      </w:r>
      <w:r>
        <w:rPr>
          <w:rFonts w:ascii="Arial" w:cs="Arial" w:eastAsia="Arial" w:hAnsi="Arial"/>
          <w:sz w:val="16"/>
          <w:szCs w:val="16"/>
          <w:color w:val="auto"/>
        </w:rPr>
        <w:t xml:space="preserve"> shall from and after the date of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40"/>
          </w:cols>
          <w:pgMar w:left="480" w:top="274" w:right="479" w:bottom="1440" w:gutter="0" w:footer="0" w:header="0"/>
        </w:sectPr>
      </w:pPr>
    </w:p>
    <w:bookmarkStart w:id="107" w:name="page108"/>
    <w:bookmarkEnd w:id="107"/>
    <w:p>
      <w:pPr>
        <w:ind w:firstLine="436"/>
        <w:spacing w:after="0" w:line="271" w:lineRule="auto"/>
        <w:tabs>
          <w:tab w:leader="none" w:pos="695" w:val="left"/>
        </w:tabs>
        <w:numPr>
          <w:ilvl w:val="0"/>
          <w:numId w:val="1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the Administrative Agent has received written notice from the Borrower prior to the date on which any payment is due to the Administrative Agent for the account of any Lender or any Issuing Bank hereunder that the Borrower will not make such payment, the Administrative Agent may assume that the Borrower has made such payment on such date in accordance herewith and may, in reliance upon such assumption, distribute to the applicable Lender or Issuing Bank the amount due. In such event, if the Borrower has not in fact made such payment (or caused such payment to be made), then each Lender or the applicable Issuing Bank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70" w:lineRule="exact"/>
        <w:rPr>
          <w:rFonts w:ascii="Arial" w:cs="Arial" w:eastAsia="Arial" w:hAnsi="Arial"/>
          <w:sz w:val="17"/>
          <w:szCs w:val="17"/>
          <w:color w:val="auto"/>
        </w:rPr>
      </w:pPr>
    </w:p>
    <w:p>
      <w:pPr>
        <w:ind w:right="140" w:firstLine="436"/>
        <w:spacing w:after="0" w:line="311" w:lineRule="auto"/>
        <w:tabs>
          <w:tab w:leader="none" w:pos="68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If any Lender fails to make any payment required to be made by it pursuant to </w:t>
      </w:r>
      <w:r>
        <w:rPr>
          <w:rFonts w:ascii="Arial" w:cs="Arial" w:eastAsia="Arial" w:hAnsi="Arial"/>
          <w:sz w:val="16"/>
          <w:szCs w:val="16"/>
          <w:u w:val="single" w:color="auto"/>
          <w:color w:val="auto"/>
        </w:rPr>
        <w:t>Section 2.07(b)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2.18(d)</w:t>
      </w:r>
      <w:r>
        <w:rPr>
          <w:rFonts w:ascii="Arial" w:cs="Arial" w:eastAsia="Arial" w:hAnsi="Arial"/>
          <w:sz w:val="16"/>
          <w:szCs w:val="16"/>
          <w:color w:val="auto"/>
        </w:rPr>
        <w:t>, then the Administrative Agent may, in its discretion (notwithstanding any contrary provision hereof), apply any amount thereafter received by the Administrative Agent for the account of such Lender to satisfy such Lender’s obligations under such Sections until all such unsatisfied obligations are fully paid.</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117" w:lineRule="exact"/>
        <w:rPr>
          <w:sz w:val="20"/>
          <w:szCs w:val="20"/>
          <w:color w:val="auto"/>
        </w:rPr>
      </w:pPr>
    </w:p>
    <w:p>
      <w:pPr>
        <w:ind w:right="100" w:firstLine="436"/>
        <w:spacing w:after="0" w:line="253" w:lineRule="auto"/>
        <w:tabs>
          <w:tab w:leader="none" w:pos="68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If any Lender requests compensation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determines it can no longer make or maintain LIBO Rate Loans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or any Loan Party is required to pay any additional amount to or indemnify any Lender or any Governmental Authority for the account of any Lender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then such Lender shall use reasonable efforts to designate a different lending office for funding or booking its Loans hereunder or its participation in any Letter of Credit affected by such event, or to assign its rights and obligations hereunder to another of its offices, branches or affiliates, if, in the reasonable judgment of such Lender, such designation or assignment (i) would eliminate or reduce amounts payable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as applicable, in the future or mitigate the impact of </w:t>
      </w:r>
      <w:r>
        <w:rPr>
          <w:rFonts w:ascii="Arial" w:cs="Arial" w:eastAsia="Arial" w:hAnsi="Arial"/>
          <w:sz w:val="18"/>
          <w:szCs w:val="18"/>
          <w:u w:val="single" w:color="auto"/>
          <w:color w:val="auto"/>
        </w:rPr>
        <w:t>Section 2.20</w:t>
      </w:r>
      <w:r>
        <w:rPr>
          <w:rFonts w:ascii="Arial" w:cs="Arial" w:eastAsia="Arial" w:hAnsi="Arial"/>
          <w:sz w:val="18"/>
          <w:szCs w:val="18"/>
          <w:color w:val="auto"/>
        </w:rPr>
        <w:t>, as the case may be, and (ii) would not subject such Lender to any unreimbursed out-of-pocket cost or expense and would not otherwise be disadvantageous to such Lender in any material respect. The Borrower hereby agrees to pay all reasonable out-of-pocket costs and expenses incurred by any Lender in connection with any such designation or assignment.</w:t>
      </w:r>
    </w:p>
    <w:p>
      <w:pPr>
        <w:spacing w:after="0" w:line="88" w:lineRule="exact"/>
        <w:rPr>
          <w:rFonts w:ascii="Arial" w:cs="Arial" w:eastAsia="Arial" w:hAnsi="Arial"/>
          <w:sz w:val="18"/>
          <w:szCs w:val="18"/>
          <w:color w:val="auto"/>
        </w:rPr>
      </w:pPr>
    </w:p>
    <w:p>
      <w:pPr>
        <w:ind w:firstLine="436"/>
        <w:spacing w:after="0" w:line="267" w:lineRule="auto"/>
        <w:tabs>
          <w:tab w:leader="none" w:pos="69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If (i) any Lender requests compensation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determines it can no longer make or maintain LIBO Rate Loans pursuant to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(ii) any Loan Party is required to pay any additional amount to or indemnify any Lender or any Governmental Authority for the account of any Lender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(iii) any Lender is a Defaulting Lender or (iv) in connection with any proposed amendment, waiver or consent requiring the consent of “each Lender”, “each Revolving Lender” or “each Lender directly affected thereby” (or any other Class or group of Lenders other than the Required Lenders) with respect to which Required Lender or Required Revolving Lender consent (or the consent of Lenders holding loans or commitments of such Class or lesser group representing more than 50% of the sum of the total loans and unused commitments of such Class or lesser group at such time) has been obtained, as applicable, any Lender is a non-consenting Lender, then the Borrower may, at its sole expense and effort, upon notice to such Lender and the Administrative Agent, (x) terminate the applicable Commitments of such Lender, and repay all Obligations of the Borrower owing to such Lender relating to the applicable Loans and participations held by such Lender as of such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after giving effect such termination and repayment, the aggregate amount of the Revolving Credit Exposure of any Class exceeds the aggregate amount of the Revolving Credit Commitments of such Class then in effect, then the Borrower shall, not later than the next Business Day, prepay one or more Revolving Loan Borrowings of the applicable Class and/or Swingline Loans (and, if no Revolving Loan Borrowings of such Class are outstanding, deposit Cash collateral in the LC Collateral Account) in an amount necessary to eliminate such excess) or (y) replace such Lender by requiring such Lender to assign and delegate (and such Lender shall be obligated to assign and delegate), without recourse (in accordance with and subject to the restrictions contained in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all of its interests, rights and obligations under this Agreement to an Eligible Assignee that assumes such obligations (which Eligible Assignee may be another Lender, if any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Lender has received payment of 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4" w:right="459" w:bottom="1440" w:gutter="0" w:footer="0" w:header="0"/>
        </w:sectPr>
      </w:pPr>
    </w:p>
    <w:bookmarkStart w:id="108" w:name="page109"/>
    <w:bookmarkEnd w:id="108"/>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amount equal to the outstanding principal amount of its Loans and, if applicable, participations in LC Disbursements or Swingline Loans, in each case of such Class of Loans and/or Commitments, accrued interest thereon, accrued fees and all other amounts payable to it under any Loan Document with respect to such Class of Loans and/or Commitments, (B) in the case of any assignment resulting from a claim for compensation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any payment required to be made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such assignment would result in a reduction in such compensation or payment and (C) such assignment does not conflict with applicable Requirements of Law. No Lender (other than a Defaulting Lender) shall be required to make any such assignment and delegation, and the Borrower may not repay the Obligations of such Lender or terminate its Commitments, if, prior thereto, as a result of a waiver by such Lender or otherwise, the circumstances entitling the Borrower to require such assignment and delegation cease to apply. Each Lender agrees that if it is replaced pursuant to this </w:t>
      </w:r>
      <w:r>
        <w:rPr>
          <w:rFonts w:ascii="Arial" w:cs="Arial" w:eastAsia="Arial" w:hAnsi="Arial"/>
          <w:sz w:val="16"/>
          <w:szCs w:val="16"/>
          <w:u w:val="single" w:color="auto"/>
          <w:color w:val="auto"/>
        </w:rPr>
        <w:t>Section 2.19</w:t>
      </w:r>
      <w:r>
        <w:rPr>
          <w:rFonts w:ascii="Arial" w:cs="Arial" w:eastAsia="Arial" w:hAnsi="Arial"/>
          <w:sz w:val="16"/>
          <w:szCs w:val="16"/>
          <w:color w:val="auto"/>
        </w:rPr>
        <w:t>, it shall execute and deliver to the Administrative Agent an Assignment Agreement to evidence such sale and purchase and shall deliver to the Administrative Agent any Promissory Note (if the assigning Lender’s Loans are evidenced by one or more Promissory Notes) subject to such Assignment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replaced pursuant to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to execute an Assignment Agreement or deliver any such Promissory Note shall not render such sale and purchase (and the corresponding assignment) invalid), such assignment shall be recorded in the Register and any such Promissory Note shall be deemed cancelled. Each Lender hereby irrevocably appoints the Administrative Agent (such appointment being coupled with an interest) as such Lender’s attorney-in-fact, with full authority in the place and stead of such Lender and in the name of such Lender, from time to time in the Administrative Agent’s discretion, with prior written notice to such Lender, to take any action and to execute any such Assignment Agreement or other instrument that the Administrative Agent may deem reasonably necessary to carry out the provisions of this </w:t>
      </w:r>
      <w:r>
        <w:rPr>
          <w:rFonts w:ascii="Arial" w:cs="Arial" w:eastAsia="Arial" w:hAnsi="Arial"/>
          <w:sz w:val="16"/>
          <w:szCs w:val="16"/>
          <w:u w:val="single" w:color="auto"/>
          <w:color w:val="auto"/>
        </w:rPr>
        <w:t>clause (b)</w:t>
      </w:r>
      <w:r>
        <w:rPr>
          <w:rFonts w:ascii="Arial" w:cs="Arial" w:eastAsia="Arial" w:hAnsi="Arial"/>
          <w:sz w:val="16"/>
          <w:szCs w:val="16"/>
          <w:color w:val="auto"/>
        </w:rPr>
        <w:t>.</w:t>
      </w:r>
    </w:p>
    <w:p>
      <w:pPr>
        <w:spacing w:after="0" w:line="176" w:lineRule="exact"/>
        <w:rPr>
          <w:sz w:val="20"/>
          <w:szCs w:val="20"/>
          <w:color w:val="auto"/>
        </w:rPr>
      </w:pPr>
    </w:p>
    <w:p>
      <w:pPr>
        <w:ind w:left="4" w:firstLine="440"/>
        <w:spacing w:after="0" w:line="282" w:lineRule="auto"/>
        <w:rPr>
          <w:sz w:val="20"/>
          <w:szCs w:val="20"/>
          <w:color w:val="auto"/>
        </w:rPr>
      </w:pPr>
      <w:r>
        <w:rPr>
          <w:rFonts w:ascii="Arial" w:cs="Arial" w:eastAsia="Arial" w:hAnsi="Arial"/>
          <w:sz w:val="16"/>
          <w:szCs w:val="16"/>
          <w:color w:val="auto"/>
        </w:rPr>
        <w:t xml:space="preserve">Section 2.20. </w:t>
      </w:r>
      <w:r>
        <w:rPr>
          <w:rFonts w:ascii="Arial" w:cs="Arial" w:eastAsia="Arial" w:hAnsi="Arial"/>
          <w:sz w:val="16"/>
          <w:szCs w:val="16"/>
          <w:u w:val="single" w:color="auto"/>
          <w:color w:val="auto"/>
        </w:rPr>
        <w:t>Illegality</w:t>
      </w:r>
      <w:r>
        <w:rPr>
          <w:rFonts w:ascii="Arial" w:cs="Arial" w:eastAsia="Arial" w:hAnsi="Arial"/>
          <w:sz w:val="16"/>
          <w:szCs w:val="16"/>
          <w:color w:val="auto"/>
        </w:rPr>
        <w:t xml:space="preserve">. If any Lender reasonably determines that any Change in Law has made it unlawful, or that any Governmental Authority has asserted after the Closing Date that it is unlawful, for such Lender or its applicable lending office to make, maintain or fund Loans whose interest is determined by reference to the Published LIBO Rate (whether denominated in Dollars or an Alternate Currency), or to determine or charge interest rates based upon the Published LIBO Rate, or any Governmental Authority has imposed material restrictions on the authority of such Lender to purchase or sell, or to take deposits of Dollars or any Alternate Currency in the applicable interbank market, then, on notice thereof by such Lender to the Borrower through the Administrative Agent, (i) any obligation of such Lender to make or continue LIBO Rate Loans in the effected currency or currencies or to convert ABR Loans to LIBO Rate Loans shall be suspended and (ii) if such notice asserts the illegality of such Lender making or maintaining ABR Loans the interest rate on which is determined by reference to the Published LIBO Rate component of the Alternate Base Rate, the interest rate on which ABR Loans of such Lender, shall, if necessary to avoid such illegality, be determined by the Administrative Agent without reference to the Published LIBO Rate component of the Alternate Base Rate, in each case until such Lender notifies the Administrative Agent and the Borrower that the circumstances giving rise to such determination no longer exist (which notice such Lender agrees to give promptly). Upon receipt of such notice, (x) the Borrower shall, upon demand from the relevant Lender (with a copy to the Administrative Agent), at its election, prepay or (I) if applicable and such Loans are denominated in Dollars, convert all of such Lender’s LIBO Rate Loans to ABR Loans (the interest rate on which ABR Loans of such Lender shall, if necessary to avoid such illegality, be determined by the Administrative Agent without reference to the Published LIBO Rate component of the Alternate Base Rate) or (II) if applicable and such Loans are denominated in any Alternate Currency, convert such Loans to Loans bearing interest at an alternative rate mutually acceptable to the Borrower and such Lender, in each case, either on the last day of the Interest Period therefor, if such Lender may lawfully continue to maintain such LIBO Rate Loans until such day, or immediately, if such Lender may not lawfully continue to maintain such LIBO Rate Loans (in which case the Borrower shall not be required to make payments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in connection with such payment); and</w:t>
      </w:r>
    </w:p>
    <w:p>
      <w:pPr>
        <w:spacing w:after="0" w:line="11" w:lineRule="exact"/>
        <w:rPr>
          <w:sz w:val="20"/>
          <w:szCs w:val="20"/>
          <w:color w:val="auto"/>
        </w:rPr>
      </w:pPr>
    </w:p>
    <w:p>
      <w:pPr>
        <w:ind w:left="4" w:right="20" w:hanging="4"/>
        <w:spacing w:after="0" w:line="270" w:lineRule="auto"/>
        <w:tabs>
          <w:tab w:leader="none" w:pos="259"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if such notice asserts the illegality of such Lender determining or charging interest rates based upon the Published LIBO Rate, the Administrative Agent shall during the period of such suspension compute the Alternate Base Rate applicable to such Lender without reference to the Published LIBO Rate component thereof until the Administrative Agent is advised in writing by such Lender that it is no longer illegal for such Lender to determine or charge interest rates based upon the Published LIBO Rate. Upon any such prepayment or conversion, the Borrower shall also pay accrued interest on the amount so prepaid or converted. Each Lender agrees to designate a different lending office if such designation will avoid the need for such notice and will not, in the determination of such Lender, otherwise be materially disadvantageous to such Lender.</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4"/>
          </w:cols>
          <w:pgMar w:left="436" w:top="274" w:right="459" w:bottom="1440" w:gutter="0" w:footer="0" w:header="0"/>
        </w:sectPr>
      </w:pPr>
    </w:p>
    <w:bookmarkStart w:id="109" w:name="page110"/>
    <w:bookmarkEnd w:id="109"/>
    <w:p>
      <w:pPr>
        <w:ind w:left="4"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2.21.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Person becomes a Defaulting Lender, then the following provisions shall apply for so long as such Person is a Defaulting Lender:</w:t>
      </w:r>
    </w:p>
    <w:p>
      <w:pPr>
        <w:spacing w:after="0" w:line="62" w:lineRule="exact"/>
        <w:rPr>
          <w:sz w:val="20"/>
          <w:szCs w:val="20"/>
          <w:color w:val="auto"/>
        </w:rPr>
      </w:pPr>
    </w:p>
    <w:p>
      <w:pPr>
        <w:jc w:val="both"/>
        <w:ind w:left="4" w:right="80" w:firstLine="436"/>
        <w:spacing w:after="0" w:line="263" w:lineRule="auto"/>
        <w:tabs>
          <w:tab w:leader="none" w:pos="689"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Fees shall cease to accrue on the unfunded portion of any Commitment of such Defaulting Lender pursuant to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clause (d)(iv)</w:t>
      </w:r>
      <w:r>
        <w:rPr>
          <w:rFonts w:ascii="Arial" w:cs="Arial" w:eastAsia="Arial" w:hAnsi="Arial"/>
          <w:sz w:val="18"/>
          <w:szCs w:val="18"/>
          <w:color w:val="auto"/>
        </w:rPr>
        <w:t xml:space="preserve"> below, on the participation of such Defaulting Lender in Letters of Credit pursuant to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and pursuant to any other provision of this Agreement or any other Loan Document.</w:t>
      </w:r>
    </w:p>
    <w:p>
      <w:pPr>
        <w:spacing w:after="0" w:line="75" w:lineRule="exact"/>
        <w:rPr>
          <w:rFonts w:ascii="Arial" w:cs="Arial" w:eastAsia="Arial" w:hAnsi="Arial"/>
          <w:sz w:val="18"/>
          <w:szCs w:val="18"/>
          <w:color w:val="auto"/>
        </w:rPr>
      </w:pPr>
    </w:p>
    <w:p>
      <w:pPr>
        <w:ind w:left="4" w:right="120" w:firstLine="436"/>
        <w:spacing w:after="0" w:line="286" w:lineRule="auto"/>
        <w:tabs>
          <w:tab w:leader="none" w:pos="699" w:val="left"/>
        </w:tabs>
        <w:numPr>
          <w:ilvl w:val="1"/>
          <w:numId w:val="141"/>
        </w:numPr>
        <w:rPr>
          <w:rFonts w:ascii="Arial" w:cs="Arial" w:eastAsia="Arial" w:hAnsi="Arial"/>
          <w:sz w:val="16"/>
          <w:szCs w:val="16"/>
          <w:color w:val="auto"/>
        </w:rPr>
      </w:pPr>
      <w:r>
        <w:rPr>
          <w:rFonts w:ascii="Arial" w:cs="Arial" w:eastAsia="Arial" w:hAnsi="Arial"/>
          <w:sz w:val="16"/>
          <w:szCs w:val="16"/>
          <w:color w:val="auto"/>
        </w:rPr>
        <w:t xml:space="preserve">The Loans, the Commitments and the Revolving Credit Exposure of such Defaulting Lender shall not be included in determining whether all Lenders, each affected Lender, the Required Lenders, the Required Revolving Lenders or such other number of Lenders as may be required hereby or under any other Loan Document have taken or may take any action hereunder (including any consent to any waiver, amendment or modification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waiver, amendment or modification requiring the consent of all Lenders or each affected Lender which</w:t>
      </w:r>
    </w:p>
    <w:p>
      <w:pPr>
        <w:spacing w:after="0" w:line="1" w:lineRule="exact"/>
        <w:rPr>
          <w:rFonts w:ascii="Arial" w:cs="Arial" w:eastAsia="Arial" w:hAnsi="Arial"/>
          <w:sz w:val="16"/>
          <w:szCs w:val="16"/>
          <w:color w:val="auto"/>
        </w:rPr>
      </w:pPr>
    </w:p>
    <w:p>
      <w:pPr>
        <w:ind w:left="224" w:hanging="224"/>
        <w:spacing w:after="0"/>
        <w:tabs>
          <w:tab w:leader="none" w:pos="22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increases the Commitment of such Defaulting Lender hereunder, (ii) reduces the principal amount of any amount owing to such Defaulting Lender or</w:t>
      </w:r>
    </w:p>
    <w:p>
      <w:pPr>
        <w:spacing w:after="0" w:line="32" w:lineRule="exact"/>
        <w:rPr>
          <w:rFonts w:ascii="Arial" w:cs="Arial" w:eastAsia="Arial" w:hAnsi="Arial"/>
          <w:sz w:val="16"/>
          <w:szCs w:val="16"/>
          <w:color w:val="auto"/>
        </w:rPr>
      </w:pPr>
    </w:p>
    <w:p>
      <w:pPr>
        <w:ind w:left="4" w:right="420" w:hanging="4"/>
        <w:spacing w:after="0" w:line="260" w:lineRule="auto"/>
        <w:tabs>
          <w:tab w:leader="none" w:pos="31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affects such Defaulting Lender disproportionately and adversely relative to other affected Lenders shall require the consent of such Defaulting Lender.</w:t>
      </w:r>
    </w:p>
    <w:p>
      <w:pPr>
        <w:spacing w:after="0" w:line="77" w:lineRule="exact"/>
        <w:rPr>
          <w:rFonts w:ascii="Arial" w:cs="Arial" w:eastAsia="Arial" w:hAnsi="Arial"/>
          <w:sz w:val="18"/>
          <w:szCs w:val="18"/>
          <w:color w:val="auto"/>
        </w:rPr>
      </w:pPr>
    </w:p>
    <w:p>
      <w:pPr>
        <w:ind w:left="4" w:firstLine="436"/>
        <w:spacing w:after="0" w:line="284" w:lineRule="auto"/>
        <w:tabs>
          <w:tab w:leader="none" w:pos="689" w:val="left"/>
        </w:tabs>
        <w:numPr>
          <w:ilvl w:val="1"/>
          <w:numId w:val="143"/>
        </w:numPr>
        <w:rPr>
          <w:rFonts w:ascii="Arial" w:cs="Arial" w:eastAsia="Arial" w:hAnsi="Arial"/>
          <w:sz w:val="16"/>
          <w:szCs w:val="16"/>
          <w:color w:val="auto"/>
        </w:rPr>
      </w:pPr>
      <w:r>
        <w:rPr>
          <w:rFonts w:ascii="Arial" w:cs="Arial" w:eastAsia="Arial" w:hAnsi="Arial"/>
          <w:sz w:val="16"/>
          <w:szCs w:val="16"/>
          <w:color w:val="auto"/>
        </w:rPr>
        <w:t xml:space="preserve">Any payment of principal, interest, fees or other amounts received by the Administrative Agent for the account of any Defaulting Lender (whether voluntary or mandatory, at maturity,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or otherwise, and including any amount made available to the Administrative Agent by such Defaulting Lender pursuant to </w:t>
      </w:r>
      <w:r>
        <w:rPr>
          <w:rFonts w:ascii="Arial" w:cs="Arial" w:eastAsia="Arial" w:hAnsi="Arial"/>
          <w:sz w:val="16"/>
          <w:szCs w:val="16"/>
          <w:u w:val="single" w:color="auto"/>
          <w:color w:val="auto"/>
        </w:rPr>
        <w:t>Section 9.09</w:t>
      </w:r>
      <w:r>
        <w:rPr>
          <w:rFonts w:ascii="Arial" w:cs="Arial" w:eastAsia="Arial" w:hAnsi="Arial"/>
          <w:sz w:val="16"/>
          <w:szCs w:val="16"/>
          <w:color w:val="auto"/>
        </w:rPr>
        <w:t xml:space="preserve">), shall be applied at such time or times as may be determined by the Administrative Agent and, where relevant, the Borrower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on a pro rata basis of any amount owing by such Defaulting Lender to any applicable Issuing Bank and/or the Swingline Lender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so reasonably determined by the Administrative Agent or reasonably requested by the applicable Issuing Bank, to be held as Cash collateral for future funding obligations of such Defaulting Lender in respect of any participation in any Letter of Credit;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so long as no Default or Event of Default exists, as the Borrower may request, to the funding of any Loan in respect of which such Defaulting Lender has failed to fund its portion thereof as required by this Agreement;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as the Administrative Agent or the Borrower may elect, to be held in a Deposit Account and released in order to satisfy obligations of such Defaulting Lender to fund Loans under this Agreement;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 owing to the non-Defaulting Lenders, Issuing Banks or the Swingline Lender as a result of any judgment of a court of competent jurisdiction obtained by any non-Defaulting Lender, any Issuing Bank or the Swingline Lender against such Defaulting Lender as a result of such Defaulting Lender’s breach of its obligations under this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to the payment of any amount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 or LC Exposure in respect of which such Defaulting Lender has not fully funded its appropriate share and (y) such Loan or LC Exposure was made or created, as applicable,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solely to pay the Loans of, and LC Exposure owed to, all non-Defaulting Lenders on a pro rata basis prior to being applied to the payment of any Loan of, or LC Exposure owed to, such Defaulting Lender. Any payment, prepayment or other amount paid or payable to any Defaulting Lender that are applied (or held) to pay any amount owed by any Defaulting Lender or to post Cash collateral pursuant to this </w:t>
      </w:r>
      <w:r>
        <w:rPr>
          <w:rFonts w:ascii="Arial" w:cs="Arial" w:eastAsia="Arial" w:hAnsi="Arial"/>
          <w:sz w:val="16"/>
          <w:szCs w:val="16"/>
          <w:u w:val="single" w:color="auto"/>
          <w:color w:val="auto"/>
        </w:rPr>
        <w:t>Section 2.21(c)</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32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64"/>
          </w:cols>
          <w:pgMar w:left="436" w:top="274" w:right="499" w:bottom="1440" w:gutter="0" w:footer="0" w:header="0"/>
        </w:sectPr>
      </w:pPr>
    </w:p>
    <w:bookmarkStart w:id="110" w:name="page111"/>
    <w:bookmarkEnd w:id="110"/>
    <w:p>
      <w:pPr>
        <w:ind w:left="700" w:hanging="264"/>
        <w:spacing w:after="0"/>
        <w:tabs>
          <w:tab w:leader="none" w:pos="7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Swingline Exposure or LC Exposure exists at the time any Lender becomes a Defaulting Lender then:</w:t>
      </w:r>
    </w:p>
    <w:p>
      <w:pPr>
        <w:spacing w:after="0" w:line="117" w:lineRule="exact"/>
        <w:rPr>
          <w:rFonts w:ascii="Arial" w:cs="Arial" w:eastAsia="Arial" w:hAnsi="Arial"/>
          <w:sz w:val="18"/>
          <w:szCs w:val="18"/>
          <w:color w:val="auto"/>
        </w:rPr>
      </w:pPr>
    </w:p>
    <w:p>
      <w:pPr>
        <w:ind w:left="440" w:right="80" w:firstLine="419"/>
        <w:spacing w:after="0" w:line="270" w:lineRule="auto"/>
        <w:tabs>
          <w:tab w:leader="none" w:pos="1078" w:val="left"/>
        </w:tabs>
        <w:numPr>
          <w:ilvl w:val="1"/>
          <w:numId w:val="144"/>
        </w:numPr>
        <w:rPr>
          <w:rFonts w:ascii="Arial" w:cs="Arial" w:eastAsia="Arial" w:hAnsi="Arial"/>
          <w:sz w:val="17"/>
          <w:szCs w:val="17"/>
          <w:color w:val="auto"/>
        </w:rPr>
      </w:pPr>
      <w:r>
        <w:rPr>
          <w:rFonts w:ascii="Arial" w:cs="Arial" w:eastAsia="Arial" w:hAnsi="Arial"/>
          <w:sz w:val="17"/>
          <w:szCs w:val="17"/>
          <w:color w:val="auto"/>
        </w:rPr>
        <w:t>the Swingline Exposure and LC Exposure of such Defaulting Lender shall be reallocated among the non-Defaulting Lenders under the Revolving Facility (the “</w:t>
      </w:r>
      <w:r>
        <w:rPr>
          <w:rFonts w:ascii="Arial" w:cs="Arial" w:eastAsia="Arial" w:hAnsi="Arial"/>
          <w:sz w:val="17"/>
          <w:szCs w:val="17"/>
          <w:u w:val="single" w:color="auto"/>
          <w:color w:val="auto"/>
        </w:rPr>
        <w:t>Non-Defaulting Revolving Lenders</w:t>
      </w:r>
      <w:r>
        <w:rPr>
          <w:rFonts w:ascii="Arial" w:cs="Arial" w:eastAsia="Arial" w:hAnsi="Arial"/>
          <w:sz w:val="17"/>
          <w:szCs w:val="17"/>
          <w:color w:val="auto"/>
        </w:rPr>
        <w:t xml:space="preserve">”) in accordance with their respective Applicable Revolving Credit Percentages but only to the extent that (A) the sum of the Revolving Credit Exposures of all non-Defaulting Lenders attributable to the Revolving Credit Commitments of any Class does not exceed the total of the Revolving Credit Commitments of all Non-Defaulting Revolving Lenders of such Class and (B) the Revolving Credit Exposure of any non-Defaulting Lender that is attributable to its Revolving Credit Commitment of such Class does not exceed such non-Defaulting Lender’s Revolving Credit Commitment of such Class; it being understood and agreed that, subject to </w:t>
      </w:r>
      <w:r>
        <w:rPr>
          <w:rFonts w:ascii="Arial" w:cs="Arial" w:eastAsia="Arial" w:hAnsi="Arial"/>
          <w:sz w:val="17"/>
          <w:szCs w:val="17"/>
          <w:u w:val="single" w:color="auto"/>
          <w:color w:val="auto"/>
        </w:rPr>
        <w:t>Section 9.23</w:t>
      </w:r>
      <w:r>
        <w:rPr>
          <w:rFonts w:ascii="Arial" w:cs="Arial" w:eastAsia="Arial" w:hAnsi="Arial"/>
          <w:sz w:val="17"/>
          <w:szCs w:val="17"/>
          <w:color w:val="auto"/>
        </w:rPr>
        <w:t>, no reallocation hereunder shall constitute a waiver or release of any claim of any party hereunder against any Defaulting Lender arising from such Lender’s having become a Defaulting Lender, including any claim of any Non-Defaulting Lender as a result of such Non-Defaulting Lender’s increased exposure following such reallocation;</w:t>
      </w:r>
    </w:p>
    <w:p>
      <w:pPr>
        <w:spacing w:after="0" w:line="72" w:lineRule="exact"/>
        <w:rPr>
          <w:rFonts w:ascii="Arial" w:cs="Arial" w:eastAsia="Arial" w:hAnsi="Arial"/>
          <w:sz w:val="17"/>
          <w:szCs w:val="17"/>
          <w:color w:val="auto"/>
        </w:rPr>
      </w:pPr>
    </w:p>
    <w:p>
      <w:pPr>
        <w:ind w:left="440" w:firstLine="419"/>
        <w:spacing w:after="0" w:line="287" w:lineRule="auto"/>
        <w:tabs>
          <w:tab w:leader="none" w:pos="1128" w:val="left"/>
        </w:tabs>
        <w:numPr>
          <w:ilvl w:val="1"/>
          <w:numId w:val="144"/>
        </w:numPr>
        <w:rPr>
          <w:rFonts w:ascii="Arial" w:cs="Arial" w:eastAsia="Arial" w:hAnsi="Arial"/>
          <w:sz w:val="16"/>
          <w:szCs w:val="16"/>
          <w:color w:val="auto"/>
        </w:rPr>
      </w:pPr>
      <w:r>
        <w:rPr>
          <w:rFonts w:ascii="Arial" w:cs="Arial" w:eastAsia="Arial" w:hAnsi="Arial"/>
          <w:sz w:val="16"/>
          <w:szCs w:val="16"/>
          <w:color w:val="auto"/>
        </w:rPr>
        <w:t xml:space="preserve">if the reallocation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cannot, or can only partially, be effected, the Borrower shall, without prejudice to any other right or remedy available to it hereunder or under applicable Requirements of Law, within two Business Days following notice by the Administrative Agent, Cash collateralize 100% of such Defaulting Lender’s LC Exposure and any obligation of such Defaulting Lender to fund any participation in any Swingline Exposure (after giving effect to any partial reallocation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and any Cash collateral provided by such Defaulting Lender or pursuant to </w:t>
      </w:r>
      <w:r>
        <w:rPr>
          <w:rFonts w:ascii="Arial" w:cs="Arial" w:eastAsia="Arial" w:hAnsi="Arial"/>
          <w:sz w:val="16"/>
          <w:szCs w:val="16"/>
          <w:u w:val="single" w:color="auto"/>
          <w:color w:val="auto"/>
        </w:rPr>
        <w:t>Section 2.21(c)</w:t>
      </w:r>
      <w:r>
        <w:rPr>
          <w:rFonts w:ascii="Arial" w:cs="Arial" w:eastAsia="Arial" w:hAnsi="Arial"/>
          <w:sz w:val="16"/>
          <w:szCs w:val="16"/>
          <w:color w:val="auto"/>
        </w:rPr>
        <w:t xml:space="preserve"> above) or make other arrangements reasonably satisfactory to the Administrative Agent and to the applicable Issuing Bank and/or the Swingline Lender with respect to such LC Exposure and/or Swingline Exposure and any obligation to fund any participation therein. Cash collateral (or the appropriate portion thereof) provided to reduce LC Exposure or other obligations shall be released promptly following (A) the elimination of the applicable LC Exposure or other obligations giving rise thereto (including by the termination of the Defaulting Lender status of the applicable Lender (or, as appropriate, its assignee following compliance with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or (B) the Administrative Agent’s good faith determination that there exists excess Cash collateral (including as a result of any subsequent reallocation of Swingline Exposure and/or LC Exposure among the non-Defaulting Lenders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w:t>
      </w:r>
    </w:p>
    <w:p>
      <w:pPr>
        <w:spacing w:after="0" w:line="63" w:lineRule="exact"/>
        <w:rPr>
          <w:rFonts w:ascii="Arial" w:cs="Arial" w:eastAsia="Arial" w:hAnsi="Arial"/>
          <w:sz w:val="16"/>
          <w:szCs w:val="16"/>
          <w:color w:val="auto"/>
        </w:rPr>
      </w:pPr>
    </w:p>
    <w:p>
      <w:pPr>
        <w:ind w:left="440" w:right="80" w:firstLine="419"/>
        <w:spacing w:after="0" w:line="308" w:lineRule="auto"/>
        <w:tabs>
          <w:tab w:leader="none" w:pos="1178" w:val="left"/>
        </w:tabs>
        <w:numPr>
          <w:ilvl w:val="1"/>
          <w:numId w:val="144"/>
        </w:numPr>
        <w:rPr>
          <w:rFonts w:ascii="Arial" w:cs="Arial" w:eastAsia="Arial" w:hAnsi="Arial"/>
          <w:sz w:val="17"/>
          <w:szCs w:val="17"/>
          <w:color w:val="auto"/>
        </w:rPr>
      </w:pPr>
      <w:r>
        <w:rPr>
          <w:rFonts w:ascii="Arial" w:cs="Arial" w:eastAsia="Arial" w:hAnsi="Arial"/>
          <w:sz w:val="17"/>
          <w:szCs w:val="17"/>
          <w:color w:val="auto"/>
        </w:rPr>
        <w:t xml:space="preserve">if the LC Exposure of the non-Defaulting Lenders is reallocated pursuant to this </w:t>
      </w:r>
      <w:r>
        <w:rPr>
          <w:rFonts w:ascii="Arial" w:cs="Arial" w:eastAsia="Arial" w:hAnsi="Arial"/>
          <w:sz w:val="17"/>
          <w:szCs w:val="17"/>
          <w:u w:val="single" w:color="auto"/>
          <w:color w:val="auto"/>
        </w:rPr>
        <w:t>Section 2.21(d)</w:t>
      </w:r>
      <w:r>
        <w:rPr>
          <w:rFonts w:ascii="Arial" w:cs="Arial" w:eastAsia="Arial" w:hAnsi="Arial"/>
          <w:sz w:val="17"/>
          <w:szCs w:val="17"/>
          <w:color w:val="auto"/>
        </w:rPr>
        <w:t xml:space="preserve">, then the fees payable to the applicable Lenders pursuant to </w:t>
      </w:r>
      <w:r>
        <w:rPr>
          <w:rFonts w:ascii="Arial" w:cs="Arial" w:eastAsia="Arial" w:hAnsi="Arial"/>
          <w:sz w:val="17"/>
          <w:szCs w:val="17"/>
          <w:u w:val="single" w:color="auto"/>
          <w:color w:val="auto"/>
        </w:rPr>
        <w:t>Sections 2.12(a)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as the case may be, shall be adjusted to give effect to such reallocation; and</w:t>
      </w:r>
    </w:p>
    <w:p>
      <w:pPr>
        <w:spacing w:after="0" w:line="38" w:lineRule="exact"/>
        <w:rPr>
          <w:rFonts w:ascii="Arial" w:cs="Arial" w:eastAsia="Arial" w:hAnsi="Arial"/>
          <w:sz w:val="17"/>
          <w:szCs w:val="17"/>
          <w:color w:val="auto"/>
        </w:rPr>
      </w:pPr>
    </w:p>
    <w:p>
      <w:pPr>
        <w:ind w:left="440" w:right="60" w:firstLine="419"/>
        <w:spacing w:after="0" w:line="259" w:lineRule="auto"/>
        <w:tabs>
          <w:tab w:leader="none" w:pos="116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xml:space="preserve">if any Defaulting Lender’s LC Exposure is not Cash collateralized, prepaid or reallocated pursuant to this </w:t>
      </w:r>
      <w:r>
        <w:rPr>
          <w:rFonts w:ascii="Arial" w:cs="Arial" w:eastAsia="Arial" w:hAnsi="Arial"/>
          <w:sz w:val="18"/>
          <w:szCs w:val="18"/>
          <w:u w:val="single" w:color="auto"/>
          <w:color w:val="auto"/>
        </w:rPr>
        <w:t>Section 2.21(d)</w:t>
      </w:r>
      <w:r>
        <w:rPr>
          <w:rFonts w:ascii="Arial" w:cs="Arial" w:eastAsia="Arial" w:hAnsi="Arial"/>
          <w:sz w:val="18"/>
          <w:szCs w:val="18"/>
          <w:color w:val="auto"/>
        </w:rPr>
        <w:t xml:space="preserve">, then, without prejudice to any rights or remedies of the applicable Issuing Bank or any Revolving Lender hereunder, all letter of credit fees payable under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with respect to such Defaulting Lender’s LC Exposure shall be payable to the applicable Issuing Bank until such Defaulting Lender’s LC Exposure is Cash collateralized or reallocated.</w:t>
      </w:r>
    </w:p>
    <w:p>
      <w:pPr>
        <w:spacing w:after="0" w:line="78" w:lineRule="exact"/>
        <w:rPr>
          <w:rFonts w:ascii="Arial" w:cs="Arial" w:eastAsia="Arial" w:hAnsi="Arial"/>
          <w:sz w:val="18"/>
          <w:szCs w:val="18"/>
          <w:color w:val="auto"/>
        </w:rPr>
      </w:pPr>
    </w:p>
    <w:p>
      <w:pPr>
        <w:ind w:right="20" w:firstLine="436"/>
        <w:spacing w:after="0" w:line="293" w:lineRule="auto"/>
        <w:tabs>
          <w:tab w:leader="none" w:pos="68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So long as any Revolving Lender is a Defaulting Lender, the Swingline Lender shall not be required to fund any Swingline Loan, and no Issuing Bank shall be required to issue, extend, create, incur, amend or increase any Letter of Credit unless the relevant Issuing Banks, as applicable, are reasonably satisfied that the related exposure will be 100% covered by the Revolving Credit Commitments of the non-Defaulting Revolving Lenders, Cash collateral provided pursuant to </w:t>
      </w:r>
      <w:r>
        <w:rPr>
          <w:rFonts w:ascii="Arial" w:cs="Arial" w:eastAsia="Arial" w:hAnsi="Arial"/>
          <w:sz w:val="16"/>
          <w:szCs w:val="16"/>
          <w:u w:val="single" w:color="auto"/>
          <w:color w:val="auto"/>
        </w:rPr>
        <w:t>Section 2.21(c)</w:t>
      </w:r>
      <w:r>
        <w:rPr>
          <w:rFonts w:ascii="Arial" w:cs="Arial" w:eastAsia="Arial" w:hAnsi="Arial"/>
          <w:sz w:val="16"/>
          <w:szCs w:val="16"/>
          <w:color w:val="auto"/>
        </w:rPr>
        <w:t xml:space="preserve"> and/or Cash collateral provided in accordance with </w:t>
      </w:r>
      <w:r>
        <w:rPr>
          <w:rFonts w:ascii="Arial" w:cs="Arial" w:eastAsia="Arial" w:hAnsi="Arial"/>
          <w:sz w:val="16"/>
          <w:szCs w:val="16"/>
          <w:u w:val="single" w:color="auto"/>
          <w:color w:val="auto"/>
        </w:rPr>
        <w:t>Section 2.21(d)</w:t>
      </w:r>
      <w:r>
        <w:rPr>
          <w:rFonts w:ascii="Arial" w:cs="Arial" w:eastAsia="Arial" w:hAnsi="Arial"/>
          <w:sz w:val="16"/>
          <w:szCs w:val="16"/>
          <w:color w:val="auto"/>
        </w:rPr>
        <w:t xml:space="preserve">, and participating interest in any such newly issued, extended or created Letter of Credit or newly made Swingline Loan shall be allocated among Non-Defaulting Revolving Lenders in a manner consistent with </w:t>
      </w:r>
      <w:r>
        <w:rPr>
          <w:rFonts w:ascii="Arial" w:cs="Arial" w:eastAsia="Arial" w:hAnsi="Arial"/>
          <w:sz w:val="16"/>
          <w:szCs w:val="16"/>
          <w:u w:val="single" w:color="auto"/>
          <w:color w:val="auto"/>
        </w:rPr>
        <w:t>Section 2.21(d)(i)</w:t>
      </w:r>
      <w:r>
        <w:rPr>
          <w:rFonts w:ascii="Arial" w:cs="Arial" w:eastAsia="Arial" w:hAnsi="Arial"/>
          <w:sz w:val="16"/>
          <w:szCs w:val="16"/>
          <w:color w:val="auto"/>
        </w:rPr>
        <w:t xml:space="preserve"> (it being understood that Defaulting Lenders shall not participate therein).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0"/>
          </w:cols>
          <w:pgMar w:left="440" w:top="274" w:right="459" w:bottom="1440" w:gutter="0" w:footer="0" w:header="0"/>
        </w:sectPr>
      </w:pPr>
    </w:p>
    <w:bookmarkStart w:id="111" w:name="page112"/>
    <w:bookmarkEnd w:id="111"/>
    <w:p>
      <w:pPr>
        <w:ind w:left="4" w:firstLine="436"/>
        <w:spacing w:after="0" w:line="284" w:lineRule="auto"/>
        <w:tabs>
          <w:tab w:leader="none" w:pos="669" w:val="left"/>
        </w:tabs>
        <w:numPr>
          <w:ilvl w:val="1"/>
          <w:numId w:val="1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Administrative Agent and the Borrower agree that any Defaulting Lender has adequately remedied all matters that caused such Person to be a Defaulting Lender, then the Applicable Revolving Credit Percentage of LC Exposure and the Swingline Exposure of the Revolving Lenders shall be readjusted to reflect the inclusion of such Person’s Revolving Credit Commitment, and on such date such Revolving Lender shall purchase at par such of the Revolving Loans of the applicable Class of the other Revolving Lenders (other than any Swingline Loan) or participations in Revolving Loans of the applicable Class as the Administrative Agent determine as necessary in order for such Revolving Lender to hold such Revolving Loans or participations in accordance with its Applicable Percentage of the applicable Class or its Applicable Revolving Credit Percentage, as applicable. Notwithstanding the fact that any Defaulting Lender has adequately remedied all matters that caused such Person to be a Defaulting Lender,</w:t>
      </w:r>
    </w:p>
    <w:p>
      <w:pPr>
        <w:spacing w:after="0" w:line="2" w:lineRule="exact"/>
        <w:rPr>
          <w:rFonts w:ascii="Arial" w:cs="Arial" w:eastAsia="Arial" w:hAnsi="Arial"/>
          <w:sz w:val="16"/>
          <w:szCs w:val="16"/>
          <w:color w:val="auto"/>
        </w:rPr>
      </w:pPr>
    </w:p>
    <w:p>
      <w:pPr>
        <w:ind w:left="4" w:right="220" w:hanging="4"/>
        <w:spacing w:after="0" w:line="302" w:lineRule="auto"/>
        <w:tabs>
          <w:tab w:leader="none" w:pos="259" w:val="left"/>
        </w:tabs>
        <w:numPr>
          <w:ilvl w:val="0"/>
          <w:numId w:val="146"/>
        </w:numPr>
        <w:rPr>
          <w:rFonts w:ascii="Arial" w:cs="Arial" w:eastAsia="Arial" w:hAnsi="Arial"/>
          <w:sz w:val="16"/>
          <w:szCs w:val="16"/>
          <w:color w:val="auto"/>
        </w:rPr>
      </w:pPr>
      <w:r>
        <w:rPr>
          <w:rFonts w:ascii="Arial" w:cs="Arial" w:eastAsia="Arial" w:hAnsi="Arial"/>
          <w:sz w:val="16"/>
          <w:szCs w:val="16"/>
          <w:color w:val="auto"/>
        </w:rPr>
        <w:t>no adjustment will be made retroactively with respect to fees accrued or payments made by or on behalf of the Borrower while such Lender was a Defaulting Lender and (y) except to the extent otherwise expressly agreed by the affected parties, no change hereunder from Defaulting Lender to Lender will constitute a waiver or release of any claim of any party hereunder arising from such Person’s having been a Defaulting Lender.</w:t>
      </w:r>
    </w:p>
    <w:p>
      <w:pPr>
        <w:spacing w:after="0" w:line="15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u w:val="single" w:color="auto"/>
          <w:color w:val="auto"/>
        </w:rPr>
        <w:t>Incremental Credit Extensions</w:t>
      </w:r>
      <w:r>
        <w:rPr>
          <w:rFonts w:ascii="Arial" w:cs="Arial" w:eastAsia="Arial" w:hAnsi="Arial"/>
          <w:sz w:val="18"/>
          <w:szCs w:val="18"/>
          <w:color w:val="auto"/>
        </w:rPr>
        <w:t>.</w:t>
      </w:r>
    </w:p>
    <w:p>
      <w:pPr>
        <w:spacing w:after="0" w:line="117" w:lineRule="exact"/>
        <w:rPr>
          <w:sz w:val="20"/>
          <w:szCs w:val="20"/>
          <w:color w:val="auto"/>
        </w:rPr>
      </w:pPr>
    </w:p>
    <w:p>
      <w:pPr>
        <w:ind w:left="4" w:right="20" w:firstLine="436"/>
        <w:spacing w:after="0" w:line="272" w:lineRule="auto"/>
        <w:tabs>
          <w:tab w:leader="none" w:pos="689"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Borrower may, at any time, on one or more occasions pursuant to an Incremental Facility Amendment (x) add one or more new Classes of term facilities and/or increase the principal amount of the Term Loans of any existing Class by requesting new commitments to provide such Term Loans (any such new Class or increase, an “</w:t>
      </w:r>
      <w:r>
        <w:rPr>
          <w:rFonts w:ascii="Arial" w:cs="Arial" w:eastAsia="Arial" w:hAnsi="Arial"/>
          <w:sz w:val="17"/>
          <w:szCs w:val="17"/>
          <w:u w:val="single" w:color="auto"/>
          <w:color w:val="auto"/>
        </w:rPr>
        <w:t>Incremental Term Facility</w:t>
      </w:r>
      <w:r>
        <w:rPr>
          <w:rFonts w:ascii="Arial" w:cs="Arial" w:eastAsia="Arial" w:hAnsi="Arial"/>
          <w:sz w:val="17"/>
          <w:szCs w:val="17"/>
          <w:color w:val="auto"/>
        </w:rPr>
        <w:t>” and any loan made pursuant to an Incremental Term Facility, an “</w:t>
      </w:r>
      <w:r>
        <w:rPr>
          <w:rFonts w:ascii="Arial" w:cs="Arial" w:eastAsia="Arial" w:hAnsi="Arial"/>
          <w:sz w:val="17"/>
          <w:szCs w:val="17"/>
          <w:u w:val="single" w:color="auto"/>
          <w:color w:val="auto"/>
        </w:rPr>
        <w:t>Incremental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Term Loan</w:t>
      </w:r>
      <w:r>
        <w:rPr>
          <w:rFonts w:ascii="Arial" w:cs="Arial" w:eastAsia="Arial" w:hAnsi="Arial"/>
          <w:sz w:val="17"/>
          <w:szCs w:val="17"/>
          <w:color w:val="auto"/>
        </w:rPr>
        <w:t>”) and/or (y) increase the aggregate amount of the Revolving Credit Commitments of any existing Class (any such increase, an “</w:t>
      </w:r>
      <w:r>
        <w:rPr>
          <w:rFonts w:ascii="Arial" w:cs="Arial" w:eastAsia="Arial" w:hAnsi="Arial"/>
          <w:sz w:val="17"/>
          <w:szCs w:val="17"/>
          <w:u w:val="single" w:color="auto"/>
          <w:color w:val="auto"/>
        </w:rPr>
        <w:t>Incremental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Revolving Facility</w:t>
      </w:r>
      <w:r>
        <w:rPr>
          <w:rFonts w:ascii="Arial" w:cs="Arial" w:eastAsia="Arial" w:hAnsi="Arial"/>
          <w:sz w:val="17"/>
          <w:szCs w:val="17"/>
          <w:color w:val="auto"/>
        </w:rPr>
        <w:t>” and, together with any Incremental Term Facility, “</w:t>
      </w:r>
      <w:r>
        <w:rPr>
          <w:rFonts w:ascii="Arial" w:cs="Arial" w:eastAsia="Arial" w:hAnsi="Arial"/>
          <w:sz w:val="17"/>
          <w:szCs w:val="17"/>
          <w:u w:val="single" w:color="auto"/>
          <w:color w:val="auto"/>
        </w:rPr>
        <w:t>Incremental Facilities</w:t>
      </w:r>
      <w:r>
        <w:rPr>
          <w:rFonts w:ascii="Arial" w:cs="Arial" w:eastAsia="Arial" w:hAnsi="Arial"/>
          <w:sz w:val="17"/>
          <w:szCs w:val="17"/>
          <w:color w:val="auto"/>
        </w:rPr>
        <w:t>”; and the loans thereunder, “</w:t>
      </w:r>
      <w:r>
        <w:rPr>
          <w:rFonts w:ascii="Arial" w:cs="Arial" w:eastAsia="Arial" w:hAnsi="Arial"/>
          <w:sz w:val="17"/>
          <w:szCs w:val="17"/>
          <w:u w:val="single" w:color="auto"/>
          <w:color w:val="auto"/>
        </w:rPr>
        <w:t>Incremental Revolving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Loans</w:t>
      </w:r>
      <w:r>
        <w:rPr>
          <w:rFonts w:ascii="Arial" w:cs="Arial" w:eastAsia="Arial" w:hAnsi="Arial"/>
          <w:sz w:val="17"/>
          <w:szCs w:val="17"/>
          <w:color w:val="auto"/>
        </w:rPr>
        <w:t>” and any Incremental Revolving Loans, together with any Incremental Term Loans, the “</w:t>
      </w:r>
      <w:r>
        <w:rPr>
          <w:rFonts w:ascii="Arial" w:cs="Arial" w:eastAsia="Arial" w:hAnsi="Arial"/>
          <w:sz w:val="17"/>
          <w:szCs w:val="17"/>
          <w:u w:val="single" w:color="auto"/>
          <w:color w:val="auto"/>
        </w:rPr>
        <w:t>Incremental Loans</w:t>
      </w:r>
      <w:r>
        <w:rPr>
          <w:rFonts w:ascii="Arial" w:cs="Arial" w:eastAsia="Arial" w:hAnsi="Arial"/>
          <w:sz w:val="17"/>
          <w:szCs w:val="17"/>
          <w:color w:val="auto"/>
        </w:rPr>
        <w:t xml:space="preserve">”) in an aggregate outstanding principal amount not to exceed the Incremental Cap; </w:t>
      </w:r>
      <w:r>
        <w:rPr>
          <w:rFonts w:ascii="Arial" w:cs="Arial" w:eastAsia="Arial" w:hAnsi="Arial"/>
          <w:sz w:val="17"/>
          <w:szCs w:val="17"/>
          <w:u w:val="single" w:color="auto"/>
          <w:color w:val="auto"/>
        </w:rPr>
        <w:t>provided</w:t>
      </w:r>
      <w:r>
        <w:rPr>
          <w:rFonts w:ascii="Arial" w:cs="Arial" w:eastAsia="Arial" w:hAnsi="Arial"/>
          <w:sz w:val="17"/>
          <w:szCs w:val="17"/>
          <w:color w:val="auto"/>
        </w:rPr>
        <w:t>, that:</w:t>
      </w:r>
    </w:p>
    <w:p>
      <w:pPr>
        <w:spacing w:after="0" w:line="69" w:lineRule="exact"/>
        <w:rPr>
          <w:rFonts w:ascii="Arial" w:cs="Arial" w:eastAsia="Arial" w:hAnsi="Arial"/>
          <w:sz w:val="17"/>
          <w:szCs w:val="17"/>
          <w:color w:val="auto"/>
        </w:rPr>
      </w:pPr>
    </w:p>
    <w:p>
      <w:pPr>
        <w:ind w:left="444" w:right="20" w:firstLine="419"/>
        <w:spacing w:after="0" w:line="277" w:lineRule="auto"/>
        <w:tabs>
          <w:tab w:leader="none" w:pos="108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no Incremental Commitment in respect of any Incremental Term Facility may be in an amount that is less than $5,000,000 (or such lesser amount to which the Administrative Agent may reasonably agree);</w:t>
      </w:r>
    </w:p>
    <w:p>
      <w:pPr>
        <w:spacing w:after="0" w:line="62" w:lineRule="exact"/>
        <w:rPr>
          <w:rFonts w:ascii="Arial" w:cs="Arial" w:eastAsia="Arial" w:hAnsi="Arial"/>
          <w:sz w:val="18"/>
          <w:szCs w:val="18"/>
          <w:color w:val="auto"/>
        </w:rPr>
      </w:pPr>
    </w:p>
    <w:p>
      <w:pPr>
        <w:jc w:val="both"/>
        <w:ind w:left="444" w:firstLine="419"/>
        <w:spacing w:after="0" w:line="286" w:lineRule="auto"/>
        <w:tabs>
          <w:tab w:leader="none" w:pos="1132" w:val="left"/>
        </w:tabs>
        <w:numPr>
          <w:ilvl w:val="1"/>
          <w:numId w:val="147"/>
        </w:numPr>
        <w:rPr>
          <w:rFonts w:ascii="Arial" w:cs="Arial" w:eastAsia="Arial" w:hAnsi="Arial"/>
          <w:sz w:val="17"/>
          <w:szCs w:val="17"/>
          <w:color w:val="auto"/>
        </w:rPr>
      </w:pPr>
      <w:r>
        <w:rPr>
          <w:rFonts w:ascii="Arial" w:cs="Arial" w:eastAsia="Arial" w:hAnsi="Arial"/>
          <w:sz w:val="17"/>
          <w:szCs w:val="17"/>
          <w:color w:val="auto"/>
        </w:rPr>
        <w:t>except as the Borrower and any Lender may separately agree, no Lender shall be obligated to provide any Incremental Commitment, and the determination to provide any Incremental Commitment shall be within the sole and absolute discretion of such Lender (it being agreed that the Borrower shall not be obligated to offer the opportunity to any Lender to participate in any Incremental Facility);</w:t>
      </w:r>
    </w:p>
    <w:p>
      <w:pPr>
        <w:spacing w:after="0" w:line="57" w:lineRule="exact"/>
        <w:rPr>
          <w:rFonts w:ascii="Arial" w:cs="Arial" w:eastAsia="Arial" w:hAnsi="Arial"/>
          <w:sz w:val="17"/>
          <w:szCs w:val="17"/>
          <w:color w:val="auto"/>
        </w:rPr>
      </w:pPr>
    </w:p>
    <w:p>
      <w:pPr>
        <w:ind w:left="444" w:right="240" w:firstLine="419"/>
        <w:spacing w:after="0" w:line="342" w:lineRule="auto"/>
        <w:tabs>
          <w:tab w:leader="none" w:pos="1182" w:val="left"/>
        </w:tabs>
        <w:numPr>
          <w:ilvl w:val="1"/>
          <w:numId w:val="147"/>
        </w:numPr>
        <w:rPr>
          <w:rFonts w:ascii="Arial" w:cs="Arial" w:eastAsia="Arial" w:hAnsi="Arial"/>
          <w:sz w:val="16"/>
          <w:szCs w:val="16"/>
          <w:color w:val="auto"/>
        </w:rPr>
      </w:pPr>
      <w:r>
        <w:rPr>
          <w:rFonts w:ascii="Arial" w:cs="Arial" w:eastAsia="Arial" w:hAnsi="Arial"/>
          <w:sz w:val="16"/>
          <w:szCs w:val="16"/>
          <w:color w:val="auto"/>
        </w:rPr>
        <w:t>no Incremental Facility or Incremental Loan (nor the creation, provision or implementation thereof) shall require the approval of any existing Lender other than in its capacity, if any, as a lender providing all or part of any Incremental Commitment or Incremental Loan;</w:t>
      </w:r>
    </w:p>
    <w:p>
      <w:pPr>
        <w:spacing w:after="0" w:line="15" w:lineRule="exact"/>
        <w:rPr>
          <w:rFonts w:ascii="Arial" w:cs="Arial" w:eastAsia="Arial" w:hAnsi="Arial"/>
          <w:sz w:val="16"/>
          <w:szCs w:val="16"/>
          <w:color w:val="auto"/>
        </w:rPr>
      </w:pPr>
    </w:p>
    <w:p>
      <w:pPr>
        <w:ind w:left="444" w:right="120" w:firstLine="419"/>
        <w:spacing w:after="0" w:line="308" w:lineRule="auto"/>
        <w:tabs>
          <w:tab w:leader="none" w:pos="1172" w:val="left"/>
        </w:tabs>
        <w:numPr>
          <w:ilvl w:val="1"/>
          <w:numId w:val="147"/>
        </w:numPr>
        <w:rPr>
          <w:rFonts w:ascii="Arial" w:cs="Arial" w:eastAsia="Arial" w:hAnsi="Arial"/>
          <w:sz w:val="17"/>
          <w:szCs w:val="17"/>
          <w:color w:val="auto"/>
        </w:rPr>
      </w:pPr>
      <w:r>
        <w:rPr>
          <w:rFonts w:ascii="Arial" w:cs="Arial" w:eastAsia="Arial" w:hAnsi="Arial"/>
          <w:sz w:val="17"/>
          <w:szCs w:val="17"/>
          <w:color w:val="auto"/>
        </w:rPr>
        <w:t>except as otherwise permitted herein (including with respect to currency, pricing (including any “MFN” or other pricing term), interest rate margins, rate floors, fees, premiums (including prepayment premiums), funding discounts, maturity and amortization):</w:t>
      </w:r>
    </w:p>
    <w:p>
      <w:pPr>
        <w:spacing w:after="0" w:line="38" w:lineRule="exact"/>
        <w:rPr>
          <w:rFonts w:ascii="Arial" w:cs="Arial" w:eastAsia="Arial" w:hAnsi="Arial"/>
          <w:sz w:val="17"/>
          <w:szCs w:val="17"/>
          <w:color w:val="auto"/>
        </w:rPr>
      </w:pPr>
    </w:p>
    <w:p>
      <w:pPr>
        <w:ind w:left="984" w:right="40" w:firstLine="408"/>
        <w:spacing w:after="0" w:line="255" w:lineRule="auto"/>
        <w:tabs>
          <w:tab w:leader="none" w:pos="168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the terms of any Incremental Term Facility, if not substantially consistent with those applicable to any then-existing Class of Term Loans, must be reasonably acceptable to the Administrative Agent; it being agreed that any terms applicable to such Incremental Term Facility that (1) are applicable only after the then-existing Latest Term Loan Maturity Date, (2) are, taken as a whole, in the good faith determination of the Borrower, not more favorable to the lenders or the agent of such Incremental Term Facility than those contained in the Loan Documents, (3) are more favorable to the lenders or the agent of such Incremental Term Facility than those contained in the Loan Documents and are then conformed (or added) to the Loan</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84"/>
          </w:cols>
          <w:pgMar w:left="436" w:top="274" w:right="479" w:bottom="1440" w:gutter="0" w:footer="0" w:header="0"/>
        </w:sectPr>
      </w:pPr>
    </w:p>
    <w:bookmarkStart w:id="112" w:name="page113"/>
    <w:bookmarkEnd w:id="112"/>
    <w:p>
      <w:pPr>
        <w:ind w:left="540"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for the benefit of the Term Lenders or, as applicable, the Administrative Agent (</w:t>
      </w:r>
      <w:r>
        <w:rPr>
          <w:rFonts w:ascii="Arial" w:cs="Arial" w:eastAsia="Arial" w:hAnsi="Arial"/>
          <w:sz w:val="18"/>
          <w:szCs w:val="18"/>
          <w:i w:val="1"/>
          <w:iCs w:val="1"/>
          <w:color w:val="auto"/>
        </w:rPr>
        <w:t>i.e.</w:t>
      </w:r>
      <w:r>
        <w:rPr>
          <w:rFonts w:ascii="Arial" w:cs="Arial" w:eastAsia="Arial" w:hAnsi="Arial"/>
          <w:sz w:val="18"/>
          <w:szCs w:val="18"/>
          <w:color w:val="auto"/>
        </w:rPr>
        <w:t xml:space="preserve">, by conforming or adding a term to the then-outstanding Term Loans pursuant to the applicable Incremental Facility Amendment) and/or (4) taken as a whole, reflect then current market terms and conditions at the time of the incurrence or issuance of such Incremental Term Facility (as determined by the Borrower in good faith), shall, in each case, be deemed to be satisfactory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the foregoing, any Incremental Term Facility may be structured as a “delayed draw” facility with such conditions to borrowing thereunder as the Borrower and the relevant Incremental Lenders may agree; and</w:t>
      </w:r>
    </w:p>
    <w:p>
      <w:pPr>
        <w:spacing w:after="0" w:line="84" w:lineRule="exact"/>
        <w:rPr>
          <w:sz w:val="20"/>
          <w:szCs w:val="20"/>
          <w:color w:val="auto"/>
        </w:rPr>
      </w:pPr>
    </w:p>
    <w:p>
      <w:pPr>
        <w:ind w:left="540" w:right="360" w:firstLine="408"/>
        <w:spacing w:after="0" w:line="286" w:lineRule="auto"/>
        <w:tabs>
          <w:tab w:leader="none" w:pos="1226"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terms of any Incremental Revolving Facility (for the avoidance of doubt, other than any arrangement, commitment, structuring, underwriting, ticking and/or amendment fee paid or to be paid in connection with the implementation of such Incremental Revolving Facility) shall be consistent with the terms of a then-existing Revolving Facility (if any);</w:t>
      </w:r>
    </w:p>
    <w:p>
      <w:pPr>
        <w:spacing w:after="0" w:line="57" w:lineRule="exact"/>
        <w:rPr>
          <w:rFonts w:ascii="Arial" w:cs="Arial" w:eastAsia="Arial" w:hAnsi="Arial"/>
          <w:sz w:val="17"/>
          <w:szCs w:val="17"/>
          <w:color w:val="auto"/>
        </w:rPr>
      </w:pPr>
    </w:p>
    <w:p>
      <w:pPr>
        <w:ind w:right="180" w:firstLine="419"/>
        <w:spacing w:after="0" w:line="286" w:lineRule="auto"/>
        <w:tabs>
          <w:tab w:leader="none" w:pos="67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the currency, pricing (including any “MFN” or other pricing term), interest rate margins, rate floors, fees, premiums (including any prepayment premium), funding discounts and, subject to </w:t>
      </w:r>
      <w:r>
        <w:rPr>
          <w:rFonts w:ascii="Arial" w:cs="Arial" w:eastAsia="Arial" w:hAnsi="Arial"/>
          <w:sz w:val="17"/>
          <w:szCs w:val="17"/>
          <w:u w:val="single" w:color="auto"/>
          <w:color w:val="auto"/>
        </w:rPr>
        <w:t>clauses (vi)</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below, the maturity and amortization schedule applicable to any Incremental Facility shall be determined by the Borrower and the lender or lenders providing such Incremental Facility;</w:t>
      </w:r>
    </w:p>
    <w:p>
      <w:pPr>
        <w:spacing w:after="0" w:line="57" w:lineRule="exact"/>
        <w:rPr>
          <w:rFonts w:ascii="Arial" w:cs="Arial" w:eastAsia="Arial" w:hAnsi="Arial"/>
          <w:sz w:val="17"/>
          <w:szCs w:val="17"/>
          <w:color w:val="auto"/>
        </w:rPr>
      </w:pPr>
    </w:p>
    <w:p>
      <w:pPr>
        <w:ind w:right="60" w:firstLine="419"/>
        <w:spacing w:after="0" w:line="279" w:lineRule="auto"/>
        <w:tabs>
          <w:tab w:leader="none" w:pos="72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other than with respect to any Incremental Term Facility consisting of Indebtedness in the form of Customary Bridge Loans, the final maturity date with respect to any Class of Incremental Term Loan shall be no earlier than the then-existing Latest Term Loan Maturity Date, it being understood and agreed for the avoidance of doubt that any undrawn commitment in respect of any Incremental Term Facility may terminate at such time as the Borrower and the lenders providing the relevant Incremental Term Facility may agree;</w:t>
      </w:r>
    </w:p>
    <w:p>
      <w:pPr>
        <w:spacing w:after="0" w:line="63" w:lineRule="exact"/>
        <w:rPr>
          <w:rFonts w:ascii="Arial" w:cs="Arial" w:eastAsia="Arial" w:hAnsi="Arial"/>
          <w:sz w:val="17"/>
          <w:szCs w:val="17"/>
          <w:color w:val="auto"/>
        </w:rPr>
      </w:pPr>
    </w:p>
    <w:p>
      <w:pPr>
        <w:ind w:firstLine="419"/>
        <w:spacing w:after="0" w:line="259" w:lineRule="auto"/>
        <w:tabs>
          <w:tab w:leader="none" w:pos="77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other than with respect to any Incremental Term Facility consisting of Indebtedness in the form of Customary Bridge Loans, the Weighted Average Life to Maturity of any Incremental Term Facility shall be no shorter than the remaining Weighted Average Life to Maturity of any then-existing tranche of Term Loans (without giving effect to any prepayment thereof that would otherwise modify the Weighted Average Life to Maturity thereof);</w:t>
      </w:r>
    </w:p>
    <w:p>
      <w:pPr>
        <w:spacing w:after="0" w:line="78" w:lineRule="exact"/>
        <w:rPr>
          <w:rFonts w:ascii="Arial" w:cs="Arial" w:eastAsia="Arial" w:hAnsi="Arial"/>
          <w:sz w:val="18"/>
          <w:szCs w:val="18"/>
          <w:color w:val="auto"/>
        </w:rPr>
      </w:pPr>
    </w:p>
    <w:p>
      <w:pPr>
        <w:ind w:right="160" w:firstLine="419"/>
        <w:spacing w:after="0" w:line="277" w:lineRule="auto"/>
        <w:tabs>
          <w:tab w:leader="none" w:pos="82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clauses (vi)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above, any Incremental Term Facility may otherwise have an amortization schedule as determined by the Borrower and the lenders providing such Incremental Term Facility;</w:t>
      </w:r>
    </w:p>
    <w:p>
      <w:pPr>
        <w:spacing w:after="0" w:line="62" w:lineRule="exact"/>
        <w:rPr>
          <w:rFonts w:ascii="Arial" w:cs="Arial" w:eastAsia="Arial" w:hAnsi="Arial"/>
          <w:sz w:val="18"/>
          <w:szCs w:val="18"/>
          <w:color w:val="auto"/>
        </w:rPr>
      </w:pPr>
    </w:p>
    <w:p>
      <w:pPr>
        <w:ind w:right="60" w:firstLine="419"/>
        <w:spacing w:after="0" w:line="277" w:lineRule="auto"/>
        <w:tabs>
          <w:tab w:leader="none" w:pos="72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above, to the extent applicable, any fee payable in connection with any Incremental Facility shall be determined by the Borrower and the arrangers and/or lenders providing such Incremental Facility;</w:t>
      </w:r>
    </w:p>
    <w:p>
      <w:pPr>
        <w:spacing w:after="0" w:line="62" w:lineRule="exact"/>
        <w:rPr>
          <w:rFonts w:ascii="Arial" w:cs="Arial" w:eastAsia="Arial" w:hAnsi="Arial"/>
          <w:sz w:val="18"/>
          <w:szCs w:val="18"/>
          <w:color w:val="auto"/>
        </w:rPr>
      </w:pPr>
    </w:p>
    <w:p>
      <w:pPr>
        <w:ind w:right="20" w:firstLine="419"/>
        <w:spacing w:after="0" w:line="271" w:lineRule="auto"/>
        <w:tabs>
          <w:tab w:leader="none" w:pos="67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(A) any Incremental Term Facility may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or junior to any then-existing Class of Term Loans in right of payment and/or security or may be unsecured (and to the extent the relevant Incremental Facility is secured on a junior lien basis or subordinated in right of payment, it shall be subject to an Intercreditor Agreement) and (B) no Incremental Facility may be (x) guaranteed by any subsidiary that is not a Loan Party (it being understood and agreed that the obligations of any subsidiary with respect to any escrow arrangement into which the proceeds of such Incremental Term Facility are deposited shall not constitute a guarantee by any subsidiary that is not a Loan Party) or (y) secured by any asset that does not constitute Collateral; it being understood that any Incremental Facility that is funded into Escrow pursuant to customary (in the good faith determination of the Borrower) escrow arrangements may be secured by the applicable funds and related assets held in Escrow (and the proceeds thereof) until the date on which such funds are released from Escrow;</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560"/>
          </w:cols>
          <w:pgMar w:left="880" w:top="274" w:right="459" w:bottom="1440" w:gutter="0" w:footer="0" w:header="0"/>
        </w:sectPr>
      </w:pPr>
    </w:p>
    <w:bookmarkStart w:id="113" w:name="page114"/>
    <w:bookmarkEnd w:id="113"/>
    <w:p>
      <w:pPr>
        <w:ind w:left="1160" w:hanging="301"/>
        <w:spacing w:after="0"/>
        <w:tabs>
          <w:tab w:leader="none" w:pos="1160" w:val="left"/>
        </w:tabs>
        <w:numPr>
          <w:ilvl w:val="1"/>
          <w:numId w:val="1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Incremental Term Facility may participate (A) in any voluntary prepayment of Term Loans as set forth in </w:t>
      </w:r>
      <w:r>
        <w:rPr>
          <w:rFonts w:ascii="Arial" w:cs="Arial" w:eastAsia="Arial" w:hAnsi="Arial"/>
          <w:sz w:val="17"/>
          <w:szCs w:val="17"/>
          <w:u w:val="single" w:color="auto"/>
          <w:color w:val="auto"/>
        </w:rPr>
        <w:t>Section 2.11(a)(i)</w:t>
      </w:r>
      <w:r>
        <w:rPr>
          <w:rFonts w:ascii="Arial" w:cs="Arial" w:eastAsia="Arial" w:hAnsi="Arial"/>
          <w:sz w:val="17"/>
          <w:szCs w:val="17"/>
          <w:color w:val="auto"/>
        </w:rPr>
        <w:t xml:space="preserve"> and</w:t>
      </w:r>
    </w:p>
    <w:p>
      <w:pPr>
        <w:spacing w:after="0" w:line="34" w:lineRule="exact"/>
        <w:rPr>
          <w:rFonts w:ascii="Arial" w:cs="Arial" w:eastAsia="Arial" w:hAnsi="Arial"/>
          <w:sz w:val="17"/>
          <w:szCs w:val="17"/>
          <w:color w:val="auto"/>
        </w:rPr>
      </w:pPr>
    </w:p>
    <w:p>
      <w:pPr>
        <w:ind w:left="720" w:hanging="284"/>
        <w:spacing w:after="0"/>
        <w:tabs>
          <w:tab w:leader="none" w:pos="7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in any mandatory prepayment of Term Loans as set forth in </w:t>
      </w:r>
      <w:r>
        <w:rPr>
          <w:rFonts w:ascii="Arial" w:cs="Arial" w:eastAsia="Arial" w:hAnsi="Arial"/>
          <w:sz w:val="17"/>
          <w:szCs w:val="17"/>
          <w:u w:val="single" w:color="auto"/>
          <w:color w:val="auto"/>
        </w:rPr>
        <w:t>Section 2.11(b)(vi)</w:t>
      </w:r>
      <w:r>
        <w:rPr>
          <w:rFonts w:ascii="Arial" w:cs="Arial" w:eastAsia="Arial" w:hAnsi="Arial"/>
          <w:sz w:val="17"/>
          <w:szCs w:val="17"/>
          <w:color w:val="auto"/>
        </w:rPr>
        <w:t>, in each case, to the extent provided in such Sections;</w:t>
      </w:r>
    </w:p>
    <w:p>
      <w:pPr>
        <w:spacing w:after="0" w:line="114" w:lineRule="exact"/>
        <w:rPr>
          <w:rFonts w:ascii="Arial" w:cs="Arial" w:eastAsia="Arial" w:hAnsi="Arial"/>
          <w:sz w:val="17"/>
          <w:szCs w:val="17"/>
          <w:color w:val="auto"/>
        </w:rPr>
      </w:pPr>
    </w:p>
    <w:p>
      <w:pPr>
        <w:jc w:val="both"/>
        <w:ind w:left="440" w:right="20" w:firstLine="419"/>
        <w:spacing w:after="0" w:line="342" w:lineRule="auto"/>
        <w:tabs>
          <w:tab w:leader="none" w:pos="1218" w:val="left"/>
        </w:tabs>
        <w:numPr>
          <w:ilvl w:val="1"/>
          <w:numId w:val="151"/>
        </w:numPr>
        <w:rPr>
          <w:rFonts w:ascii="Arial" w:cs="Arial" w:eastAsia="Arial" w:hAnsi="Arial"/>
          <w:sz w:val="16"/>
          <w:szCs w:val="16"/>
          <w:color w:val="auto"/>
        </w:rPr>
      </w:pPr>
      <w:r>
        <w:rPr>
          <w:rFonts w:ascii="Arial" w:cs="Arial" w:eastAsia="Arial" w:hAnsi="Arial"/>
          <w:sz w:val="16"/>
          <w:szCs w:val="16"/>
          <w:color w:val="auto"/>
        </w:rPr>
        <w:t xml:space="preserve">the effectiveness of any Incremental Facility permitted in reliance on the Fixed Incremental Amount shall be subject to compliance with </w:t>
      </w:r>
      <w:r>
        <w:rPr>
          <w:rFonts w:ascii="Arial" w:cs="Arial" w:eastAsia="Arial" w:hAnsi="Arial"/>
          <w:sz w:val="16"/>
          <w:szCs w:val="16"/>
          <w:u w:val="single" w:color="auto"/>
          <w:color w:val="auto"/>
        </w:rPr>
        <w:t>Section 6.10(a)</w:t>
      </w:r>
      <w:r>
        <w:rPr>
          <w:rFonts w:ascii="Arial" w:cs="Arial" w:eastAsia="Arial" w:hAnsi="Arial"/>
          <w:sz w:val="16"/>
          <w:szCs w:val="16"/>
          <w:color w:val="auto"/>
        </w:rPr>
        <w:t xml:space="preserve"> on a Pro Forma Basis as of the last day of the most recently ended Test Period prior to the incurrence of such Incremental Facility;</w:t>
      </w:r>
    </w:p>
    <w:p>
      <w:pPr>
        <w:spacing w:after="0" w:line="15" w:lineRule="exact"/>
        <w:rPr>
          <w:rFonts w:ascii="Arial" w:cs="Arial" w:eastAsia="Arial" w:hAnsi="Arial"/>
          <w:sz w:val="16"/>
          <w:szCs w:val="16"/>
          <w:color w:val="auto"/>
        </w:rPr>
      </w:pPr>
    </w:p>
    <w:p>
      <w:pPr>
        <w:ind w:left="440" w:right="20" w:firstLine="419"/>
        <w:spacing w:after="0" w:line="277" w:lineRule="auto"/>
        <w:tabs>
          <w:tab w:leader="none" w:pos="126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proceeds of any Incremental Facility may be used for working capital needs and other general corporate purposes and any other use not prohibited by this Agreement;</w:t>
      </w:r>
    </w:p>
    <w:p>
      <w:pPr>
        <w:spacing w:after="0" w:line="62" w:lineRule="exact"/>
        <w:rPr>
          <w:rFonts w:ascii="Arial" w:cs="Arial" w:eastAsia="Arial" w:hAnsi="Arial"/>
          <w:sz w:val="18"/>
          <w:szCs w:val="18"/>
          <w:color w:val="auto"/>
        </w:rPr>
      </w:pPr>
    </w:p>
    <w:p>
      <w:pPr>
        <w:ind w:left="440" w:right="60" w:firstLine="419"/>
        <w:spacing w:after="0" w:line="271" w:lineRule="auto"/>
        <w:tabs>
          <w:tab w:leader="none" w:pos="1258"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on the date of the Borrowing of any Incremental Term Loans that will be of the same Class as any then-existing Class of Term Loans, and notwithstanding anything to the contrary set forth in </w:t>
      </w:r>
      <w:r>
        <w:rPr>
          <w:rFonts w:ascii="Arial" w:cs="Arial" w:eastAsia="Arial" w:hAnsi="Arial"/>
          <w:sz w:val="17"/>
          <w:szCs w:val="17"/>
          <w:u w:val="single" w:color="auto"/>
          <w:color w:val="auto"/>
        </w:rPr>
        <w:t>Sections 2.08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2.13</w:t>
      </w:r>
      <w:r>
        <w:rPr>
          <w:rFonts w:ascii="Arial" w:cs="Arial" w:eastAsia="Arial" w:hAnsi="Arial"/>
          <w:sz w:val="17"/>
          <w:szCs w:val="17"/>
          <w:color w:val="auto"/>
        </w:rPr>
        <w:t xml:space="preserve"> above, such Incremental Term Loans shall be added to (and constitute a part of, be of the same Type as and, at the election of the Borrower, have the same Interest Period as) each Borrowing of outstanding Term Loans of such Class on a pro rata basis (based on the relative sizes of such Borrowings), so that each Term Lender providing such Incremental Term Loans will participate proportionately in each then-outstanding Borrowing of Term Loans of such Class; it being acknowledged that the application of this </w:t>
      </w:r>
      <w:r>
        <w:rPr>
          <w:rFonts w:ascii="Arial" w:cs="Arial" w:eastAsia="Arial" w:hAnsi="Arial"/>
          <w:sz w:val="17"/>
          <w:szCs w:val="17"/>
          <w:u w:val="single" w:color="auto"/>
          <w:color w:val="auto"/>
        </w:rPr>
        <w:t>clause (a)(xiv)</w:t>
      </w:r>
      <w:r>
        <w:rPr>
          <w:rFonts w:ascii="Arial" w:cs="Arial" w:eastAsia="Arial" w:hAnsi="Arial"/>
          <w:sz w:val="17"/>
          <w:szCs w:val="17"/>
          <w:color w:val="auto"/>
        </w:rPr>
        <w:t xml:space="preserve"> may result in new Incremental Term Loans having an Interest Period (the duration of which may be less than one month) that begin during an Interest Period then applicable to outstanding LIBO Rate Loans of the relevant Class and which end on the last day of such Interest Period; and</w:t>
      </w:r>
    </w:p>
    <w:p>
      <w:pPr>
        <w:spacing w:after="0" w:line="70" w:lineRule="exact"/>
        <w:rPr>
          <w:rFonts w:ascii="Arial" w:cs="Arial" w:eastAsia="Arial" w:hAnsi="Arial"/>
          <w:sz w:val="17"/>
          <w:szCs w:val="17"/>
          <w:color w:val="auto"/>
        </w:rPr>
      </w:pPr>
    </w:p>
    <w:p>
      <w:pPr>
        <w:jc w:val="both"/>
        <w:ind w:left="440" w:right="100" w:firstLine="419"/>
        <w:spacing w:after="0" w:line="301" w:lineRule="auto"/>
        <w:tabs>
          <w:tab w:leader="none" w:pos="1208" w:val="left"/>
        </w:tabs>
        <w:numPr>
          <w:ilvl w:val="1"/>
          <w:numId w:val="151"/>
        </w:numPr>
        <w:rPr>
          <w:rFonts w:ascii="Arial" w:cs="Arial" w:eastAsia="Arial" w:hAnsi="Arial"/>
          <w:sz w:val="16"/>
          <w:szCs w:val="16"/>
          <w:color w:val="auto"/>
        </w:rPr>
      </w:pPr>
      <w:r>
        <w:rPr>
          <w:rFonts w:ascii="Arial" w:cs="Arial" w:eastAsia="Arial" w:hAnsi="Arial"/>
          <w:sz w:val="16"/>
          <w:szCs w:val="16"/>
          <w:color w:val="auto"/>
        </w:rPr>
        <w:t xml:space="preserve">to the extent that of any Incremental Facility does not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any then-existing Class of Term Loans or Revolving Loans, as applicable, in right of payment and security or is unsecured, such Incremental Facility will be documented pursuant to separate documentation from this Agreement (it being understood and agreed that any “last out” facility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any then-existing Class of Term Loans or Revolving Loans, as applicable, in right of security but which is “last out” with respect to payment priority may be documented hereunder).</w:t>
      </w:r>
    </w:p>
    <w:p>
      <w:pPr>
        <w:spacing w:after="0" w:line="49" w:lineRule="exact"/>
        <w:rPr>
          <w:sz w:val="20"/>
          <w:szCs w:val="20"/>
          <w:color w:val="auto"/>
        </w:rPr>
      </w:pPr>
    </w:p>
    <w:p>
      <w:pPr>
        <w:ind w:right="20" w:firstLine="436"/>
        <w:spacing w:after="0" w:line="293" w:lineRule="auto"/>
        <w:tabs>
          <w:tab w:leader="none" w:pos="69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Incremental Commitments may be provided by any existing Lender, or by any other Eligible Assignee (any such other lender being called an “</w:t>
      </w:r>
      <w:r>
        <w:rPr>
          <w:rFonts w:ascii="Arial" w:cs="Arial" w:eastAsia="Arial" w:hAnsi="Arial"/>
          <w:sz w:val="16"/>
          <w:szCs w:val="16"/>
          <w:u w:val="single" w:color="auto"/>
          <w:color w:val="auto"/>
        </w:rPr>
        <w:t>Incremental 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(and, in the case of any Incremental Revolving Facility, the Swingline Lender and any Issuing Bank) shall have a right to consent (such consent not to be unreasonably withheld, conditioned or delayed) to the relevant Incremental Lender’s provision of Incremental Commitments if such consent would be required under </w:t>
      </w:r>
      <w:r>
        <w:rPr>
          <w:rFonts w:ascii="Arial" w:cs="Arial" w:eastAsia="Arial" w:hAnsi="Arial"/>
          <w:sz w:val="16"/>
          <w:szCs w:val="16"/>
          <w:u w:val="single" w:color="auto"/>
          <w:color w:val="auto"/>
        </w:rPr>
        <w:t>Section 9.05(b)</w:t>
      </w:r>
      <w:r>
        <w:rPr>
          <w:rFonts w:ascii="Arial" w:cs="Arial" w:eastAsia="Arial" w:hAnsi="Arial"/>
          <w:sz w:val="16"/>
          <w:szCs w:val="16"/>
          <w:color w:val="auto"/>
        </w:rPr>
        <w:t xml:space="preserve"> for an assignment of Loans to such Incremental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Incremental Lender that is an Affiliated Lender shall be subject to the provisions of </w:t>
      </w:r>
      <w:r>
        <w:rPr>
          <w:rFonts w:ascii="Arial" w:cs="Arial" w:eastAsia="Arial" w:hAnsi="Arial"/>
          <w:sz w:val="16"/>
          <w:szCs w:val="16"/>
          <w:u w:val="single" w:color="auto"/>
          <w:color w:val="auto"/>
        </w:rPr>
        <w:t>Section 9.05(g)</w:t>
      </w:r>
      <w:r>
        <w:rPr>
          <w:rFonts w:ascii="Arial" w:cs="Arial" w:eastAsia="Arial" w:hAnsi="Arial"/>
          <w:sz w:val="16"/>
          <w:szCs w:val="16"/>
          <w:color w:val="auto"/>
        </w:rPr>
        <w:t xml:space="preserve">, </w:t>
      </w:r>
      <w:r>
        <w:rPr>
          <w:rFonts w:ascii="Arial" w:cs="Arial" w:eastAsia="Arial" w:hAnsi="Arial"/>
          <w:sz w:val="16"/>
          <w:szCs w:val="16"/>
          <w:i w:val="1"/>
          <w:iCs w:val="1"/>
          <w:color w:val="auto"/>
        </w:rPr>
        <w:t>mutatis mutandis</w:t>
      </w:r>
      <w:r>
        <w:rPr>
          <w:rFonts w:ascii="Arial" w:cs="Arial" w:eastAsia="Arial" w:hAnsi="Arial"/>
          <w:sz w:val="16"/>
          <w:szCs w:val="16"/>
          <w:color w:val="auto"/>
        </w:rPr>
        <w:t>, to the same extent as if the relevant Incremental Commitments and related Obligations had been acquired by such Lender by way of assignment.</w:t>
      </w:r>
    </w:p>
    <w:p>
      <w:pPr>
        <w:spacing w:after="0" w:line="56" w:lineRule="exact"/>
        <w:rPr>
          <w:rFonts w:ascii="Arial" w:cs="Arial" w:eastAsia="Arial" w:hAnsi="Arial"/>
          <w:sz w:val="16"/>
          <w:szCs w:val="16"/>
          <w:color w:val="auto"/>
        </w:rPr>
      </w:pPr>
    </w:p>
    <w:p>
      <w:pPr>
        <w:jc w:val="both"/>
        <w:ind w:right="40" w:firstLine="436"/>
        <w:spacing w:after="0" w:line="259" w:lineRule="auto"/>
        <w:tabs>
          <w:tab w:leader="none" w:pos="68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Lender or Incremental Lender providing a portion of any Incremental Commitment shall execute and deliver to the Administrative Agent and the Borrower all such documentation (including the relevant Incremental Facility Amendment) as may be reasonably required by the Administrative Agent to evidence and effectuate such Incremental Commitment. On the effective date of the relevant Incremental Commitment, each Incremental Lender shall become a Lender for all purposes in connection with this Agreement.</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 conditions precedent to the effectiveness of any Incremental Facility or the making of any Incremental Loan:</w:t>
      </w:r>
    </w:p>
    <w:p>
      <w:pPr>
        <w:spacing w:after="0" w:line="117" w:lineRule="exact"/>
        <w:rPr>
          <w:rFonts w:ascii="Arial" w:cs="Arial" w:eastAsia="Arial" w:hAnsi="Arial"/>
          <w:sz w:val="18"/>
          <w:szCs w:val="18"/>
          <w:color w:val="auto"/>
        </w:rPr>
      </w:pPr>
    </w:p>
    <w:p>
      <w:pPr>
        <w:ind w:left="440" w:firstLine="419"/>
        <w:spacing w:after="0" w:line="277" w:lineRule="auto"/>
        <w:tabs>
          <w:tab w:leader="none" w:pos="107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upon its request, the Administrative Agent shall be entitled to receive customary written opinions of counsel with respect to the Borrower, as well as such reaffirmation agreements, supplements and/or amendments as it may reasonably require;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20"/>
          </w:cols>
          <w:pgMar w:left="440" w:top="274" w:right="439" w:bottom="1440" w:gutter="0" w:footer="0" w:header="0"/>
        </w:sectPr>
      </w:pPr>
    </w:p>
    <w:bookmarkStart w:id="114" w:name="page115"/>
    <w:bookmarkEnd w:id="114"/>
    <w:p>
      <w:pPr>
        <w:ind w:left="440" w:right="300" w:firstLine="419"/>
        <w:spacing w:after="0" w:line="277" w:lineRule="auto"/>
        <w:tabs>
          <w:tab w:leader="none" w:pos="1128" w:val="left"/>
        </w:tabs>
        <w:numPr>
          <w:ilvl w:val="1"/>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shall be entitled to receive, from each Incremental Lender, an Administrative Questionnaire and such other documents as it may reasonably require from such Incremental Lender;</w:t>
      </w:r>
    </w:p>
    <w:p>
      <w:pPr>
        <w:spacing w:after="0" w:line="62" w:lineRule="exact"/>
        <w:rPr>
          <w:rFonts w:ascii="Arial" w:cs="Arial" w:eastAsia="Arial" w:hAnsi="Arial"/>
          <w:sz w:val="18"/>
          <w:szCs w:val="18"/>
          <w:color w:val="auto"/>
        </w:rPr>
      </w:pPr>
    </w:p>
    <w:p>
      <w:pPr>
        <w:ind w:left="440" w:right="20" w:firstLine="419"/>
        <w:spacing w:after="0" w:line="257" w:lineRule="auto"/>
        <w:tabs>
          <w:tab w:leader="none" w:pos="117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2.22(h)</w:t>
      </w:r>
      <w:r>
        <w:rPr>
          <w:rFonts w:ascii="Arial" w:cs="Arial" w:eastAsia="Arial" w:hAnsi="Arial"/>
          <w:sz w:val="18"/>
          <w:szCs w:val="18"/>
          <w:color w:val="auto"/>
        </w:rPr>
        <w:t xml:space="preserve">, the Administrative Agent shall have received a Borrowing Request as if the relevant Incremental Loans were subject to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or another written request the form of which is reasonably acceptable to the Administrative Agent (it being understood and agreed that the requirement to deliver a Borrowing Request shall not result in the imposition of any condition precedent to the availability of the relevant Incremental Loans (including with respect to the absence of a Default or Event of Default and/or the accuracy of any representation and/or warranty)); and</w:t>
      </w:r>
    </w:p>
    <w:p>
      <w:pPr>
        <w:spacing w:after="0" w:line="79" w:lineRule="exact"/>
        <w:rPr>
          <w:rFonts w:ascii="Arial" w:cs="Arial" w:eastAsia="Arial" w:hAnsi="Arial"/>
          <w:sz w:val="18"/>
          <w:szCs w:val="18"/>
          <w:color w:val="auto"/>
        </w:rPr>
      </w:pPr>
    </w:p>
    <w:p>
      <w:pPr>
        <w:ind w:left="440" w:right="20" w:firstLine="419"/>
        <w:spacing w:after="0" w:line="263" w:lineRule="auto"/>
        <w:tabs>
          <w:tab w:leader="none" w:pos="116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Administrative Agent shall be entitled to receive a certificate of the Borrower signed by a Responsible Officer thereof certifying and attaching a copy of the resolutions adopted by the governing body of the Borrower approving or consenting to such Incremental Facility or Incremental Loans.</w:t>
      </w:r>
    </w:p>
    <w:p>
      <w:pPr>
        <w:spacing w:after="0" w:line="183" w:lineRule="exact"/>
        <w:rPr>
          <w:rFonts w:ascii="Arial" w:cs="Arial" w:eastAsia="Arial" w:hAnsi="Arial"/>
          <w:sz w:val="18"/>
          <w:szCs w:val="18"/>
          <w:color w:val="auto"/>
        </w:rPr>
      </w:pPr>
    </w:p>
    <w:p>
      <w:pPr>
        <w:ind w:left="680" w:hanging="244"/>
        <w:spacing w:after="0"/>
        <w:tabs>
          <w:tab w:leader="none" w:pos="6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or in any other provision of any Loan Document, the conditions to the</w:t>
      </w:r>
    </w:p>
    <w:p>
      <w:pPr>
        <w:spacing w:after="0" w:line="34" w:lineRule="exact"/>
        <w:rPr>
          <w:rFonts w:ascii="Arial" w:cs="Arial" w:eastAsia="Arial" w:hAnsi="Arial"/>
          <w:sz w:val="17"/>
          <w:szCs w:val="17"/>
          <w:color w:val="auto"/>
        </w:rPr>
      </w:pPr>
    </w:p>
    <w:p>
      <w:pPr>
        <w:ind w:right="100"/>
        <w:spacing w:after="0" w:line="260" w:lineRule="auto"/>
        <w:rPr>
          <w:rFonts w:ascii="Arial" w:cs="Arial" w:eastAsia="Arial" w:hAnsi="Arial"/>
          <w:sz w:val="17"/>
          <w:szCs w:val="17"/>
          <w:color w:val="auto"/>
        </w:rPr>
      </w:pPr>
      <w:r>
        <w:rPr>
          <w:rFonts w:ascii="Arial" w:cs="Arial" w:eastAsia="Arial" w:hAnsi="Arial"/>
          <w:sz w:val="18"/>
          <w:szCs w:val="18"/>
          <w:color w:val="auto"/>
        </w:rPr>
        <w:t>availability or funding of any Incremental Facility shall be determined by the relevant Incremental Lenders providing such Incremental Facility and the Borrower.</w:t>
      </w:r>
    </w:p>
    <w:p>
      <w:pPr>
        <w:spacing w:after="0" w:line="77" w:lineRule="exact"/>
        <w:rPr>
          <w:rFonts w:ascii="Arial" w:cs="Arial" w:eastAsia="Arial" w:hAnsi="Arial"/>
          <w:sz w:val="17"/>
          <w:szCs w:val="17"/>
          <w:color w:val="auto"/>
        </w:rPr>
      </w:pPr>
    </w:p>
    <w:p>
      <w:pPr>
        <w:ind w:firstLine="436"/>
        <w:spacing w:after="0" w:line="286" w:lineRule="auto"/>
        <w:tabs>
          <w:tab w:leader="none" w:pos="66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Upon the implementation of any Incremental Revolving Facility pursuant to this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(i) each Revolving Lender immediately prior to such increase will automatically and without further act be deemed to have assigned to each relevant Incremental Revolving Facility Lender, and each relevant Incremental Revolving Facility Lender will automatically and without further act be deemed to have assumed a portion of such Revolving Lender’s participations hereunder in outstanding Letters of Credit and Swingline Loans such that, after giving effect to each deemed assignment and assumption of such participations, all of the Revolving Lenders’ (including each Incremental Revolving Facility Lender) (A) participations hereunder in Letters of Credit and (B) participations hereunder in Swingline Loans shall, in each case of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be held on a pro rata basis on the basis of their respective Revolving Credit Commitments (after giving effect to any increase in the Revolving Credit Commitment pursuant 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and (ii) the existing Revolving Lenders of the applicable Class shall assign Revolving Loans to certain other Revolving Lenders of such Class (including the Revolving Lenders providing the relevant Incremental Revolving Facility), and such other Revolving Lenders (including the Revolving Lenders providing the relevant Incremental Revolving Facility) shall purchase such Revolving Loans, in each case to the extent necessary so that all of the Revolving Lenders of such Class participate in each outstanding Borrowing of Revolving Loans pro rata on the basis of their respective Revolving Credit Commitments of such Class (after giving effect to any increase in the Revolving Credit Commitment of such Class pursuant to this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it being understood and agreed that the minimum borrowing, pro rata borrowing and pro rata payment requirements contained elsewhere in this Agreement shall not apply to the transactions effected pursuant to this </w:t>
      </w:r>
      <w:r>
        <w:rPr>
          <w:rFonts w:ascii="Arial" w:cs="Arial" w:eastAsia="Arial" w:hAnsi="Arial"/>
          <w:sz w:val="16"/>
          <w:szCs w:val="16"/>
          <w:u w:val="single" w:color="auto"/>
          <w:color w:val="auto"/>
        </w:rPr>
        <w:t>clause (f)</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right="140" w:firstLine="436"/>
        <w:spacing w:after="0" w:line="301" w:lineRule="auto"/>
        <w:tabs>
          <w:tab w:leader="none" w:pos="69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On the date of effectiveness of any Incremental Revolving Facility, the Letter of Credit Sublimit and/or the maximum amount of Swingline Loans, as applicable, permitted hereunder shall increase by an amount, if any, agreed upon by the Borrower, the Administrative Agent and the relevant Issuing Bank and/or the Swingline Lender, as applicable; it being understood and agreed that the Borrower and any Lender providing any Incremental Revolving Facility may agree that such Lender will provide a portion of the Letter of Credit Sublimit in excess of its Applicable Percentage thereof.</w:t>
      </w:r>
    </w:p>
    <w:p>
      <w:pPr>
        <w:spacing w:after="0" w:line="49" w:lineRule="exact"/>
        <w:rPr>
          <w:rFonts w:ascii="Arial" w:cs="Arial" w:eastAsia="Arial" w:hAnsi="Arial"/>
          <w:sz w:val="16"/>
          <w:szCs w:val="16"/>
          <w:color w:val="auto"/>
        </w:rPr>
      </w:pPr>
    </w:p>
    <w:p>
      <w:pPr>
        <w:ind w:firstLine="436"/>
        <w:spacing w:after="0" w:line="257" w:lineRule="auto"/>
        <w:tabs>
          <w:tab w:leader="none" w:pos="69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The Lenders hereby irrevocably authorize the Administrative Agent to, and the Administrative Agent shall (without the consent of any Lender (other than any Lender providing the applicable Incremental Facility)), enter into any Incremental Facility Amendment and/or any amendment to any other Loan Document as may be necessary, appropriate or advisable in order to establish any Incremental Facility (including any new Class or sub-Class in respect of Loans or commitments pursuant to this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including (i) technical amendments as may be necessary, appropriate or advisable in the reasonable opinion of the Administrative Agent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80"/>
          </w:cols>
          <w:pgMar w:left="440" w:top="274" w:right="479" w:bottom="1440" w:gutter="0" w:footer="0" w:header="0"/>
        </w:sectPr>
      </w:pPr>
    </w:p>
    <w:bookmarkStart w:id="115" w:name="page116"/>
    <w:bookmarkEnd w:id="115"/>
    <w:p>
      <w:pPr>
        <w:ind w:right="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the Borrower in connection with the establishment of such new Classes or sub-Classes, in each case on terms consistent with this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and/or (ii) any other amendment contemplated by </w:t>
      </w:r>
      <w:r>
        <w:rPr>
          <w:rFonts w:ascii="Arial" w:cs="Arial" w:eastAsia="Arial" w:hAnsi="Arial"/>
          <w:sz w:val="17"/>
          <w:szCs w:val="17"/>
          <w:u w:val="single" w:color="auto"/>
          <w:color w:val="auto"/>
        </w:rPr>
        <w:t>Section 9.02(d)(ii)</w:t>
      </w:r>
      <w:r>
        <w:rPr>
          <w:rFonts w:ascii="Arial" w:cs="Arial" w:eastAsia="Arial" w:hAnsi="Arial"/>
          <w:sz w:val="17"/>
          <w:szCs w:val="17"/>
          <w:color w:val="auto"/>
        </w:rPr>
        <w:t>. In addition, the Incremental Facility Amendment with respect to any Incremental Term Facility may, without the consent of any Lender (other than any Lender providing such Incremental Term Loans) or the Administrative Agent, include such amendments to this Agreement as may be necessary, appropriate or advisable as reasonably determined by the Administrative Agent and the Borrower to make the applicable Incremental Term Loans “fungible” with the relevant existing Class of Term Loans (including by modifying the amortization schedule and/or extending the time period during which any prepayment premium applies).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(i) This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shall supersede any provision in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9.02</w:t>
      </w:r>
      <w:r>
        <w:rPr>
          <w:rFonts w:ascii="Arial" w:cs="Arial" w:eastAsia="Arial" w:hAnsi="Arial"/>
          <w:sz w:val="18"/>
          <w:szCs w:val="18"/>
          <w:color w:val="auto"/>
        </w:rPr>
        <w:t xml:space="preserve"> to the contrary.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2.23. </w:t>
      </w:r>
      <w:r>
        <w:rPr>
          <w:rFonts w:ascii="Arial" w:cs="Arial" w:eastAsia="Arial" w:hAnsi="Arial"/>
          <w:sz w:val="18"/>
          <w:szCs w:val="18"/>
          <w:u w:val="single" w:color="auto"/>
          <w:color w:val="auto"/>
        </w:rPr>
        <w:t>Extensions of Loans and Revolving Credit Commitments</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88" w:lineRule="auto"/>
        <w:tabs>
          <w:tab w:leader="none" w:pos="68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pursuant to one or more offers (each, an “</w:t>
      </w:r>
      <w:r>
        <w:rPr>
          <w:rFonts w:ascii="Arial" w:cs="Arial" w:eastAsia="Arial" w:hAnsi="Arial"/>
          <w:sz w:val="16"/>
          <w:szCs w:val="16"/>
          <w:u w:val="single" w:color="auto"/>
          <w:color w:val="auto"/>
        </w:rPr>
        <w:t>Extension Offer</w:t>
      </w:r>
      <w:r>
        <w:rPr>
          <w:rFonts w:ascii="Arial" w:cs="Arial" w:eastAsia="Arial" w:hAnsi="Arial"/>
          <w:sz w:val="16"/>
          <w:szCs w:val="16"/>
          <w:color w:val="auto"/>
        </w:rPr>
        <w:t>”) made from time to time by the Borrower to all Lenders holding Loans of any Class or Commitments of any Class, in each case on a pro rata basis (based on the aggregate outstanding principal amount of the respective Loans or Commitments of such Class) and on the same terms to each such Lender, the Borrower is hereby permitted to consummate transactions with any individual Lender who accepts the terms contained in the relevant Extension Offer to extend the Maturity Date of all or a portion of such Lender’s Loans and/or Commitments of such Class and otherwise modify the terms of all or a portion of such Loans and/or Commitments pursuant to the terms of the relevant Extension Offer (including by increasing the interest rate or fees payable in respect of such Loans and/or Commitments (and related outstandings) and/or modifying the amortization schedule, if any, in respect of such Loans) (each, an “</w:t>
      </w:r>
      <w:r>
        <w:rPr>
          <w:rFonts w:ascii="Arial" w:cs="Arial" w:eastAsia="Arial" w:hAnsi="Arial"/>
          <w:sz w:val="16"/>
          <w:szCs w:val="16"/>
          <w:u w:val="single" w:color="auto"/>
          <w:color w:val="auto"/>
        </w:rPr>
        <w:t>Extension</w:t>
      </w:r>
      <w:r>
        <w:rPr>
          <w:rFonts w:ascii="Arial" w:cs="Arial" w:eastAsia="Arial" w:hAnsi="Arial"/>
          <w:sz w:val="16"/>
          <w:szCs w:val="16"/>
          <w:color w:val="auto"/>
        </w:rPr>
        <w:t>”; it being understood that any Extended Term Loans shall constitute a separate Class of Loans from the Class of Loans from which they were converted and any Extended Revolving Credit Commitments shall constitute a separate Class of Revolving Credit Commitments from the Class of Revolving Credit Commitments from which they were converted), so long as the following terms are satisfied:</w:t>
      </w:r>
    </w:p>
    <w:p>
      <w:pPr>
        <w:spacing w:after="0" w:line="60" w:lineRule="exact"/>
        <w:rPr>
          <w:rFonts w:ascii="Arial" w:cs="Arial" w:eastAsia="Arial" w:hAnsi="Arial"/>
          <w:sz w:val="16"/>
          <w:szCs w:val="16"/>
          <w:color w:val="auto"/>
        </w:rPr>
      </w:pPr>
    </w:p>
    <w:p>
      <w:pPr>
        <w:ind w:left="440" w:firstLine="419"/>
        <w:spacing w:after="0" w:line="285" w:lineRule="auto"/>
        <w:tabs>
          <w:tab w:leader="none" w:pos="1078"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except as to (A) currency, pricing (including any “MFN” or other pricing terms), interest rate margins, rate floors, fees, premiums (including prepayment premiums), funding discounts, maturity and amortization (which shall, subject to immediately succeeding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and to the extent applicable, be determined by the Borrower and any Lender who agrees to an Extension of its Revolving Credit Commitments and set forth in the relevant Extension Offer), (B) terms applicable to such Extended Revolving Credit Commitments or Extended Revolving Loans (each as defined below) that are, taken as a whole, in the good faith determination of the Borrower, more favorable to the lenders or the agent of such Extended Revolving Credit Commitments or Extended Revolving Loans than those contained in the Loan Documents and are then conformed (or added) to the Loan Documents for the benefit of the Revolving Lenders or, as applicable, the Administrative Agent (</w:t>
      </w:r>
      <w:r>
        <w:rPr>
          <w:rFonts w:ascii="Arial" w:cs="Arial" w:eastAsia="Arial" w:hAnsi="Arial"/>
          <w:sz w:val="16"/>
          <w:szCs w:val="16"/>
          <w:i w:val="1"/>
          <w:iCs w:val="1"/>
          <w:color w:val="auto"/>
        </w:rPr>
        <w:t>i.e.</w:t>
      </w:r>
      <w:r>
        <w:rPr>
          <w:rFonts w:ascii="Arial" w:cs="Arial" w:eastAsia="Arial" w:hAnsi="Arial"/>
          <w:sz w:val="16"/>
          <w:szCs w:val="16"/>
          <w:color w:val="auto"/>
        </w:rPr>
        <w:t>, by conforming or adding a term to the then-outstanding Revolving Loans pursuant to the applicable Extension Amendment), (C) terms, taken as a whole, that reflect then current market terms and conditions, taken as a whole, at the time of incurrence or issuance (as determined by the Borrower) and (D) any covenant or other provision applicable only after the Latest Revolving Credit Maturity Date, the Revolving Credit Commitment of any Lender who agrees to an extension with respect to such Commitment (an “</w:t>
      </w:r>
      <w:r>
        <w:rPr>
          <w:rFonts w:ascii="Arial" w:cs="Arial" w:eastAsia="Arial" w:hAnsi="Arial"/>
          <w:sz w:val="16"/>
          <w:szCs w:val="16"/>
          <w:u w:val="single" w:color="auto"/>
          <w:color w:val="auto"/>
        </w:rPr>
        <w:t>Extended Revolving Credit Commitment</w:t>
      </w:r>
      <w:r>
        <w:rPr>
          <w:rFonts w:ascii="Arial" w:cs="Arial" w:eastAsia="Arial" w:hAnsi="Arial"/>
          <w:sz w:val="16"/>
          <w:szCs w:val="16"/>
          <w:color w:val="auto"/>
        </w:rPr>
        <w:t>”; and the Loans thereunder, “</w:t>
      </w:r>
      <w:r>
        <w:rPr>
          <w:rFonts w:ascii="Arial" w:cs="Arial" w:eastAsia="Arial" w:hAnsi="Arial"/>
          <w:sz w:val="16"/>
          <w:szCs w:val="16"/>
          <w:u w:val="single" w:color="auto"/>
          <w:color w:val="auto"/>
        </w:rPr>
        <w:t>Extended Revolving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Loans</w:t>
      </w:r>
      <w:r>
        <w:rPr>
          <w:rFonts w:ascii="Arial" w:cs="Arial" w:eastAsia="Arial" w:hAnsi="Arial"/>
          <w:sz w:val="16"/>
          <w:szCs w:val="16"/>
          <w:color w:val="auto"/>
        </w:rPr>
        <w:t xml:space="preserve">”), and the related outstandings, shall constitute a revolving commitment (or related outstandings, as the case may be) with substantially consistent terms (or terms not less favorable to existing Lenders) as the Class of Revolving Credit Commitments subject to the relevant Extension Offer (and related outstandings) provided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more than one Revolving Facility exists after giving effect to any such Extension, (x) the borrowing and repayment of Revolving Loans with respect to any Revolving Facility after the effective date of such Extended Revolving Credit Commitments shall be made on a pro rata basis or a non-pro rata basis with all other Revolving Facilities (it being understood that any Revolving Facility that participates in borrowings on a pro rata basis with other Revolving Facilities shall participate in repayments on a pro rata basis with such Revolving Facilities and that in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0"/>
          </w:cols>
          <w:pgMar w:left="440" w:top="274" w:right="459" w:bottom="1440" w:gutter="0" w:footer="0" w:header="0"/>
        </w:sectPr>
      </w:pPr>
    </w:p>
    <w:bookmarkStart w:id="116" w:name="page117"/>
    <w:bookmarkEnd w:id="116"/>
    <w:p>
      <w:pPr>
        <w:ind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event of any Revolving Facility that must participate in borrowings on a less than pro rata basis as compared to other Revolving Facilities, such Revolving Facility shall participate in repayments on a less than pro rata basis as compared to such other Revolving Facilities (in each case, except, in any event, for (1) payments of interest and fees at different rates on the Revolving Facilities (and related outstandings), (2) repayments required on the Maturity Date of any Revolving Facility and (3) repayments made in connection with a permanent repayment and termination of the Revolving Credit Commitments under any Revolving Facility (subject to </w:t>
      </w:r>
      <w:r>
        <w:rPr>
          <w:rFonts w:ascii="Arial" w:cs="Arial" w:eastAsia="Arial" w:hAnsi="Arial"/>
          <w:sz w:val="16"/>
          <w:szCs w:val="16"/>
          <w:u w:val="single" w:color="auto"/>
          <w:color w:val="auto"/>
        </w:rPr>
        <w:t>clause (z)</w:t>
      </w:r>
      <w:r>
        <w:rPr>
          <w:rFonts w:ascii="Arial" w:cs="Arial" w:eastAsia="Arial" w:hAnsi="Arial"/>
          <w:sz w:val="16"/>
          <w:szCs w:val="16"/>
          <w:color w:val="auto"/>
        </w:rPr>
        <w:t xml:space="preserve"> below))), (y) all Swingline Loans and all Letters of Credit shall be participated on a pro rata basis by all Revolving Lenders and (z) any permanent repayment of Revolving Loans with respect to, and reduction or termination of Revolving Credit Commitments under, any Revolving Facility after the effective date of such Extended Revolving Credit Commitments shall be made on a pro rata basis or a non-pro rata basis with all other Revolving Facilities (it being understood that a Revolving Facility that participates in borrowings on a pro rata basis with other Revolving Facilities shall participate in permanent repayments of Revolving Loans with respect to, and reduction and termination of revolving Credit Commitments under, such Revolving Facility on a pro rata basis with such other Revolving Facilities and that in the event of any Revolving Facility that must participate in borrowings on a less than pro rata basis as compared to other Revolving Facilities, such other Revolving Facility shall participate in permanent repayments of Revolving Loans with respect to, and reduction and termination of Revolving Credit Commitments under, such Revolving Facility on a less than pro rata basis as compared to such other Revolving Facilities;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each case, that notwithstanding the foregoing, to the extent any such Revolving Commitments are terminated in full and refinanced or replaced with a Revolver Replacement Facility or Replacement Debt, such Revolving Commitments may be terminated on a greater than pro rata basis);</w:t>
      </w:r>
    </w:p>
    <w:p>
      <w:pPr>
        <w:spacing w:after="0" w:line="68" w:lineRule="exact"/>
        <w:rPr>
          <w:sz w:val="20"/>
          <w:szCs w:val="20"/>
          <w:color w:val="auto"/>
        </w:rPr>
      </w:pPr>
    </w:p>
    <w:p>
      <w:pPr>
        <w:ind w:firstLine="419"/>
        <w:spacing w:after="0" w:line="268" w:lineRule="auto"/>
        <w:tabs>
          <w:tab w:leader="none" w:pos="68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except as to (A) currency, pricing (including any “MFN” or other pricing term), interest rate margins, rate floors, fees, funding discounts, amortization, final maturity date, premiums (including prepayment premiums), required prepayment dates and participation in prepayments (which shall, subject to immediately succeeding </w:t>
      </w:r>
      <w:r>
        <w:rPr>
          <w:rFonts w:ascii="Arial" w:cs="Arial" w:eastAsia="Arial" w:hAnsi="Arial"/>
          <w:sz w:val="17"/>
          <w:szCs w:val="17"/>
          <w:u w:val="single" w:color="auto"/>
          <w:color w:val="auto"/>
        </w:rPr>
        <w:t>clauses (iii)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w:t>
      </w:r>
      <w:r>
        <w:rPr>
          <w:rFonts w:ascii="Arial" w:cs="Arial" w:eastAsia="Arial" w:hAnsi="Arial"/>
          <w:sz w:val="17"/>
          <w:szCs w:val="17"/>
          <w:color w:val="auto"/>
        </w:rPr>
        <w:t>, be determined by the Borrower and any Lender who agrees to an Extension of its Term Loans and set forth in the relevant Extension Offer), (B) terms applicable to such Extended Term Loans (as defined below) that are, taken as a whole, in the good faith determination of the Borrower, more favorable to the lenders or the agent of such Extended Term Loans than those contained in the Loan Documents applicable to the relevant Term Loans and are then conformed (or added) to the Loan Documents for the benefit of the Term Lenders in respect of such Term Loans or, as applicable, the Administrative Agent (</w:t>
      </w:r>
      <w:r>
        <w:rPr>
          <w:rFonts w:ascii="Arial" w:cs="Arial" w:eastAsia="Arial" w:hAnsi="Arial"/>
          <w:sz w:val="17"/>
          <w:szCs w:val="17"/>
          <w:i w:val="1"/>
          <w:iCs w:val="1"/>
          <w:color w:val="auto"/>
        </w:rPr>
        <w:t>i.e.</w:t>
      </w:r>
      <w:r>
        <w:rPr>
          <w:rFonts w:ascii="Arial" w:cs="Arial" w:eastAsia="Arial" w:hAnsi="Arial"/>
          <w:sz w:val="17"/>
          <w:szCs w:val="17"/>
          <w:color w:val="auto"/>
        </w:rPr>
        <w:t>, by conforming or adding a term to the then-outstanding Term Loans of the applicable Class pursuant to the applicable Extension Amendment), (C) terms, taken as a whole, that reflect then current market terms and conditions, taken as a whole, at the time of incurrence or issuance (as determined by the Borrower) and (D) any covenant or other provision applicable only to any period after the Latest Term Loan Maturity Date (in each case, as of the date of such Extension), the Term Loans of any Lender extended pursuant to any Extension (any such extended Term Loans, the “</w:t>
      </w:r>
      <w:r>
        <w:rPr>
          <w:rFonts w:ascii="Arial" w:cs="Arial" w:eastAsia="Arial" w:hAnsi="Arial"/>
          <w:sz w:val="17"/>
          <w:szCs w:val="17"/>
          <w:u w:val="single" w:color="auto"/>
          <w:color w:val="auto"/>
        </w:rPr>
        <w:t>Extended Term</w:t>
      </w:r>
      <w:r>
        <w:rPr>
          <w:rFonts w:ascii="Arial" w:cs="Arial" w:eastAsia="Arial" w:hAnsi="Arial"/>
          <w:sz w:val="17"/>
          <w:szCs w:val="17"/>
          <w:color w:val="auto"/>
        </w:rPr>
        <w:t xml:space="preserve"> </w:t>
      </w:r>
      <w:r>
        <w:rPr>
          <w:rFonts w:ascii="Arial" w:cs="Arial" w:eastAsia="Arial" w:hAnsi="Arial"/>
          <w:sz w:val="17"/>
          <w:szCs w:val="17"/>
          <w:u w:val="single" w:color="auto"/>
          <w:color w:val="auto"/>
        </w:rPr>
        <w:t>Loans</w:t>
      </w:r>
      <w:r>
        <w:rPr>
          <w:rFonts w:ascii="Arial" w:cs="Arial" w:eastAsia="Arial" w:hAnsi="Arial"/>
          <w:sz w:val="17"/>
          <w:szCs w:val="17"/>
          <w:color w:val="auto"/>
        </w:rPr>
        <w:t>”) shall have substantially consistent terms (or terms not less favorable to existing Lenders) as the tranche of Term Loans subject to the relevant Extension Offer;</w:t>
      </w:r>
    </w:p>
    <w:p>
      <w:pPr>
        <w:spacing w:after="0" w:line="78" w:lineRule="exact"/>
        <w:rPr>
          <w:rFonts w:ascii="Arial" w:cs="Arial" w:eastAsia="Arial" w:hAnsi="Arial"/>
          <w:sz w:val="17"/>
          <w:szCs w:val="17"/>
          <w:color w:val="auto"/>
        </w:rPr>
      </w:pPr>
    </w:p>
    <w:p>
      <w:pPr>
        <w:jc w:val="both"/>
        <w:ind w:right="220" w:firstLine="419"/>
        <w:spacing w:after="0" w:line="263" w:lineRule="auto"/>
        <w:tabs>
          <w:tab w:leader="none" w:pos="73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(x) the final maturity date of any Extended Term Loans may be no earlier than the then applicable Latest Term Loan Maturity Date at the time of Extension and (y) no Extended Revolving Credit Commitments or Extended Revolving Loans may have a final maturity date earlier than (or require commitment reductions prior to) the Latest Revolving Credit Maturity Date;</w:t>
      </w:r>
    </w:p>
    <w:p>
      <w:pPr>
        <w:spacing w:after="0" w:line="75" w:lineRule="exact"/>
        <w:rPr>
          <w:rFonts w:ascii="Arial" w:cs="Arial" w:eastAsia="Arial" w:hAnsi="Arial"/>
          <w:sz w:val="18"/>
          <w:szCs w:val="18"/>
          <w:color w:val="auto"/>
        </w:rPr>
      </w:pPr>
    </w:p>
    <w:p>
      <w:pPr>
        <w:ind w:right="140" w:firstLine="419"/>
        <w:spacing w:after="0" w:line="277" w:lineRule="auto"/>
        <w:tabs>
          <w:tab w:leader="none" w:pos="72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Weighted Average Life to Maturity of any Class of Extended Term Loans shall be no shorter than the remaining Weighted Average Life to Maturity of any then-existing Term Loans;</w:t>
      </w:r>
    </w:p>
    <w:p>
      <w:pPr>
        <w:spacing w:after="0" w:line="62" w:lineRule="exact"/>
        <w:rPr>
          <w:rFonts w:ascii="Arial" w:cs="Arial" w:eastAsia="Arial" w:hAnsi="Arial"/>
          <w:sz w:val="18"/>
          <w:szCs w:val="18"/>
          <w:color w:val="auto"/>
        </w:rPr>
      </w:pPr>
    </w:p>
    <w:p>
      <w:pPr>
        <w:ind w:right="380" w:firstLine="419"/>
        <w:spacing w:after="0" w:line="277" w:lineRule="auto"/>
        <w:tabs>
          <w:tab w:leader="none" w:pos="67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any Extended Term Loans may otherwise have an amortization schedule as determined by the Borrower and the Lenders providing such Extended Term Loans;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560"/>
          </w:cols>
          <w:pgMar w:left="880" w:top="274" w:right="459" w:bottom="1440" w:gutter="0" w:footer="0" w:header="0"/>
        </w:sectPr>
      </w:pPr>
    </w:p>
    <w:bookmarkStart w:id="117" w:name="page118"/>
    <w:bookmarkEnd w:id="117"/>
    <w:p>
      <w:pPr>
        <w:ind w:left="1160" w:hanging="301"/>
        <w:spacing w:after="0"/>
        <w:tabs>
          <w:tab w:leader="none" w:pos="1160" w:val="left"/>
        </w:tabs>
        <w:numPr>
          <w:ilvl w:val="1"/>
          <w:numId w:val="1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Class of Extended Term Loans may participate (A) in any voluntary prepayment of Term Loans as set forth in </w:t>
      </w:r>
      <w:r>
        <w:rPr>
          <w:rFonts w:ascii="Arial" w:cs="Arial" w:eastAsia="Arial" w:hAnsi="Arial"/>
          <w:sz w:val="16"/>
          <w:szCs w:val="16"/>
          <w:u w:val="single" w:color="auto"/>
          <w:color w:val="auto"/>
        </w:rPr>
        <w:t>Section 2.11(a)(i)</w:t>
      </w:r>
      <w:r>
        <w:rPr>
          <w:rFonts w:ascii="Arial" w:cs="Arial" w:eastAsia="Arial" w:hAnsi="Arial"/>
          <w:sz w:val="16"/>
          <w:szCs w:val="16"/>
          <w:color w:val="auto"/>
        </w:rPr>
        <w:t xml:space="preserve"> and</w:t>
      </w:r>
    </w:p>
    <w:p>
      <w:pPr>
        <w:spacing w:after="0" w:line="46" w:lineRule="exact"/>
        <w:rPr>
          <w:rFonts w:ascii="Arial" w:cs="Arial" w:eastAsia="Arial" w:hAnsi="Arial"/>
          <w:sz w:val="16"/>
          <w:szCs w:val="16"/>
          <w:color w:val="auto"/>
        </w:rPr>
      </w:pPr>
    </w:p>
    <w:p>
      <w:pPr>
        <w:ind w:left="720" w:hanging="284"/>
        <w:spacing w:after="0"/>
        <w:tabs>
          <w:tab w:leader="none" w:pos="72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in any mandatory prepayment of Term Loans as set forth in </w:t>
      </w:r>
      <w:r>
        <w:rPr>
          <w:rFonts w:ascii="Arial" w:cs="Arial" w:eastAsia="Arial" w:hAnsi="Arial"/>
          <w:sz w:val="17"/>
          <w:szCs w:val="17"/>
          <w:u w:val="single" w:color="auto"/>
          <w:color w:val="auto"/>
        </w:rPr>
        <w:t>Section 2.11(b)(vi)</w:t>
      </w:r>
      <w:r>
        <w:rPr>
          <w:rFonts w:ascii="Arial" w:cs="Arial" w:eastAsia="Arial" w:hAnsi="Arial"/>
          <w:sz w:val="17"/>
          <w:szCs w:val="17"/>
          <w:color w:val="auto"/>
        </w:rPr>
        <w:t>, in each case, to the extent provided in such Sections;</w:t>
      </w:r>
    </w:p>
    <w:p>
      <w:pPr>
        <w:spacing w:after="0" w:line="114" w:lineRule="exact"/>
        <w:rPr>
          <w:rFonts w:ascii="Arial" w:cs="Arial" w:eastAsia="Arial" w:hAnsi="Arial"/>
          <w:sz w:val="17"/>
          <w:szCs w:val="17"/>
          <w:color w:val="auto"/>
        </w:rPr>
      </w:pPr>
    </w:p>
    <w:p>
      <w:pPr>
        <w:ind w:left="440" w:firstLine="419"/>
        <w:spacing w:after="0" w:line="257" w:lineRule="auto"/>
        <w:tabs>
          <w:tab w:leader="none" w:pos="121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if the aggregate principal amount of Loans or Commitments, as the case may be, in respect of which Lenders have accepted the relevant Extension Offer exceed the maximum aggregate principal amount of Loans or Commitments, as the case may be, offered to be extended by the Borrower pursuant to such Extension Offer, then the Loans or Commitments, as the case may be, of such Lenders shall be extended ratably up to such maximum amount based on the respective principal amounts (but not to exceed the applicable Lender’s actual holdings of record) with respect to which such Lenders have accepted such Extension Offer;</w:t>
      </w:r>
    </w:p>
    <w:p>
      <w:pPr>
        <w:spacing w:after="0" w:line="79" w:lineRule="exact"/>
        <w:rPr>
          <w:rFonts w:ascii="Arial" w:cs="Arial" w:eastAsia="Arial" w:hAnsi="Arial"/>
          <w:sz w:val="18"/>
          <w:szCs w:val="18"/>
          <w:color w:val="auto"/>
        </w:rPr>
      </w:pPr>
    </w:p>
    <w:p>
      <w:pPr>
        <w:ind w:left="1260" w:hanging="401"/>
        <w:spacing w:after="0"/>
        <w:tabs>
          <w:tab w:leader="none" w:pos="12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unless the Administrative Agent otherwise agrees, any Extension must be in a minimum amount of $5,000,000;</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applicable Minimum Extension Condition must be satisfied or waived by the Borrower;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documentation in respect of any Extension shall be consistent with the foregoing; and</w:t>
      </w:r>
    </w:p>
    <w:p>
      <w:pPr>
        <w:spacing w:after="0" w:line="117" w:lineRule="exact"/>
        <w:rPr>
          <w:rFonts w:ascii="Arial" w:cs="Arial" w:eastAsia="Arial" w:hAnsi="Arial"/>
          <w:sz w:val="18"/>
          <w:szCs w:val="18"/>
          <w:color w:val="auto"/>
        </w:rPr>
      </w:pPr>
    </w:p>
    <w:p>
      <w:pPr>
        <w:ind w:left="440" w:right="140" w:firstLine="419"/>
        <w:spacing w:after="0" w:line="301" w:lineRule="auto"/>
        <w:tabs>
          <w:tab w:leader="none" w:pos="1168" w:val="left"/>
        </w:tabs>
        <w:numPr>
          <w:ilvl w:val="1"/>
          <w:numId w:val="158"/>
        </w:numPr>
        <w:rPr>
          <w:rFonts w:ascii="Arial" w:cs="Arial" w:eastAsia="Arial" w:hAnsi="Arial"/>
          <w:sz w:val="16"/>
          <w:szCs w:val="16"/>
          <w:color w:val="auto"/>
        </w:rPr>
      </w:pPr>
      <w:r>
        <w:rPr>
          <w:rFonts w:ascii="Arial" w:cs="Arial" w:eastAsia="Arial" w:hAnsi="Arial"/>
          <w:sz w:val="16"/>
          <w:szCs w:val="16"/>
          <w:color w:val="auto"/>
        </w:rPr>
        <w:t>no Extension of any Revolving Facility shall be effective as to the obligations of the Swingline Lender to make any Swingline Loan or any Issuing Bank with respect to Letters of Credit without the consent of the Swingline Lender or such Issuing Bank (such consents not to be unreasonably withheld or delayed) (and, in the absence of such consent, all references herein to Latest Revolving Credit Maturity Date shall be determined, when used in reference to the Swingline Lender or such Issuing Bank, as applicable, without giving effect to such Extension).</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(b) (i) No Extension consummated in reliance on this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shall constitute a voluntary or mandatory prepayment for purposes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2.11</w:t>
      </w:r>
      <w:r>
        <w:rPr>
          <w:rFonts w:ascii="Arial" w:cs="Arial" w:eastAsia="Arial" w:hAnsi="Arial"/>
          <w:sz w:val="16"/>
          <w:szCs w:val="16"/>
          <w:color w:val="auto"/>
        </w:rPr>
        <w:t>, (ii) the scheduled amortization payments (insofar as such schedule affects payments due to Lenders participating in the relevant Class) 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forth in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shall be adjusted to give effect to any Extension of any Class of Loans and/or Commitments and (iii) except as set forth in </w:t>
      </w:r>
      <w:r>
        <w:rPr>
          <w:rFonts w:ascii="Arial" w:cs="Arial" w:eastAsia="Arial" w:hAnsi="Arial"/>
          <w:sz w:val="16"/>
          <w:szCs w:val="16"/>
          <w:u w:val="single" w:color="auto"/>
          <w:color w:val="auto"/>
        </w:rPr>
        <w:t>clause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(a)(viii)</w:t>
      </w:r>
      <w:r>
        <w:rPr>
          <w:rFonts w:ascii="Arial" w:cs="Arial" w:eastAsia="Arial" w:hAnsi="Arial"/>
          <w:sz w:val="16"/>
          <w:szCs w:val="16"/>
          <w:color w:val="auto"/>
        </w:rPr>
        <w:t xml:space="preserve"> above, no Extension Offer is required to be in any minimum amount or any minimum increment;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at its election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specify as a condition (a “</w:t>
      </w:r>
      <w:r>
        <w:rPr>
          <w:rFonts w:ascii="Arial" w:cs="Arial" w:eastAsia="Arial" w:hAnsi="Arial"/>
          <w:sz w:val="17"/>
          <w:szCs w:val="17"/>
          <w:u w:val="single" w:color="auto"/>
          <w:color w:val="auto"/>
        </w:rPr>
        <w:t>Minimum Extension Condition</w:t>
      </w:r>
      <w:r>
        <w:rPr>
          <w:rFonts w:ascii="Arial" w:cs="Arial" w:eastAsia="Arial" w:hAnsi="Arial"/>
          <w:sz w:val="17"/>
          <w:szCs w:val="17"/>
          <w:color w:val="auto"/>
        </w:rPr>
        <w:t>”) to the consummation of any Extension that a minimum amount (to be specified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relevant Extension Offer in the Borrower’s sole discretion) of Loans or Commitments (as applicable) of any or all applicable tranches be tendered; 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being understood that the Borrower may, in its sole discretion, waive any such Minimum Extension Condition. The Administrative Agent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Lenders hereby consent to the transactions contemplated by this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(including, for the avoidance of doubt, the payment of any interest, fees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premium in respect of any Extended Term Loans and/or Extended Revolving Credit Commitments on such terms as may be set forth in the relevant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Extension Offer) and hereby waive the requirements of any provision of this Agreement (including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2.18</w:t>
      </w:r>
      <w:r>
        <w:rPr>
          <w:rFonts w:ascii="Arial" w:cs="Arial" w:eastAsia="Arial" w:hAnsi="Arial"/>
          <w:sz w:val="16"/>
          <w:szCs w:val="16"/>
          <w:color w:val="auto"/>
        </w:rPr>
        <w:t>) or any other Loan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Document that may otherwise prohibit any such Extension or any other transaction contemplated by this Section.</w:t>
      </w:r>
    </w:p>
    <w:p>
      <w:pPr>
        <w:spacing w:after="0" w:line="103" w:lineRule="exact"/>
        <w:rPr>
          <w:sz w:val="20"/>
          <w:szCs w:val="20"/>
          <w:color w:val="auto"/>
        </w:rPr>
      </w:pPr>
    </w:p>
    <w:p>
      <w:pPr>
        <w:ind w:right="20" w:firstLine="436"/>
        <w:spacing w:after="0" w:line="289" w:lineRule="auto"/>
        <w:tabs>
          <w:tab w:leader="none" w:pos="68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Subject to any consent required under </w:t>
      </w:r>
      <w:r>
        <w:rPr>
          <w:rFonts w:ascii="Arial" w:cs="Arial" w:eastAsia="Arial" w:hAnsi="Arial"/>
          <w:sz w:val="16"/>
          <w:szCs w:val="16"/>
          <w:u w:val="single" w:color="auto"/>
          <w:color w:val="auto"/>
        </w:rPr>
        <w:t>Section 2.23(a)(xi)</w:t>
      </w:r>
      <w:r>
        <w:rPr>
          <w:rFonts w:ascii="Arial" w:cs="Arial" w:eastAsia="Arial" w:hAnsi="Arial"/>
          <w:sz w:val="16"/>
          <w:szCs w:val="16"/>
          <w:color w:val="auto"/>
        </w:rPr>
        <w:t xml:space="preserve">, no consent of any Lender or the Administrative Agent shall be required to effectuate any Extension, other than the consent of each Lender agreeing to such Extension with respect to one or more of its Loans and/or Commitments of any Class (or a portion thereof). All Extended Term Loans and Extended Revolving Credit Commitments and all obligations in respect thereof shall constitute Secured Obligations under this Agreement and the other Loan Documents that are secured by the Collateral and guaranteed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all other applicable Secured Obligations under this Agreement and the other Loan Documents. The Lenders hereby irrevocably authorize the Administrative Agent to enter into any Extension Amendment and any amendment to any of the other Loan Documents with the Loan Parties as may be necessary in order to establish new Classes or sub-Classes in respect of Loans or Commitments so extended and such technical amendments as may be necessary or appropriate in the reasonable opinion of the Administrative Agent and the Borrower in connection with the establishment of such new Classes or sub-Classes, in each case on terms consistent with this </w:t>
      </w:r>
      <w:r>
        <w:rPr>
          <w:rFonts w:ascii="Arial" w:cs="Arial" w:eastAsia="Arial" w:hAnsi="Arial"/>
          <w:sz w:val="16"/>
          <w:szCs w:val="16"/>
          <w:u w:val="single" w:color="auto"/>
          <w:color w:val="auto"/>
        </w:rPr>
        <w:t>Section 2.23</w:t>
      </w:r>
      <w:r>
        <w:rPr>
          <w:rFonts w:ascii="Arial" w:cs="Arial" w:eastAsia="Arial" w:hAnsi="Arial"/>
          <w:sz w:val="16"/>
          <w:szCs w:val="16"/>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00"/>
          </w:cols>
          <w:pgMar w:left="440" w:top="274" w:right="459" w:bottom="1440" w:gutter="0" w:footer="0" w:header="0"/>
        </w:sectPr>
      </w:pPr>
    </w:p>
    <w:bookmarkStart w:id="118" w:name="page119"/>
    <w:bookmarkEnd w:id="118"/>
    <w:p>
      <w:pPr>
        <w:ind w:right="40" w:firstLine="436"/>
        <w:spacing w:after="0" w:line="301" w:lineRule="auto"/>
        <w:tabs>
          <w:tab w:leader="none" w:pos="695" w:val="left"/>
        </w:tabs>
        <w:numPr>
          <w:ilvl w:val="0"/>
          <w:numId w:val="1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connection with any Extension, the Borrower shall provide the Administrative Agent at least five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Arial" w:cs="Arial" w:eastAsia="Arial" w:hAnsi="Arial"/>
          <w:sz w:val="16"/>
          <w:szCs w:val="16"/>
          <w:u w:val="single" w:color="auto"/>
          <w:color w:val="auto"/>
        </w:rPr>
        <w:t>Section 2.23</w:t>
      </w:r>
      <w:r>
        <w:rPr>
          <w:rFonts w:ascii="Arial" w:cs="Arial" w:eastAsia="Arial" w:hAnsi="Arial"/>
          <w:sz w:val="16"/>
          <w:szCs w:val="16"/>
          <w:color w:val="auto"/>
        </w:rPr>
        <w:t>.</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On the dates and to the extent required pursuant to </w:t>
      </w:r>
      <w:r>
        <w:rPr>
          <w:rFonts w:ascii="Arial" w:cs="Arial" w:eastAsia="Arial" w:hAnsi="Arial"/>
          <w:sz w:val="16"/>
          <w:szCs w:val="16"/>
          <w:u w:val="single" w:color="auto"/>
          <w:color w:val="auto"/>
        </w:rPr>
        <w:t>Sections 4.01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4.02</w:t>
      </w:r>
      <w:r>
        <w:rPr>
          <w:rFonts w:ascii="Arial" w:cs="Arial" w:eastAsia="Arial" w:hAnsi="Arial"/>
          <w:sz w:val="16"/>
          <w:szCs w:val="16"/>
          <w:color w:val="auto"/>
        </w:rPr>
        <w:t>, as applicable, the Borrower hereby represents and warrants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Lenders, the Issuing Banks and the Administrative Agent that:</w:t>
      </w:r>
    </w:p>
    <w:p>
      <w:pPr>
        <w:spacing w:after="0" w:line="103"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Powers</w:t>
      </w:r>
      <w:r>
        <w:rPr>
          <w:rFonts w:ascii="Arial" w:cs="Arial" w:eastAsia="Arial" w:hAnsi="Arial"/>
          <w:sz w:val="17"/>
          <w:szCs w:val="17"/>
          <w:color w:val="auto"/>
        </w:rPr>
        <w:t xml:space="preserve">. Holdings, the Borrower and each of its Restricted Subsidiaries (a) is (i) duly organized or incorporated (as applicable) and validly existing and (ii) in good standing (to the extent such concept exists in the relevant jurisdiction) under the Requirements of Law of its jurisdiction of organization, (b) has all requisite organizational power and authority to own its assets and to carry on its business as now conducted and (c) is qualified to do business in, and is in good standing (to the extent such concept exists in the relevant jurisdiction) in, every jurisdiction where the ownership, lease or operation of its properties or conduct of its business requires such qualification, except, in each case referred to in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clause (a)(i)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clause (b)</w:t>
      </w:r>
      <w:r>
        <w:rPr>
          <w:rFonts w:ascii="Arial" w:cs="Arial" w:eastAsia="Arial" w:hAnsi="Arial"/>
          <w:sz w:val="17"/>
          <w:szCs w:val="17"/>
          <w:color w:val="auto"/>
        </w:rPr>
        <w:t>, in each case, with respect to the Borrower) where the failure to do so, individually or in the aggregate, would not reasonably be expected to result in a Material Adverse Effect.</w:t>
      </w:r>
    </w:p>
    <w:p>
      <w:pPr>
        <w:spacing w:after="0" w:line="17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execution, delivery and performance by each Loan Party of each Loan Document to which such Loan Party is a party (a) are within such Loan Party’s corporate or other organizational power and (b) have been duly authorized by all necessary corporate or other organizational action of such Loan Party. Each Loan Document to which any Loan Party is a party has been duly executed and delivered by such Loan Party and is a legal, valid and binding obligation of such Loan Party, enforceable in accordance with its terms, subject to the Legal Reservations.</w:t>
      </w:r>
    </w:p>
    <w:p>
      <w:pPr>
        <w:spacing w:after="0" w:line="188"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Governmental Approvals; No Conflicts</w:t>
      </w:r>
      <w:r>
        <w:rPr>
          <w:rFonts w:ascii="Arial" w:cs="Arial" w:eastAsia="Arial" w:hAnsi="Arial"/>
          <w:sz w:val="17"/>
          <w:szCs w:val="17"/>
          <w:color w:val="auto"/>
        </w:rPr>
        <w:t xml:space="preserve">. The execution and delivery of each Loan Document by each Loan Party party thereto and the performance by such Loan Party of its obligations thereunder (a) do not require any consent or approval of, registration or filing with, or any other action by, any Governmental Authority, except (i) such as have been obtained or made and are in full force and effect, (ii) in connection with the Perfection Requirements and (iii) such consents, approvals, registrations, filings, or other actions the failure to obtain or make which would not be reasonably expected to have a Material Adverse Effect, (b) will not violate any (i) of such Loan Party’s Organizational Documents or (ii) Requirement of Law applicable to such Loan Party which violation, in the case of this </w:t>
      </w:r>
      <w:r>
        <w:rPr>
          <w:rFonts w:ascii="Arial" w:cs="Arial" w:eastAsia="Arial" w:hAnsi="Arial"/>
          <w:sz w:val="17"/>
          <w:szCs w:val="17"/>
          <w:u w:val="single" w:color="auto"/>
          <w:color w:val="auto"/>
        </w:rPr>
        <w:t>clause (b)(ii)</w:t>
      </w:r>
      <w:r>
        <w:rPr>
          <w:rFonts w:ascii="Arial" w:cs="Arial" w:eastAsia="Arial" w:hAnsi="Arial"/>
          <w:sz w:val="17"/>
          <w:szCs w:val="17"/>
          <w:color w:val="auto"/>
        </w:rPr>
        <w:t xml:space="preserve">, would reasonably be expected to have a Material Adverse Effect and (c) will not violate or result in a default under any material Contractual Obligation to which such Loan Party is a party which violation, in the case of this </w:t>
      </w:r>
      <w:r>
        <w:rPr>
          <w:rFonts w:ascii="Arial" w:cs="Arial" w:eastAsia="Arial" w:hAnsi="Arial"/>
          <w:sz w:val="17"/>
          <w:szCs w:val="17"/>
          <w:u w:val="single" w:color="auto"/>
          <w:color w:val="auto"/>
        </w:rPr>
        <w:t>clause (c)</w:t>
      </w:r>
      <w:r>
        <w:rPr>
          <w:rFonts w:ascii="Arial" w:cs="Arial" w:eastAsia="Arial" w:hAnsi="Arial"/>
          <w:sz w:val="17"/>
          <w:szCs w:val="17"/>
          <w:color w:val="auto"/>
        </w:rPr>
        <w:t>, would reasonably be expected to result in a Material Adverse Effect.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Condition; No Material Adverse Effect</w:t>
      </w:r>
      <w:r>
        <w:rPr>
          <w:rFonts w:ascii="Arial" w:cs="Arial" w:eastAsia="Arial" w:hAnsi="Arial"/>
          <w:sz w:val="18"/>
          <w:szCs w:val="18"/>
          <w:color w:val="auto"/>
        </w:rPr>
        <w:t>.</w:t>
      </w:r>
    </w:p>
    <w:p>
      <w:pPr>
        <w:spacing w:after="0" w:line="117" w:lineRule="exact"/>
        <w:rPr>
          <w:sz w:val="20"/>
          <w:szCs w:val="20"/>
          <w:color w:val="auto"/>
        </w:rPr>
      </w:pPr>
    </w:p>
    <w:p>
      <w:pPr>
        <w:ind w:right="160" w:firstLine="436"/>
        <w:spacing w:after="0" w:line="257" w:lineRule="auto"/>
        <w:tabs>
          <w:tab w:leader="none" w:pos="68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The financial statements most recently provided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applicable, present fairly, in all material respects, the financial position and results of operations and cash flows of the Borrower on a consolidated basis as of such dates and for such periods in accordance with GAAP, (i) except as otherwise expressly noted herein, (ii) subject, in the case of quarterly financial statements, to the absence of footnotes and normal year-end adjustments and (iii) if applicable, except as may be necessary to reflect any differing entities and/or organizational structure prior to giving effect to the Transactions.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960"/>
          </w:cols>
          <w:pgMar w:left="440" w:top="274" w:right="499" w:bottom="1440" w:gutter="0" w:footer="0" w:header="0"/>
        </w:sectPr>
      </w:pPr>
    </w:p>
    <w:bookmarkStart w:id="119" w:name="page120"/>
    <w:bookmarkEnd w:id="119"/>
    <w:p>
      <w:pPr>
        <w:ind w:left="4" w:right="240" w:firstLine="436"/>
        <w:spacing w:after="0" w:line="277" w:lineRule="auto"/>
        <w:tabs>
          <w:tab w:leader="none" w:pos="699"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 the Closing Date, there have been no events, developments or circumstances that have had, or would reasonably be expected to have, individually or in the aggregate, a Material Adverse Effect that is continuing.</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117" w:lineRule="exact"/>
        <w:rPr>
          <w:sz w:val="20"/>
          <w:szCs w:val="20"/>
          <w:color w:val="auto"/>
        </w:rPr>
      </w:pPr>
    </w:p>
    <w:p>
      <w:pPr>
        <w:ind w:left="684" w:hanging="244"/>
        <w:spacing w:after="0"/>
        <w:tabs>
          <w:tab w:leader="none" w:pos="68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80" w:firstLine="436"/>
        <w:spacing w:after="0" w:line="275" w:lineRule="auto"/>
        <w:tabs>
          <w:tab w:leader="none" w:pos="699"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Borrower and each of its Restricted Subsidiaries have good and valid fee simple title to or rights to purchase, or valid leasehold interests in, or easements or other limited property interests in, all of their respective Real Estate Assets and have good and valid title to their personal property and assets, including the Collateral, in each case, except (i) for defects in title that do not materially interfere with their ability to conduct their business as currently conducted or to utilize such properties and assets for their intended purposes, (ii) for any Permitted Lien, or (iii) where the failure to have such title would not reasonably be expected to have a Material Adverse Effect.</w:t>
      </w:r>
    </w:p>
    <w:p>
      <w:pPr>
        <w:spacing w:after="0" w:line="68" w:lineRule="exact"/>
        <w:rPr>
          <w:rFonts w:ascii="Arial" w:cs="Arial" w:eastAsia="Arial" w:hAnsi="Arial"/>
          <w:sz w:val="17"/>
          <w:szCs w:val="17"/>
          <w:color w:val="auto"/>
        </w:rPr>
      </w:pPr>
    </w:p>
    <w:p>
      <w:pPr>
        <w:ind w:left="4" w:right="80" w:firstLine="436"/>
        <w:spacing w:after="0" w:line="296" w:lineRule="auto"/>
        <w:tabs>
          <w:tab w:leader="none" w:pos="689" w:val="left"/>
        </w:tabs>
        <w:numPr>
          <w:ilvl w:val="0"/>
          <w:numId w:val="163"/>
        </w:numPr>
        <w:rPr>
          <w:rFonts w:ascii="Arial" w:cs="Arial" w:eastAsia="Arial" w:hAnsi="Arial"/>
          <w:sz w:val="16"/>
          <w:szCs w:val="16"/>
          <w:u w:val="single" w:color="auto"/>
          <w:color w:val="auto"/>
        </w:rPr>
      </w:pPr>
      <w:r>
        <w:rPr>
          <w:rFonts w:ascii="Arial" w:cs="Arial" w:eastAsia="Arial" w:hAnsi="Arial"/>
          <w:sz w:val="16"/>
          <w:szCs w:val="16"/>
          <w:color w:val="auto"/>
        </w:rPr>
        <w:t>The Borrower and its Restricted Subsidiaries own or otherwise have a license or right to use all rights in Patents, Trademarks, Copyrights and other rights in works of authorship (including all Copyrights embodied in software) and all other intellectual property rights (“</w:t>
      </w:r>
      <w:r>
        <w:rPr>
          <w:rFonts w:ascii="Arial" w:cs="Arial" w:eastAsia="Arial" w:hAnsi="Arial"/>
          <w:sz w:val="16"/>
          <w:szCs w:val="16"/>
          <w:u w:val="single" w:color="auto"/>
          <w:color w:val="auto"/>
        </w:rPr>
        <w:t>IP Rights</w:t>
      </w:r>
      <w:r>
        <w:rPr>
          <w:rFonts w:ascii="Arial" w:cs="Arial" w:eastAsia="Arial" w:hAnsi="Arial"/>
          <w:sz w:val="16"/>
          <w:szCs w:val="16"/>
          <w:color w:val="auto"/>
        </w:rPr>
        <w:t>”) that are reasonably necessary to conduct their respective businesses as presently conducted without, to the knowledge of the Borrower, any infringement or misappropriation of the IP Rights of third parties, except to the extent the failure to own or license or have rights to use would not, or where such infringement or misappropriation would not reasonably be expected to have, individually or in the aggregate, a Material Adverse Effect.</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Litigation and Environmental Matters</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63" w:lineRule="auto"/>
        <w:tabs>
          <w:tab w:leader="none" w:pos="689"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There are no actions, suits or proceedings by or before any arbitrator or Governmental Authority pending against or, to the knowledge of the Borrower, threatened in writing against or affecting the Borrower or any of its Restricted Subsidiaries which would reasonably be expected, individually or in the aggregate, to result in a Material Adverse Effect.</w:t>
      </w:r>
    </w:p>
    <w:p>
      <w:pPr>
        <w:spacing w:after="0" w:line="75" w:lineRule="exact"/>
        <w:rPr>
          <w:rFonts w:ascii="Arial" w:cs="Arial" w:eastAsia="Arial" w:hAnsi="Arial"/>
          <w:sz w:val="18"/>
          <w:szCs w:val="18"/>
          <w:color w:val="auto"/>
        </w:rPr>
      </w:pPr>
    </w:p>
    <w:p>
      <w:pPr>
        <w:ind w:left="704" w:hanging="264"/>
        <w:spacing w:after="0"/>
        <w:tabs>
          <w:tab w:leader="none" w:pos="704" w:val="left"/>
        </w:tabs>
        <w:numPr>
          <w:ilvl w:val="1"/>
          <w:numId w:val="164"/>
        </w:numPr>
        <w:rPr>
          <w:rFonts w:ascii="Arial" w:cs="Arial" w:eastAsia="Arial" w:hAnsi="Arial"/>
          <w:sz w:val="17"/>
          <w:szCs w:val="17"/>
          <w:color w:val="auto"/>
        </w:rPr>
      </w:pPr>
      <w:r>
        <w:rPr>
          <w:rFonts w:ascii="Arial" w:cs="Arial" w:eastAsia="Arial" w:hAnsi="Arial"/>
          <w:sz w:val="17"/>
          <w:szCs w:val="17"/>
          <w:color w:val="auto"/>
        </w:rPr>
        <w:t>Except for any matters that, individually or in the aggregate, would not reasonably be expected to result in a Material Adverse Effect,</w:t>
      </w:r>
    </w:p>
    <w:p>
      <w:pPr>
        <w:spacing w:after="0" w:line="34" w:lineRule="exact"/>
        <w:rPr>
          <w:rFonts w:ascii="Arial" w:cs="Arial" w:eastAsia="Arial" w:hAnsi="Arial"/>
          <w:sz w:val="17"/>
          <w:szCs w:val="17"/>
          <w:color w:val="auto"/>
        </w:rPr>
      </w:pPr>
    </w:p>
    <w:p>
      <w:pPr>
        <w:jc w:val="both"/>
        <w:ind w:left="4" w:right="500" w:hanging="4"/>
        <w:spacing w:after="0" w:line="281" w:lineRule="auto"/>
        <w:tabs>
          <w:tab w:leader="none" w:pos="219" w:val="left"/>
        </w:tabs>
        <w:numPr>
          <w:ilvl w:val="0"/>
          <w:numId w:val="165"/>
        </w:numPr>
        <w:rPr>
          <w:rFonts w:ascii="Arial" w:cs="Arial" w:eastAsia="Arial" w:hAnsi="Arial"/>
          <w:sz w:val="16"/>
          <w:szCs w:val="16"/>
          <w:color w:val="auto"/>
        </w:rPr>
      </w:pPr>
      <w:r>
        <w:rPr>
          <w:rFonts w:ascii="Arial" w:cs="Arial" w:eastAsia="Arial" w:hAnsi="Arial"/>
          <w:sz w:val="16"/>
          <w:szCs w:val="16"/>
          <w:color w:val="auto"/>
        </w:rPr>
        <w:t>neither the Borrower nor any of its Restricted Subsidiaries is subject to, or has received notice of, any Environmental Claim or Environmental Liability or knows of any basis for any Environmental Liability or Environmental Claim of the Borrower or any of its Restricted Subsidiaries and</w:t>
      </w:r>
    </w:p>
    <w:p>
      <w:pPr>
        <w:spacing w:after="0" w:line="1" w:lineRule="exact"/>
        <w:rPr>
          <w:rFonts w:ascii="Arial" w:cs="Arial" w:eastAsia="Arial" w:hAnsi="Arial"/>
          <w:sz w:val="16"/>
          <w:szCs w:val="16"/>
          <w:color w:val="auto"/>
        </w:rPr>
      </w:pPr>
    </w:p>
    <w:p>
      <w:pPr>
        <w:ind w:left="4" w:right="100" w:hanging="4"/>
        <w:spacing w:after="0" w:line="260" w:lineRule="auto"/>
        <w:tabs>
          <w:tab w:leader="none" w:pos="26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neither the Borrower nor any of its Restricted Subsidiaries has failed to comply with any Environmental Law or to obtain, maintain or comply with any Governmental Authorization, permit, license or other approval required under any Environmental Law.</w:t>
      </w:r>
    </w:p>
    <w:p>
      <w:pPr>
        <w:spacing w:after="0" w:line="77" w:lineRule="exact"/>
        <w:rPr>
          <w:rFonts w:ascii="Arial" w:cs="Arial" w:eastAsia="Arial" w:hAnsi="Arial"/>
          <w:sz w:val="18"/>
          <w:szCs w:val="18"/>
          <w:color w:val="auto"/>
        </w:rPr>
      </w:pPr>
    </w:p>
    <w:p>
      <w:pPr>
        <w:ind w:left="4" w:right="40" w:firstLine="436"/>
        <w:spacing w:after="0" w:line="263" w:lineRule="auto"/>
        <w:tabs>
          <w:tab w:leader="none" w:pos="689" w:val="left"/>
        </w:tabs>
        <w:numPr>
          <w:ilvl w:val="1"/>
          <w:numId w:val="165"/>
        </w:numPr>
        <w:rPr>
          <w:rFonts w:ascii="Arial" w:cs="Arial" w:eastAsia="Arial" w:hAnsi="Arial"/>
          <w:sz w:val="18"/>
          <w:szCs w:val="18"/>
          <w:color w:val="auto"/>
        </w:rPr>
      </w:pPr>
      <w:r>
        <w:rPr>
          <w:rFonts w:ascii="Arial" w:cs="Arial" w:eastAsia="Arial" w:hAnsi="Arial"/>
          <w:sz w:val="18"/>
          <w:szCs w:val="18"/>
          <w:color w:val="auto"/>
        </w:rPr>
        <w:t>Neither Holdings, the Borrower nor any of its Restricted Subsidiaries has treated, stored, transported or Released any Hazardous Materials on, at, under or from any currently or formerly owned, leased or operated real estate or facility in a manner that would reasonably be expected to have a Material Adverse Effect.</w:t>
      </w:r>
    </w:p>
    <w:p>
      <w:pPr>
        <w:spacing w:after="0" w:line="184"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xml:space="preserve">. Each of Holdings, the Borrower and each of its Restricted Subsidiaries is in compliance with all Requirements of Law applicable to it or its property, except, in each case where the failure to do so, individually or in the aggregate, would not reasonably be expected to result in a Material Adverse Effect; it being understood and agreed that this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shall not apply to the Requirements of Law covered by </w:t>
      </w:r>
      <w:r>
        <w:rPr>
          <w:rFonts w:ascii="Arial" w:cs="Arial" w:eastAsia="Arial" w:hAnsi="Arial"/>
          <w:sz w:val="18"/>
          <w:szCs w:val="18"/>
          <w:u w:val="single" w:color="auto"/>
          <w:color w:val="auto"/>
        </w:rPr>
        <w:t>Section 3.17</w:t>
      </w:r>
      <w:r>
        <w:rPr>
          <w:rFonts w:ascii="Arial" w:cs="Arial" w:eastAsia="Arial" w:hAnsi="Arial"/>
          <w:sz w:val="18"/>
          <w:szCs w:val="18"/>
          <w:color w:val="auto"/>
        </w:rPr>
        <w:t>.</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964"/>
          </w:cols>
          <w:pgMar w:left="436" w:top="274" w:right="499" w:bottom="1440" w:gutter="0" w:footer="0" w:header="0"/>
        </w:sectPr>
      </w:pPr>
    </w:p>
    <w:bookmarkStart w:id="120" w:name="page121"/>
    <w:bookmarkEnd w:id="120"/>
    <w:p>
      <w:pPr>
        <w:ind w:left="4" w:right="4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No Loan Party is an “investment company” as defined in, or is required to be registered under, the Investment Company Act of 1940.</w:t>
      </w:r>
    </w:p>
    <w:p>
      <w:pPr>
        <w:spacing w:after="0" w:line="170" w:lineRule="exact"/>
        <w:rPr>
          <w:sz w:val="20"/>
          <w:szCs w:val="20"/>
          <w:color w:val="auto"/>
        </w:rPr>
      </w:pPr>
    </w:p>
    <w:p>
      <w:pPr>
        <w:jc w:val="both"/>
        <w:ind w:left="4" w:right="240" w:firstLine="440"/>
        <w:spacing w:after="0" w:line="287"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Each of Holdings, the Borrower and each of its Restricted Subsidiaries has timely filed or caused to be filed all Tax returns and reports required to have been filed by or with respect to it and has paid or caused to be paid all Taxes required to have been paid by it that are due and payable (including in its capacity as a withholding agent), except (a) Taxes that are not required to be paid in accordance with </w:t>
      </w:r>
      <w:r>
        <w:rPr>
          <w:rFonts w:ascii="Arial" w:cs="Arial" w:eastAsia="Arial" w:hAnsi="Arial"/>
          <w:sz w:val="16"/>
          <w:szCs w:val="16"/>
          <w:u w:val="single" w:color="auto"/>
          <w:color w:val="auto"/>
        </w:rPr>
        <w:t>Section 5.03</w:t>
      </w:r>
      <w:r>
        <w:rPr>
          <w:rFonts w:ascii="Arial" w:cs="Arial" w:eastAsia="Arial" w:hAnsi="Arial"/>
          <w:sz w:val="16"/>
          <w:szCs w:val="16"/>
          <w:color w:val="auto"/>
        </w:rPr>
        <w:t>, (b)</w:t>
      </w:r>
    </w:p>
    <w:p>
      <w:pPr>
        <w:spacing w:after="0" w:line="2" w:lineRule="exact"/>
        <w:rPr>
          <w:sz w:val="20"/>
          <w:szCs w:val="20"/>
          <w:color w:val="auto"/>
        </w:rPr>
      </w:pPr>
    </w:p>
    <w:p>
      <w:pPr>
        <w:ind w:left="4" w:right="100"/>
        <w:spacing w:after="0" w:line="302" w:lineRule="auto"/>
        <w:rPr>
          <w:sz w:val="20"/>
          <w:szCs w:val="20"/>
          <w:color w:val="auto"/>
        </w:rPr>
      </w:pPr>
      <w:r>
        <w:rPr>
          <w:rFonts w:ascii="Arial" w:cs="Arial" w:eastAsia="Arial" w:hAnsi="Arial"/>
          <w:sz w:val="16"/>
          <w:szCs w:val="16"/>
          <w:color w:val="auto"/>
        </w:rPr>
        <w:t>Taxes (or any requirement to file Tax returns with respect thereto) that are being contested in good faith by appropriate proceedings and for which Holdings, the Borrower or such Restricted Subsidiary, as applicable, has set aside on its books adequate reserves in accordance with GAAP or (c) to the extent that the failure to do so, individually or in the aggregate, would not reasonably be expected to result in a Material Adverse Effect.</w:t>
      </w:r>
    </w:p>
    <w:p>
      <w:pPr>
        <w:spacing w:after="0" w:line="15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117" w:lineRule="exact"/>
        <w:rPr>
          <w:sz w:val="20"/>
          <w:szCs w:val="20"/>
          <w:color w:val="auto"/>
        </w:rPr>
      </w:pPr>
    </w:p>
    <w:p>
      <w:pPr>
        <w:ind w:left="4" w:right="160" w:firstLine="436"/>
        <w:spacing w:after="0" w:line="277" w:lineRule="auto"/>
        <w:tabs>
          <w:tab w:leader="none" w:pos="68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Each Plan is in compliance in form and operation with its terms and with ERISA and the Code and all other applicable Requirements of Law, except where any failure to comply would not reasonably be expected to result in a Material Adverse Effect.</w:t>
      </w:r>
    </w:p>
    <w:p>
      <w:pPr>
        <w:spacing w:after="0" w:line="62" w:lineRule="exact"/>
        <w:rPr>
          <w:rFonts w:ascii="Arial" w:cs="Arial" w:eastAsia="Arial" w:hAnsi="Arial"/>
          <w:sz w:val="18"/>
          <w:szCs w:val="18"/>
          <w:color w:val="auto"/>
        </w:rPr>
      </w:pPr>
    </w:p>
    <w:p>
      <w:pPr>
        <w:ind w:left="4" w:firstLine="436"/>
        <w:spacing w:after="0" w:line="263" w:lineRule="auto"/>
        <w:tabs>
          <w:tab w:leader="none" w:pos="69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the five-year period prior to the date on which this representation is made or deemed made, no ERISA Event has occurred and is continuing that, when taken together with all other such ERISA Events for which liability is reasonably expected to occur, would reasonably be expected to result in a Material Adverse Effect.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117" w:lineRule="exact"/>
        <w:rPr>
          <w:sz w:val="20"/>
          <w:szCs w:val="20"/>
          <w:color w:val="auto"/>
        </w:rPr>
      </w:pPr>
    </w:p>
    <w:p>
      <w:pPr>
        <w:ind w:left="4" w:right="40" w:firstLine="436"/>
        <w:spacing w:after="0" w:line="288" w:lineRule="auto"/>
        <w:tabs>
          <w:tab w:leader="none" w:pos="68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As of the Closing Date, with respect to information relating to the Borrower and its subsidiaries, to the knowledge of the Borrower, all written information (other than the Projections, forecasts, financial estimates, other forward-looking information and/or projected information, information of a general economic or industry-specific nature and/or any third party report and/or memorandum (but not the written information (other than Projections, forecasts, financial estimates, other forward looking information and/or projected information and/or general economic or industry-specific information) on which such third party report and/or memorandum was based, if such written information was provided to any Initial Lender, any Arranger or the Administrative Agent)) concerning Holdings, the Borrower and its subsidiaries that was prepared by or on behalf of Holdings, the Borrower or its subsidiaries or their respective representatives and made available to any Initial Lender, any Arranger or the Administrative Agent in connection with the Transactions on or before the Closing Date (collectively, the “</w:t>
      </w:r>
      <w:r>
        <w:rPr>
          <w:rFonts w:ascii="Arial" w:cs="Arial" w:eastAsia="Arial" w:hAnsi="Arial"/>
          <w:sz w:val="16"/>
          <w:szCs w:val="16"/>
          <w:u w:val="single" w:color="auto"/>
          <w:color w:val="auto"/>
        </w:rPr>
        <w:t>Information</w:t>
      </w:r>
      <w:r>
        <w:rPr>
          <w:rFonts w:ascii="Arial" w:cs="Arial" w:eastAsia="Arial" w:hAnsi="Arial"/>
          <w:sz w:val="16"/>
          <w:szCs w:val="16"/>
          <w:color w:val="auto"/>
        </w:rPr>
        <w:t>”), when taken as a whole, did not, when furnished, contain any untrue statement of a material fact or omit to state a material fact necessary in order to make the statements contained therein not materially misleading in light of the circumstances under which such statements were made (after giving effect to all supplements and updates thereto from time to time).</w:t>
      </w:r>
    </w:p>
    <w:p>
      <w:pPr>
        <w:spacing w:after="0" w:line="60" w:lineRule="exact"/>
        <w:rPr>
          <w:rFonts w:ascii="Arial" w:cs="Arial" w:eastAsia="Arial" w:hAnsi="Arial"/>
          <w:sz w:val="16"/>
          <w:szCs w:val="16"/>
          <w:color w:val="auto"/>
        </w:rPr>
      </w:pPr>
    </w:p>
    <w:p>
      <w:pPr>
        <w:ind w:left="4" w:right="40" w:firstLine="436"/>
        <w:spacing w:after="0" w:line="259" w:lineRule="auto"/>
        <w:tabs>
          <w:tab w:leader="none" w:pos="69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As of the Closing Date, the Projections have been prepared in good faith based upon assumptions believed by the Borrower to be reasonable at the time furnished (it being recognized that such Projections are not to be viewed as facts and are subject to significant uncertainties and contingencies many of which are beyond the Borrower’s control, that no assurance can be given that any particular financial projections will be realized, that actual results may differ from projected results and that such differences may be material).</w:t>
      </w:r>
    </w:p>
    <w:p>
      <w:pPr>
        <w:spacing w:after="0" w:line="187" w:lineRule="exact"/>
        <w:rPr>
          <w:sz w:val="20"/>
          <w:szCs w:val="20"/>
          <w:color w:val="auto"/>
        </w:rPr>
      </w:pPr>
    </w:p>
    <w:p>
      <w:pPr>
        <w:ind w:left="4" w:right="180" w:firstLine="440"/>
        <w:spacing w:after="0" w:line="287"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Solvency</w:t>
      </w:r>
      <w:r>
        <w:rPr>
          <w:rFonts w:ascii="Arial" w:cs="Arial" w:eastAsia="Arial" w:hAnsi="Arial"/>
          <w:sz w:val="16"/>
          <w:szCs w:val="16"/>
          <w:color w:val="auto"/>
        </w:rPr>
        <w:t>. As of the Closing Date, after giving effect to the Transactions and the incurrence of the Indebtedness and obligations being incurred in connection with this Agreement on the Closing Date, (i) the sum of the debt (including contingent liabilities) of the Borrower and its Restricted Subsidiaries, taken as a whole, does not exceed the fair value of the assets of the Borrower and its Restricted Subsidiaries, taken as a whole,</w:t>
      </w:r>
    </w:p>
    <w:p>
      <w:pPr>
        <w:spacing w:after="0" w:line="2" w:lineRule="exact"/>
        <w:rPr>
          <w:sz w:val="20"/>
          <w:szCs w:val="20"/>
          <w:color w:val="auto"/>
        </w:rPr>
      </w:pPr>
    </w:p>
    <w:p>
      <w:pPr>
        <w:ind w:left="4" w:right="20" w:hanging="4"/>
        <w:spacing w:after="0" w:line="260" w:lineRule="auto"/>
        <w:tabs>
          <w:tab w:leader="none" w:pos="26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capital of the Borrower and its Restricted Subsidiaries, taken as a whole, is not unreasonably small in relation to the business of the Borrower and its Restricted Subsidiaries, taken as a whole,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24"/>
          </w:cols>
          <w:pgMar w:left="436" w:top="274" w:right="439" w:bottom="1440" w:gutter="0" w:footer="0" w:header="0"/>
        </w:sectPr>
      </w:pPr>
    </w:p>
    <w:bookmarkStart w:id="121" w:name="page122"/>
    <w:bookmarkEnd w:id="121"/>
    <w:p>
      <w:pPr>
        <w:ind w:left="4"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contemplated as of the Closing Date; and (iii) the Borrower and its Restricted Subsidiaries, taken as a whole, do not intend to incur, or believe that they will incur, debts (including current obligations and contingent liabilities) beyond their ability to pay such debts as they mature in accordance with their terms. For purposes of this </w:t>
      </w:r>
      <w:r>
        <w:rPr>
          <w:rFonts w:ascii="Arial" w:cs="Arial" w:eastAsia="Arial" w:hAnsi="Arial"/>
          <w:sz w:val="16"/>
          <w:szCs w:val="16"/>
          <w:u w:val="single" w:color="auto"/>
          <w:color w:val="auto"/>
        </w:rPr>
        <w:t>Section 3.12</w:t>
      </w:r>
      <w:r>
        <w:rPr>
          <w:rFonts w:ascii="Arial" w:cs="Arial" w:eastAsia="Arial" w:hAnsi="Arial"/>
          <w:sz w:val="16"/>
          <w:szCs w:val="16"/>
          <w:color w:val="auto"/>
        </w:rPr>
        <w:t>, (A) it is assumed that the Indebtedness and other obligations under the Credit Facilities will come due at their respective maturities and (B)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6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3.13</w:t>
      </w:r>
      <w:r>
        <w:rPr>
          <w:rFonts w:ascii="Arial" w:cs="Arial" w:eastAsia="Arial" w:hAnsi="Arial"/>
          <w:sz w:val="18"/>
          <w:szCs w:val="18"/>
          <w:color w:val="auto"/>
        </w:rPr>
        <w:t xml:space="preserve"> sets forth, in each case as of the Closing Date, (a) a correct and complete list of the name of Holdings, the Borrower, each subsidiary of the Borrower and the ownership interest therein held by Holdings, the Borrower or its applicable subsidiary, and (b) the type of entity of Holdings, the Borrower and each of its subsidiaries.</w:t>
      </w:r>
    </w:p>
    <w:p>
      <w:pPr>
        <w:spacing w:after="0" w:line="184"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Security Interest in Collateral</w:t>
      </w:r>
      <w:r>
        <w:rPr>
          <w:rFonts w:ascii="Arial" w:cs="Arial" w:eastAsia="Arial" w:hAnsi="Arial"/>
          <w:sz w:val="16"/>
          <w:szCs w:val="16"/>
          <w:color w:val="auto"/>
        </w:rPr>
        <w:t xml:space="preserve">. Subject to the terms of the final paragraph of </w:t>
      </w:r>
      <w:r>
        <w:rPr>
          <w:rFonts w:ascii="Arial" w:cs="Arial" w:eastAsia="Arial" w:hAnsi="Arial"/>
          <w:sz w:val="16"/>
          <w:szCs w:val="16"/>
          <w:u w:val="single" w:color="auto"/>
          <w:color w:val="auto"/>
        </w:rPr>
        <w:t>Section 4.01</w:t>
      </w:r>
      <w:r>
        <w:rPr>
          <w:rFonts w:ascii="Arial" w:cs="Arial" w:eastAsia="Arial" w:hAnsi="Arial"/>
          <w:sz w:val="16"/>
          <w:szCs w:val="16"/>
          <w:color w:val="auto"/>
        </w:rPr>
        <w:t>, the Legal Reservations, the Perfection Requirements and the provisions, limitations and/or exceptions set forth in this Agreement and/or any other Loan Document, the Collateral Documents create legal, valid and enforceable Liens on all of the Collateral in favor of the Administrative Agent, for the benefit of itself and the other Secured Parties, and upon the satisfaction of the applicable Perfection Requirements and/or any other perfection action required under the terms of any Loan Document, such Liens constitute perfected Liens (with the priority that such Liens are expressed to have under the relevant Collateral Documents, unless otherwise permitted hereunder or under any Collateral Document) on the Collateral (to the extent such Liens are then required to be perfected under the terms of the Loan Documents) securing the Secured Obligations, in each case as and to the extent set forth therein.</w:t>
      </w:r>
    </w:p>
    <w:p>
      <w:pPr>
        <w:spacing w:after="0" w:line="166"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 xml:space="preserve">For the avoidance of doubt, notwithstanding anything herein or in any other Loan Document to the contrary, neither the Borrower nor any other Loan Party makes any representation or warranty as to (A) the effect of perfection or non-perfection, the priority or the enforceability of any pledge of or security interest in the Capital Stock held by any Loan Party in any Person organized under the laws of any jurisdiction other than the jurisdiction in which such Loan Party is organized, or as to the rights and remedies of the Administrative Agent or any Lender with respect thereto, under the Requirements of Law of any jurisdiction other than the jurisdiction in which such Loan Party is organized, (B) the enforcement of any security interest, or right or remedy with respect to any Collateral that may be limited or restricted by, or require any consent, authorization approval or license under, any Requirement of Law or (C) on the Closing Date and until required pursuant to </w:t>
      </w:r>
      <w:r>
        <w:rPr>
          <w:rFonts w:ascii="Arial" w:cs="Arial" w:eastAsia="Arial" w:hAnsi="Arial"/>
          <w:sz w:val="16"/>
          <w:szCs w:val="16"/>
          <w:u w:val="single" w:color="auto"/>
          <w:color w:val="auto"/>
        </w:rPr>
        <w:t>Section 5.12</w:t>
      </w:r>
      <w:r>
        <w:rPr>
          <w:rFonts w:ascii="Arial" w:cs="Arial" w:eastAsia="Arial" w:hAnsi="Arial"/>
          <w:sz w:val="16"/>
          <w:szCs w:val="16"/>
          <w:color w:val="auto"/>
        </w:rPr>
        <w:t>, the pledge or creation of any security interest, or the effects of perfection or non-perfection, the priority or enforceability of any pledge or security interest to the extent the same is not required on the Closing Date.</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u w:val="single" w:color="auto"/>
          <w:color w:val="auto"/>
        </w:rPr>
        <w:t>Labor Disputes</w:t>
      </w:r>
      <w:r>
        <w:rPr>
          <w:rFonts w:ascii="Arial" w:cs="Arial" w:eastAsia="Arial" w:hAnsi="Arial"/>
          <w:sz w:val="16"/>
          <w:szCs w:val="16"/>
          <w:color w:val="auto"/>
        </w:rPr>
        <w:t>. Except as individually or in the aggregate would not reasonably be expected to have a Material Adverse Effect,</w:t>
      </w:r>
    </w:p>
    <w:p>
      <w:pPr>
        <w:spacing w:after="0" w:line="46" w:lineRule="exact"/>
        <w:rPr>
          <w:sz w:val="20"/>
          <w:szCs w:val="20"/>
          <w:color w:val="auto"/>
        </w:rPr>
      </w:pPr>
    </w:p>
    <w:p>
      <w:pPr>
        <w:ind w:left="4" w:right="20" w:hanging="4"/>
        <w:spacing w:after="0" w:line="253" w:lineRule="auto"/>
        <w:tabs>
          <w:tab w:leader="none" w:pos="24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there are no strikes, lockouts or slowdowns against Holdings, the Borrower or any of its Restricted Subsidiaries pending or, to the knowledge of Holdings, the Borrower or any of its Restricted Subsidiaries, threatened and (b) the hours worked by and payments made to employees of Holdings, the Borrower and its Restricted Subsidiaries have not been in violation of the Fair Labor Standards Act or any other applicable Requirement of Law dealing with such matters.</w:t>
      </w:r>
    </w:p>
    <w:p>
      <w:pPr>
        <w:spacing w:after="0" w:line="193" w:lineRule="exact"/>
        <w:rPr>
          <w:sz w:val="20"/>
          <w:szCs w:val="20"/>
          <w:color w:val="auto"/>
        </w:rPr>
      </w:pPr>
    </w:p>
    <w:p>
      <w:pPr>
        <w:ind w:left="4" w:right="520" w:firstLine="440"/>
        <w:spacing w:after="0" w:line="342"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Federal Reserve Regulations</w:t>
      </w:r>
      <w:r>
        <w:rPr>
          <w:rFonts w:ascii="Arial" w:cs="Arial" w:eastAsia="Arial" w:hAnsi="Arial"/>
          <w:sz w:val="16"/>
          <w:szCs w:val="16"/>
          <w:color w:val="auto"/>
        </w:rPr>
        <w:t>. No part of the proceeds of any Loan or any Letter of Credit have been used, whether directly or indirectly, and whether immediately or incidentally or ultimately, for any purpose that results in a violation of the provisions of Regulation U.</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Sanctions; PATRIOT ACT and FCPA</w:t>
      </w:r>
      <w:r>
        <w:rPr>
          <w:rFonts w:ascii="Arial" w:cs="Arial" w:eastAsia="Arial" w:hAnsi="Arial"/>
          <w:sz w:val="18"/>
          <w:szCs w:val="18"/>
          <w:color w:val="auto"/>
        </w:rPr>
        <w:t>.</w:t>
      </w:r>
    </w:p>
    <w:p>
      <w:pPr>
        <w:spacing w:after="0" w:line="117" w:lineRule="exact"/>
        <w:rPr>
          <w:sz w:val="20"/>
          <w:szCs w:val="20"/>
          <w:color w:val="auto"/>
        </w:rPr>
      </w:pPr>
    </w:p>
    <w:p>
      <w:pPr>
        <w:ind w:left="4" w:right="120" w:firstLine="436"/>
        <w:spacing w:after="0" w:line="263" w:lineRule="auto"/>
        <w:tabs>
          <w:tab w:leader="none" w:pos="68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 None of Holdings, the Borrower nor any of its Restricted Subsidiaries nor, to the knowledge of the Borrower, any director, officer or employee of any of the foregoing is a Sanctioned Person; and (ii) the Borrower will not directly or, to its knowledge, indirectly, use the proceeds of the Loans or Letters of Credit or</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84"/>
          </w:cols>
          <w:pgMar w:left="436" w:top="274" w:right="479" w:bottom="1440" w:gutter="0" w:footer="0" w:header="0"/>
        </w:sectPr>
      </w:pPr>
    </w:p>
    <w:bookmarkStart w:id="122" w:name="page123"/>
    <w:bookmarkEnd w:id="122"/>
    <w:p>
      <w:pPr>
        <w:jc w:val="both"/>
        <w:ind w:left="4" w:right="4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otherwise make available such proceeds to any Person for the purpose of financing the activities of any Person that is the subject or target of any applicable Sanctions, except to the extent licensed or otherwise approved by OFAC or in compliance with applicable exemption, licenses or other approvals.</w:t>
      </w:r>
    </w:p>
    <w:p>
      <w:pPr>
        <w:spacing w:after="0" w:line="76" w:lineRule="exact"/>
        <w:rPr>
          <w:sz w:val="20"/>
          <w:szCs w:val="20"/>
          <w:color w:val="auto"/>
        </w:rPr>
      </w:pPr>
    </w:p>
    <w:p>
      <w:pPr>
        <w:ind w:left="704" w:hanging="264"/>
        <w:spacing w:after="0"/>
        <w:tabs>
          <w:tab w:leader="none" w:pos="70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the extent applicable, each Loan Party is in compliance, in all material respects, with the USA PATRIOT Act.</w:t>
      </w:r>
    </w:p>
    <w:p>
      <w:pPr>
        <w:spacing w:after="0" w:line="117" w:lineRule="exact"/>
        <w:rPr>
          <w:rFonts w:ascii="Arial" w:cs="Arial" w:eastAsia="Arial" w:hAnsi="Arial"/>
          <w:sz w:val="18"/>
          <w:szCs w:val="18"/>
          <w:color w:val="auto"/>
        </w:rPr>
      </w:pPr>
    </w:p>
    <w:p>
      <w:pPr>
        <w:ind w:left="4" w:firstLine="436"/>
        <w:spacing w:after="0" w:line="269" w:lineRule="auto"/>
        <w:tabs>
          <w:tab w:leader="none" w:pos="689"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 Neither Holdings, the Borrower nor any of its Restricted Subsidiaries nor, to the knowledge of the Borrower, any director, officer, or employee of Holdings, the Borrower or any Restricted Subsidiary, nor, to the knowledge of the Borrower, any agent (solely to the extent acting in its capacity as an agent for Holdings, the Borrower or any of its subsidiaries), has taken any action, directly or, to its knowledge, indirectly, that would result in a material violation by any such Person of the U.S. Foreign Corrupt Practices Act of 1977, as amended (the “</w:t>
      </w:r>
      <w:r>
        <w:rPr>
          <w:rFonts w:ascii="Arial" w:cs="Arial" w:eastAsia="Arial" w:hAnsi="Arial"/>
          <w:sz w:val="17"/>
          <w:szCs w:val="17"/>
          <w:u w:val="single" w:color="auto"/>
          <w:color w:val="auto"/>
        </w:rPr>
        <w:t>FCPA</w:t>
      </w:r>
      <w:r>
        <w:rPr>
          <w:rFonts w:ascii="Arial" w:cs="Arial" w:eastAsia="Arial" w:hAnsi="Arial"/>
          <w:sz w:val="17"/>
          <w:szCs w:val="17"/>
          <w:color w:val="auto"/>
        </w:rPr>
        <w:t>”), including, without limitation, making any offer, payment, promise to pay or authorization or approval of the payment of any money, or other property, gift, promise to give or authorization of the giving of anything of value, directly or indirectly, to any “foreign official” (as such term is defined in the FCPA) or any foreign political party or official thereof or any candidate for foreign political office, in each case in contravention of the FCPA; and (ii) the Borrower will not directly or, to its knowledge, indirectly, used the proceeds of the Loans or Letters of Credit or otherwise make available such proceeds to any governmental official or employee, political party, official of a political party, candidate for public office or anyone else acting in an official capacity, in order to obtain, retain or direct business or obtain any improper advantage in violation of the FCPA.</w:t>
      </w:r>
    </w:p>
    <w:p>
      <w:pPr>
        <w:spacing w:after="0" w:line="185"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8"/>
          <w:szCs w:val="18"/>
          <w:color w:val="auto"/>
        </w:rPr>
        <w:t xml:space="preserve">The representations and warranties set forth in </w:t>
      </w:r>
      <w:r>
        <w:rPr>
          <w:rFonts w:ascii="Arial" w:cs="Arial" w:eastAsia="Arial" w:hAnsi="Arial"/>
          <w:sz w:val="18"/>
          <w:szCs w:val="18"/>
          <w:u w:val="single" w:color="auto"/>
          <w:color w:val="auto"/>
        </w:rPr>
        <w:t>Section 3.17</w:t>
      </w:r>
      <w:r>
        <w:rPr>
          <w:rFonts w:ascii="Arial" w:cs="Arial" w:eastAsia="Arial" w:hAnsi="Arial"/>
          <w:sz w:val="18"/>
          <w:szCs w:val="18"/>
          <w:color w:val="auto"/>
        </w:rPr>
        <w:t xml:space="preserve"> above made by or on behalf of any Foreign Subsidiary are subject to and limited by any Requirement of Law applicable to such Foreign Subsidiary; it being understood and agreed that to the extent that any Foreign Subsidiary is unable to make any such representation or warranty set forth in </w:t>
      </w:r>
      <w:r>
        <w:rPr>
          <w:rFonts w:ascii="Arial" w:cs="Arial" w:eastAsia="Arial" w:hAnsi="Arial"/>
          <w:sz w:val="18"/>
          <w:szCs w:val="18"/>
          <w:u w:val="single" w:color="auto"/>
          <w:color w:val="auto"/>
        </w:rPr>
        <w:t>Section 3.17</w:t>
      </w:r>
      <w:r>
        <w:rPr>
          <w:rFonts w:ascii="Arial" w:cs="Arial" w:eastAsia="Arial" w:hAnsi="Arial"/>
          <w:sz w:val="18"/>
          <w:szCs w:val="18"/>
          <w:color w:val="auto"/>
        </w:rPr>
        <w:t xml:space="preserve"> as a result of the application of this sentence, such Foreign Subsidiary shall be deemed to have represented and warranted that it is in compliance, in all material respects, with any equivalent Requirement of Law relating to sanctions, anti-terrorism, anti-corruption or anti-money laundering that is applicable to such Foreign Subsidiary in its relevant local jurisdiction of organization.</w:t>
      </w:r>
    </w:p>
    <w:p>
      <w:pPr>
        <w:spacing w:after="0" w:line="192" w:lineRule="exact"/>
        <w:rPr>
          <w:sz w:val="20"/>
          <w:szCs w:val="20"/>
          <w:color w:val="auto"/>
        </w:rPr>
      </w:pPr>
    </w:p>
    <w:p>
      <w:pPr>
        <w:ind w:left="4" w:right="400" w:firstLine="440"/>
        <w:spacing w:after="0" w:line="342" w:lineRule="auto"/>
        <w:rPr>
          <w:sz w:val="20"/>
          <w:szCs w:val="20"/>
          <w:color w:val="auto"/>
        </w:rPr>
      </w:pPr>
      <w:r>
        <w:rPr>
          <w:rFonts w:ascii="Arial" w:cs="Arial" w:eastAsia="Arial" w:hAnsi="Arial"/>
          <w:sz w:val="16"/>
          <w:szCs w:val="16"/>
          <w:color w:val="auto"/>
        </w:rPr>
        <w:t xml:space="preserve">Section 3.18. </w:t>
      </w:r>
      <w:r>
        <w:rPr>
          <w:rFonts w:ascii="Arial" w:cs="Arial" w:eastAsia="Arial" w:hAnsi="Arial"/>
          <w:sz w:val="16"/>
          <w:szCs w:val="16"/>
          <w:u w:val="single" w:color="auto"/>
          <w:color w:val="auto"/>
        </w:rPr>
        <w:t>Data Privacy</w:t>
      </w:r>
      <w:r>
        <w:rPr>
          <w:rFonts w:ascii="Arial" w:cs="Arial" w:eastAsia="Arial" w:hAnsi="Arial"/>
          <w:sz w:val="16"/>
          <w:szCs w:val="16"/>
          <w:color w:val="auto"/>
        </w:rPr>
        <w:t>. The Borrower and Restricted Subsidiaries are in compliance with the Data Protection Laws, except, in each case where the failure to do so, individually or in the aggregate, would not reasonably be expected to result in a Material Adverse Effect.</w:t>
      </w:r>
    </w:p>
    <w:p>
      <w:pPr>
        <w:spacing w:after="0" w:line="34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ARTICLE 4</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CONDITIONS</w:t>
      </w:r>
    </w:p>
    <w:p>
      <w:pPr>
        <w:spacing w:after="0" w:line="22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The obligations of (i) each Lender to make Loans and (ii) any Issuing Bank to issue Letters of Credit, in each case, on the Closing Date, shall not become effective until the date on which each of the following conditions is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76" w:lineRule="exact"/>
        <w:rPr>
          <w:sz w:val="20"/>
          <w:szCs w:val="20"/>
          <w:color w:val="auto"/>
        </w:rPr>
      </w:pPr>
    </w:p>
    <w:p>
      <w:pPr>
        <w:ind w:left="4" w:right="360" w:firstLine="436"/>
        <w:spacing w:after="0" w:line="287" w:lineRule="auto"/>
        <w:tabs>
          <w:tab w:leader="none" w:pos="689" w:val="left"/>
        </w:tabs>
        <w:numPr>
          <w:ilvl w:val="1"/>
          <w:numId w:val="172"/>
        </w:numPr>
        <w:rPr>
          <w:rFonts w:ascii="Arial" w:cs="Arial" w:eastAsia="Arial" w:hAnsi="Arial"/>
          <w:sz w:val="16"/>
          <w:szCs w:val="16"/>
          <w:color w:val="auto"/>
        </w:rPr>
      </w:pPr>
      <w:r>
        <w:rPr>
          <w:rFonts w:ascii="Arial" w:cs="Arial" w:eastAsia="Arial" w:hAnsi="Arial"/>
          <w:sz w:val="16"/>
          <w:szCs w:val="16"/>
          <w:u w:val="single" w:color="auto"/>
          <w:color w:val="auto"/>
        </w:rPr>
        <w:t>Credit Agreement and Loan Documents</w:t>
      </w:r>
      <w:r>
        <w:rPr>
          <w:rFonts w:ascii="Arial" w:cs="Arial" w:eastAsia="Arial" w:hAnsi="Arial"/>
          <w:sz w:val="16"/>
          <w:szCs w:val="16"/>
          <w:color w:val="auto"/>
        </w:rPr>
        <w:t>. The Administrative Agent (or its counsel) shall have received from the Borrower and each Loan Party, to the extent party thereto, (i) a counterpart signed by the Borrower or such Loan Party (or written evidence reasonably satisfactory to the Administrative Agent (which may include a copy transmitted by facsimile or other electronic method) that such party has signed a counterpart) of</w:t>
      </w:r>
    </w:p>
    <w:p>
      <w:pPr>
        <w:spacing w:after="0" w:line="2" w:lineRule="exact"/>
        <w:rPr>
          <w:rFonts w:ascii="Arial" w:cs="Arial" w:eastAsia="Arial" w:hAnsi="Arial"/>
          <w:sz w:val="16"/>
          <w:szCs w:val="16"/>
          <w:color w:val="auto"/>
        </w:rPr>
      </w:pPr>
    </w:p>
    <w:p>
      <w:pPr>
        <w:ind w:left="4" w:right="280" w:hanging="4"/>
        <w:spacing w:after="0" w:line="260" w:lineRule="auto"/>
        <w:tabs>
          <w:tab w:leader="none" w:pos="29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this Agreement and (B) each Promissory Note requested by a Lender at least three Business Days prior to the Closing Date and (ii) a Borrowing Request as required by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jc w:val="both"/>
        <w:ind w:left="4" w:right="140" w:firstLine="436"/>
        <w:spacing w:after="0" w:line="263" w:lineRule="auto"/>
        <w:tabs>
          <w:tab w:leader="none" w:pos="699"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The Administrative Agent (or its counsel) shall have received, on behalf of itself, the Lenders and each Issuing Bank on the Closing Date, a customary written opinion of Weil, Gotshal &amp; Manges LLP, in its capacity as special counsel for Holdings and the Loan Parties, dated the Closing Date and addressed to the Administrative Agent, the Lenders and each Issuing Bank.</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944"/>
          </w:cols>
          <w:pgMar w:left="436" w:top="274" w:right="519" w:bottom="1440" w:gutter="0" w:footer="0" w:header="0"/>
        </w:sectPr>
      </w:pPr>
    </w:p>
    <w:bookmarkStart w:id="123" w:name="page124"/>
    <w:bookmarkEnd w:id="123"/>
    <w:p>
      <w:pPr>
        <w:ind w:left="684" w:hanging="244"/>
        <w:spacing w:after="0"/>
        <w:tabs>
          <w:tab w:leader="none" w:pos="684" w:val="left"/>
        </w:tabs>
        <w:numPr>
          <w:ilvl w:val="1"/>
          <w:numId w:val="17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Statements</w:t>
      </w:r>
      <w:r>
        <w:rPr>
          <w:rFonts w:ascii="Arial" w:cs="Arial" w:eastAsia="Arial" w:hAnsi="Arial"/>
          <w:sz w:val="18"/>
          <w:szCs w:val="18"/>
          <w:color w:val="auto"/>
        </w:rPr>
        <w:t>. The Administrative Agent shall have received:</w:t>
      </w:r>
    </w:p>
    <w:p>
      <w:pPr>
        <w:spacing w:after="0" w:line="117" w:lineRule="exact"/>
        <w:rPr>
          <w:rFonts w:ascii="Arial" w:cs="Arial" w:eastAsia="Arial" w:hAnsi="Arial"/>
          <w:sz w:val="18"/>
          <w:szCs w:val="18"/>
          <w:u w:val="single" w:color="auto"/>
          <w:color w:val="auto"/>
        </w:rPr>
      </w:pPr>
    </w:p>
    <w:p>
      <w:pPr>
        <w:ind w:left="444" w:right="320" w:firstLine="419"/>
        <w:spacing w:after="0" w:line="277" w:lineRule="auto"/>
        <w:tabs>
          <w:tab w:leader="none" w:pos="1082" w:val="left"/>
        </w:tabs>
        <w:numPr>
          <w:ilvl w:val="2"/>
          <w:numId w:val="174"/>
        </w:numPr>
        <w:rPr>
          <w:rFonts w:ascii="Arial" w:cs="Arial" w:eastAsia="Arial" w:hAnsi="Arial"/>
          <w:sz w:val="18"/>
          <w:szCs w:val="18"/>
          <w:color w:val="auto"/>
        </w:rPr>
      </w:pPr>
      <w:r>
        <w:rPr>
          <w:rFonts w:ascii="Arial" w:cs="Arial" w:eastAsia="Arial" w:hAnsi="Arial"/>
          <w:sz w:val="18"/>
          <w:szCs w:val="18"/>
          <w:color w:val="auto"/>
        </w:rPr>
        <w:t>the audited consolidated balance sheet of the Borrower for the Fiscal Year ended on December 31, 2020 and the audited consolidated statements of income and cash flows of the Borrower for the Fiscal Year then ended; and</w:t>
      </w:r>
    </w:p>
    <w:p>
      <w:pPr>
        <w:spacing w:after="0" w:line="62" w:lineRule="exact"/>
        <w:rPr>
          <w:rFonts w:ascii="Arial" w:cs="Arial" w:eastAsia="Arial" w:hAnsi="Arial"/>
          <w:sz w:val="18"/>
          <w:szCs w:val="18"/>
          <w:color w:val="auto"/>
        </w:rPr>
      </w:pPr>
    </w:p>
    <w:p>
      <w:pPr>
        <w:ind w:left="444" w:right="240" w:firstLine="419"/>
        <w:spacing w:after="0" w:line="277" w:lineRule="auto"/>
        <w:tabs>
          <w:tab w:leader="none" w:pos="1132" w:val="left"/>
        </w:tabs>
        <w:numPr>
          <w:ilvl w:val="2"/>
          <w:numId w:val="174"/>
        </w:numPr>
        <w:rPr>
          <w:rFonts w:ascii="Arial" w:cs="Arial" w:eastAsia="Arial" w:hAnsi="Arial"/>
          <w:sz w:val="18"/>
          <w:szCs w:val="18"/>
          <w:color w:val="auto"/>
        </w:rPr>
      </w:pPr>
      <w:r>
        <w:rPr>
          <w:rFonts w:ascii="Arial" w:cs="Arial" w:eastAsia="Arial" w:hAnsi="Arial"/>
          <w:sz w:val="18"/>
          <w:szCs w:val="18"/>
          <w:color w:val="auto"/>
        </w:rPr>
        <w:t>the unaudited consolidated balance sheet and the unaudited consolidated statements of income and cash flows of the Borrower for the Fiscal Quarters ended on March 31, 2021 and June 30, 2021.</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1"/>
          <w:numId w:val="174"/>
        </w:numPr>
        <w:rPr>
          <w:rFonts w:ascii="Arial" w:cs="Arial" w:eastAsia="Arial" w:hAnsi="Arial"/>
          <w:sz w:val="17"/>
          <w:szCs w:val="17"/>
          <w:color w:val="auto"/>
        </w:rPr>
      </w:pPr>
      <w:r>
        <w:rPr>
          <w:rFonts w:ascii="Arial" w:cs="Arial" w:eastAsia="Arial" w:hAnsi="Arial"/>
          <w:sz w:val="17"/>
          <w:szCs w:val="17"/>
          <w:u w:val="single" w:color="auto"/>
          <w:color w:val="auto"/>
        </w:rPr>
        <w:t>Secretary’s Certificate and Good Standing Certificates of Loan Parties</w:t>
      </w:r>
      <w:r>
        <w:rPr>
          <w:rFonts w:ascii="Arial" w:cs="Arial" w:eastAsia="Arial" w:hAnsi="Arial"/>
          <w:sz w:val="17"/>
          <w:szCs w:val="17"/>
          <w:color w:val="auto"/>
        </w:rPr>
        <w:t>. The Administrative Agent (or its counsel) shall have received:</w:t>
      </w:r>
    </w:p>
    <w:p>
      <w:pPr>
        <w:spacing w:after="0" w:line="128" w:lineRule="exact"/>
        <w:rPr>
          <w:rFonts w:ascii="Arial" w:cs="Arial" w:eastAsia="Arial" w:hAnsi="Arial"/>
          <w:sz w:val="17"/>
          <w:szCs w:val="17"/>
          <w:color w:val="auto"/>
        </w:rPr>
      </w:pPr>
    </w:p>
    <w:p>
      <w:pPr>
        <w:ind w:left="1084" w:hanging="221"/>
        <w:spacing w:after="0"/>
        <w:tabs>
          <w:tab w:leader="none" w:pos="1084" w:val="left"/>
        </w:tabs>
        <w:numPr>
          <w:ilvl w:val="2"/>
          <w:numId w:val="174"/>
        </w:numPr>
        <w:rPr>
          <w:rFonts w:ascii="Arial" w:cs="Arial" w:eastAsia="Arial" w:hAnsi="Arial"/>
          <w:sz w:val="17"/>
          <w:szCs w:val="17"/>
          <w:color w:val="auto"/>
        </w:rPr>
      </w:pPr>
      <w:r>
        <w:rPr>
          <w:rFonts w:ascii="Arial" w:cs="Arial" w:eastAsia="Arial" w:hAnsi="Arial"/>
          <w:sz w:val="17"/>
          <w:szCs w:val="17"/>
          <w:color w:val="auto"/>
        </w:rPr>
        <w:t>a certificate of each Loan Party on the Closing Date, dated the Closing Date and executed by a Responsible Officer, which shall:</w:t>
      </w:r>
    </w:p>
    <w:p>
      <w:pPr>
        <w:spacing w:after="0" w:line="128" w:lineRule="exact"/>
        <w:rPr>
          <w:rFonts w:ascii="Arial" w:cs="Arial" w:eastAsia="Arial" w:hAnsi="Arial"/>
          <w:sz w:val="17"/>
          <w:szCs w:val="17"/>
          <w:color w:val="auto"/>
        </w:rPr>
      </w:pPr>
    </w:p>
    <w:p>
      <w:pPr>
        <w:ind w:left="984" w:right="40" w:firstLine="408"/>
        <w:spacing w:after="0" w:line="257" w:lineRule="auto"/>
        <w:tabs>
          <w:tab w:leader="none" w:pos="1680" w:val="left"/>
        </w:tabs>
        <w:numPr>
          <w:ilvl w:val="3"/>
          <w:numId w:val="174"/>
        </w:numPr>
        <w:rPr>
          <w:rFonts w:ascii="Arial" w:cs="Arial" w:eastAsia="Arial" w:hAnsi="Arial"/>
          <w:sz w:val="18"/>
          <w:szCs w:val="18"/>
          <w:color w:val="auto"/>
        </w:rPr>
      </w:pPr>
      <w:r>
        <w:rPr>
          <w:rFonts w:ascii="Arial" w:cs="Arial" w:eastAsia="Arial" w:hAnsi="Arial"/>
          <w:sz w:val="18"/>
          <w:szCs w:val="18"/>
          <w:color w:val="auto"/>
        </w:rPr>
        <w:t>certify that attached thereto is a true and complete copy of the resolutions, written consents or extracts of minutes of a meeting, as applicable, of its board of directors, board of managers, supervisory board, shareholders, members or other governing body (as the case may be and in each case, to the extent required) authorizing the execution, delivery and performance of the Loan Documents to which it is a party and, in the case of the Borrower, the borrowings hereunder, and that such resolutions or written consents have not been modified, rescinded or amended and are in full force and effect,</w:t>
      </w:r>
    </w:p>
    <w:p>
      <w:pPr>
        <w:spacing w:after="0" w:line="79" w:lineRule="exact"/>
        <w:rPr>
          <w:rFonts w:ascii="Arial" w:cs="Arial" w:eastAsia="Arial" w:hAnsi="Arial"/>
          <w:sz w:val="18"/>
          <w:szCs w:val="18"/>
          <w:color w:val="auto"/>
        </w:rPr>
      </w:pPr>
    </w:p>
    <w:p>
      <w:pPr>
        <w:ind w:left="984" w:right="200" w:firstLine="408"/>
        <w:spacing w:after="0" w:line="308" w:lineRule="auto"/>
        <w:tabs>
          <w:tab w:leader="none" w:pos="1670" w:val="left"/>
        </w:tabs>
        <w:numPr>
          <w:ilvl w:val="3"/>
          <w:numId w:val="174"/>
        </w:numPr>
        <w:rPr>
          <w:rFonts w:ascii="Arial" w:cs="Arial" w:eastAsia="Arial" w:hAnsi="Arial"/>
          <w:sz w:val="17"/>
          <w:szCs w:val="17"/>
          <w:color w:val="auto"/>
        </w:rPr>
      </w:pPr>
      <w:r>
        <w:rPr>
          <w:rFonts w:ascii="Arial" w:cs="Arial" w:eastAsia="Arial" w:hAnsi="Arial"/>
          <w:sz w:val="17"/>
          <w:szCs w:val="17"/>
          <w:color w:val="auto"/>
        </w:rPr>
        <w:t>identify by name and title and bear the signatures of the Responsible Officer or authorized signatory of such Loan Party on the Closing Date that is authorized to sign the Loan Documents to which it is a party on the Closing Date, as applicable, and</w:t>
      </w:r>
    </w:p>
    <w:p>
      <w:pPr>
        <w:spacing w:after="0" w:line="38" w:lineRule="exact"/>
        <w:rPr>
          <w:rFonts w:ascii="Arial" w:cs="Arial" w:eastAsia="Arial" w:hAnsi="Arial"/>
          <w:sz w:val="17"/>
          <w:szCs w:val="17"/>
          <w:color w:val="auto"/>
        </w:rPr>
      </w:pPr>
    </w:p>
    <w:p>
      <w:pPr>
        <w:ind w:left="984" w:right="80" w:firstLine="408"/>
        <w:spacing w:after="0" w:line="296" w:lineRule="auto"/>
        <w:tabs>
          <w:tab w:leader="none" w:pos="1670" w:val="left"/>
        </w:tabs>
        <w:numPr>
          <w:ilvl w:val="3"/>
          <w:numId w:val="174"/>
        </w:numPr>
        <w:rPr>
          <w:rFonts w:ascii="Arial" w:cs="Arial" w:eastAsia="Arial" w:hAnsi="Arial"/>
          <w:sz w:val="16"/>
          <w:szCs w:val="16"/>
          <w:color w:val="auto"/>
        </w:rPr>
      </w:pPr>
      <w:r>
        <w:rPr>
          <w:rFonts w:ascii="Arial" w:cs="Arial" w:eastAsia="Arial" w:hAnsi="Arial"/>
          <w:sz w:val="16"/>
          <w:szCs w:val="16"/>
          <w:color w:val="auto"/>
        </w:rPr>
        <w:t>certify (I) that attached thereto is a true and complete copy of the certificate or articles of incorporation or organization (or memorandum of association, articles of association or other equivalent thereof) of each Loan Party on the Closing Date (certified by the relevant authority of the jurisdiction of organization of such Loan Party) and a true and correct copy of its by-laws or operating, management, partnership or similar agreement (to the extent applicable) and (II) that such documents or agreements have not been amended (except as otherwise attached to such certificate and certified therein as being the only amendments thereto as of such date), and</w:t>
      </w:r>
    </w:p>
    <w:p>
      <w:pPr>
        <w:spacing w:after="0" w:line="53" w:lineRule="exact"/>
        <w:rPr>
          <w:rFonts w:ascii="Arial" w:cs="Arial" w:eastAsia="Arial" w:hAnsi="Arial"/>
          <w:sz w:val="16"/>
          <w:szCs w:val="16"/>
          <w:color w:val="auto"/>
        </w:rPr>
      </w:pPr>
    </w:p>
    <w:p>
      <w:pPr>
        <w:ind w:left="444" w:right="160" w:firstLine="419"/>
        <w:spacing w:after="0" w:line="277" w:lineRule="auto"/>
        <w:tabs>
          <w:tab w:leader="none" w:pos="1132" w:val="left"/>
        </w:tabs>
        <w:numPr>
          <w:ilvl w:val="2"/>
          <w:numId w:val="174"/>
        </w:numPr>
        <w:rPr>
          <w:rFonts w:ascii="Arial" w:cs="Arial" w:eastAsia="Arial" w:hAnsi="Arial"/>
          <w:sz w:val="18"/>
          <w:szCs w:val="18"/>
          <w:color w:val="auto"/>
        </w:rPr>
      </w:pPr>
      <w:r>
        <w:rPr>
          <w:rFonts w:ascii="Arial" w:cs="Arial" w:eastAsia="Arial" w:hAnsi="Arial"/>
          <w:sz w:val="18"/>
          <w:szCs w:val="18"/>
          <w:color w:val="auto"/>
        </w:rPr>
        <w:t>a good standing certificate (or equivalent), dated as of a recent date for each such Loan Party from the relevant office of its jurisdiction of organization (to the extent available in the jurisdiction of organization of such Loan Party).</w:t>
      </w:r>
    </w:p>
    <w:p>
      <w:pPr>
        <w:spacing w:after="0" w:line="62" w:lineRule="exact"/>
        <w:rPr>
          <w:rFonts w:ascii="Arial" w:cs="Arial" w:eastAsia="Arial" w:hAnsi="Arial"/>
          <w:sz w:val="18"/>
          <w:szCs w:val="18"/>
          <w:color w:val="auto"/>
        </w:rPr>
      </w:pPr>
    </w:p>
    <w:p>
      <w:pPr>
        <w:ind w:left="4" w:right="120" w:firstLine="436"/>
        <w:spacing w:after="0" w:line="257" w:lineRule="auto"/>
        <w:tabs>
          <w:tab w:leader="none" w:pos="689"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Loan Parties set forth in this Agreement and the other Loan Documents shall be true and correct in all material respects on and as of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that (i) to the extent that any representation and warranty specifically refers to a given date or period, it shall be true and correct in all material respects as of such date or for such period and (ii) to the extent that any representation and warranty is qualified by or subject to a “material adverse effect”, “material adverse change” or similar term or qualification, the same shall be true and correct in all respects.</w:t>
      </w:r>
    </w:p>
    <w:p>
      <w:pPr>
        <w:spacing w:after="0" w:line="79" w:lineRule="exact"/>
        <w:rPr>
          <w:rFonts w:ascii="Arial" w:cs="Arial" w:eastAsia="Arial" w:hAnsi="Arial"/>
          <w:sz w:val="18"/>
          <w:szCs w:val="18"/>
          <w:color w:val="auto"/>
        </w:rPr>
      </w:pPr>
    </w:p>
    <w:p>
      <w:pPr>
        <w:ind w:left="664" w:hanging="224"/>
        <w:spacing w:after="0"/>
        <w:tabs>
          <w:tab w:leader="none" w:pos="664"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Prior to or substantially concurrently with the funding of the Initial Term Loans hereunder, the Administrative Agent shall have received</w:t>
      </w:r>
    </w:p>
    <w:p>
      <w:pPr>
        <w:spacing w:after="0" w:line="46" w:lineRule="exact"/>
        <w:rPr>
          <w:rFonts w:ascii="Arial" w:cs="Arial" w:eastAsia="Arial" w:hAnsi="Arial"/>
          <w:sz w:val="16"/>
          <w:szCs w:val="16"/>
          <w:color w:val="auto"/>
        </w:rPr>
      </w:pPr>
    </w:p>
    <w:p>
      <w:pPr>
        <w:ind w:left="4" w:hanging="4"/>
        <w:spacing w:after="0" w:line="253" w:lineRule="auto"/>
        <w:tabs>
          <w:tab w:leader="none" w:pos="21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all fees required to be paid by the Borrower on the Closing Date pursuant to the Engagement Letter and/or Fee Letter and (ii) all expenses required to be paid by the Borrower for which invoices have been presented at least three Business Days prior to the Closing Date or such later date to which the Borrower may agree (including the reasonable fees and expenses of legal counsel required to be paid), in each case on or before the Closing Date, which amounts may be offset against the proceeds of the Loans.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84"/>
          </w:cols>
          <w:pgMar w:left="436" w:top="274" w:right="479" w:bottom="1440" w:gutter="0" w:footer="0" w:header="0"/>
        </w:sectPr>
      </w:pPr>
    </w:p>
    <w:bookmarkStart w:id="124" w:name="page125"/>
    <w:bookmarkEnd w:id="124"/>
    <w:p>
      <w:pPr>
        <w:ind w:firstLine="436"/>
        <w:spacing w:after="0" w:line="259" w:lineRule="auto"/>
        <w:tabs>
          <w:tab w:leader="none" w:pos="695"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Closing Date Refinancing</w:t>
      </w:r>
      <w:r>
        <w:rPr>
          <w:rFonts w:ascii="Arial" w:cs="Arial" w:eastAsia="Arial" w:hAnsi="Arial"/>
          <w:sz w:val="18"/>
          <w:szCs w:val="18"/>
          <w:color w:val="auto"/>
        </w:rPr>
        <w:t>. Substantially concurrently with the initial funding of the Loans hereunder, including by use of the proceeds thereof, the Closing Date Refinancing shall be consummated and the Administrative Agent shall have received a customary payoff letter providing for the release of liens securing the obligations under the Existing Credit Agreement (to the extent required by the definition of “Closing Date Refinancing”) upon the consummation of the Closing Date Refinancing.</w:t>
      </w:r>
    </w:p>
    <w:p>
      <w:pPr>
        <w:spacing w:after="0" w:line="78" w:lineRule="exact"/>
        <w:rPr>
          <w:rFonts w:ascii="Arial" w:cs="Arial" w:eastAsia="Arial" w:hAnsi="Arial"/>
          <w:sz w:val="18"/>
          <w:szCs w:val="18"/>
          <w:color w:val="auto"/>
        </w:rPr>
      </w:pPr>
    </w:p>
    <w:p>
      <w:pPr>
        <w:ind w:right="20" w:firstLine="436"/>
        <w:spacing w:after="0" w:line="277" w:lineRule="auto"/>
        <w:tabs>
          <w:tab w:leader="none" w:pos="695"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No Default or Event of Default</w:t>
      </w:r>
      <w:r>
        <w:rPr>
          <w:rFonts w:ascii="Arial" w:cs="Arial" w:eastAsia="Arial" w:hAnsi="Arial"/>
          <w:sz w:val="18"/>
          <w:szCs w:val="18"/>
          <w:color w:val="auto"/>
        </w:rPr>
        <w:t>. At the time of and immediately after giving effect to the making of the Loans to be made on the Closing Date, no Default or Event of Default has occurred and is continuing.</w:t>
      </w:r>
    </w:p>
    <w:p>
      <w:pPr>
        <w:spacing w:after="0" w:line="62" w:lineRule="exact"/>
        <w:rPr>
          <w:rFonts w:ascii="Arial" w:cs="Arial" w:eastAsia="Arial" w:hAnsi="Arial"/>
          <w:sz w:val="18"/>
          <w:szCs w:val="18"/>
          <w:color w:val="auto"/>
        </w:rPr>
      </w:pPr>
    </w:p>
    <w:p>
      <w:pPr>
        <w:ind w:right="60" w:firstLine="436"/>
        <w:spacing w:after="0" w:line="277" w:lineRule="auto"/>
        <w:tabs>
          <w:tab w:leader="none" w:pos="655"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xml:space="preserve">. The Administrative Agent (or its counsel) shall have received a certificate in substantially the form of </w:t>
      </w:r>
      <w:r>
        <w:rPr>
          <w:rFonts w:ascii="Arial" w:cs="Arial" w:eastAsia="Arial" w:hAnsi="Arial"/>
          <w:sz w:val="18"/>
          <w:szCs w:val="18"/>
          <w:u w:val="single" w:color="auto"/>
          <w:color w:val="auto"/>
        </w:rPr>
        <w:t>Exhibit P</w:t>
      </w:r>
      <w:r>
        <w:rPr>
          <w:rFonts w:ascii="Arial" w:cs="Arial" w:eastAsia="Arial" w:hAnsi="Arial"/>
          <w:sz w:val="18"/>
          <w:szCs w:val="18"/>
          <w:color w:val="auto"/>
        </w:rPr>
        <w:t xml:space="preserve"> from a Responsible Officer of the Borrower dated as of the Closing Date and certifying as to the matters set forth therein.</w:t>
      </w:r>
    </w:p>
    <w:p>
      <w:pPr>
        <w:spacing w:after="0" w:line="62" w:lineRule="exact"/>
        <w:rPr>
          <w:rFonts w:ascii="Arial" w:cs="Arial" w:eastAsia="Arial" w:hAnsi="Arial"/>
          <w:sz w:val="18"/>
          <w:szCs w:val="18"/>
          <w:color w:val="auto"/>
        </w:rPr>
      </w:pPr>
    </w:p>
    <w:p>
      <w:pPr>
        <w:ind w:right="40" w:firstLine="436"/>
        <w:spacing w:after="0" w:line="277" w:lineRule="auto"/>
        <w:tabs>
          <w:tab w:leader="none" w:pos="655"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Perfection Certificate</w:t>
      </w:r>
      <w:r>
        <w:rPr>
          <w:rFonts w:ascii="Arial" w:cs="Arial" w:eastAsia="Arial" w:hAnsi="Arial"/>
          <w:sz w:val="18"/>
          <w:szCs w:val="18"/>
          <w:color w:val="auto"/>
        </w:rPr>
        <w:t>. The Administrative Agent (or its counsel) shall have received a completed Perfection Certificate dated the Closing Date and signed by a Responsible Officer of the Borrower, together with all attachments contemplated thereby.</w:t>
      </w:r>
    </w:p>
    <w:p>
      <w:pPr>
        <w:spacing w:after="0" w:line="62" w:lineRule="exact"/>
        <w:rPr>
          <w:rFonts w:ascii="Arial" w:cs="Arial" w:eastAsia="Arial" w:hAnsi="Arial"/>
          <w:sz w:val="18"/>
          <w:szCs w:val="18"/>
          <w:color w:val="auto"/>
        </w:rPr>
      </w:pPr>
    </w:p>
    <w:p>
      <w:pPr>
        <w:ind w:right="600" w:firstLine="436"/>
        <w:spacing w:after="0" w:line="342" w:lineRule="auto"/>
        <w:tabs>
          <w:tab w:leader="none" w:pos="695"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Filings Registrations and Recordings</w:t>
      </w:r>
      <w:r>
        <w:rPr>
          <w:rFonts w:ascii="Arial" w:cs="Arial" w:eastAsia="Arial" w:hAnsi="Arial"/>
          <w:sz w:val="16"/>
          <w:szCs w:val="16"/>
          <w:color w:val="auto"/>
        </w:rPr>
        <w:t xml:space="preserve">. Subject to the final paragraph of this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and except as may otherwise be agreed by the Administrative Agent, the requirements set forth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of “Collateral and Guarantee Requirement” shall be satisfied.</w:t>
      </w:r>
    </w:p>
    <w:p>
      <w:pPr>
        <w:spacing w:after="0" w:line="15" w:lineRule="exact"/>
        <w:rPr>
          <w:rFonts w:ascii="Arial" w:cs="Arial" w:eastAsia="Arial" w:hAnsi="Arial"/>
          <w:sz w:val="16"/>
          <w:szCs w:val="16"/>
          <w:color w:val="auto"/>
        </w:rPr>
      </w:pPr>
    </w:p>
    <w:p>
      <w:pPr>
        <w:ind w:left="660" w:hanging="224"/>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IPO</w:t>
      </w:r>
      <w:r>
        <w:rPr>
          <w:rFonts w:ascii="Arial" w:cs="Arial" w:eastAsia="Arial" w:hAnsi="Arial"/>
          <w:sz w:val="18"/>
          <w:szCs w:val="18"/>
          <w:color w:val="auto"/>
        </w:rPr>
        <w:t>. Prior to, or substantially concurrently with, the initial funding of the Loans hereunder, the IPO shall be consummated.</w:t>
      </w:r>
    </w:p>
    <w:p>
      <w:pPr>
        <w:spacing w:after="0" w:line="117" w:lineRule="exact"/>
        <w:rPr>
          <w:rFonts w:ascii="Arial" w:cs="Arial" w:eastAsia="Arial" w:hAnsi="Arial"/>
          <w:sz w:val="18"/>
          <w:szCs w:val="18"/>
          <w:color w:val="auto"/>
        </w:rPr>
      </w:pPr>
    </w:p>
    <w:p>
      <w:pPr>
        <w:ind w:left="740" w:hanging="304"/>
        <w:spacing w:after="0"/>
        <w:tabs>
          <w:tab w:leader="none" w:pos="74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Since December 31, 2020, there shall not have occurred a Material Adverse Effect.</w:t>
      </w:r>
    </w:p>
    <w:p>
      <w:pPr>
        <w:spacing w:after="0" w:line="117" w:lineRule="exact"/>
        <w:rPr>
          <w:rFonts w:ascii="Arial" w:cs="Arial" w:eastAsia="Arial" w:hAnsi="Arial"/>
          <w:sz w:val="18"/>
          <w:szCs w:val="18"/>
          <w:color w:val="auto"/>
        </w:rPr>
      </w:pPr>
    </w:p>
    <w:p>
      <w:pPr>
        <w:ind w:right="100" w:firstLine="436"/>
        <w:spacing w:after="0" w:line="259" w:lineRule="auto"/>
        <w:tabs>
          <w:tab w:leader="none" w:pos="695"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USA PATRIOT Act</w:t>
      </w:r>
      <w:r>
        <w:rPr>
          <w:rFonts w:ascii="Arial" w:cs="Arial" w:eastAsia="Arial" w:hAnsi="Arial"/>
          <w:sz w:val="18"/>
          <w:szCs w:val="18"/>
          <w:color w:val="auto"/>
        </w:rPr>
        <w:t>. No later than three Business Days in advance of the Closing Date, the Administrative Agent shall have received all documentation and other information reasonably requested with respect to any Loan Party in writing by any Initial Lender at least 10 Business Days in advance of the Closing Date, which documentation or other information is required by regulatory authorities under applicable “know your customer” and anti-money laundering rules and regulations, including the USA PATRIOT Act.</w:t>
      </w:r>
    </w:p>
    <w:p>
      <w:pPr>
        <w:spacing w:after="0" w:line="78" w:lineRule="exact"/>
        <w:rPr>
          <w:rFonts w:ascii="Arial" w:cs="Arial" w:eastAsia="Arial" w:hAnsi="Arial"/>
          <w:sz w:val="18"/>
          <w:szCs w:val="18"/>
          <w:color w:val="auto"/>
        </w:rPr>
      </w:pPr>
    </w:p>
    <w:p>
      <w:pPr>
        <w:ind w:right="320" w:firstLine="436"/>
        <w:spacing w:after="0" w:line="311" w:lineRule="auto"/>
        <w:tabs>
          <w:tab w:leader="none" w:pos="695"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Beneficial Ownership Certification</w:t>
      </w:r>
      <w:r>
        <w:rPr>
          <w:rFonts w:ascii="Arial" w:cs="Arial" w:eastAsia="Arial" w:hAnsi="Arial"/>
          <w:sz w:val="16"/>
          <w:szCs w:val="16"/>
          <w:color w:val="auto"/>
        </w:rPr>
        <w:t>. To the extent the Borrower qualifies as a “legal entity customer” under the Beneficial Ownership Regulation, no later than three Business Days in advance of the Closing Date, the Administrative Agent shall have received a Beneficial Ownership Certification in relation to the Borrower to the extent reasonably requested by it at least 10 Business Days in advance of the Closing Date.</w:t>
      </w:r>
    </w:p>
    <w:p>
      <w:pPr>
        <w:spacing w:after="0" w:line="40" w:lineRule="exact"/>
        <w:rPr>
          <w:rFonts w:ascii="Arial" w:cs="Arial" w:eastAsia="Arial" w:hAnsi="Arial"/>
          <w:sz w:val="16"/>
          <w:szCs w:val="16"/>
          <w:color w:val="auto"/>
        </w:rPr>
      </w:pPr>
    </w:p>
    <w:p>
      <w:pPr>
        <w:ind w:right="320" w:firstLine="436"/>
        <w:spacing w:after="0" w:line="277" w:lineRule="auto"/>
        <w:tabs>
          <w:tab w:leader="none" w:pos="695"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Administrative Agent shall have received a certificate from a Responsible Officer of the Borrower certifying the satisfaction of the conditions precedent set forth in </w:t>
      </w:r>
      <w:r>
        <w:rPr>
          <w:rFonts w:ascii="Arial" w:cs="Arial" w:eastAsia="Arial" w:hAnsi="Arial"/>
          <w:sz w:val="18"/>
          <w:szCs w:val="18"/>
          <w:u w:val="single" w:color="auto"/>
          <w:color w:val="auto"/>
        </w:rPr>
        <w:t>Sections 4.01(e)</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(m)</w:t>
      </w:r>
      <w:r>
        <w:rPr>
          <w:rFonts w:ascii="Arial" w:cs="Arial" w:eastAsia="Arial" w:hAnsi="Arial"/>
          <w:sz w:val="18"/>
          <w:szCs w:val="18"/>
          <w:color w:val="auto"/>
        </w:rPr>
        <w:t>.</w:t>
      </w:r>
    </w:p>
    <w:p>
      <w:pPr>
        <w:spacing w:after="0" w:line="170"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 xml:space="preserve">For purposes of determining whether the conditions specified in this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have been satisfied on the Closing Date, by funding the Loans hereunder or issuing a Letter of Credit on the Closing Date, the Administrative Agent, each Lender and each Issuing Bank, as applicable, shall be deemed to have consented to, approved or accepted, or to be satisfied with, each document or other matter required hereunder to be consented to or approved by or acceptable or satisfactory to the Administrative Agent, such Lender or such Issuing Bank, as the case may be.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960"/>
          </w:cols>
          <w:pgMar w:left="440" w:top="274" w:right="499" w:bottom="1440" w:gutter="0" w:footer="0" w:header="0"/>
        </w:sectPr>
      </w:pPr>
    </w:p>
    <w:bookmarkStart w:id="125" w:name="page126"/>
    <w:bookmarkEnd w:id="125"/>
    <w:p>
      <w:pPr>
        <w:ind w:left="4" w:right="2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to the extent that the Lien on any Collateral is not or cannot be created or perfected on the Closing Date (other than, to the extent required herein or in the other Loan Documents, the creation and perfection of a Lien on Collateral that is of the type that may be perfected by the filing of a Form UCC-1 financing statement under the UCC), then the creation and/or perfection of such Lien shall not constitute a condition precedent to the availability or initial funding of the Credit Facilities on the Closing Date, but may instead be delivered or perfected within the time period set forth in </w:t>
      </w:r>
      <w:r>
        <w:rPr>
          <w:rFonts w:ascii="Arial" w:cs="Arial" w:eastAsia="Arial" w:hAnsi="Arial"/>
          <w:sz w:val="17"/>
          <w:szCs w:val="17"/>
          <w:u w:val="single" w:color="auto"/>
          <w:color w:val="auto"/>
        </w:rPr>
        <w:t>Section 5.15</w:t>
      </w:r>
      <w:r>
        <w:rPr>
          <w:rFonts w:ascii="Arial" w:cs="Arial" w:eastAsia="Arial" w:hAnsi="Arial"/>
          <w:sz w:val="17"/>
          <w:szCs w:val="17"/>
          <w:color w:val="auto"/>
        </w:rPr>
        <w:t xml:space="preserve"> (or such later date as the Administrative Agent may reasonably agree).</w:t>
      </w:r>
    </w:p>
    <w:p>
      <w:pPr>
        <w:spacing w:after="0" w:line="176"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Extension</w:t>
      </w:r>
      <w:r>
        <w:rPr>
          <w:rFonts w:ascii="Arial" w:cs="Arial" w:eastAsia="Arial" w:hAnsi="Arial"/>
          <w:sz w:val="18"/>
          <w:szCs w:val="18"/>
          <w:color w:val="auto"/>
        </w:rPr>
        <w:t>. After the Closing Date, the obligation of each Revolving Lender and each Issuing Bank to make any Credit Extension is subject to the satisfaction of the following conditions:</w:t>
      </w:r>
    </w:p>
    <w:p>
      <w:pPr>
        <w:spacing w:after="0" w:line="62" w:lineRule="exact"/>
        <w:rPr>
          <w:sz w:val="20"/>
          <w:szCs w:val="20"/>
          <w:color w:val="auto"/>
        </w:rPr>
      </w:pPr>
    </w:p>
    <w:p>
      <w:pPr>
        <w:ind w:left="4" w:right="100" w:firstLine="436"/>
        <w:spacing w:after="0" w:line="291" w:lineRule="auto"/>
        <w:tabs>
          <w:tab w:leader="none" w:pos="689" w:val="left"/>
        </w:tabs>
        <w:numPr>
          <w:ilvl w:val="1"/>
          <w:numId w:val="177"/>
        </w:numPr>
        <w:rPr>
          <w:rFonts w:ascii="Arial" w:cs="Arial" w:eastAsia="Arial" w:hAnsi="Arial"/>
          <w:sz w:val="16"/>
          <w:szCs w:val="16"/>
          <w:color w:val="auto"/>
        </w:rPr>
      </w:pPr>
      <w:r>
        <w:rPr>
          <w:rFonts w:ascii="Arial" w:cs="Arial" w:eastAsia="Arial" w:hAnsi="Arial"/>
          <w:sz w:val="16"/>
          <w:szCs w:val="16"/>
          <w:color w:val="auto"/>
        </w:rPr>
        <w:t xml:space="preserve">(i) In the case of any Borrowing, the Administrative Agent shall have received a Borrowing Request as required by </w:t>
      </w:r>
      <w:r>
        <w:rPr>
          <w:rFonts w:ascii="Arial" w:cs="Arial" w:eastAsia="Arial" w:hAnsi="Arial"/>
          <w:sz w:val="16"/>
          <w:szCs w:val="16"/>
          <w:u w:val="single" w:color="auto"/>
          <w:color w:val="auto"/>
        </w:rPr>
        <w:t>Section 2.03</w:t>
      </w:r>
      <w:r>
        <w:rPr>
          <w:rFonts w:ascii="Arial" w:cs="Arial" w:eastAsia="Arial" w:hAnsi="Arial"/>
          <w:sz w:val="16"/>
          <w:szCs w:val="16"/>
          <w:color w:val="auto"/>
        </w:rPr>
        <w:t>, (ii) in the case of the issuance of any Letter of Credit, the applicable Issuing Bank and the Administrative Agent shall have received a Letter of Credit Request or</w:t>
      </w:r>
    </w:p>
    <w:p>
      <w:pPr>
        <w:ind w:left="4" w:right="240" w:hanging="4"/>
        <w:spacing w:after="0" w:line="260" w:lineRule="auto"/>
        <w:tabs>
          <w:tab w:leader="none" w:pos="31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in the case of any Borrowing of Swingline Loans, the Swingline Lender and the Administrative Agent shall have received Borrowing Request as required by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4" w:right="100" w:firstLine="436"/>
        <w:spacing w:after="0" w:line="273" w:lineRule="auto"/>
        <w:tabs>
          <w:tab w:leader="none" w:pos="699" w:val="left"/>
        </w:tabs>
        <w:numPr>
          <w:ilvl w:val="1"/>
          <w:numId w:val="178"/>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Loan Parties set forth in this Agreement and the other Loan Documents shall be true and correct in all material respects on and as of the date of any such Credit Extension with the same effect as though such representations and warranties had been made on and as of the date of such Credit Extension;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representation and warranty specifically refers to a given date or period, it shall be true and correct in all material respects as of such date or for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representation and warranty that is qualified as to “materiality,” “Material Adverse Effect” or similar language shall be true and correct (after giving effect to any qualification therein) in all respects on such respective dates or for such periods.</w:t>
      </w:r>
    </w:p>
    <w:p>
      <w:pPr>
        <w:spacing w:after="0" w:line="69" w:lineRule="exact"/>
        <w:rPr>
          <w:rFonts w:ascii="Arial" w:cs="Arial" w:eastAsia="Arial" w:hAnsi="Arial"/>
          <w:sz w:val="17"/>
          <w:szCs w:val="17"/>
          <w:color w:val="auto"/>
        </w:rPr>
      </w:pPr>
    </w:p>
    <w:p>
      <w:pPr>
        <w:ind w:left="4" w:right="500" w:firstLine="436"/>
        <w:spacing w:after="0" w:line="277" w:lineRule="auto"/>
        <w:tabs>
          <w:tab w:leader="none" w:pos="689"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the applicable Credit Extension, no Default or Event of Default has occurred and is continuing.</w:t>
      </w:r>
    </w:p>
    <w:p>
      <w:pPr>
        <w:spacing w:after="0" w:line="170"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Each Credit Extension after the Closing Date shall be deemed to constitute a representation and warranty by the Borrower on the date thereof as to the matters specified in </w:t>
      </w:r>
      <w:r>
        <w:rPr>
          <w:rFonts w:ascii="Arial" w:cs="Arial" w:eastAsia="Arial" w:hAnsi="Arial"/>
          <w:sz w:val="18"/>
          <w:szCs w:val="18"/>
          <w:u w:val="single" w:color="auto"/>
          <w:color w:val="auto"/>
        </w:rPr>
        <w:t>paragraphs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the avoidance of doubt, the conditions set forth in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shall not apply to (A) any Incremental Loan and/or (B) any Credit Extension under any Refinancing Amendment and/or Extension Amendment, unless, in each case, the lenders in respect thereof have required satisfaction of the same in the applicable Incremental Facility Amendment, Refinancing Amendment or Extension Amendment, as applicable.</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984"/>
          </w:cols>
          <w:pgMar w:left="436" w:top="274" w:right="479" w:bottom="1440" w:gutter="0" w:footer="0" w:header="0"/>
        </w:sectPr>
      </w:pPr>
    </w:p>
    <w:bookmarkStart w:id="126" w:name="page127"/>
    <w:bookmarkEnd w:id="126"/>
    <w:p>
      <w:pPr>
        <w:jc w:val="center"/>
        <w:ind w:right="-4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5</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 xml:space="preserve">From the Closing Date until the date on which all Revolving Credit Commitments have expired or terminated and the principal of and interest on each Loan and all fees, expenses and other amounts payable under any Loan Document (other than (i) contingent indemnification obligations for which no claim or demand has been made and (ii) for the avoidance of doubt, obligations and liabilities under Banking Services Obligations and Secured Hedging Obligations) have been paid in full in the manner prescribed by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and all Letters of Credit have expired or have been terminated (or have been made subject to Letter of Credit Support) and all LC Disbursements have been reimbursed (such date,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Holdings (solely to the extent applicable to it) and the Borrower hereby covenant and agree with the Lenders, the Issuing Banks and the Administrative Agent that:</w:t>
      </w:r>
    </w:p>
    <w:p>
      <w:pPr>
        <w:spacing w:after="0" w:line="87"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Financial Statements and Other Reports</w:t>
      </w:r>
      <w:r>
        <w:rPr>
          <w:rFonts w:ascii="Arial" w:cs="Arial" w:eastAsia="Arial" w:hAnsi="Arial"/>
          <w:sz w:val="18"/>
          <w:szCs w:val="18"/>
          <w:color w:val="auto"/>
        </w:rPr>
        <w:t xml:space="preserve">. The Borrower will deliver to the Administrative Agent for delivery by the Administrative Agent, subject to </w:t>
      </w:r>
      <w:r>
        <w:rPr>
          <w:rFonts w:ascii="Arial" w:cs="Arial" w:eastAsia="Arial" w:hAnsi="Arial"/>
          <w:sz w:val="18"/>
          <w:szCs w:val="18"/>
          <w:u w:val="single" w:color="auto"/>
          <w:color w:val="auto"/>
        </w:rPr>
        <w:t>Section 9.05(f)</w:t>
      </w:r>
      <w:r>
        <w:rPr>
          <w:rFonts w:ascii="Arial" w:cs="Arial" w:eastAsia="Arial" w:hAnsi="Arial"/>
          <w:sz w:val="18"/>
          <w:szCs w:val="18"/>
          <w:color w:val="auto"/>
        </w:rPr>
        <w:t>, to each Lender:</w:t>
      </w:r>
    </w:p>
    <w:p>
      <w:pPr>
        <w:spacing w:after="0" w:line="62" w:lineRule="exact"/>
        <w:rPr>
          <w:sz w:val="20"/>
          <w:szCs w:val="20"/>
          <w:color w:val="auto"/>
        </w:rPr>
      </w:pPr>
    </w:p>
    <w:p>
      <w:pPr>
        <w:ind w:left="4" w:right="140" w:firstLine="436"/>
        <w:spacing w:after="0" w:line="293" w:lineRule="auto"/>
        <w:tabs>
          <w:tab w:leader="none" w:pos="689" w:val="left"/>
        </w:tabs>
        <w:numPr>
          <w:ilvl w:val="1"/>
          <w:numId w:val="179"/>
        </w:numPr>
        <w:rPr>
          <w:rFonts w:ascii="Arial" w:cs="Arial" w:eastAsia="Arial" w:hAnsi="Arial"/>
          <w:sz w:val="16"/>
          <w:szCs w:val="16"/>
          <w:color w:val="auto"/>
        </w:rPr>
      </w:pPr>
      <w:r>
        <w:rPr>
          <w:rFonts w:ascii="Arial" w:cs="Arial" w:eastAsia="Arial" w:hAnsi="Arial"/>
          <w:sz w:val="16"/>
          <w:szCs w:val="16"/>
          <w:u w:val="single" w:color="auto"/>
          <w:color w:val="auto"/>
        </w:rPr>
        <w:t>Quarterly Financial Statements</w:t>
      </w:r>
      <w:r>
        <w:rPr>
          <w:rFonts w:ascii="Arial" w:cs="Arial" w:eastAsia="Arial" w:hAnsi="Arial"/>
          <w:sz w:val="16"/>
          <w:szCs w:val="16"/>
          <w:color w:val="auto"/>
        </w:rPr>
        <w:t xml:space="preserve">. Within 45 days after the end of each of the first three Fiscal Quarters of each Fiscal Year, commencing with the Fiscal Quarter ending on September 30, 2021, the consolidated balance sheet of the Borrower as at the end of such Fiscal Quarter and the related consolidated statements of income or operations and cash flows of the Borrower for such Fiscal Quarter and for the period from the beginning of the then current Fiscal Year to the end of such Fiscal Quarter, and setting forth, in reasonable detail, in comparative form the corresponding figures for the corresponding periods of the previous Fiscal Year, all in reasonable detail; </w:t>
      </w:r>
      <w:r>
        <w:rPr>
          <w:rFonts w:ascii="Arial" w:cs="Arial" w:eastAsia="Arial" w:hAnsi="Arial"/>
          <w:sz w:val="16"/>
          <w:szCs w:val="16"/>
          <w:u w:val="single" w:color="auto"/>
          <w:color w:val="auto"/>
        </w:rPr>
        <w:t>provided</w:t>
      </w:r>
      <w:r>
        <w:rPr>
          <w:rFonts w:ascii="Arial" w:cs="Arial" w:eastAsia="Arial" w:hAnsi="Arial"/>
          <w:sz w:val="16"/>
          <w:szCs w:val="16"/>
          <w:color w:val="auto"/>
        </w:rPr>
        <w:t>, that any comparison against the corresponding figures from the corresponding period in any prior Fiscal Year may reflect the financial results of any applicable predecessor entity;</w:t>
      </w:r>
    </w:p>
    <w:p>
      <w:pPr>
        <w:spacing w:after="0" w:line="56" w:lineRule="exact"/>
        <w:rPr>
          <w:rFonts w:ascii="Arial" w:cs="Arial" w:eastAsia="Arial" w:hAnsi="Arial"/>
          <w:sz w:val="16"/>
          <w:szCs w:val="16"/>
          <w:color w:val="auto"/>
        </w:rPr>
      </w:pPr>
    </w:p>
    <w:p>
      <w:pPr>
        <w:ind w:left="4" w:firstLine="436"/>
        <w:spacing w:after="0" w:line="286" w:lineRule="auto"/>
        <w:tabs>
          <w:tab w:leader="none" w:pos="699" w:val="left"/>
        </w:tabs>
        <w:numPr>
          <w:ilvl w:val="1"/>
          <w:numId w:val="179"/>
        </w:numPr>
        <w:rPr>
          <w:rFonts w:ascii="Arial" w:cs="Arial" w:eastAsia="Arial" w:hAnsi="Arial"/>
          <w:sz w:val="16"/>
          <w:szCs w:val="16"/>
          <w:color w:val="auto"/>
        </w:rPr>
      </w:pPr>
      <w:r>
        <w:rPr>
          <w:rFonts w:ascii="Arial" w:cs="Arial" w:eastAsia="Arial" w:hAnsi="Arial"/>
          <w:sz w:val="16"/>
          <w:szCs w:val="16"/>
          <w:u w:val="single" w:color="auto"/>
          <w:color w:val="auto"/>
        </w:rPr>
        <w:t>Annual Financial Statements</w:t>
      </w:r>
      <w:r>
        <w:rPr>
          <w:rFonts w:ascii="Arial" w:cs="Arial" w:eastAsia="Arial" w:hAnsi="Arial"/>
          <w:sz w:val="16"/>
          <w:szCs w:val="16"/>
          <w:color w:val="auto"/>
        </w:rPr>
        <w:t>. Within 90 days after the end of each Fiscal Year ending after the Closing Date, (i) the consolidated balance sheet of the Borrower as at the end of such Fiscal Year and the related consolidated statements of income or operations and cash flows of the Borrower for such Fiscal Year and setting forth, in reasonable detail, in comparative form the corresponding figures for the previous Fiscal Year (it being understood and agreed that no such comparison shall be required if (A) the relevant independent certified public accountant is not willing to provide the same or</w:t>
      </w:r>
    </w:p>
    <w:p>
      <w:pPr>
        <w:spacing w:after="0" w:line="1" w:lineRule="exact"/>
        <w:rPr>
          <w:rFonts w:ascii="Arial" w:cs="Arial" w:eastAsia="Arial" w:hAnsi="Arial"/>
          <w:sz w:val="16"/>
          <w:szCs w:val="16"/>
          <w:color w:val="auto"/>
        </w:rPr>
      </w:pPr>
    </w:p>
    <w:p>
      <w:pPr>
        <w:ind w:left="4" w:hanging="4"/>
        <w:spacing w:after="0" w:line="269" w:lineRule="auto"/>
        <w:tabs>
          <w:tab w:leader="none" w:pos="28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corresponding figures from the previous Fiscal Year are not available) and (ii) with respect to such consolidated financial statements, a report thereon of an independent certified public accountant of recognized national standing (which report shall not be subject to (A) a “going concern” qualification (but not a “going concern” explanatory paragraph or like statement) (except as resulting from, in the good faith determination of the Borrower, (1) the impending maturity of any Indebtedness, (2) the breach or anticipated breach of any financial covenant and/or (3) the activities, operations, financial results, assets or liabilities of any Unrestricted Subsidiary) or (B) a qualification as to the scope of the relevant audit), and shall state that such consolidated financial statements fairly present, in all material respects, the consolidated financial position of the Borrower as at the dates indicated and its results of operations and cash flows for the periods indicated in conformity with GAAP;</w:t>
      </w:r>
    </w:p>
    <w:p>
      <w:pPr>
        <w:spacing w:after="0" w:line="72" w:lineRule="exact"/>
        <w:rPr>
          <w:rFonts w:ascii="Arial" w:cs="Arial" w:eastAsia="Arial" w:hAnsi="Arial"/>
          <w:sz w:val="17"/>
          <w:szCs w:val="17"/>
          <w:color w:val="auto"/>
        </w:rPr>
      </w:pPr>
    </w:p>
    <w:p>
      <w:pPr>
        <w:ind w:left="4" w:right="180" w:firstLine="436"/>
        <w:spacing w:after="0" w:line="257" w:lineRule="auto"/>
        <w:tabs>
          <w:tab w:leader="none" w:pos="689"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Together with each delivery of financial statements pursuant to </w:t>
      </w:r>
      <w:r>
        <w:rPr>
          <w:rFonts w:ascii="Arial" w:cs="Arial" w:eastAsia="Arial" w:hAnsi="Arial"/>
          <w:sz w:val="18"/>
          <w:szCs w:val="18"/>
          <w:u w:val="single" w:color="auto"/>
          <w:color w:val="auto"/>
        </w:rPr>
        <w:t>Sections 5.01(a)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(i) a duly executed and completed Compliance Certificate and (ii) (A) a summary of the pro forma adjustments (if any) necessary to eliminate the accounts of Unrestricted Subsidiaries (if any) from such financial statements and (B) a list identifying each Unrestricted Subsidiary as of the last day of the Fiscal Quarter covered by such Compliance Certificate or confirmation that there is no change in such information since the later of the Closing Date and the date of the last such list delivered pursuant to this </w:t>
      </w:r>
      <w:r>
        <w:rPr>
          <w:rFonts w:ascii="Arial" w:cs="Arial" w:eastAsia="Arial" w:hAnsi="Arial"/>
          <w:sz w:val="18"/>
          <w:szCs w:val="18"/>
          <w:u w:val="single" w:color="auto"/>
          <w:color w:val="auto"/>
        </w:rPr>
        <w:t>clause (ii)(B)</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704" w:hanging="264"/>
        <w:spacing w:after="0"/>
        <w:tabs>
          <w:tab w:leader="none" w:pos="70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436"/>
        <w:spacing w:after="0" w:line="301" w:lineRule="auto"/>
        <w:tabs>
          <w:tab w:leader="none" w:pos="689"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Notice of Default; Notice of Material Adverse Effect</w:t>
      </w:r>
      <w:r>
        <w:rPr>
          <w:rFonts w:ascii="Arial" w:cs="Arial" w:eastAsia="Arial" w:hAnsi="Arial"/>
          <w:sz w:val="16"/>
          <w:szCs w:val="16"/>
          <w:color w:val="auto"/>
        </w:rPr>
        <w:t>. Promptly upon any Responsible Officer of the Borrower obtaining knowledge of (i) any Default or Event of Default or (ii) the occurrence of any event or change that has caused or evidences or would reasonably be expected to cause or evidence, either individually or in the aggregate, a Material Adverse Effect, a reasonably-detailed written notice specifying the nature and period of existence of such condition, event or change and what action the Borrower has taken, is taking and proposes to take with respect thereto;</w:t>
      </w:r>
    </w:p>
    <w:p>
      <w:pPr>
        <w:spacing w:after="0" w:line="49" w:lineRule="exact"/>
        <w:rPr>
          <w:rFonts w:ascii="Arial" w:cs="Arial" w:eastAsia="Arial" w:hAnsi="Arial"/>
          <w:sz w:val="16"/>
          <w:szCs w:val="16"/>
          <w:color w:val="auto"/>
        </w:rPr>
      </w:pPr>
    </w:p>
    <w:p>
      <w:pPr>
        <w:ind w:left="4" w:right="120" w:firstLine="436"/>
        <w:spacing w:after="0" w:line="257" w:lineRule="auto"/>
        <w:tabs>
          <w:tab w:leader="none" w:pos="669"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Notice of Litigation</w:t>
      </w:r>
      <w:r>
        <w:rPr>
          <w:rFonts w:ascii="Arial" w:cs="Arial" w:eastAsia="Arial" w:hAnsi="Arial"/>
          <w:sz w:val="18"/>
          <w:szCs w:val="18"/>
          <w:color w:val="auto"/>
        </w:rPr>
        <w:t xml:space="preserve">. Promptly upon any Responsible Officer of the Borrower obtaining knowledge of (i) the institution of, or threat of, any Adverse Proceeding not previously disclosed in writing by the Borrower to the Administrative Agent, or (ii) any material development in any Adverse Proceeding that, in the case of either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would reasonably be expected to have a Material Adverse Effect, written notice thereof from the Borrower together with such other non-privileged information as may be reasonably available to the Loan Parties to enable the Lenders to evaluate such matters;</w:t>
      </w:r>
    </w:p>
    <w:p>
      <w:pPr>
        <w:spacing w:after="0" w:line="79" w:lineRule="exact"/>
        <w:rPr>
          <w:rFonts w:ascii="Arial" w:cs="Arial" w:eastAsia="Arial" w:hAnsi="Arial"/>
          <w:sz w:val="18"/>
          <w:szCs w:val="18"/>
          <w:color w:val="auto"/>
        </w:rPr>
      </w:pPr>
    </w:p>
    <w:p>
      <w:pPr>
        <w:ind w:left="4" w:right="740" w:firstLine="436"/>
        <w:spacing w:after="0" w:line="308" w:lineRule="auto"/>
        <w:tabs>
          <w:tab w:leader="none" w:pos="699" w:val="left"/>
        </w:tabs>
        <w:numPr>
          <w:ilvl w:val="1"/>
          <w:numId w:val="180"/>
        </w:numPr>
        <w:rPr>
          <w:rFonts w:ascii="Arial" w:cs="Arial" w:eastAsia="Arial" w:hAnsi="Arial"/>
          <w:sz w:val="17"/>
          <w:szCs w:val="17"/>
          <w:color w:val="auto"/>
        </w:rPr>
      </w:pPr>
      <w:r>
        <w:rPr>
          <w:rFonts w:ascii="Arial" w:cs="Arial" w:eastAsia="Arial" w:hAnsi="Arial"/>
          <w:sz w:val="17"/>
          <w:szCs w:val="17"/>
          <w:u w:val="single" w:color="auto"/>
          <w:color w:val="auto"/>
        </w:rPr>
        <w:t>ERISA</w:t>
      </w:r>
      <w:r>
        <w:rPr>
          <w:rFonts w:ascii="Arial" w:cs="Arial" w:eastAsia="Arial" w:hAnsi="Arial"/>
          <w:sz w:val="17"/>
          <w:szCs w:val="17"/>
          <w:color w:val="auto"/>
        </w:rPr>
        <w:t>. Promptly upon any Responsible Officer of the Borrower becoming aware of the occurrence of any ERISA Event that would reasonably be expected to have a Material Adverse Effect, a written notice specifying the nature thereof from the Borrower;</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64"/>
          </w:cols>
          <w:pgMar w:left="436" w:top="274" w:right="499" w:bottom="1440" w:gutter="0" w:footer="0" w:header="0"/>
        </w:sectPr>
      </w:pPr>
    </w:p>
    <w:bookmarkStart w:id="127" w:name="page128"/>
    <w:bookmarkEnd w:id="127"/>
    <w:p>
      <w:pPr>
        <w:ind w:left="704" w:hanging="264"/>
        <w:spacing w:after="0"/>
        <w:tabs>
          <w:tab w:leader="none" w:pos="704" w:val="left"/>
        </w:tabs>
        <w:numPr>
          <w:ilvl w:val="1"/>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right="40" w:firstLine="436"/>
        <w:spacing w:after="0" w:line="291" w:lineRule="auto"/>
        <w:tabs>
          <w:tab w:leader="none" w:pos="659"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Information Regarding Collateral</w:t>
      </w:r>
      <w:r>
        <w:rPr>
          <w:rFonts w:ascii="Arial" w:cs="Arial" w:eastAsia="Arial" w:hAnsi="Arial"/>
          <w:sz w:val="16"/>
          <w:szCs w:val="16"/>
          <w:color w:val="auto"/>
        </w:rPr>
        <w:t>. Within 90 days of the relevant change (or such later date to which the Administrative Agent may agree in its reasonable discretion), written notice (i) with respect to Holdings, the Borrower or any other Loan Party that is a Domestic Subsidiary, of any change in</w:t>
      </w:r>
    </w:p>
    <w:p>
      <w:pPr>
        <w:ind w:left="4" w:right="40" w:hanging="4"/>
        <w:spacing w:after="0" w:line="290" w:lineRule="auto"/>
        <w:tabs>
          <w:tab w:leader="none" w:pos="299" w:val="left"/>
        </w:tabs>
        <w:numPr>
          <w:ilvl w:val="0"/>
          <w:numId w:val="182"/>
        </w:numPr>
        <w:rPr>
          <w:rFonts w:ascii="Arial" w:cs="Arial" w:eastAsia="Arial" w:hAnsi="Arial"/>
          <w:sz w:val="16"/>
          <w:szCs w:val="16"/>
          <w:color w:val="auto"/>
        </w:rPr>
      </w:pPr>
      <w:r>
        <w:rPr>
          <w:rFonts w:ascii="Arial" w:cs="Arial" w:eastAsia="Arial" w:hAnsi="Arial"/>
          <w:sz w:val="16"/>
          <w:szCs w:val="16"/>
          <w:color w:val="auto"/>
        </w:rPr>
        <w:t>such Loan Party’s legal name, (B) such Loan Party’s type of organization, (C) such Loan Party’s jurisdiction of organization or (D) such Loan Party’s organizational identification number, in each case, to the extent such information is necessary to enable the Administrative Agent to perfect or maintain the perfection and priority of its security interest in the Collateral of the relevant Loan Party, together with a certified copy of the applicable Organizational Document reflecting the relevant change, and (ii) with respect to any Loan Party that is a Discretionary Guarantor, such types of changes affecting the perfection or priority of the Administrative Agent’s security interest in the applicable Collateral of such Discretionary Guarantor as the Borrower and the Administrative Agent have agreed in connection with such Loan Party becoming a Discretionary Guarantor; and</w:t>
      </w:r>
    </w:p>
    <w:p>
      <w:pPr>
        <w:spacing w:after="0" w:line="55" w:lineRule="exact"/>
        <w:rPr>
          <w:rFonts w:ascii="Arial" w:cs="Arial" w:eastAsia="Arial" w:hAnsi="Arial"/>
          <w:sz w:val="16"/>
          <w:szCs w:val="16"/>
          <w:color w:val="auto"/>
        </w:rPr>
      </w:pPr>
    </w:p>
    <w:p>
      <w:pPr>
        <w:ind w:left="4" w:right="40" w:firstLine="436"/>
        <w:spacing w:after="0" w:line="254" w:lineRule="auto"/>
        <w:tabs>
          <w:tab w:leader="none" w:pos="659"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Certain Reports.</w:t>
      </w:r>
      <w:r>
        <w:rPr>
          <w:rFonts w:ascii="Arial" w:cs="Arial" w:eastAsia="Arial" w:hAnsi="Arial"/>
          <w:sz w:val="18"/>
          <w:szCs w:val="18"/>
          <w:color w:val="auto"/>
        </w:rPr>
        <w:t xml:space="preserve"> Promptly upon their becoming available and without duplication of any obligation with respect to any such information that is otherwise required to be delivered under the provisions of any Loan Document, copies of (i) all financial statements, reports, notices and proxy statements sent or made available generally by the Borrower, Holdings or its applicable Parent Company to all of its security holders acting in such capacity and (ii) all regular and periodic reports and all registration statements (other than on Form S-8 or a similar form) and prospectuses, if any, publicly filed by the Borrower, Holdings or its applicable Parent Company with any securities exchange or with the SEC or any analogous Governmental Authority or private regulatory authority with jurisdiction over matters relating to securities, in each case other than any prospectus relating to any equity plan; and</w:t>
      </w:r>
    </w:p>
    <w:p>
      <w:pPr>
        <w:spacing w:after="0" w:line="86" w:lineRule="exact"/>
        <w:rPr>
          <w:rFonts w:ascii="Arial" w:cs="Arial" w:eastAsia="Arial" w:hAnsi="Arial"/>
          <w:sz w:val="18"/>
          <w:szCs w:val="18"/>
          <w:color w:val="auto"/>
        </w:rPr>
      </w:pPr>
    </w:p>
    <w:p>
      <w:pPr>
        <w:ind w:left="4" w:right="660" w:firstLine="436"/>
        <w:spacing w:after="0" w:line="263" w:lineRule="auto"/>
        <w:tabs>
          <w:tab w:leader="none" w:pos="699"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Such customary additional information (financial or otherwise) that is readily available to the Borrower as the Administrative Agent may reasonably request from time to time regarding the financial condition or business of the Borrower and its Restricted Subsidiaries.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Documents required to be delivered pursuant to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may be delivered electronically and if so delivered, shall be deemed to have been</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delivered on the earliest to occur of the date (i) on which the Borrower (or a representative thereof) (A) posts such documents or (B) provides a link</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thereto, in each case, at the website address listed on </w:t>
      </w:r>
      <w:r>
        <w:rPr>
          <w:rFonts w:ascii="Arial" w:cs="Arial" w:eastAsia="Arial" w:hAnsi="Arial"/>
          <w:sz w:val="16"/>
          <w:szCs w:val="16"/>
          <w:u w:val="single" w:color="auto"/>
          <w:color w:val="auto"/>
        </w:rPr>
        <w:t>Schedule 5.01</w:t>
      </w:r>
      <w:r>
        <w:rPr>
          <w:rFonts w:ascii="Arial" w:cs="Arial" w:eastAsia="Arial" w:hAnsi="Arial"/>
          <w:sz w:val="16"/>
          <w:szCs w:val="16"/>
          <w:color w:val="auto"/>
        </w:rPr>
        <w:t xml:space="preserve"> (which </w:t>
      </w:r>
      <w:r>
        <w:rPr>
          <w:rFonts w:ascii="Arial" w:cs="Arial" w:eastAsia="Arial" w:hAnsi="Arial"/>
          <w:sz w:val="16"/>
          <w:szCs w:val="16"/>
          <w:u w:val="single" w:color="auto"/>
          <w:color w:val="auto"/>
        </w:rPr>
        <w:t>Schedule 5.01</w:t>
      </w:r>
      <w:r>
        <w:rPr>
          <w:rFonts w:ascii="Arial" w:cs="Arial" w:eastAsia="Arial" w:hAnsi="Arial"/>
          <w:sz w:val="16"/>
          <w:szCs w:val="16"/>
          <w:color w:val="auto"/>
        </w:rPr>
        <w:t xml:space="preserve"> may be updated from time to time), (ii) (A) on which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documents are delivered by the Borrower to the Administrative Agent for posting on behalf of the Borrower on IntraLinks/SyndTrak or another relevant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website (the “</w:t>
      </w:r>
      <w:r>
        <w:rPr>
          <w:rFonts w:ascii="Arial" w:cs="Arial" w:eastAsia="Arial" w:hAnsi="Arial"/>
          <w:sz w:val="16"/>
          <w:szCs w:val="16"/>
          <w:u w:val="single" w:color="auto"/>
          <w:color w:val="auto"/>
        </w:rPr>
        <w:t>Platform</w:t>
      </w:r>
      <w:r>
        <w:rPr>
          <w:rFonts w:ascii="Arial" w:cs="Arial" w:eastAsia="Arial" w:hAnsi="Arial"/>
          <w:sz w:val="16"/>
          <w:szCs w:val="16"/>
          <w:color w:val="auto"/>
        </w:rPr>
        <w:t>”), if any, to which each Lender and the Administrative Agent have access (whether a commercial, third-party website or whether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sponsored by the Administrative Agent) or (B) on which the relevant documents are electronically mailed or otherwise transmitted to the Administrative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Agent in a manner to which the Administrative Agent may reasonably agree or (iii) in respect of the items required to be delivered pursuant to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(j)</w:t>
      </w:r>
      <w:r>
        <w:rPr>
          <w:rFonts w:ascii="Arial" w:cs="Arial" w:eastAsia="Arial" w:hAnsi="Arial"/>
          <w:sz w:val="16"/>
          <w:szCs w:val="16"/>
          <w:color w:val="auto"/>
        </w:rPr>
        <w:t>, on which such items have been made available on the SEC website or the website of the relevant analogous governmental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or private regulatory authority or securities exchange (including, for the avoidance of doubt, by way of “EDGAR”).</w:t>
      </w:r>
    </w:p>
    <w:p>
      <w:pPr>
        <w:spacing w:after="0" w:line="211"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6"/>
          <w:szCs w:val="16"/>
          <w:color w:val="auto"/>
        </w:rPr>
        <w:t xml:space="preserve">Notwithstanding the foregoing, the obligations in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may instead be satisfied with respect to any relevant information of the Borrower by furnishing (i) the applicable financial statements or other information required by such clauses of Holdings (or any other Parent Company) or (ii) in the case of </w:t>
      </w:r>
      <w:r>
        <w:rPr>
          <w:rFonts w:ascii="Arial" w:cs="Arial" w:eastAsia="Arial" w:hAnsi="Arial"/>
          <w:sz w:val="16"/>
          <w:szCs w:val="16"/>
          <w:u w:val="single" w:color="auto"/>
          <w:color w:val="auto"/>
        </w:rPr>
        <w:t>Sections 5.01(a)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the Borrower’s or Holdings’ (or any other Parent Company thereof), as applicable, Form 10-K or 10-Q, as applicable, filed with the SEC or any securities exchange, in each case, within the time periods specified in such paragraphs and without any requirement to provide notice of such filing to the Administrative Agent or any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(A) to the extent (x) such financial statements relate to any Parent Company and (y) either (1) such Parent Company (or any other Parent Company that is a subsidiary of such Parent Company) has any material third party Indebtedness and/or material operations (as determined by the Borrower in good faith and other than any operations that are attributable solely to such Parent Company’s ownership of the Borrower and its subsidiaries) or (2) there are material differences (in the good faith determination of the Borrower) between the financial statements of such Parent Company and</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4"/>
          </w:cols>
          <w:pgMar w:left="436" w:top="274" w:right="459" w:bottom="1440" w:gutter="0" w:footer="0" w:header="0"/>
        </w:sectPr>
      </w:pPr>
    </w:p>
    <w:bookmarkStart w:id="128" w:name="page129"/>
    <w:bookmarkEnd w:id="128"/>
    <w:p>
      <w:pPr>
        <w:ind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its consolidated subsidiaries, on the one hand, and the Borrower and its consolidated subsidiaries, on the other hand, such financial statements or Form 10-K or Form 10-Q, as applicable, shall be accompanied by unaudited consolidating information that summarizes in reasonable detail the differences between the information relating to such Parent Company and its consolidated subsidiaries, on the one hand, and the information relating to the Borrower and its consolidated subsidiaries on a consolidated stand-alone basis, on the other hand (other than any such difference relating to shareholders’ equity), and (B) to the extent such financial statements are in lieu of statements required to be provided under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such statements shall be accompanied by a report and opinion with respect to the financial statements of the applicable Parent Company of an independent registered public accounting firm of nationally recognized standing, which report and opinion shall satisfy the applicable requirements set forth in </w:t>
      </w:r>
      <w:r>
        <w:rPr>
          <w:rFonts w:ascii="Arial" w:cs="Arial" w:eastAsia="Arial" w:hAnsi="Arial"/>
          <w:sz w:val="18"/>
          <w:szCs w:val="18"/>
          <w:u w:val="single" w:color="auto"/>
          <w:color w:val="auto"/>
        </w:rPr>
        <w:t>Section 5.01(b)</w:t>
      </w:r>
      <w:r>
        <w:rPr>
          <w:rFonts w:ascii="Arial" w:cs="Arial" w:eastAsia="Arial" w:hAnsi="Arial"/>
          <w:sz w:val="18"/>
          <w:szCs w:val="18"/>
          <w:color w:val="auto"/>
        </w:rPr>
        <w:t>.</w:t>
      </w:r>
    </w:p>
    <w:p>
      <w:pPr>
        <w:spacing w:after="0" w:line="192"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No financial statement required to be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required to include any acquisition accounting adjustment relating to the Transactions or any Permitted Acquisition or other Investment to the extent it is not practicable to include any such adjustment in such financial statement.</w:t>
      </w:r>
    </w:p>
    <w:p>
      <w:pPr>
        <w:spacing w:after="0" w:line="184"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Existence</w:t>
      </w:r>
      <w:r>
        <w:rPr>
          <w:rFonts w:ascii="Arial" w:cs="Arial" w:eastAsia="Arial" w:hAnsi="Arial"/>
          <w:sz w:val="16"/>
          <w:szCs w:val="16"/>
          <w:color w:val="auto"/>
        </w:rPr>
        <w:t xml:space="preserve">. Except as otherwise permitted under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6.09</w:t>
      </w:r>
      <w:r>
        <w:rPr>
          <w:rFonts w:ascii="Arial" w:cs="Arial" w:eastAsia="Arial" w:hAnsi="Arial"/>
          <w:sz w:val="16"/>
          <w:szCs w:val="16"/>
          <w:color w:val="auto"/>
        </w:rPr>
        <w:t xml:space="preserve">, Holdings and the Borrower will, and the Borrower will cause each of its Restricted Subsidiaries to, at all times preserve and keep in full force and effect its existence and all rights, franchises, licenses and permits material to its business, except, other than with respect to the preservation of the existence of the Borrower, to the extent that the failure to do so could not reasonably be expected to result in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that neither Holdings, the Borrower nor any of the Borrower’s Restricted Subsidiaries shall be required to preserve any such existence (other than with respect to the preservation of existence of Holdings and the Borrower), right, franchise, license or permit if a Responsible Officer of such Person or such Person’s board of directors (or similar governing body) determines that the preservation thereof is no longer desirable in the conduct of the business of such Person, and that the loss thereof is not disadvantageous in any material respect to such Person or to the Lenders (taken as a whole).</w:t>
      </w:r>
    </w:p>
    <w:p>
      <w:pPr>
        <w:spacing w:after="0" w:line="16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Payment of Taxes</w:t>
      </w:r>
      <w:r>
        <w:rPr>
          <w:rFonts w:ascii="Arial" w:cs="Arial" w:eastAsia="Arial" w:hAnsi="Arial"/>
          <w:sz w:val="17"/>
          <w:szCs w:val="17"/>
          <w:color w:val="auto"/>
        </w:rPr>
        <w:t xml:space="preserve">. Holdings and the Borrower will, and the Borrower will cause each of its Restricted Subsidiaries to, pay all Taxes imposed upon it or any of its properties or assets or in respect of any of its income or businesses or franchises before any penalty or fine accrues thereon;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Tax need be paid if (a) it is not more than 60 days overdue, (b) it is being contested in good faith by appropriate proceedings, so long as (i) adequate reserves or other appropriate provisions, as are required in conformity with GAAP, have been made therefor and (ii) in the case of a Tax which has resulted or may result in the creation of a Lien on any of the Collateral, such contest proceedings conclusively operate to stay the sale of any portion of the Collateral to satisfy such Tax and/or (c) failure to pay or discharge the same could not reasonably be expected, individually or in the aggregate, to result in a Material Adverse Effect.</w:t>
      </w:r>
    </w:p>
    <w:p>
      <w:pPr>
        <w:spacing w:after="0" w:line="177"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 Holdings and the Borrower will, and will cause each of its Restricted Subsidiaries to, maintain or cause to be maintained in good repair, working order and condition, ordinary wear and tear and casualty and condemnation excepted, all property reasonably necessary to the normal conduct of business of the Borrower and its Restricted Subsidiaries and from time to time will make or cause to be made all needed and appropriate repairs, renewals and replacements thereof, in each case except as expressly permitted by this Agreement or where the failure to maintain such properties or make such repairs, renewals or replacements could not reasonably be expected to have a Material Adverse Effect.</w:t>
      </w:r>
    </w:p>
    <w:p>
      <w:pPr>
        <w:spacing w:after="0" w:line="161"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(a) Except where the failure to do so would not reasonably be expected to have a Material Adverse Effect, the Borrower will maintain or cause to be maintained, with financially sound and reputable insurers, such insurance coverage with respect to liability, loss or damage in respect of the assets, properties and businesses of the Borrower and its Restricted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Each such policy of insurance shall, subject to </w:t>
      </w:r>
      <w:r>
        <w:rPr>
          <w:rFonts w:ascii="Arial" w:cs="Arial" w:eastAsia="Arial" w:hAnsi="Arial"/>
          <w:sz w:val="16"/>
          <w:szCs w:val="16"/>
          <w:u w:val="single" w:color="auto"/>
          <w:color w:val="auto"/>
        </w:rPr>
        <w:t>Section 5.15</w:t>
      </w:r>
      <w:r>
        <w:rPr>
          <w:rFonts w:ascii="Arial" w:cs="Arial" w:eastAsia="Arial" w:hAnsi="Arial"/>
          <w:sz w:val="16"/>
          <w:szCs w:val="16"/>
          <w:color w:val="auto"/>
        </w:rPr>
        <w:t>, (i) name the Administrative Agent on behalf of the Secured Parties as an additional</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0"/>
          </w:cols>
          <w:pgMar w:left="440" w:top="274" w:right="459" w:bottom="1440" w:gutter="0" w:footer="0" w:header="0"/>
        </w:sectPr>
      </w:pPr>
    </w:p>
    <w:bookmarkStart w:id="129" w:name="page130"/>
    <w:bookmarkEnd w:id="129"/>
    <w:p>
      <w:pPr>
        <w:ind w:right="1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insured thereunder as its interests may appear and (ii) to the extent available from the relevant insurance carrier, in the case of each casualty insurance policy (excluding any business interruption insurance policy) (A) contain a lender loss payable clause or endorsement that names the Administrative Agent, on behalf of the Secured Parties as the lender loss payee thereunder and (B) provide for at least 30 days’ prior written notice to the Administrative Agent of any modification or cancellation of such policy (or 10 days’ prior written notice in the case of the failure to pay any premium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 Event of Default exists, (A) the Administrative Agent agrees that the Borrower and/or its applicable Restricted Subsidiary shall have the sole right to adjust or settle any claims under such insurance, and (B) all proceeds from a casualty event shall be paid to the Borrower.</w:t>
      </w:r>
    </w:p>
    <w:p>
      <w:pPr>
        <w:spacing w:after="0" w:line="19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Inspections</w:t>
      </w:r>
      <w:r>
        <w:rPr>
          <w:rFonts w:ascii="Arial" w:cs="Arial" w:eastAsia="Arial" w:hAnsi="Arial"/>
          <w:sz w:val="17"/>
          <w:szCs w:val="17"/>
          <w:color w:val="auto"/>
        </w:rPr>
        <w:t>. The Borrower will, and the Borrower will cause each of its Restricted Subsidiaries to, permit any authorized representative designated by the Administrative Agent to visit and inspect any of the properties of the Borrower and any of its Restricted Subsidiaries at which the principal financial records and executive officers of the applicable Person are located, to inspect, copy and take extracts from its and their respective financial and accounting records, and to discuss its and their respective affairs, finances and accounts with its and their Responsible Officers and independent public accountants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(or any of its subsidiaries) may, if it so chooses, be present at or participate in any such discussion), all upon reasonable notice and at reasonable times during normal business hours;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only the Administrative Agent on behalf of the Lenders may exercise the rights of the Administrative Agent and the Lenders under this </w:t>
      </w:r>
      <w:r>
        <w:rPr>
          <w:rFonts w:ascii="Arial" w:cs="Arial" w:eastAsia="Arial" w:hAnsi="Arial"/>
          <w:sz w:val="17"/>
          <w:szCs w:val="17"/>
          <w:u w:val="single" w:color="auto"/>
          <w:color w:val="auto"/>
        </w:rPr>
        <w:t>Section 5.06</w:t>
      </w:r>
      <w:r>
        <w:rPr>
          <w:rFonts w:ascii="Arial" w:cs="Arial" w:eastAsia="Arial" w:hAnsi="Arial"/>
          <w:sz w:val="17"/>
          <w:szCs w:val="17"/>
          <w:color w:val="auto"/>
        </w:rPr>
        <w:t xml:space="preserve">, (b) except as expressly set forth in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below during the continuance of an Event of Default under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w:t>
      </w:r>
      <w:r>
        <w:rPr>
          <w:rFonts w:ascii="Arial" w:cs="Arial" w:eastAsia="Arial" w:hAnsi="Arial"/>
          <w:sz w:val="17"/>
          <w:szCs w:val="17"/>
          <w:color w:val="auto"/>
        </w:rPr>
        <w:t xml:space="preserve">, the Administrative Agent shall not exercise such rights more often than one time during any calendar year and (c) when an Event of Default under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w:t>
      </w:r>
      <w:r>
        <w:rPr>
          <w:rFonts w:ascii="Arial" w:cs="Arial" w:eastAsia="Arial" w:hAnsi="Arial"/>
          <w:sz w:val="17"/>
          <w:szCs w:val="17"/>
          <w:color w:val="auto"/>
        </w:rPr>
        <w:t xml:space="preserve"> exists, the Administrative Agent (or any of its representatives or independent contractors) may do any of the foregoing at the expense of the Borrower at any time during normal business hours and upon reasonable advance notice.</w:t>
      </w:r>
    </w:p>
    <w:p>
      <w:pPr>
        <w:spacing w:after="0" w:line="182" w:lineRule="exact"/>
        <w:rPr>
          <w:sz w:val="20"/>
          <w:szCs w:val="20"/>
          <w:color w:val="auto"/>
        </w:rPr>
      </w:pPr>
    </w:p>
    <w:p>
      <w:pPr>
        <w:ind w:right="460" w:firstLine="440"/>
        <w:spacing w:after="0" w:line="259"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Maintenance of Books and Records</w:t>
      </w:r>
      <w:r>
        <w:rPr>
          <w:rFonts w:ascii="Arial" w:cs="Arial" w:eastAsia="Arial" w:hAnsi="Arial"/>
          <w:sz w:val="18"/>
          <w:szCs w:val="18"/>
          <w:color w:val="auto"/>
        </w:rPr>
        <w:t>. The Borrower will, and will cause its Restricted Subsidiaries to, maintain proper books of record and account containing entries of all material financial transactions and matters involving the assets and business of the Borrower and its Restricted Subsidiaries that are full, true and correct in all material respects and permit the preparation of consolidated financial statements in accordance with GAAP.</w:t>
      </w:r>
    </w:p>
    <w:p>
      <w:pPr>
        <w:spacing w:after="0" w:line="18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xml:space="preserve">. The Borrower will comply, and the Borrower will cause each of its Restricted Subsidiaries to comply, with all applicable Requirements of Law (including applicable ERISA and all Environmental Laws, any Sanctions, the USA PATRIOT Act and the FCPA), except to the extent the failure of Holdings, the Borrower or the relevant Restricted Subsidiary to comply could not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requirements set forth in this </w:t>
      </w:r>
      <w:r>
        <w:rPr>
          <w:rFonts w:ascii="Arial" w:cs="Arial" w:eastAsia="Arial" w:hAnsi="Arial"/>
          <w:sz w:val="18"/>
          <w:szCs w:val="18"/>
          <w:u w:val="single" w:color="auto"/>
          <w:color w:val="auto"/>
        </w:rPr>
        <w:t>Section 5.08</w:t>
      </w:r>
      <w:r>
        <w:rPr>
          <w:rFonts w:ascii="Arial" w:cs="Arial" w:eastAsia="Arial" w:hAnsi="Arial"/>
          <w:sz w:val="18"/>
          <w:szCs w:val="18"/>
          <w:color w:val="auto"/>
        </w:rPr>
        <w:t>, as they pertain to compliance by any Foreign Subsidiary with any Sanctions, the USA PATRIOT ACT and the FCPA, are subject to and limited by any Requirement of Law applicable to such Foreign Subsidiary in its relevant local jurisdiction and shall not apply to such Foreign Subsidiary to the extent the same conflict with relevant local Requirements of Law applicable to such Foreign Subsidiary.</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Environmental</w:t>
      </w:r>
      <w:r>
        <w:rPr>
          <w:rFonts w:ascii="Arial" w:cs="Arial" w:eastAsia="Arial" w:hAnsi="Arial"/>
          <w:sz w:val="18"/>
          <w:szCs w:val="18"/>
          <w:color w:val="auto"/>
        </w:rPr>
        <w:t>.</w:t>
      </w:r>
    </w:p>
    <w:p>
      <w:pPr>
        <w:spacing w:after="0" w:line="117" w:lineRule="exact"/>
        <w:rPr>
          <w:sz w:val="20"/>
          <w:szCs w:val="20"/>
          <w:color w:val="auto"/>
        </w:rPr>
      </w:pPr>
    </w:p>
    <w:p>
      <w:pPr>
        <w:ind w:right="160" w:firstLine="436"/>
        <w:spacing w:after="0" w:line="270" w:lineRule="auto"/>
        <w:tabs>
          <w:tab w:leader="none" w:pos="685"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Environmental Disclosure</w:t>
      </w:r>
      <w:r>
        <w:rPr>
          <w:rFonts w:ascii="Arial" w:cs="Arial" w:eastAsia="Arial" w:hAnsi="Arial"/>
          <w:sz w:val="17"/>
          <w:szCs w:val="17"/>
          <w:color w:val="auto"/>
        </w:rPr>
        <w:t xml:space="preserve">. The Borrower will deliver to the Administrative Agent as soon as practicable following the sending or receipt thereof by the Borrower or any of its Restricted Subsidiaries, a copy of any and all written communications with respect to (A) any Environmental Claim that, individually or in the aggregate, would reasonably be expected to give rise to a Material Adverse Effect, (B) any Release required to be reported by the Borrower or any of its Restricted Subsidiaries to any federal, state or local governmental or regulatory agency or other Governmental Authority that would reasonably be expected to have a Material Adverse Effect, (C) any request made to the Borrower or any of its Restricted Subsidiaries for information from any governmental agency that suggests such agency is investigating whether the Borrower or any of its Restricted Subsidiaries may be potentially responsible for any Hazardous Materials Activity which would reasonably be expected to have a Material Adverse Effect and (D) such other documents and information as from time to time may be reasonably requested by the Administrative Agent in relation to any matters disclosed pursuant to this </w:t>
      </w:r>
      <w:r>
        <w:rPr>
          <w:rFonts w:ascii="Arial" w:cs="Arial" w:eastAsia="Arial" w:hAnsi="Arial"/>
          <w:sz w:val="17"/>
          <w:szCs w:val="17"/>
          <w:u w:val="single" w:color="auto"/>
          <w:color w:val="auto"/>
        </w:rPr>
        <w:t>Section 5.09(a)</w:t>
      </w:r>
      <w:r>
        <w:rPr>
          <w:rFonts w:ascii="Arial" w:cs="Arial" w:eastAsia="Arial" w:hAnsi="Arial"/>
          <w:sz w:val="17"/>
          <w:szCs w:val="17"/>
          <w:color w:val="auto"/>
        </w:rPr>
        <w: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00"/>
          </w:cols>
          <w:pgMar w:left="440" w:top="274" w:right="459" w:bottom="1440" w:gutter="0" w:footer="0" w:header="0"/>
        </w:sectPr>
      </w:pPr>
    </w:p>
    <w:bookmarkStart w:id="130" w:name="page131"/>
    <w:bookmarkEnd w:id="130"/>
    <w:p>
      <w:pPr>
        <w:ind w:right="20" w:firstLine="436"/>
        <w:spacing w:after="0" w:line="273" w:lineRule="auto"/>
        <w:tabs>
          <w:tab w:leader="none" w:pos="695"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Hazardous Materials Activities, Etc</w:t>
      </w:r>
      <w:r>
        <w:rPr>
          <w:rFonts w:ascii="Arial" w:cs="Arial" w:eastAsia="Arial" w:hAnsi="Arial"/>
          <w:sz w:val="17"/>
          <w:szCs w:val="17"/>
          <w:color w:val="auto"/>
        </w:rPr>
        <w:t>. The Borrower shall promptly take, and shall cause each of its Restricted Subsidiaries promptly to take, any and all actions necessary to (i) cure any violation of applicable Environmental Laws by the Borrower or its Restricted Subsidiaries, and address with appropriate corrective or remedial action any Release or threatened Release of Hazardous Materials at or from any Facility, in each case, that would reasonably be expected to have a Material Adverse Effect and (ii) make an appropriate response to any Environmental Claim against the Borrower or any of its Restricted Subsidiaries and discharge any obligations it may have to any Person thereunder, in each case, where failure to do so would reasonably be expected to have, individually or in the aggregate, a Material Adverse Effect.</w:t>
      </w:r>
    </w:p>
    <w:p>
      <w:pPr>
        <w:spacing w:after="0" w:line="178"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Designation of Subsidiaries</w:t>
      </w:r>
      <w:r>
        <w:rPr>
          <w:rFonts w:ascii="Arial" w:cs="Arial" w:eastAsia="Arial" w:hAnsi="Arial"/>
          <w:sz w:val="16"/>
          <w:szCs w:val="16"/>
          <w:color w:val="auto"/>
        </w:rPr>
        <w:t xml:space="preserve">. The Borrower may at any time after the Closing Date designate (or re-designate) any subsidiary as an Unrestricted Subsidiary or any Unrestricted Subsidiary as a Restricted Subsidiary; provided, that (a) immediately after giving effect to such designation (or re-designation), no Event of Default exists (including after giving effect to the reclassification of any Investment in, Indebtedness of and/or Lien on the assets of, the applicable Restricted Subsidiary or Unrestricted Subsidiary), (b) immediately after giving effect to such designation (or re-designation), the Borrower is in compliance with </w:t>
      </w:r>
      <w:r>
        <w:rPr>
          <w:rFonts w:ascii="Arial" w:cs="Arial" w:eastAsia="Arial" w:hAnsi="Arial"/>
          <w:sz w:val="16"/>
          <w:szCs w:val="16"/>
          <w:u w:val="single" w:color="auto"/>
          <w:color w:val="auto"/>
        </w:rPr>
        <w:t>Section 6.10(a)</w:t>
      </w:r>
      <w:r>
        <w:rPr>
          <w:rFonts w:ascii="Arial" w:cs="Arial" w:eastAsia="Arial" w:hAnsi="Arial"/>
          <w:sz w:val="16"/>
          <w:szCs w:val="16"/>
          <w:color w:val="auto"/>
        </w:rPr>
        <w:t xml:space="preserve"> on a Pro Forma Basis as of the last day of the most recently ended Test Period, (c) no Restricted Subsidiary may be designated as an Unrestricted Subsidiary if such Restricted Subsidiary owns any Material Intellectual Property as of the date of such designation and (d) as of the date of the designation thereof, no Unrestricted Subsidiary shall own any Capital Stock in any Restricted Subsidiary of the Borrower (unless such Restricted Subsidiary is also designated as an Unrestricted Subsidiary). The designation of any subsidiary as an Unrestricted Subsidiary shall constitute an Investment by the Borrower (or its applicable Restricted Subsidiary) therein at the date of designation in an amount equal to the portion of the fair market value of the net assets of such subsidiary attributable to the Borrower’s (or its applicable Restricted Subsidiary’s) equity interest therein as estimated by the Borrower in good faith (and such designation shall only be permitted to the extent such Investment is permitted under </w:t>
      </w:r>
      <w:r>
        <w:rPr>
          <w:rFonts w:ascii="Arial" w:cs="Arial" w:eastAsia="Arial" w:hAnsi="Arial"/>
          <w:sz w:val="16"/>
          <w:szCs w:val="16"/>
          <w:u w:val="single" w:color="auto"/>
          <w:color w:val="auto"/>
        </w:rPr>
        <w:t>Section 6.06</w:t>
      </w:r>
      <w:r>
        <w:rPr>
          <w:rFonts w:ascii="Arial" w:cs="Arial" w:eastAsia="Arial" w:hAnsi="Arial"/>
          <w:sz w:val="16"/>
          <w:szCs w:val="16"/>
          <w:color w:val="auto"/>
        </w:rPr>
        <w:t>). The designation of any Unrestricted Subsidiary as a Restricted Subsidiary shall constitute the making, incurrence or granting, as applicable, at the time of designation of any then-existing Investment, Indebtedness or Lien of such subsidiary, as applicable; provided, that upon any re-designation of any Unrestricted Subsidiary as a Restricted Subsidiary, the Borrower (or its applicable Restricted Subsidiary) shall be deemed to continue to have an Investment in the resulting Restricted Subsidiary in an amount (if positive) equal to (a) the Borrower’s (or its applicable Restricted Subsidiary’s) “Investment” in such Restricted Subsidiary at the time of such re-designation, less (b) the portion of the fair market value of the net assets of such Restricted Subsidiary attributable to the Borrower’s (or its applicable Restricted Subsidiary’s) equity therein at the time of such re-designation as estimated by the Borrower in good faith.</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Use of Proceeds</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75" w:lineRule="auto"/>
        <w:tabs>
          <w:tab w:leader="none" w:pos="68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Borrower shall use the proceeds of the Revolving Loans (i) on the Closing Date, (A) to finance (or to replenish balance sheet cash used to finance) all or a portion of the Transactions (including the payment of Transaction Costs and other costs and expenses), (B) to finance other general corporate purposes, (C) to finance working capital needs and (D) to cash collateralize letters of credit issued on behalf of the Borrower and its subsidiaries under the Existing Credit Agreement, and (ii) after the Closing Date, to finance working capital needs and other general corporate purposes of the Borrower and its subsidiaries and any other purpose not prohibited by the terms of the Loan Documents.</w:t>
      </w:r>
    </w:p>
    <w:p>
      <w:pPr>
        <w:spacing w:after="0" w:line="68" w:lineRule="exact"/>
        <w:rPr>
          <w:rFonts w:ascii="Arial" w:cs="Arial" w:eastAsia="Arial" w:hAnsi="Arial"/>
          <w:sz w:val="17"/>
          <w:szCs w:val="17"/>
          <w:color w:val="auto"/>
        </w:rPr>
      </w:pPr>
    </w:p>
    <w:p>
      <w:pPr>
        <w:ind w:right="520" w:firstLine="436"/>
        <w:spacing w:after="0" w:line="342" w:lineRule="auto"/>
        <w:tabs>
          <w:tab w:leader="none" w:pos="69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Borrower shall use the proceeds of the Swingline Loans made after the Closing Date to finance the working capital needs and other general corporate purposes of the Borrower and its subsidiaries and for any other purpose not prohibited by the terms of the Loan Documents.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00"/>
          </w:cols>
          <w:pgMar w:left="440" w:top="274" w:right="459" w:bottom="1440" w:gutter="0" w:footer="0" w:header="0"/>
        </w:sectPr>
      </w:pPr>
    </w:p>
    <w:bookmarkStart w:id="131" w:name="page132"/>
    <w:bookmarkEnd w:id="131"/>
    <w:p>
      <w:pPr>
        <w:ind w:left="-20" w:right="260" w:firstLine="436"/>
        <w:spacing w:after="0" w:line="263" w:lineRule="auto"/>
        <w:tabs>
          <w:tab w:leader="none" w:pos="665"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use the proceeds of the Initial Term Loans made on the Closing Date solely to (i) finance all or a portion of the Transactions (and the payment of Transaction Costs) and (ii) to the extent of any remaining proceeds, for general corporate purposes of the Borrower and its subsidiaries.</w:t>
      </w:r>
    </w:p>
    <w:p>
      <w:pPr>
        <w:spacing w:after="0" w:line="75" w:lineRule="exact"/>
        <w:rPr>
          <w:rFonts w:ascii="Arial" w:cs="Arial" w:eastAsia="Arial" w:hAnsi="Arial"/>
          <w:sz w:val="18"/>
          <w:szCs w:val="18"/>
          <w:color w:val="auto"/>
        </w:rPr>
      </w:pPr>
    </w:p>
    <w:p>
      <w:pPr>
        <w:ind w:left="-20" w:right="40" w:firstLine="436"/>
        <w:spacing w:after="0" w:line="259" w:lineRule="auto"/>
        <w:tabs>
          <w:tab w:leader="none" w:pos="67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Letters of Credit may be issued (i) on the Closing Date in the ordinary course of business and to replace or provide credit support for any letter of credit, bank guarantee and/or surety, customs, performance or similar bond of the Borrower and its subsidiaries or any of their Affiliates and/or to replace cash collateral posted by any of the foregoing Persons and (ii) after the Closing Date, for general corporate purposes of the Borrower and its subsidiaries and any other purpose not prohibited by the terms of the Loan Documents.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Covenant to Guarantee Obligations and Provide Security</w:t>
      </w:r>
      <w:r>
        <w:rPr>
          <w:rFonts w:ascii="Arial" w:cs="Arial" w:eastAsia="Arial" w:hAnsi="Arial"/>
          <w:sz w:val="18"/>
          <w:szCs w:val="18"/>
          <w:color w:val="auto"/>
        </w:rPr>
        <w:t>.</w:t>
      </w:r>
    </w:p>
    <w:p>
      <w:pPr>
        <w:spacing w:after="0" w:line="117" w:lineRule="exact"/>
        <w:rPr>
          <w:sz w:val="20"/>
          <w:szCs w:val="20"/>
          <w:color w:val="auto"/>
        </w:rPr>
      </w:pPr>
    </w:p>
    <w:p>
      <w:pPr>
        <w:ind w:left="-20" w:firstLine="436"/>
        <w:spacing w:after="0" w:line="253" w:lineRule="auto"/>
        <w:tabs>
          <w:tab w:leader="none" w:pos="66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Upon (i) the formation or acquisition after the Closing Date of any Restricted Subsidiary, (ii) the designation of any Unrestricted Subsidiary as a Restricted Subsidiary or (iii) any Restricted Subsidiary that was an Excluded Subsidiary ceasing to be an Excluded Subsidiary, on or before the date on which a Compliance Certificate is required to be delivered pursuant to </w:t>
      </w:r>
      <w:r>
        <w:rPr>
          <w:rFonts w:ascii="Arial" w:cs="Arial" w:eastAsia="Arial" w:hAnsi="Arial"/>
          <w:sz w:val="18"/>
          <w:szCs w:val="18"/>
          <w:u w:val="single" w:color="auto"/>
          <w:color w:val="auto"/>
        </w:rPr>
        <w:t>Section 5.01(c)</w:t>
      </w:r>
      <w:r>
        <w:rPr>
          <w:rFonts w:ascii="Arial" w:cs="Arial" w:eastAsia="Arial" w:hAnsi="Arial"/>
          <w:sz w:val="18"/>
          <w:szCs w:val="18"/>
          <w:color w:val="auto"/>
        </w:rPr>
        <w:t xml:space="preserve">, for the Fiscal Quarter in which the relevant formation, acquisition, designation or cessation occurred (or such longer period as the Administrative Agent may reasonably agree), the Borrower shall (A) cause such Restricted Subsidiary (other than any Excluded Subsidiary) to comply with the requirements set forth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“Collateral and Guarantee Requirement” and (B) upon the reasonable request of the Administrative Agent, which request may not be made unless the Consolidated Total Assets of the relevant Restricted Subsidiary constitutes more than 10% of the Consolidated Total Assets of the Borrower and its Restricted Subsidiaries, taken as a whole, cause the relevant Restricted Subsidiary (other than any Excluded Subsidiary) to deliver to the Administrative Agent a signed copy of a customary opinion of counsel for such Restricted Subsidiary, addressed to the Administrative Agent, the Issuing Banks and the Lenders.</w:t>
      </w:r>
    </w:p>
    <w:p>
      <w:pPr>
        <w:spacing w:after="0" w:line="86" w:lineRule="exact"/>
        <w:rPr>
          <w:rFonts w:ascii="Arial" w:cs="Arial" w:eastAsia="Arial" w:hAnsi="Arial"/>
          <w:sz w:val="18"/>
          <w:szCs w:val="18"/>
          <w:color w:val="auto"/>
        </w:rPr>
      </w:pPr>
    </w:p>
    <w:p>
      <w:pPr>
        <w:ind w:left="680" w:hanging="264"/>
        <w:spacing w:after="0"/>
        <w:tabs>
          <w:tab w:leader="none" w:pos="6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20" w:right="20" w:firstLine="436"/>
        <w:spacing w:after="0" w:line="290" w:lineRule="auto"/>
        <w:tabs>
          <w:tab w:leader="none" w:pos="66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the Borrower may, in its sole discretion, elect to cause any Restricted Subsidiary and/or Parent Company (any such Person, a “</w:t>
      </w:r>
      <w:r>
        <w:rPr>
          <w:rFonts w:ascii="Arial" w:cs="Arial" w:eastAsia="Arial" w:hAnsi="Arial"/>
          <w:sz w:val="16"/>
          <w:szCs w:val="16"/>
          <w:u w:val="single" w:color="auto"/>
          <w:color w:val="auto"/>
        </w:rPr>
        <w:t>Discretionary Guarantor</w:t>
      </w:r>
      <w:r>
        <w:rPr>
          <w:rFonts w:ascii="Arial" w:cs="Arial" w:eastAsia="Arial" w:hAnsi="Arial"/>
          <w:sz w:val="16"/>
          <w:szCs w:val="16"/>
          <w:color w:val="auto"/>
        </w:rPr>
        <w:t xml:space="preserve">”) that is not otherwise required to be a Subsidiary Guarantor to provide a Loan Guaranty by causing such Person to execute a Joinder Agreement, and any such Person shall constitute a Loan Party and a Guarantor for all purposes hereunder; it being understood and agreed that such Person shall grant a security interest in such categories of assets pursuant to such documentation as the Borrower and the Administrative Agent may reasonably agree;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any Discretionary Guarantor that is a Foreign Subsidiary, the jurisdiction of such person is reasonably satisfactory to the Administrative Agent and (ii) the Administrative Agent shall have received at least two Business Days prior to such person becoming a Guarantor, all documentation and other information in respect of such person required under applicable “know your customer” and anti-money laundering rules and regulations (including the USA Patriot Act).</w:t>
      </w:r>
    </w:p>
    <w:p>
      <w:pPr>
        <w:spacing w:after="0" w:line="57" w:lineRule="exact"/>
        <w:rPr>
          <w:rFonts w:ascii="Arial" w:cs="Arial" w:eastAsia="Arial" w:hAnsi="Arial"/>
          <w:sz w:val="16"/>
          <w:szCs w:val="16"/>
          <w:color w:val="auto"/>
        </w:rPr>
      </w:pPr>
    </w:p>
    <w:p>
      <w:pPr>
        <w:ind w:left="680" w:hanging="264"/>
        <w:spacing w:after="0"/>
        <w:tabs>
          <w:tab w:leader="none" w:pos="6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it is understood and agreed that:</w:t>
      </w:r>
    </w:p>
    <w:p>
      <w:pPr>
        <w:spacing w:after="0" w:line="117" w:lineRule="exact"/>
        <w:rPr>
          <w:rFonts w:ascii="Arial" w:cs="Arial" w:eastAsia="Arial" w:hAnsi="Arial"/>
          <w:sz w:val="18"/>
          <w:szCs w:val="18"/>
          <w:color w:val="auto"/>
        </w:rPr>
      </w:pPr>
    </w:p>
    <w:p>
      <w:pPr>
        <w:ind w:left="420" w:right="100" w:firstLine="419"/>
        <w:spacing w:after="0" w:line="311" w:lineRule="auto"/>
        <w:tabs>
          <w:tab w:leader="none" w:pos="1058"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the Administrative Agent may grant extensions of time (including after the expiration of any relevant period, which may apply retroactively) for the creation and perfection of security interests in, or obtaining of legal opinions or other deliverables with respect to, particular assets or the provision of any Loan Guaranty by any Restricted Subsidiary, and each Lender hereby consents to any such extension of time;</w:t>
      </w:r>
    </w:p>
    <w:p>
      <w:pPr>
        <w:spacing w:after="0" w:line="40" w:lineRule="exact"/>
        <w:rPr>
          <w:rFonts w:ascii="Arial" w:cs="Arial" w:eastAsia="Arial" w:hAnsi="Arial"/>
          <w:sz w:val="16"/>
          <w:szCs w:val="16"/>
          <w:color w:val="auto"/>
        </w:rPr>
      </w:pPr>
    </w:p>
    <w:p>
      <w:pPr>
        <w:ind w:left="420" w:right="460" w:firstLine="419"/>
        <w:spacing w:after="0" w:line="263" w:lineRule="auto"/>
        <w:tabs>
          <w:tab w:leader="none" w:pos="110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Lien required to be granted from time to time pursuant to the definition of “Collateral and Guarantee Requirement” and/or any action requested in connection therewith shall be subject to the exceptions and limitations set forth in this Agreement and the Collateral Documents;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980"/>
          </w:cols>
          <w:pgMar w:left="460" w:top="274" w:right="459" w:bottom="1440" w:gutter="0" w:footer="0" w:header="0"/>
        </w:sectPr>
      </w:pPr>
    </w:p>
    <w:bookmarkStart w:id="132" w:name="page133"/>
    <w:bookmarkEnd w:id="132"/>
    <w:p>
      <w:pPr>
        <w:ind w:right="80" w:firstLine="419"/>
        <w:spacing w:after="0" w:line="279" w:lineRule="auto"/>
        <w:tabs>
          <w:tab w:leader="none" w:pos="738" w:val="left"/>
        </w:tabs>
        <w:numPr>
          <w:ilvl w:val="0"/>
          <w:numId w:val="1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perfection by control shall not be required with respect to assets requiring perfection through control agreements or other control arrangements, including Deposit Accounts, securities accounts and commodities accounts (other than control of (A) pledged Capital Stock of the Borrower or any material first tier Restricted Subsidiary that is a Wholly-Owned Subsidiary and/or (B) any Material Debt Instrument owing from any Person that is not a Loan Party, in each case, to the extent the same otherwise constitute Collateral);</w:t>
      </w:r>
    </w:p>
    <w:p>
      <w:pPr>
        <w:spacing w:after="0" w:line="63" w:lineRule="exact"/>
        <w:rPr>
          <w:rFonts w:ascii="Arial" w:cs="Arial" w:eastAsia="Arial" w:hAnsi="Arial"/>
          <w:sz w:val="17"/>
          <w:szCs w:val="17"/>
          <w:color w:val="auto"/>
        </w:rPr>
      </w:pPr>
    </w:p>
    <w:p>
      <w:pPr>
        <w:ind w:right="60" w:firstLine="419"/>
        <w:spacing w:after="0" w:line="277" w:lineRule="auto"/>
        <w:tabs>
          <w:tab w:leader="none" w:pos="72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 Loan Party shall be required to seek any landlord lien waiver, bailee letter, estoppel, warehouseman waiver or other collateral access or similar letter or agreement;</w:t>
      </w:r>
    </w:p>
    <w:p>
      <w:pPr>
        <w:spacing w:after="0" w:line="62" w:lineRule="exact"/>
        <w:rPr>
          <w:rFonts w:ascii="Arial" w:cs="Arial" w:eastAsia="Arial" w:hAnsi="Arial"/>
          <w:sz w:val="18"/>
          <w:szCs w:val="18"/>
          <w:color w:val="auto"/>
        </w:rPr>
      </w:pPr>
    </w:p>
    <w:p>
      <w:pPr>
        <w:ind w:right="40" w:firstLine="419"/>
        <w:spacing w:after="0" w:line="272" w:lineRule="auto"/>
        <w:tabs>
          <w:tab w:leader="none" w:pos="678" w:val="left"/>
        </w:tabs>
        <w:numPr>
          <w:ilvl w:val="0"/>
          <w:numId w:val="188"/>
        </w:numPr>
        <w:rPr>
          <w:rFonts w:ascii="Arial" w:cs="Arial" w:eastAsia="Arial" w:hAnsi="Arial"/>
          <w:sz w:val="17"/>
          <w:szCs w:val="17"/>
          <w:color w:val="auto"/>
        </w:rPr>
      </w:pPr>
      <w:r>
        <w:rPr>
          <w:rFonts w:ascii="Arial" w:cs="Arial" w:eastAsia="Arial" w:hAnsi="Arial"/>
          <w:sz w:val="17"/>
          <w:szCs w:val="17"/>
          <w:color w:val="auto"/>
        </w:rPr>
        <w:t>no Loan Party (other than any Discretionary Guarantor that is organized under the laws of a jurisdiction outside of the US) will be required to (A) take any action to grant or perfect a security interest in any asset located outside of the US or (B) execute any security agreement, pledge agreement, mortgage, deed, charge or other collateral document governed by the laws of any jurisdiction other than the US, any state thereof or the District of Columbia; it being understood and agreed that no Loan Party (including any Discretionary Guarantor) will be required to take any action to perfect a security interest in the Collateral in any jurisdiction other than the jurisdiction in which such Loan Party is organized (other than with respect to the required pledge of the Capital Stock of any Discretionary Guarantor that is not organized under the laws of the United States or any state thereof, the jurisdiction of organization of such Discretionary Guarantor);</w:t>
      </w:r>
    </w:p>
    <w:p>
      <w:pPr>
        <w:spacing w:after="0" w:line="69" w:lineRule="exact"/>
        <w:rPr>
          <w:rFonts w:ascii="Arial" w:cs="Arial" w:eastAsia="Arial" w:hAnsi="Arial"/>
          <w:sz w:val="17"/>
          <w:szCs w:val="17"/>
          <w:color w:val="auto"/>
        </w:rPr>
      </w:pPr>
    </w:p>
    <w:p>
      <w:pPr>
        <w:ind w:right="420" w:firstLine="419"/>
        <w:spacing w:after="0" w:line="277" w:lineRule="auto"/>
        <w:tabs>
          <w:tab w:leader="none" w:pos="72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no event will (A) the Collateral include any Excluded Asset or (B) any Excluded Subsidiary be required to become a Subsidiary Guarantor;</w:t>
      </w:r>
    </w:p>
    <w:p>
      <w:pPr>
        <w:spacing w:after="0" w:line="62" w:lineRule="exact"/>
        <w:rPr>
          <w:rFonts w:ascii="Arial" w:cs="Arial" w:eastAsia="Arial" w:hAnsi="Arial"/>
          <w:sz w:val="18"/>
          <w:szCs w:val="18"/>
          <w:color w:val="auto"/>
        </w:rPr>
      </w:pPr>
    </w:p>
    <w:p>
      <w:pPr>
        <w:ind w:firstLine="419"/>
        <w:spacing w:after="0" w:line="275" w:lineRule="auto"/>
        <w:tabs>
          <w:tab w:leader="none" w:pos="778"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without limiting </w:t>
      </w:r>
      <w:r>
        <w:rPr>
          <w:rFonts w:ascii="Arial" w:cs="Arial" w:eastAsia="Arial" w:hAnsi="Arial"/>
          <w:sz w:val="17"/>
          <w:szCs w:val="17"/>
          <w:u w:val="single" w:color="auto"/>
          <w:color w:val="auto"/>
        </w:rPr>
        <w:t>clause (xiv)</w:t>
      </w:r>
      <w:r>
        <w:rPr>
          <w:rFonts w:ascii="Arial" w:cs="Arial" w:eastAsia="Arial" w:hAnsi="Arial"/>
          <w:sz w:val="17"/>
          <w:szCs w:val="17"/>
          <w:color w:val="auto"/>
        </w:rPr>
        <w:t xml:space="preserve"> below, no action shall be required to perfect any Lien with respect to (A) any vehicle or other asset subject to a certificate of title, (B) any Letter-of-Credit Right, (C) the Capital Stock of any Immaterial Subsidiary (other than any Immaterial Subsidiary that is a Loan Party), (D) the Capital Stock of any Person that is not a subsidiary, which Person, if a subsidiary, would constitute an Immaterial Subsidiary and/or (E) any aircraft, in each case, except to the extent that a security interest therein can be perfected by filing a Form UCC-1 (or similar) financing statement under the UCC (without the requirement to list a “VIN” or similar number);</w:t>
      </w:r>
    </w:p>
    <w:p>
      <w:pPr>
        <w:spacing w:after="0" w:line="68" w:lineRule="exact"/>
        <w:rPr>
          <w:rFonts w:ascii="Arial" w:cs="Arial" w:eastAsia="Arial" w:hAnsi="Arial"/>
          <w:sz w:val="17"/>
          <w:szCs w:val="17"/>
          <w:color w:val="auto"/>
        </w:rPr>
      </w:pPr>
    </w:p>
    <w:p>
      <w:pPr>
        <w:ind w:right="40" w:firstLine="419"/>
        <w:spacing w:after="0" w:line="287" w:lineRule="auto"/>
        <w:tabs>
          <w:tab w:leader="none" w:pos="82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no action shall be required to perfect a Lien in any asset in respect of which the perfection of a security interest therein would (A) be prohibited by enforceable anti-assignment provisions set forth in any contract that is permitted or otherwise not prohibited by the terms of this Agreement and is binding on such asset at the time of its acquisition and not incurred in contemplation thereof (other than in the case of Capital Leases, purchase money and similar financings), (B) violate the terms of any contract relating to such asset that is permitted or otherwise not prohibited by the terms of this Agreement and is binding on such asset at the time of its acquisition and not incurred in contemplation thereof (other than in the case of Capital Leases, purchase money and similar financings), in each case, after giving effect to the applicable anti-assignment provisions of the UCC or other applicable Requirement of Law or (C) trigger termination of any contract relating to such asset that is permitted or otherwise not prohibited by the terms of this Agreement and is binding on such asset at the time of its acquisition and not incurred in contemplation thereof (other than in the case of Capital Leases, purchase money and similar financings) pursuant to any “change of control” or similar provision; it being understood that the Collateral shall include any proceeds and/or receivables arising out of any contract described in this clause to the extent the assignment of such proceeds or receivables is expressly deemed effective under the UCC or other applicable Requirement of Law notwithstanding the relevant prohibition, violation or termination right;</w:t>
      </w:r>
    </w:p>
    <w:p>
      <w:pPr>
        <w:spacing w:after="0" w:line="10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540"/>
          </w:cols>
          <w:pgMar w:left="880" w:top="274" w:right="479" w:bottom="1440" w:gutter="0" w:footer="0" w:header="0"/>
        </w:sectPr>
      </w:pPr>
    </w:p>
    <w:bookmarkStart w:id="133" w:name="page134"/>
    <w:bookmarkEnd w:id="133"/>
    <w:p>
      <w:pPr>
        <w:ind w:left="420" w:firstLine="419"/>
        <w:spacing w:after="0" w:line="263" w:lineRule="auto"/>
        <w:tabs>
          <w:tab w:leader="none" w:pos="1148" w:val="left"/>
        </w:tabs>
        <w:numPr>
          <w:ilvl w:val="1"/>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no Loan Party shall be required to perfect a Lien in any asset to the extent the perfection of a security interest in such asset would be prohibited under any applicable Requirement of Law and (B) it is understood and agreed, for the avoidance of doubt, that no Loan Party shall be required to comply with the Federal Assignment of Claims Act or any similar statute;</w:t>
      </w:r>
    </w:p>
    <w:p>
      <w:pPr>
        <w:spacing w:after="0" w:line="75" w:lineRule="exact"/>
        <w:rPr>
          <w:rFonts w:ascii="Arial" w:cs="Arial" w:eastAsia="Arial" w:hAnsi="Arial"/>
          <w:sz w:val="18"/>
          <w:szCs w:val="18"/>
          <w:color w:val="auto"/>
        </w:rPr>
      </w:pPr>
    </w:p>
    <w:p>
      <w:pPr>
        <w:ind w:left="420" w:right="200" w:firstLine="419"/>
        <w:spacing w:after="0" w:line="296" w:lineRule="auto"/>
        <w:tabs>
          <w:tab w:leader="none" w:pos="1098" w:val="left"/>
        </w:tabs>
        <w:numPr>
          <w:ilvl w:val="1"/>
          <w:numId w:val="189"/>
        </w:numPr>
        <w:rPr>
          <w:rFonts w:ascii="Arial" w:cs="Arial" w:eastAsia="Arial" w:hAnsi="Arial"/>
          <w:sz w:val="16"/>
          <w:szCs w:val="16"/>
          <w:color w:val="auto"/>
        </w:rPr>
      </w:pPr>
      <w:r>
        <w:rPr>
          <w:rFonts w:ascii="Arial" w:cs="Arial" w:eastAsia="Arial" w:hAnsi="Arial"/>
          <w:sz w:val="16"/>
          <w:szCs w:val="16"/>
          <w:color w:val="auto"/>
        </w:rPr>
        <w:t xml:space="preserve">any Joinder Agreement, any Collateral Document and/or any other Loan Document executed by any Restricted Subsidiary that is required to become (or otherwise becomes) a Loan Party pursuant to </w:t>
      </w:r>
      <w:r>
        <w:rPr>
          <w:rFonts w:ascii="Arial" w:cs="Arial" w:eastAsia="Arial" w:hAnsi="Arial"/>
          <w:sz w:val="16"/>
          <w:szCs w:val="16"/>
          <w:u w:val="single" w:color="auto"/>
          <w:color w:val="auto"/>
        </w:rPr>
        <w:t>Section 5.12(a)</w:t>
      </w:r>
      <w:r>
        <w:rPr>
          <w:rFonts w:ascii="Arial" w:cs="Arial" w:eastAsia="Arial" w:hAnsi="Arial"/>
          <w:sz w:val="16"/>
          <w:szCs w:val="16"/>
          <w:color w:val="auto"/>
        </w:rPr>
        <w:t xml:space="preserve"> above (including any Joinder Agreement) may, with the consent of the Administrative Agent (not to be unreasonably withheld or delayed), include such schedules (or updates to schedules) as may be necessary to qualify any representation or warranty set forth in any Loan Document to the extent necessary to ensure that such representation or warranty is true and correct to the extent required thereby or by the terms of any other Loan Document;</w:t>
      </w:r>
    </w:p>
    <w:p>
      <w:pPr>
        <w:spacing w:after="0" w:line="53" w:lineRule="exact"/>
        <w:rPr>
          <w:rFonts w:ascii="Arial" w:cs="Arial" w:eastAsia="Arial" w:hAnsi="Arial"/>
          <w:sz w:val="16"/>
          <w:szCs w:val="16"/>
          <w:color w:val="auto"/>
        </w:rPr>
      </w:pPr>
    </w:p>
    <w:p>
      <w:pPr>
        <w:ind w:left="420" w:right="220" w:firstLine="419"/>
        <w:spacing w:after="0" w:line="263" w:lineRule="auto"/>
        <w:tabs>
          <w:tab w:leader="none" w:pos="1148"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Lenders and the Administrative Agent acknowledge and agree that the Collateral that may be provided by any Loan Party may be limited to minimize stamp duty, notarization, registration or other applicable fees, taxes and duties where the benefit to the Secured Parties of increasing the secured amount is disproportionate to the cost of such fees, taxes and duties;</w:t>
      </w:r>
    </w:p>
    <w:p>
      <w:pPr>
        <w:spacing w:after="0" w:line="75" w:lineRule="exact"/>
        <w:rPr>
          <w:rFonts w:ascii="Arial" w:cs="Arial" w:eastAsia="Arial" w:hAnsi="Arial"/>
          <w:sz w:val="18"/>
          <w:szCs w:val="18"/>
          <w:color w:val="auto"/>
        </w:rPr>
      </w:pPr>
    </w:p>
    <w:p>
      <w:pPr>
        <w:ind w:left="1200" w:hanging="361"/>
        <w:spacing w:after="0"/>
        <w:tabs>
          <w:tab w:leader="none" w:pos="12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20" w:right="140" w:firstLine="419"/>
        <w:spacing w:after="0" w:line="259" w:lineRule="auto"/>
        <w:tabs>
          <w:tab w:leader="none" w:pos="1248"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Administrative Agent shall not require the taking of a Lien on, or require the perfection of any Lien granted in, any asset as to which the cost of obtaining or perfecting such Lien (including any mortgage, stamp, intangibles or other tax or expenses relating to such Lien) is excessive in relation to the benefit to the Lenders of the security afforded thereby as reasonably determined in writing by the Borrower and the Administrative Agent;</w:t>
      </w:r>
    </w:p>
    <w:p>
      <w:pPr>
        <w:spacing w:after="0" w:line="78" w:lineRule="exact"/>
        <w:rPr>
          <w:rFonts w:ascii="Arial" w:cs="Arial" w:eastAsia="Arial" w:hAnsi="Arial"/>
          <w:sz w:val="18"/>
          <w:szCs w:val="18"/>
          <w:color w:val="auto"/>
        </w:rPr>
      </w:pPr>
    </w:p>
    <w:p>
      <w:pPr>
        <w:ind w:left="420" w:right="20" w:firstLine="419"/>
        <w:spacing w:after="0" w:line="286" w:lineRule="auto"/>
        <w:tabs>
          <w:tab w:leader="none" w:pos="1238" w:val="left"/>
        </w:tabs>
        <w:numPr>
          <w:ilvl w:val="1"/>
          <w:numId w:val="189"/>
        </w:numPr>
        <w:rPr>
          <w:rFonts w:ascii="Arial" w:cs="Arial" w:eastAsia="Arial" w:hAnsi="Arial"/>
          <w:sz w:val="16"/>
          <w:szCs w:val="16"/>
          <w:color w:val="auto"/>
        </w:rPr>
      </w:pPr>
      <w:r>
        <w:rPr>
          <w:rFonts w:ascii="Arial" w:cs="Arial" w:eastAsia="Arial" w:hAnsi="Arial"/>
          <w:sz w:val="16"/>
          <w:szCs w:val="16"/>
          <w:color w:val="auto"/>
        </w:rPr>
        <w:t>except with respect to any Discretionary Guarantor that is organized under the laws of a jurisdiction outside the US, no Loan Party shall be required, and the Administrative Agent shall not be authorized, to perfect any security interest by means other than (A) filings pursuant to the Uniform Commercial Code in the office of the secretary of state (or similar central filing office) of any Loan Party’s jurisdiction of organization, (B) filings with the US federal government offices with respect to IP Rights as expressly required by the Security Agreement, or</w:t>
      </w:r>
    </w:p>
    <w:p>
      <w:pPr>
        <w:spacing w:after="0" w:line="1" w:lineRule="exact"/>
        <w:rPr>
          <w:rFonts w:ascii="Arial" w:cs="Arial" w:eastAsia="Arial" w:hAnsi="Arial"/>
          <w:sz w:val="16"/>
          <w:szCs w:val="16"/>
          <w:color w:val="auto"/>
        </w:rPr>
      </w:pPr>
    </w:p>
    <w:p>
      <w:pPr>
        <w:ind w:left="420" w:hanging="4"/>
        <w:spacing w:after="0" w:line="253" w:lineRule="auto"/>
        <w:tabs>
          <w:tab w:leader="none" w:pos="70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delivery to the Administrative Agent, for its possession (subject to the terms of any applicable Intercreditor Agreement), of any Collateral consisting of pledged Capital Stock held by any Loan Party in the Borrower or any Restricted Subsidiary that is a Wholly-Owned Subsidiary and/or any Material Debt Instrument issued to the Borrower or another Loan Party, in each case, to the extent required by the Security Agreement; and</w:t>
      </w:r>
    </w:p>
    <w:p>
      <w:pPr>
        <w:spacing w:after="0" w:line="84" w:lineRule="exact"/>
        <w:rPr>
          <w:rFonts w:ascii="Arial" w:cs="Arial" w:eastAsia="Arial" w:hAnsi="Arial"/>
          <w:sz w:val="18"/>
          <w:szCs w:val="18"/>
          <w:color w:val="auto"/>
        </w:rPr>
      </w:pPr>
    </w:p>
    <w:p>
      <w:pPr>
        <w:ind w:left="420" w:firstLine="419"/>
        <w:spacing w:after="0" w:line="273" w:lineRule="auto"/>
        <w:tabs>
          <w:tab w:leader="none" w:pos="1188" w:val="left"/>
        </w:tabs>
        <w:numPr>
          <w:ilvl w:val="1"/>
          <w:numId w:val="190"/>
        </w:numPr>
        <w:rPr>
          <w:rFonts w:ascii="Arial" w:cs="Arial" w:eastAsia="Arial" w:hAnsi="Arial"/>
          <w:sz w:val="17"/>
          <w:szCs w:val="17"/>
          <w:color w:val="auto"/>
        </w:rPr>
      </w:pPr>
      <w:r>
        <w:rPr>
          <w:rFonts w:ascii="Arial" w:cs="Arial" w:eastAsia="Arial" w:hAnsi="Arial"/>
          <w:sz w:val="17"/>
          <w:szCs w:val="17"/>
          <w:color w:val="auto"/>
        </w:rPr>
        <w:t>(A) no Collateral Document executed and delivered after the Closing Date will impose any commercial obligation on any Loan Party or contain any representation, warranty or undertaking that is not required for the creation and/or perfection of a security interest in the relevant asset and (B) to the extent the subject matter of any representation, warranty or undertaking in any Collateral Document executed and delivered after the Closing Date is the same as any representation, warranty or covenant in the Credit Agreement, such representation, warranty or covenant shall be no more burdensome to the applicable Loan Party than the corresponding provision of this Agreement unless the relevant additional requirement is necessary for the creation and/or perfection of a security interest in the relevant asset.</w:t>
      </w:r>
    </w:p>
    <w:p>
      <w:pPr>
        <w:spacing w:after="0" w:line="70" w:lineRule="exact"/>
        <w:rPr>
          <w:sz w:val="20"/>
          <w:szCs w:val="20"/>
          <w:color w:val="auto"/>
        </w:rPr>
      </w:pPr>
    </w:p>
    <w:p>
      <w:pPr>
        <w:ind w:left="-20" w:firstLine="436"/>
        <w:spacing w:after="0" w:line="263" w:lineRule="auto"/>
        <w:tabs>
          <w:tab w:leader="none" w:pos="66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It is understood and agreed for the avoidance of doubt that the Borrower may elect to join any Domestic Subsidiary that is not required to be or become a Subsidiary Guarantor solely because such Restricted Subsidiary is an Immaterial Subsidiary without (i) the consent of the Administrative Agent or (ii) delivery of an opinion of counsel.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60"/>
          </w:cols>
          <w:pgMar w:left="460" w:top="274" w:right="479" w:bottom="1440" w:gutter="0" w:footer="0" w:header="0"/>
        </w:sectPr>
      </w:pPr>
    </w:p>
    <w:bookmarkStart w:id="134" w:name="page135"/>
    <w:bookmarkEnd w:id="1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Promptly upon request of the Administrative Agent and subject to the limitations described in </w:t>
      </w:r>
      <w:r>
        <w:rPr>
          <w:rFonts w:ascii="Arial" w:cs="Arial" w:eastAsia="Arial" w:hAnsi="Arial"/>
          <w:sz w:val="16"/>
          <w:szCs w:val="16"/>
          <w:u w:val="single" w:color="auto"/>
          <w:color w:val="auto"/>
        </w:rPr>
        <w:t>Section 5.12</w:t>
      </w:r>
      <w:r>
        <w:rPr>
          <w:rFonts w:ascii="Arial" w:cs="Arial" w:eastAsia="Arial" w:hAnsi="Arial"/>
          <w:sz w:val="16"/>
          <w:szCs w:val="16"/>
          <w:color w:val="auto"/>
        </w:rPr>
        <w:t>:</w:t>
      </w:r>
    </w:p>
    <w:p>
      <w:pPr>
        <w:spacing w:after="0" w:line="140" w:lineRule="exact"/>
        <w:rPr>
          <w:sz w:val="20"/>
          <w:szCs w:val="20"/>
          <w:color w:val="auto"/>
        </w:rPr>
      </w:pPr>
    </w:p>
    <w:p>
      <w:pPr>
        <w:ind w:right="20" w:firstLine="436"/>
        <w:spacing w:after="0" w:line="257" w:lineRule="auto"/>
        <w:tabs>
          <w:tab w:leader="none" w:pos="68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Borrower will, and will cause each other Loan Party to, execute any and all further documents, financing statements, agreements, instruments, notices and acknowledgments and take all such further actions (including the filing and recordation of financing statements and/or amendments thereto and other documents), that may be required under any applicable Requirement of Law and which the Administrative Agent may reasonably request to ensure the creation, perfection and priority of the Liens created or intended to be created under the Collateral Documents, all at the expense of the relevant Loan Parties; and</w:t>
      </w:r>
    </w:p>
    <w:p>
      <w:pPr>
        <w:spacing w:after="0" w:line="79" w:lineRule="exact"/>
        <w:rPr>
          <w:rFonts w:ascii="Arial" w:cs="Arial" w:eastAsia="Arial" w:hAnsi="Arial"/>
          <w:sz w:val="18"/>
          <w:szCs w:val="18"/>
          <w:color w:val="auto"/>
        </w:rPr>
      </w:pPr>
    </w:p>
    <w:p>
      <w:pPr>
        <w:ind w:firstLine="436"/>
        <w:spacing w:after="0" w:line="275" w:lineRule="auto"/>
        <w:tabs>
          <w:tab w:leader="none" w:pos="69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Borrower will, and will cause each other applicable Loan Party to,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(including notices to third parties), deeds, assurances and other instruments as the Administrative Agent may reasonably request from time to time in order to ensure the creation, perfection and priority of the Liens created or intended to be created under the Collateral Documents.</w:t>
      </w:r>
    </w:p>
    <w:p>
      <w:pPr>
        <w:spacing w:after="0" w:line="17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Post-Closing Covenant</w:t>
      </w:r>
      <w:r>
        <w:rPr>
          <w:rFonts w:ascii="Arial" w:cs="Arial" w:eastAsia="Arial" w:hAnsi="Arial"/>
          <w:sz w:val="18"/>
          <w:szCs w:val="18"/>
          <w:color w:val="auto"/>
        </w:rPr>
        <w:t xml:space="preserve">. Take the actions required by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in each case within the time periods specified therein (or, in each case, such longer period to which the Administrative Agent may reasonably agree).</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xml:space="preserve">. The Borrower shall, and shall cause its Restricted Subsidiaries to, consummate any transaction with any Affiliate thereof that involves payment in excess of the greater of $17,500,000 and 20% of Consolidated Adjusted EBITDA as of the last day of the most recently ended Test Period, on terms that are at least as favorable (as determined by the Borrower in good faith at the time of the execution of the definitive agreement relating thereto) to the Borrower or such Restricted Subsidiary, as the case may be, as those that might be obtained at the time in a comparable arm’s-length transaction from a Person who is not an Affiliate (or, if in the good faith judgment of Borrower, there is no comparable transaction on the basis of which to make the comparison described above, such transaction is fair to the Borrower or its applicable Restricted Subsidiary from a financial point of view);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requirement shall not apply to:</w:t>
      </w:r>
    </w:p>
    <w:p>
      <w:pPr>
        <w:spacing w:after="0" w:line="69" w:lineRule="exact"/>
        <w:rPr>
          <w:sz w:val="20"/>
          <w:szCs w:val="20"/>
          <w:color w:val="auto"/>
        </w:rPr>
      </w:pPr>
    </w:p>
    <w:p>
      <w:pPr>
        <w:ind w:right="20" w:firstLine="436"/>
        <w:spacing w:after="0" w:line="273" w:lineRule="auto"/>
        <w:tabs>
          <w:tab w:leader="none" w:pos="68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any transaction between or among Holdings, the Borrower and/or one or more Restricted Subsidiaries (or any entity that becomes a Restricted Subsidiary as a result of such transaction) to the extent permitted or not restricted by this Agreement (it being understood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shall not permit any Restricted Subsidiary that is not a Wholly-Owned Subsidiary to make a distribution to, or repurchase of its Capital Stock from, any Affiliate (other than Holdings, the Borrower and/or one or more Restricted Subsidiaries) to the extent the share of the foregoing made or paid to Holdings, the Borrower or any of the Restricted Subsidiaries is not at least pro rata to the percentage of such class of Capital Stock in such Restricted Subsidiary that is not a Wholly-Owned Subsidiary that is owned by the Borrower and its other Restricted Subsidiaries);</w:t>
      </w:r>
    </w:p>
    <w:p>
      <w:pPr>
        <w:spacing w:after="0" w:line="69" w:lineRule="exact"/>
        <w:rPr>
          <w:rFonts w:ascii="Arial" w:cs="Arial" w:eastAsia="Arial" w:hAnsi="Arial"/>
          <w:sz w:val="17"/>
          <w:szCs w:val="17"/>
          <w:color w:val="auto"/>
        </w:rPr>
      </w:pPr>
    </w:p>
    <w:p>
      <w:pPr>
        <w:ind w:right="280" w:firstLine="436"/>
        <w:spacing w:after="0" w:line="263" w:lineRule="auto"/>
        <w:tabs>
          <w:tab w:leader="none" w:pos="69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issuance, sale or grant of securities or other payments, awards or grants in cash, securities or otherwise pursuant to, or the funding of employment arrangements, stock options and stock ownership plans approved by the board of directors (or equivalent governing body) of any Parent Company or of the Borrower or any Restricted Subsidiary;</w:t>
      </w:r>
    </w:p>
    <w:p>
      <w:pPr>
        <w:spacing w:after="0" w:line="75" w:lineRule="exact"/>
        <w:rPr>
          <w:rFonts w:ascii="Arial" w:cs="Arial" w:eastAsia="Arial" w:hAnsi="Arial"/>
          <w:sz w:val="18"/>
          <w:szCs w:val="18"/>
          <w:color w:val="auto"/>
        </w:rPr>
      </w:pPr>
    </w:p>
    <w:p>
      <w:pPr>
        <w:ind w:right="40" w:firstLine="436"/>
        <w:spacing w:after="0" w:line="257" w:lineRule="auto"/>
        <w:tabs>
          <w:tab w:leader="none" w:pos="68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 any collective bargaining, employment or severance agreement or compensatory (including profit sharing) arrangement (including salary or guaranteed payment and bonuses) entered into by the Borrower or any of its Restricted Subsidiaries with their respective current or former officers, directors, members of management, managers, employees, consultants or independent contractors or those of any Parent Company, (ii) any subscription agreement or similar agreement pertaining to the repurchase of Capital Stock pursuant to put/call rights or similar rights with current or former officers, directors, members of management, managers,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0"/>
          </w:cols>
          <w:pgMar w:left="440" w:top="274" w:right="459" w:bottom="1440" w:gutter="0" w:footer="0" w:header="0"/>
        </w:sectPr>
      </w:pPr>
    </w:p>
    <w:bookmarkStart w:id="135" w:name="page136"/>
    <w:bookmarkEnd w:id="135"/>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employees, consultants or independent contractors and (iii) any transaction pursuant to any employee compensation, benefit plan, stock option plan or arrangement, any health, disability or similar insurance plan which covers current or former officers, directors, members of management, managers, employees, consultants or independent contractors or any employment contract or arrangement;</w:t>
      </w:r>
    </w:p>
    <w:p>
      <w:pPr>
        <w:spacing w:after="0" w:line="76" w:lineRule="exact"/>
        <w:rPr>
          <w:sz w:val="20"/>
          <w:szCs w:val="20"/>
          <w:color w:val="auto"/>
        </w:rPr>
      </w:pPr>
    </w:p>
    <w:p>
      <w:pPr>
        <w:ind w:right="160" w:firstLine="436"/>
        <w:spacing w:after="0" w:line="277" w:lineRule="auto"/>
        <w:tabs>
          <w:tab w:leader="none" w:pos="69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(i) transactions permitted by </w:t>
      </w:r>
      <w:r>
        <w:rPr>
          <w:rFonts w:ascii="Arial" w:cs="Arial" w:eastAsia="Arial" w:hAnsi="Arial"/>
          <w:sz w:val="18"/>
          <w:szCs w:val="18"/>
          <w:u w:val="single" w:color="auto"/>
          <w:color w:val="auto"/>
        </w:rPr>
        <w:t>Sections 6.04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6.06</w:t>
      </w:r>
      <w:r>
        <w:rPr>
          <w:rFonts w:ascii="Arial" w:cs="Arial" w:eastAsia="Arial" w:hAnsi="Arial"/>
          <w:sz w:val="18"/>
          <w:szCs w:val="18"/>
          <w:color w:val="auto"/>
        </w:rPr>
        <w:t xml:space="preserve"> and (ii) issuances of Capital Stock, equity contributions and issuances and incurrences of Indebtedness not otherwise restricted by this Agreement;</w:t>
      </w:r>
    </w:p>
    <w:p>
      <w:pPr>
        <w:spacing w:after="0" w:line="62" w:lineRule="exact"/>
        <w:rPr>
          <w:rFonts w:ascii="Arial" w:cs="Arial" w:eastAsia="Arial" w:hAnsi="Arial"/>
          <w:sz w:val="18"/>
          <w:szCs w:val="18"/>
          <w:color w:val="auto"/>
        </w:rPr>
      </w:pPr>
    </w:p>
    <w:p>
      <w:pPr>
        <w:ind w:right="500" w:firstLine="436"/>
        <w:spacing w:after="0" w:line="263" w:lineRule="auto"/>
        <w:tabs>
          <w:tab w:leader="none" w:pos="68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transactions in existence on the Closing Date and any amendment, modification or extension thereof to the extent such amendment, modification or extension, taken as a whole, is not (i) materially adverse to the Lenders or (ii) more disadvantageous in any material respect to the Lenders than the relevant transaction in existence on the Closing Date;</w:t>
      </w:r>
    </w:p>
    <w:p>
      <w:pPr>
        <w:spacing w:after="0" w:line="75" w:lineRule="exact"/>
        <w:rPr>
          <w:rFonts w:ascii="Arial" w:cs="Arial" w:eastAsia="Arial" w:hAnsi="Arial"/>
          <w:sz w:val="18"/>
          <w:szCs w:val="18"/>
          <w:color w:val="auto"/>
        </w:rPr>
      </w:pPr>
    </w:p>
    <w:p>
      <w:pPr>
        <w:ind w:left="660" w:hanging="224"/>
        <w:spacing w:after="0"/>
        <w:tabs>
          <w:tab w:leader="none" w:pos="66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(i) so long as no Event of Default under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w:t>
      </w:r>
      <w:r>
        <w:rPr>
          <w:rFonts w:ascii="Arial" w:cs="Arial" w:eastAsia="Arial" w:hAnsi="Arial"/>
          <w:sz w:val="17"/>
          <w:szCs w:val="17"/>
          <w:color w:val="auto"/>
        </w:rPr>
        <w:t xml:space="preserve"> then exists or would result therefrom, the payment of management,</w:t>
      </w:r>
    </w:p>
    <w:p>
      <w:pPr>
        <w:spacing w:after="0" w:line="34" w:lineRule="exact"/>
        <w:rPr>
          <w:rFonts w:ascii="Arial" w:cs="Arial" w:eastAsia="Arial" w:hAnsi="Arial"/>
          <w:sz w:val="17"/>
          <w:szCs w:val="17"/>
          <w:color w:val="auto"/>
        </w:rPr>
      </w:pPr>
    </w:p>
    <w:p>
      <w:pPr>
        <w:ind w:right="40"/>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monitoring, consulting, transaction, oversight, advisory and similar fees to any Investor in an amount not to exceed the greater of $2,500,000 and 2% of Consolidated Adjusted EBITDA per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fees may continue to accrue during the pendency of any such Event of Default and shall become payable upon the waiver, termination or cure of the relevant Event of Default and (ii) the payment or reimbursement of all indemnification obligations and expenses owed to any Investor and any of their respective directors, officers, members of management, managers, employees and consultants, in each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whether currently due or paid in respect of accruals from prior periods;</w:t>
      </w:r>
    </w:p>
    <w:p>
      <w:pPr>
        <w:spacing w:after="0" w:line="70" w:lineRule="exact"/>
        <w:rPr>
          <w:rFonts w:ascii="Arial" w:cs="Arial" w:eastAsia="Arial" w:hAnsi="Arial"/>
          <w:sz w:val="17"/>
          <w:szCs w:val="17"/>
          <w:color w:val="auto"/>
        </w:rPr>
      </w:pPr>
    </w:p>
    <w:p>
      <w:pPr>
        <w:ind w:left="700" w:hanging="264"/>
        <w:spacing w:after="0"/>
        <w:tabs>
          <w:tab w:leader="none" w:pos="7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Transactions and the payment of Transaction Costs;</w:t>
      </w:r>
    </w:p>
    <w:p>
      <w:pPr>
        <w:spacing w:after="0" w:line="117" w:lineRule="exact"/>
        <w:rPr>
          <w:rFonts w:ascii="Arial" w:cs="Arial" w:eastAsia="Arial" w:hAnsi="Arial"/>
          <w:sz w:val="18"/>
          <w:szCs w:val="18"/>
          <w:color w:val="auto"/>
        </w:rPr>
      </w:pPr>
    </w:p>
    <w:p>
      <w:pPr>
        <w:ind w:right="80" w:firstLine="436"/>
        <w:spacing w:after="0" w:line="259" w:lineRule="auto"/>
        <w:tabs>
          <w:tab w:leader="none" w:pos="69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customary compensation to, and reimbursement of expenses of, Affiliates in connection with financial advisory, financing, underwriting or placement services or in respect of other investment banking activities and other transaction fees, which payments are approved by the majority of the members of the board of directors (or similar governing body) or a majority of the disinterested members of the board of directors (or similar governing body) of the Borrower in good faith;</w:t>
      </w:r>
    </w:p>
    <w:p>
      <w:pPr>
        <w:spacing w:after="0" w:line="78" w:lineRule="exact"/>
        <w:rPr>
          <w:rFonts w:ascii="Arial" w:cs="Arial" w:eastAsia="Arial" w:hAnsi="Arial"/>
          <w:sz w:val="18"/>
          <w:szCs w:val="18"/>
          <w:color w:val="auto"/>
        </w:rPr>
      </w:pPr>
    </w:p>
    <w:p>
      <w:pPr>
        <w:ind w:left="660" w:hanging="224"/>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transactions that are otherwise permitted (or not restricted) under </w:t>
      </w:r>
      <w:r>
        <w:rPr>
          <w:rFonts w:ascii="Arial" w:cs="Arial" w:eastAsia="Arial" w:hAnsi="Arial"/>
          <w:sz w:val="18"/>
          <w:szCs w:val="18"/>
          <w:u w:val="single" w:color="auto"/>
          <w:color w:val="auto"/>
        </w:rPr>
        <w:t>Article 6</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36"/>
        <w:spacing w:after="0" w:line="279" w:lineRule="auto"/>
        <w:tabs>
          <w:tab w:leader="none" w:pos="69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payment of customary fees and reasonable out-of-pocket costs to, and indemnities provided on behalf of, members of the board of directors (or similar governing body), officers, employees, members of management, managers, consultants and independent contractors of the Borrower and/or any of its Restricted Subsidiaries in the ordinary course of business and, in the case of payments to such Person in such capacity on behalf of any Parent Company, to the extent attributable to the operations of the Borrower or its subsidiaries;</w:t>
      </w:r>
    </w:p>
    <w:p>
      <w:pPr>
        <w:spacing w:after="0" w:line="63" w:lineRule="exact"/>
        <w:rPr>
          <w:rFonts w:ascii="Arial" w:cs="Arial" w:eastAsia="Arial" w:hAnsi="Arial"/>
          <w:sz w:val="17"/>
          <w:szCs w:val="17"/>
          <w:color w:val="auto"/>
        </w:rPr>
      </w:pPr>
    </w:p>
    <w:p>
      <w:pPr>
        <w:ind w:right="20" w:firstLine="436"/>
        <w:spacing w:after="0" w:line="259"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transactions with customers, clients, suppliers, joint ventures, purchasers or sellers of goods or services or providers of employees or other labor entered into in the ordinary course of business, which are (i) fair to the Borrower and/or its applicable Restricted Subsidiary in the good faith determination of the Borrower (or its board of directors (or similar governing body) or senior management) or (ii) on terms at least as favorable as might reasonably be obtained from a Person other than an Affiliate;</w:t>
      </w:r>
    </w:p>
    <w:p>
      <w:pPr>
        <w:spacing w:after="0" w:line="78" w:lineRule="exact"/>
        <w:rPr>
          <w:rFonts w:ascii="Arial" w:cs="Arial" w:eastAsia="Arial" w:hAnsi="Arial"/>
          <w:sz w:val="18"/>
          <w:szCs w:val="18"/>
          <w:color w:val="auto"/>
        </w:rPr>
      </w:pPr>
    </w:p>
    <w:p>
      <w:pPr>
        <w:ind w:right="100" w:firstLine="436"/>
        <w:spacing w:after="0" w:line="277" w:lineRule="auto"/>
        <w:tabs>
          <w:tab w:leader="none" w:pos="74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payment of reasonable out-of-pocket costs and expenses related to registration rights and customary indemnities provided to shareholders under any shareholder agreement;</w:t>
      </w:r>
    </w:p>
    <w:p>
      <w:pPr>
        <w:spacing w:after="0" w:line="62" w:lineRule="exact"/>
        <w:rPr>
          <w:rFonts w:ascii="Arial" w:cs="Arial" w:eastAsia="Arial" w:hAnsi="Arial"/>
          <w:sz w:val="18"/>
          <w:szCs w:val="18"/>
          <w:color w:val="auto"/>
        </w:rPr>
      </w:pPr>
    </w:p>
    <w:p>
      <w:pPr>
        <w:ind w:right="380" w:firstLine="436"/>
        <w:spacing w:after="0" w:line="277" w:lineRule="auto"/>
        <w:tabs>
          <w:tab w:leader="none" w:pos="69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 any purchase by Holdings of the Capital Stock of (or contribution to the equity capital of) the Borrower and (ii) any intercompany loan made by the Borrower to Holdings or any Restricted Subsidiary;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00"/>
          </w:cols>
          <w:pgMar w:left="440" w:top="274" w:right="459" w:bottom="1440" w:gutter="0" w:footer="0" w:header="0"/>
        </w:sectPr>
      </w:pPr>
    </w:p>
    <w:bookmarkStart w:id="136" w:name="page137"/>
    <w:bookmarkEnd w:id="136"/>
    <w:p>
      <w:pPr>
        <w:ind w:left="4" w:firstLine="436"/>
        <w:spacing w:after="0" w:line="286" w:lineRule="auto"/>
        <w:tabs>
          <w:tab w:leader="none" w:pos="699" w:val="left"/>
        </w:tabs>
        <w:numPr>
          <w:ilvl w:val="1"/>
          <w:numId w:val="1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transaction (or series of related transactions) in respect of which the Borrower delivers to the Administrative Agent a letter addressed to the board of directors (or equivalent governing body) of the Borrower from an accounting, appraisal or investment banking firm of nationally recognized standing stating that such transaction or transactions, as applicable, is or are on terms that either (i) are no less favorable to the Borrower or the applicable Restricted Subsidiary than might be obtained at the time in a comparable arm’s length transaction from a Person who is not an Affiliate or</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fair to the Borrower or the relevant Restricted Subsidiary from a financial point of view;</w:t>
      </w:r>
    </w:p>
    <w:p>
      <w:pPr>
        <w:spacing w:after="0" w:line="102" w:lineRule="exact"/>
        <w:rPr>
          <w:rFonts w:ascii="Arial" w:cs="Arial" w:eastAsia="Arial" w:hAnsi="Arial"/>
          <w:sz w:val="18"/>
          <w:szCs w:val="18"/>
          <w:color w:val="auto"/>
        </w:rPr>
      </w:pPr>
    </w:p>
    <w:p>
      <w:pPr>
        <w:ind w:left="4" w:right="140" w:firstLine="436"/>
        <w:spacing w:after="0" w:line="311" w:lineRule="auto"/>
        <w:tabs>
          <w:tab w:leader="none" w:pos="699" w:val="left"/>
        </w:tabs>
        <w:numPr>
          <w:ilvl w:val="1"/>
          <w:numId w:val="196"/>
        </w:numPr>
        <w:rPr>
          <w:rFonts w:ascii="Arial" w:cs="Arial" w:eastAsia="Arial" w:hAnsi="Arial"/>
          <w:sz w:val="16"/>
          <w:szCs w:val="16"/>
          <w:color w:val="auto"/>
        </w:rPr>
      </w:pPr>
      <w:r>
        <w:rPr>
          <w:rFonts w:ascii="Arial" w:cs="Arial" w:eastAsia="Arial" w:hAnsi="Arial"/>
          <w:sz w:val="16"/>
          <w:szCs w:val="16"/>
          <w:color w:val="auto"/>
        </w:rPr>
        <w:t>any issuance, sale or grant of securities or other payments, awards or grants in Cash, securities or otherwise pursuant to, or the funding of employment arrangements, stock options and stock ownership or incentive plans approved by a majority of the members of the board of directors (or similar governing body) or a majority of the disinterested members of the board of directors (or similar governing body) of the Borrower in good faith;</w:t>
      </w:r>
    </w:p>
    <w:p>
      <w:pPr>
        <w:spacing w:after="0" w:line="40" w:lineRule="exact"/>
        <w:rPr>
          <w:rFonts w:ascii="Arial" w:cs="Arial" w:eastAsia="Arial" w:hAnsi="Arial"/>
          <w:sz w:val="16"/>
          <w:szCs w:val="16"/>
          <w:color w:val="auto"/>
        </w:rPr>
      </w:pPr>
    </w:p>
    <w:p>
      <w:pPr>
        <w:ind w:left="704" w:hanging="264"/>
        <w:spacing w:after="0"/>
        <w:tabs>
          <w:tab w:leader="none" w:pos="704"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transaction in connection with any Receivables Facility;</w:t>
      </w:r>
    </w:p>
    <w:p>
      <w:pPr>
        <w:spacing w:after="0" w:line="117" w:lineRule="exact"/>
        <w:rPr>
          <w:rFonts w:ascii="Arial" w:cs="Arial" w:eastAsia="Arial" w:hAnsi="Arial"/>
          <w:sz w:val="18"/>
          <w:szCs w:val="18"/>
          <w:color w:val="auto"/>
        </w:rPr>
      </w:pPr>
    </w:p>
    <w:p>
      <w:pPr>
        <w:ind w:left="4" w:right="540" w:firstLine="436"/>
        <w:spacing w:after="0" w:line="277" w:lineRule="auto"/>
        <w:tabs>
          <w:tab w:leader="none" w:pos="669"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any payment pursuant to any tax sharing agreement or arrangement (whether written or as a matter of practice), that would otherwise be permitted as a distribution pursuant to </w:t>
      </w:r>
      <w:r>
        <w:rPr>
          <w:rFonts w:ascii="Arial" w:cs="Arial" w:eastAsia="Arial" w:hAnsi="Arial"/>
          <w:sz w:val="18"/>
          <w:szCs w:val="18"/>
          <w:u w:val="single" w:color="auto"/>
          <w:color w:val="auto"/>
        </w:rPr>
        <w:t>Section 6.04(a)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 w:right="80" w:firstLine="436"/>
        <w:spacing w:after="0" w:line="277" w:lineRule="auto"/>
        <w:tabs>
          <w:tab w:leader="none" w:pos="679"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licensing of any intellectual property right in the ordinary course of business to permit the commercial use of intellectual property between or among the Borrower and/or any subsidiary and/or Affiliate thereof;</w:t>
      </w:r>
    </w:p>
    <w:p>
      <w:pPr>
        <w:spacing w:after="0" w:line="62" w:lineRule="exact"/>
        <w:rPr>
          <w:rFonts w:ascii="Arial" w:cs="Arial" w:eastAsia="Arial" w:hAnsi="Arial"/>
          <w:sz w:val="18"/>
          <w:szCs w:val="18"/>
          <w:color w:val="auto"/>
        </w:rPr>
      </w:pPr>
    </w:p>
    <w:p>
      <w:pPr>
        <w:ind w:left="4" w:right="260" w:firstLine="436"/>
        <w:spacing w:after="0" w:line="277" w:lineRule="auto"/>
        <w:tabs>
          <w:tab w:leader="none" w:pos="659"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approved by a majority of the disinterested directors (or members of any similar governing body) of the Borrower or an applicable Parent Company;</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investment by any Investor or Parent Company in securities or Indebtedness of the Borrower and/or any Guarantor;</w:t>
      </w:r>
    </w:p>
    <w:p>
      <w:pPr>
        <w:spacing w:after="0" w:line="117" w:lineRule="exact"/>
        <w:rPr>
          <w:rFonts w:ascii="Arial" w:cs="Arial" w:eastAsia="Arial" w:hAnsi="Arial"/>
          <w:sz w:val="18"/>
          <w:szCs w:val="18"/>
          <w:color w:val="auto"/>
        </w:rPr>
      </w:pPr>
    </w:p>
    <w:p>
      <w:pPr>
        <w:ind w:left="4" w:right="500" w:firstLine="436"/>
        <w:spacing w:after="0" w:line="277" w:lineRule="auto"/>
        <w:tabs>
          <w:tab w:leader="none" w:pos="699"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transactions not otherwise prohibited by this Agreement for the purpose of (i) forming a holding company and/or (ii) reincorporating the Borrower in a new jurisdiction;</w:t>
      </w:r>
    </w:p>
    <w:p>
      <w:pPr>
        <w:spacing w:after="0" w:line="62" w:lineRule="exact"/>
        <w:rPr>
          <w:rFonts w:ascii="Arial" w:cs="Arial" w:eastAsia="Arial" w:hAnsi="Arial"/>
          <w:sz w:val="18"/>
          <w:szCs w:val="18"/>
          <w:color w:val="auto"/>
        </w:rPr>
      </w:pPr>
    </w:p>
    <w:p>
      <w:pPr>
        <w:ind w:left="4" w:right="600" w:firstLine="436"/>
        <w:spacing w:after="0" w:line="308" w:lineRule="auto"/>
        <w:tabs>
          <w:tab w:leader="none" w:pos="739"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any payment to or from, and/or any transaction with, any joint venture or Unrestricted Subsidiary in the ordinary course of business or consistent with past practice, industry practice or industry norms (including, any cash management activity related thereto);</w:t>
      </w:r>
    </w:p>
    <w:p>
      <w:pPr>
        <w:spacing w:after="0" w:line="38" w:lineRule="exact"/>
        <w:rPr>
          <w:rFonts w:ascii="Arial" w:cs="Arial" w:eastAsia="Arial" w:hAnsi="Arial"/>
          <w:sz w:val="17"/>
          <w:szCs w:val="17"/>
          <w:color w:val="auto"/>
        </w:rPr>
      </w:pPr>
    </w:p>
    <w:p>
      <w:pPr>
        <w:ind w:left="4" w:right="40" w:firstLine="436"/>
        <w:spacing w:after="0" w:line="257" w:lineRule="auto"/>
        <w:tabs>
          <w:tab w:leader="none" w:pos="699"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(i) the existence and performance of any agreement and/or transaction with any Unrestricted Subsidiary that was entered into or consummated prior to the designation of such subsidiary as an Unrestricted Subsidiary to the extent that such agreement or transaction was permitted at the time that it was entered into with such Restricted Subsidiary and/or (ii) any transaction entered into by any Unrestricted Subsidiary with any Affiliate prior to the re-designation of such Unrestricted Subsidiary as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transaction was not entered into in contemplation of such designation or re-designation, as applicable;</w:t>
      </w:r>
    </w:p>
    <w:p>
      <w:pPr>
        <w:spacing w:after="0" w:line="79" w:lineRule="exact"/>
        <w:rPr>
          <w:rFonts w:ascii="Arial" w:cs="Arial" w:eastAsia="Arial" w:hAnsi="Arial"/>
          <w:sz w:val="18"/>
          <w:szCs w:val="18"/>
          <w:color w:val="auto"/>
        </w:rPr>
      </w:pPr>
    </w:p>
    <w:p>
      <w:pPr>
        <w:ind w:left="4" w:right="60" w:firstLine="436"/>
        <w:spacing w:after="0" w:line="277" w:lineRule="auto"/>
        <w:tabs>
          <w:tab w:leader="none" w:pos="699"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capital contribution (whether or not in exchange for the issuance of additional Capital Stock) or loan to any Unrestricted Subsidiary that is not otherwise prohibited by this Agreement;</w:t>
      </w:r>
    </w:p>
    <w:p>
      <w:pPr>
        <w:spacing w:after="0" w:line="62" w:lineRule="exact"/>
        <w:rPr>
          <w:rFonts w:ascii="Arial" w:cs="Arial" w:eastAsia="Arial" w:hAnsi="Arial"/>
          <w:sz w:val="18"/>
          <w:szCs w:val="18"/>
          <w:color w:val="auto"/>
        </w:rPr>
      </w:pPr>
    </w:p>
    <w:p>
      <w:pPr>
        <w:ind w:left="684" w:hanging="244"/>
        <w:spacing w:after="0"/>
        <w:tabs>
          <w:tab w:leader="none" w:pos="684"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transactions permitted pursuant to </w:t>
      </w:r>
      <w:r>
        <w:rPr>
          <w:rFonts w:ascii="Arial" w:cs="Arial" w:eastAsia="Arial" w:hAnsi="Arial"/>
          <w:sz w:val="18"/>
          <w:szCs w:val="18"/>
          <w:u w:val="single" w:color="auto"/>
          <w:color w:val="auto"/>
        </w:rPr>
        <w:t>Section 9.05(g)</w:t>
      </w:r>
      <w:r>
        <w:rPr>
          <w:rFonts w:ascii="Arial" w:cs="Arial" w:eastAsia="Arial" w:hAnsi="Arial"/>
          <w:sz w:val="18"/>
          <w:szCs w:val="18"/>
          <w:color w:val="auto"/>
        </w:rPr>
        <w:t>;</w:t>
      </w:r>
    </w:p>
    <w:p>
      <w:pPr>
        <w:spacing w:after="0" w:line="117" w:lineRule="exact"/>
        <w:rPr>
          <w:sz w:val="20"/>
          <w:szCs w:val="20"/>
          <w:color w:val="auto"/>
        </w:rPr>
      </w:pPr>
    </w:p>
    <w:p>
      <w:pPr>
        <w:ind w:left="4" w:right="20" w:firstLine="436"/>
        <w:spacing w:after="0" w:line="273" w:lineRule="auto"/>
        <w:tabs>
          <w:tab w:leader="none" w:pos="769"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(i) any investment by any Affiliate in the Loans, loans, securities or other Indebtedness of the Borrower and/or any Restricted Subsidiary (and payment of reasonable out-of-pocket expenses incurred by such Affiliates in connection therewith) so long as the investment is being offered by the Borrower or such Restricted Subsidiary generally to other investors on the same or more favorable terms and (ii) payments and/or distributions to Affiliates in respect of the Loans, loans, securities or Indebtedness of the Borrower or any Restricted Subsidiary in connection with the securities and other Indebtedness contemplated in the foregoing </w:t>
      </w:r>
      <w:r>
        <w:rPr>
          <w:rFonts w:ascii="Arial" w:cs="Arial" w:eastAsia="Arial" w:hAnsi="Arial"/>
          <w:sz w:val="17"/>
          <w:szCs w:val="17"/>
          <w:u w:val="single" w:color="auto"/>
          <w:color w:val="auto"/>
        </w:rPr>
        <w:t>subclause (i)</w:t>
      </w:r>
      <w:r>
        <w:rPr>
          <w:rFonts w:ascii="Arial" w:cs="Arial" w:eastAsia="Arial" w:hAnsi="Arial"/>
          <w:sz w:val="17"/>
          <w:szCs w:val="17"/>
          <w:color w:val="auto"/>
        </w:rPr>
        <w:t xml:space="preserve"> or that were acquired from Persons other than the Borrower and the Restricted Subsidiaries, in each case, in accordance with the terms of such securities or Indebtedness; and/or</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04"/>
          </w:cols>
          <w:pgMar w:left="436" w:top="274" w:right="459" w:bottom="1440" w:gutter="0" w:footer="0" w:header="0"/>
        </w:sectPr>
      </w:pPr>
    </w:p>
    <w:bookmarkStart w:id="137" w:name="page138"/>
    <w:bookmarkEnd w:id="13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(bb) any transaction with any portfolio company of any Investor in the ordinary course of business.</w:t>
      </w:r>
    </w:p>
    <w:p>
      <w:pPr>
        <w:spacing w:after="0" w:line="117" w:lineRule="exact"/>
        <w:rPr>
          <w:sz w:val="20"/>
          <w:szCs w:val="20"/>
          <w:color w:val="auto"/>
        </w:rPr>
      </w:pPr>
    </w:p>
    <w:p>
      <w:pPr>
        <w:jc w:val="both"/>
        <w:ind w:left="4" w:right="300" w:firstLine="440"/>
        <w:spacing w:after="0" w:line="311"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u w:val="single" w:color="auto"/>
          <w:color w:val="auto"/>
        </w:rPr>
        <w:t>Fiscal Year</w:t>
      </w:r>
      <w:r>
        <w:rPr>
          <w:rFonts w:ascii="Arial" w:cs="Arial" w:eastAsia="Arial" w:hAnsi="Arial"/>
          <w:sz w:val="16"/>
          <w:szCs w:val="16"/>
          <w:color w:val="auto"/>
        </w:rPr>
        <w:t>. In the event that the Borrower elects to change the end date of its Fiscal Year to a date other than as described in the definition of “Fiscal Year”, the Borrower shall notify the Administrative Agent in writing, in which case the Borrower and the Administrative Agent will, and are hereby authorized to, make any adjustment to this Agreement that is necessary to reflect such change in Fiscal Year.</w:t>
      </w:r>
    </w:p>
    <w:p>
      <w:pPr>
        <w:spacing w:after="0" w:line="41"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Nature of Business</w:t>
      </w:r>
      <w:r>
        <w:rPr>
          <w:rFonts w:ascii="Arial" w:cs="Arial" w:eastAsia="Arial" w:hAnsi="Arial"/>
          <w:sz w:val="18"/>
          <w:szCs w:val="18"/>
          <w:color w:val="auto"/>
        </w:rPr>
        <w:t xml:space="preserve">. From and after the Closing Date, the Borrower shall, and shall cause its Restricted Subsidiaries to, ensure that any material line of business in which it engages is either (a) a business engaged in by the Borrower and/or any Restricted Subsidiary on the Closing Date or a similar, incidental, complementary, ancillary or related business or (b) another line of business to which,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the Administrative Agent provides its consent.</w:t>
      </w:r>
    </w:p>
    <w:p>
      <w:pPr>
        <w:spacing w:after="0" w:line="187"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 xml:space="preserve">Section 5.19. </w:t>
      </w:r>
      <w:r>
        <w:rPr>
          <w:rFonts w:ascii="Arial" w:cs="Arial" w:eastAsia="Arial" w:hAnsi="Arial"/>
          <w:sz w:val="17"/>
          <w:szCs w:val="17"/>
          <w:u w:val="single" w:color="auto"/>
          <w:color w:val="auto"/>
        </w:rPr>
        <w:t>Amendments or Waivers of Organizational Documents</w:t>
      </w:r>
      <w:r>
        <w:rPr>
          <w:rFonts w:ascii="Arial" w:cs="Arial" w:eastAsia="Arial" w:hAnsi="Arial"/>
          <w:sz w:val="17"/>
          <w:szCs w:val="17"/>
          <w:color w:val="auto"/>
        </w:rPr>
        <w:t xml:space="preserve">. The Borrower shall, and shall cause each Subsidiary Guarantor to, ensure that it does not, without the consent of the Administrative Agent, amend or modify its respective Organizational Documents in a manner that is, in the good faith determination of the Borrower, materially adverse to the Lenders (in their capacity as such), taken as a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it is understood and agreed that the Borrower and/or any Subsidiary Guarantor may make any change to its organizational form and/or consummate any other transaction that is permitted under </w:t>
      </w:r>
      <w:r>
        <w:rPr>
          <w:rFonts w:ascii="Arial" w:cs="Arial" w:eastAsia="Arial" w:hAnsi="Arial"/>
          <w:sz w:val="17"/>
          <w:szCs w:val="17"/>
          <w:u w:val="single" w:color="auto"/>
          <w:color w:val="auto"/>
        </w:rPr>
        <w:t>Section 6.07</w:t>
      </w:r>
      <w:r>
        <w:rPr>
          <w:rFonts w:ascii="Arial" w:cs="Arial" w:eastAsia="Arial" w:hAnsi="Arial"/>
          <w:sz w:val="17"/>
          <w:szCs w:val="17"/>
          <w:color w:val="auto"/>
        </w:rPr>
        <w:t>.</w:t>
      </w:r>
    </w:p>
    <w:p>
      <w:pPr>
        <w:spacing w:after="0" w:line="39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ARTICLE 6</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From the Closing Date until the Termination Date, the Borrower (and, solely in the case of </w:t>
      </w:r>
      <w:r>
        <w:rPr>
          <w:rFonts w:ascii="Arial" w:cs="Arial" w:eastAsia="Arial" w:hAnsi="Arial"/>
          <w:sz w:val="16"/>
          <w:szCs w:val="16"/>
          <w:u w:val="single" w:color="auto"/>
          <w:color w:val="auto"/>
        </w:rPr>
        <w:t>Section 6.09</w:t>
      </w:r>
      <w:r>
        <w:rPr>
          <w:rFonts w:ascii="Arial" w:cs="Arial" w:eastAsia="Arial" w:hAnsi="Arial"/>
          <w:sz w:val="16"/>
          <w:szCs w:val="16"/>
          <w:color w:val="auto"/>
        </w:rPr>
        <w:t>, Holdings) covenants and agrees with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Lenders, the Issuing Banks and the Administrative Agent that:</w:t>
      </w:r>
    </w:p>
    <w:p>
      <w:pPr>
        <w:spacing w:after="0" w:line="211"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w:t>
      </w:r>
      <w:r>
        <w:rPr>
          <w:rFonts w:ascii="Arial" w:cs="Arial" w:eastAsia="Arial" w:hAnsi="Arial"/>
          <w:sz w:val="18"/>
          <w:szCs w:val="18"/>
          <w:color w:val="auto"/>
        </w:rPr>
        <w:t>. The Borrower shall not, nor shall it permit any of its Restricted Subsidiaries to create, incur, assume or otherwise become or remain liable with respect to any Indebtedness, except:</w:t>
      </w:r>
    </w:p>
    <w:p>
      <w:pPr>
        <w:spacing w:after="0" w:line="62" w:lineRule="exact"/>
        <w:rPr>
          <w:sz w:val="20"/>
          <w:szCs w:val="20"/>
          <w:color w:val="auto"/>
        </w:rPr>
      </w:pPr>
    </w:p>
    <w:p>
      <w:pPr>
        <w:ind w:left="684" w:hanging="244"/>
        <w:spacing w:after="0"/>
        <w:tabs>
          <w:tab w:leader="none" w:pos="684"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Secured Obligations;</w:t>
      </w:r>
    </w:p>
    <w:p>
      <w:pPr>
        <w:spacing w:after="0" w:line="117" w:lineRule="exact"/>
        <w:rPr>
          <w:rFonts w:ascii="Arial" w:cs="Arial" w:eastAsia="Arial" w:hAnsi="Arial"/>
          <w:sz w:val="18"/>
          <w:szCs w:val="18"/>
          <w:color w:val="auto"/>
        </w:rPr>
      </w:pPr>
    </w:p>
    <w:p>
      <w:pPr>
        <w:ind w:left="4" w:right="60" w:firstLine="436"/>
        <w:spacing w:after="0" w:line="273" w:lineRule="auto"/>
        <w:tabs>
          <w:tab w:leader="none" w:pos="699" w:val="left"/>
        </w:tabs>
        <w:numPr>
          <w:ilvl w:val="1"/>
          <w:numId w:val="198"/>
        </w:numPr>
        <w:rPr>
          <w:rFonts w:ascii="Arial" w:cs="Arial" w:eastAsia="Arial" w:hAnsi="Arial"/>
          <w:sz w:val="17"/>
          <w:szCs w:val="17"/>
          <w:color w:val="auto"/>
        </w:rPr>
      </w:pPr>
      <w:r>
        <w:rPr>
          <w:rFonts w:ascii="Arial" w:cs="Arial" w:eastAsia="Arial" w:hAnsi="Arial"/>
          <w:sz w:val="17"/>
          <w:szCs w:val="17"/>
          <w:color w:val="auto"/>
        </w:rPr>
        <w:t xml:space="preserve">Indebtedness of (i) the Borrower to Holdings and/or any Restricted Subsidiary and/or (ii) any Restricted Subsidiary to Holdings, the Borrower and/or any other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in the case of any Indebtedness of any Restricted Subsidiary that is not a Loan Party owing to the Borrower or any Restricted Subsidiary that is a Loan Party, the related Investment is permitted under </w:t>
      </w:r>
      <w:r>
        <w:rPr>
          <w:rFonts w:ascii="Arial" w:cs="Arial" w:eastAsia="Arial" w:hAnsi="Arial"/>
          <w:sz w:val="17"/>
          <w:szCs w:val="17"/>
          <w:u w:val="single" w:color="auto"/>
          <w:color w:val="auto"/>
        </w:rPr>
        <w:t>Section 6.06</w:t>
      </w:r>
      <w:r>
        <w:rPr>
          <w:rFonts w:ascii="Arial" w:cs="Arial" w:eastAsia="Arial" w:hAnsi="Arial"/>
          <w:sz w:val="17"/>
          <w:szCs w:val="17"/>
          <w:color w:val="auto"/>
        </w:rPr>
        <w:t>, and (B) any Indebtedness of any Loan Party owing to any Restricted Subsidiary that is not a Loan Party incurred in reliance on this clause (b) must be unsecured and expressly subordinated to the Obligations of such Loan Party on terms that are reasonably acceptable to the Administrative Agent (it being understood that the subordination terms set forth in the Intercompany Note are acceptable to the Administrative Agent);</w:t>
      </w:r>
    </w:p>
    <w:p>
      <w:pPr>
        <w:spacing w:after="0" w:line="69" w:lineRule="exact"/>
        <w:rPr>
          <w:rFonts w:ascii="Arial" w:cs="Arial" w:eastAsia="Arial" w:hAnsi="Arial"/>
          <w:sz w:val="17"/>
          <w:szCs w:val="17"/>
          <w:color w:val="auto"/>
        </w:rPr>
      </w:pPr>
    </w:p>
    <w:p>
      <w:pPr>
        <w:ind w:left="684" w:hanging="244"/>
        <w:spacing w:after="0"/>
        <w:tabs>
          <w:tab w:leader="none" w:pos="684" w:val="left"/>
        </w:tabs>
        <w:numPr>
          <w:ilvl w:val="1"/>
          <w:numId w:val="19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60" w:firstLine="436"/>
        <w:spacing w:after="0" w:line="287" w:lineRule="auto"/>
        <w:tabs>
          <w:tab w:leader="none" w:pos="699" w:val="left"/>
        </w:tabs>
        <w:numPr>
          <w:ilvl w:val="1"/>
          <w:numId w:val="198"/>
        </w:numPr>
        <w:rPr>
          <w:rFonts w:ascii="Arial" w:cs="Arial" w:eastAsia="Arial" w:hAnsi="Arial"/>
          <w:sz w:val="16"/>
          <w:szCs w:val="16"/>
          <w:color w:val="auto"/>
        </w:rPr>
      </w:pPr>
      <w:r>
        <w:rPr>
          <w:rFonts w:ascii="Arial" w:cs="Arial" w:eastAsia="Arial" w:hAnsi="Arial"/>
          <w:sz w:val="16"/>
          <w:szCs w:val="16"/>
          <w:color w:val="auto"/>
        </w:rPr>
        <w:t>(i) Indebtedness arising from any agreement providing for indemnification, adjustment of purchase price or similar obligations (including contingent earn-out obligations) incurred in connection with the Transactions, any Disposition permitted hereunder, any acquisition or other Investment permitted hereunder or consummated prior to the Closing Date or any other purchase of assets or Capital Stock or any other Investment, and</w:t>
      </w:r>
    </w:p>
    <w:p>
      <w:pPr>
        <w:spacing w:after="0" w:line="2" w:lineRule="exact"/>
        <w:rPr>
          <w:rFonts w:ascii="Arial" w:cs="Arial" w:eastAsia="Arial" w:hAnsi="Arial"/>
          <w:sz w:val="16"/>
          <w:szCs w:val="16"/>
          <w:color w:val="auto"/>
        </w:rPr>
      </w:pPr>
    </w:p>
    <w:p>
      <w:pPr>
        <w:ind w:left="4" w:right="640" w:hanging="4"/>
        <w:spacing w:after="0" w:line="260" w:lineRule="auto"/>
        <w:tabs>
          <w:tab w:leader="none" w:pos="26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Indebtedness arising from guaranties, letters of credit, bank guaranties, surety bonds, performance bonds or similar instruments securing the performance of the Borrower or any such Restricted Subsidiary pursuant to any such agreement;</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84"/>
          </w:cols>
          <w:pgMar w:left="436" w:top="274" w:right="479" w:bottom="1440" w:gutter="0" w:footer="0" w:header="0"/>
        </w:sectPr>
      </w:pPr>
    </w:p>
    <w:bookmarkStart w:id="138" w:name="page139"/>
    <w:bookmarkEnd w:id="138"/>
    <w:p>
      <w:pPr>
        <w:ind w:firstLine="436"/>
        <w:spacing w:after="0" w:line="279" w:lineRule="auto"/>
        <w:tabs>
          <w:tab w:leader="none" w:pos="685" w:val="left"/>
        </w:tabs>
        <w:numPr>
          <w:ilvl w:val="0"/>
          <w:numId w:val="2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of the Borrower and/or any Restricted Subsidiary (i) as a result of or pursuant to tenders, statutory obligations, bids, leases, governmental contracts, trade contracts, surety, stay, customs, appeal, performance and/or return of money bonds or other similar obligations incurred in the ordinary course of business or pursuant to self-insurance obligations and not in connection with debt for borrowed money and (ii) in respect of letters of credit, bank guaranties, surety bonds, performance bonds or similar instruments to support any of the foregoing items;</w:t>
      </w:r>
    </w:p>
    <w:p>
      <w:pPr>
        <w:spacing w:after="0" w:line="63" w:lineRule="exact"/>
        <w:rPr>
          <w:rFonts w:ascii="Arial" w:cs="Arial" w:eastAsia="Arial" w:hAnsi="Arial"/>
          <w:sz w:val="17"/>
          <w:szCs w:val="17"/>
          <w:color w:val="auto"/>
        </w:rPr>
      </w:pPr>
    </w:p>
    <w:p>
      <w:pPr>
        <w:ind w:right="520" w:firstLine="436"/>
        <w:spacing w:after="0" w:line="277" w:lineRule="auto"/>
        <w:tabs>
          <w:tab w:leader="none" w:pos="66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Indebtedness of the Borrower and/or any Restricted Subsidiary in respect of Banking Services and/or otherwise in connection with Cash management and Deposit Accounts;</w:t>
      </w:r>
    </w:p>
    <w:p>
      <w:pPr>
        <w:spacing w:after="0" w:line="62" w:lineRule="exact"/>
        <w:rPr>
          <w:rFonts w:ascii="Arial" w:cs="Arial" w:eastAsia="Arial" w:hAnsi="Arial"/>
          <w:sz w:val="18"/>
          <w:szCs w:val="18"/>
          <w:color w:val="auto"/>
        </w:rPr>
      </w:pPr>
    </w:p>
    <w:p>
      <w:pPr>
        <w:ind w:right="100" w:firstLine="436"/>
        <w:spacing w:after="0" w:line="257" w:lineRule="auto"/>
        <w:tabs>
          <w:tab w:leader="none" w:pos="69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 guaranties by the Borrower and/or any Restricted Subsidiary of the obligations of suppliers, customers and licensees in the ordinary course of business, (ii) Indebtedness incurred in the ordinary course of business in respect of obligations of the Borrower and/or any Restricted Subsidiary to pay the deferred purchase price of goods or services or progress payments in connection with such goods and services and (iii) Indebtedness in respect of letters of credit, bankers’ acceptances, bank guaranties or similar instruments supporting trade payables, warehouse receipts or similar facilities entered into in the ordinary course of business;</w:t>
      </w:r>
    </w:p>
    <w:p>
      <w:pPr>
        <w:spacing w:after="0" w:line="79" w:lineRule="exact"/>
        <w:rPr>
          <w:rFonts w:ascii="Arial" w:cs="Arial" w:eastAsia="Arial" w:hAnsi="Arial"/>
          <w:sz w:val="18"/>
          <w:szCs w:val="18"/>
          <w:color w:val="auto"/>
        </w:rPr>
      </w:pPr>
    </w:p>
    <w:p>
      <w:pPr>
        <w:ind w:right="60" w:firstLine="436"/>
        <w:spacing w:after="0" w:line="259" w:lineRule="auto"/>
        <w:tabs>
          <w:tab w:leader="none" w:pos="69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Guarantees by the Borrower and/or any Restricted Subsidiary of Indebtedness or other obligations of the Borrower, any Restricted Subsidiary and/or any joint venture with respect to Indebtedness otherwise permitted to be incurred pursuant to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other obligations not prohibited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Guarantee by any Loan Party of the obligations of any non-Loan Party, the related Investment is permitted under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660" w:hanging="224"/>
        <w:spacing w:after="0"/>
        <w:tabs>
          <w:tab w:leader="none" w:pos="6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Indebtedness of the Borrower and/or any Restricted Subsidiary existing, or pursuant to commitments existing, on the Closing Date;</w:t>
      </w:r>
    </w:p>
    <w:p>
      <w:pPr>
        <w:spacing w:after="0" w:line="128" w:lineRule="exact"/>
        <w:rPr>
          <w:rFonts w:ascii="Arial" w:cs="Arial" w:eastAsia="Arial" w:hAnsi="Arial"/>
          <w:sz w:val="17"/>
          <w:szCs w:val="17"/>
          <w:color w:val="auto"/>
        </w:rPr>
      </w:pPr>
    </w:p>
    <w:p>
      <w:pPr>
        <w:ind w:right="100" w:firstLine="436"/>
        <w:spacing w:after="0" w:line="263" w:lineRule="auto"/>
        <w:tabs>
          <w:tab w:leader="none" w:pos="65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Indebtedness of Restricted Subsidiaries that are not Loan Parties; </w:t>
      </w:r>
      <w:r>
        <w:rPr>
          <w:rFonts w:ascii="Arial" w:cs="Arial" w:eastAsia="Arial" w:hAnsi="Arial"/>
          <w:sz w:val="18"/>
          <w:szCs w:val="18"/>
          <w:u w:val="single" w:color="auto"/>
          <w:color w:val="auto"/>
        </w:rPr>
        <w:t>provided</w:t>
      </w:r>
      <w:r>
        <w:rPr>
          <w:rFonts w:ascii="Arial" w:cs="Arial" w:eastAsia="Arial" w:hAnsi="Arial"/>
          <w:sz w:val="18"/>
          <w:szCs w:val="18"/>
          <w:color w:val="auto"/>
        </w:rPr>
        <w:t>, that the aggregate outstanding principal amount of such Indebtedness shall not exceed the greater of $42,500,000 and 50% of Consolidated Adjusted EBITDA as of the last day of the most recently ended Test Period;</w:t>
      </w:r>
    </w:p>
    <w:p>
      <w:pPr>
        <w:spacing w:after="0" w:line="75" w:lineRule="exact"/>
        <w:rPr>
          <w:rFonts w:ascii="Arial" w:cs="Arial" w:eastAsia="Arial" w:hAnsi="Arial"/>
          <w:sz w:val="18"/>
          <w:szCs w:val="18"/>
          <w:color w:val="auto"/>
        </w:rPr>
      </w:pPr>
    </w:p>
    <w:p>
      <w:pPr>
        <w:ind w:right="420" w:firstLine="436"/>
        <w:spacing w:after="0" w:line="277" w:lineRule="auto"/>
        <w:tabs>
          <w:tab w:leader="none" w:pos="69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Indebtedness of the Borrower and/or any Restricted Subsidiary consisting of obligations owing under incentive, supply, license or similar agreements entered into in the ordinary course of business;</w:t>
      </w:r>
    </w:p>
    <w:p>
      <w:pPr>
        <w:spacing w:after="0" w:line="62" w:lineRule="exact"/>
        <w:rPr>
          <w:rFonts w:ascii="Arial" w:cs="Arial" w:eastAsia="Arial" w:hAnsi="Arial"/>
          <w:sz w:val="18"/>
          <w:szCs w:val="18"/>
          <w:color w:val="auto"/>
        </w:rPr>
      </w:pPr>
    </w:p>
    <w:p>
      <w:pPr>
        <w:ind w:left="660" w:hanging="224"/>
        <w:spacing w:after="0"/>
        <w:tabs>
          <w:tab w:leader="none" w:pos="6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Indebtedness of the Borrower and/or any Restricted Subsidiary consisting of (i) the financing of insurance premiums, (ii) take-or-pay</w:t>
      </w:r>
    </w:p>
    <w:p>
      <w:pPr>
        <w:spacing w:after="0" w:line="34" w:lineRule="exact"/>
        <w:rPr>
          <w:rFonts w:ascii="Arial" w:cs="Arial" w:eastAsia="Arial" w:hAnsi="Arial"/>
          <w:sz w:val="17"/>
          <w:szCs w:val="17"/>
          <w:color w:val="auto"/>
        </w:rPr>
      </w:pPr>
    </w:p>
    <w:p>
      <w:pPr>
        <w:ind w:right="120"/>
        <w:spacing w:after="0" w:line="260" w:lineRule="auto"/>
        <w:rPr>
          <w:rFonts w:ascii="Arial" w:cs="Arial" w:eastAsia="Arial" w:hAnsi="Arial"/>
          <w:sz w:val="17"/>
          <w:szCs w:val="17"/>
          <w:color w:val="auto"/>
        </w:rPr>
      </w:pPr>
      <w:r>
        <w:rPr>
          <w:rFonts w:ascii="Arial" w:cs="Arial" w:eastAsia="Arial" w:hAnsi="Arial"/>
          <w:sz w:val="18"/>
          <w:szCs w:val="18"/>
          <w:color w:val="auto"/>
        </w:rPr>
        <w:t>obligations contained in supply arrangements, in each case, in the ordinary course of business and/or (iii) obligations to reacquire assets or inventory in connection with customer financing arrangements in the ordinary course of business;</w:t>
      </w:r>
    </w:p>
    <w:p>
      <w:pPr>
        <w:spacing w:after="0" w:line="77" w:lineRule="exact"/>
        <w:rPr>
          <w:rFonts w:ascii="Arial" w:cs="Arial" w:eastAsia="Arial" w:hAnsi="Arial"/>
          <w:sz w:val="17"/>
          <w:szCs w:val="17"/>
          <w:color w:val="auto"/>
        </w:rPr>
      </w:pPr>
    </w:p>
    <w:p>
      <w:pPr>
        <w:ind w:right="220" w:firstLine="436"/>
        <w:spacing w:after="0" w:line="263" w:lineRule="auto"/>
        <w:tabs>
          <w:tab w:leader="none" w:pos="74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Indebtedness of the Borrower and/or any Restricted Subsidiary with respect to Capital Leases and purchase money Indebtedness in an aggregate outstanding principal amount not to exceed the greater of $42,500,000 and 50% of Consolidated Adjusted EBITDA as of the last day of the most recently ended Test Period;</w:t>
      </w:r>
    </w:p>
    <w:p>
      <w:pPr>
        <w:spacing w:after="0" w:line="75" w:lineRule="exact"/>
        <w:rPr>
          <w:rFonts w:ascii="Arial" w:cs="Arial" w:eastAsia="Arial" w:hAnsi="Arial"/>
          <w:sz w:val="18"/>
          <w:szCs w:val="18"/>
          <w:color w:val="auto"/>
        </w:rPr>
      </w:pPr>
    </w:p>
    <w:p>
      <w:pPr>
        <w:ind w:right="220" w:firstLine="436"/>
        <w:spacing w:after="0" w:line="277" w:lineRule="auto"/>
        <w:tabs>
          <w:tab w:leader="none" w:pos="69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Indebtedness of any Person that becomes a Restricted Subsidiary and/or Indebtedness assumed in connection with any acquisition or similar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440" w:right="320" w:firstLine="419"/>
        <w:spacing w:after="0" w:line="342" w:lineRule="auto"/>
        <w:tabs>
          <w:tab w:leader="none" w:pos="1078" w:val="left"/>
        </w:tabs>
        <w:numPr>
          <w:ilvl w:val="1"/>
          <w:numId w:val="200"/>
        </w:numPr>
        <w:rPr>
          <w:rFonts w:ascii="Arial" w:cs="Arial" w:eastAsia="Arial" w:hAnsi="Arial"/>
          <w:sz w:val="16"/>
          <w:szCs w:val="16"/>
          <w:color w:val="auto"/>
        </w:rPr>
      </w:pPr>
      <w:r>
        <w:rPr>
          <w:rFonts w:ascii="Arial" w:cs="Arial" w:eastAsia="Arial" w:hAnsi="Arial"/>
          <w:sz w:val="16"/>
          <w:szCs w:val="16"/>
          <w:color w:val="auto"/>
        </w:rPr>
        <w:t>such Indebtedness (A) existed at the time such Person became a Restricted Subsidiary or the assets subject to such Indebtedness were acquired and (B) was not created or incurred in contemplation of the applicable acquisition or similar Investment, 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00"/>
          </w:cols>
          <w:pgMar w:left="440" w:top="274" w:right="459" w:bottom="1440" w:gutter="0" w:footer="0" w:header="0"/>
        </w:sectPr>
      </w:pPr>
    </w:p>
    <w:bookmarkStart w:id="139" w:name="page140"/>
    <w:bookmarkEnd w:id="139"/>
    <w:p>
      <w:pPr>
        <w:ind w:left="1100" w:hanging="261"/>
        <w:spacing w:after="0"/>
        <w:tabs>
          <w:tab w:leader="none" w:pos="11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after giving effect to such Indebtedness on a Pro Forma Basis, the Borrower is in compliance with </w:t>
      </w:r>
      <w:r>
        <w:rPr>
          <w:rFonts w:ascii="Arial" w:cs="Arial" w:eastAsia="Arial" w:hAnsi="Arial"/>
          <w:sz w:val="18"/>
          <w:szCs w:val="18"/>
          <w:u w:val="single" w:color="auto"/>
          <w:color w:val="auto"/>
        </w:rPr>
        <w:t>Section 6.10(a)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firstLine="436"/>
        <w:spacing w:after="0" w:line="311" w:lineRule="auto"/>
        <w:tabs>
          <w:tab w:leader="none" w:pos="67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Indebtedness issued by the Borrower or any Restricted Subsidiary to any stockholder of any Parent Company or any current or former director, officer, employee, member of management, manager or consultant of any Parent Company, the Borrower or any subsidiary (or their respective Immediate Family Members) to finance the purchase or redemption of Capital Stock of any Parent Company permitted by </w:t>
      </w:r>
      <w:r>
        <w:rPr>
          <w:rFonts w:ascii="Arial" w:cs="Arial" w:eastAsia="Arial" w:hAnsi="Arial"/>
          <w:sz w:val="16"/>
          <w:szCs w:val="16"/>
          <w:u w:val="single" w:color="auto"/>
          <w:color w:val="auto"/>
        </w:rPr>
        <w:t>Section 6.04(a)</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20" w:right="20" w:firstLine="436"/>
        <w:spacing w:after="0" w:line="263" w:lineRule="auto"/>
        <w:tabs>
          <w:tab w:leader="none" w:pos="67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Indebtedness refinancing, refunding or replacing any Indebtedness permitted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w:t>
      </w:r>
      <w:r>
        <w:rPr>
          <w:rFonts w:ascii="Arial" w:cs="Arial" w:eastAsia="Arial" w:hAnsi="Arial"/>
          <w:sz w:val="18"/>
          <w:szCs w:val="18"/>
          <w:u w:val="single" w:color="auto"/>
          <w:color w:val="auto"/>
        </w:rPr>
        <w:t>(n)</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8"/>
          <w:szCs w:val="18"/>
          <w:color w:val="auto"/>
        </w:rPr>
        <w:t xml:space="preserve">, </w:t>
      </w:r>
      <w:r>
        <w:rPr>
          <w:rFonts w:ascii="Arial" w:cs="Arial" w:eastAsia="Arial" w:hAnsi="Arial"/>
          <w:sz w:val="18"/>
          <w:szCs w:val="18"/>
          <w:u w:val="single" w:color="auto"/>
          <w:color w:val="auto"/>
        </w:rPr>
        <w:t>(w)</w:t>
      </w:r>
      <w:r>
        <w:rPr>
          <w:rFonts w:ascii="Arial" w:cs="Arial" w:eastAsia="Arial" w:hAnsi="Arial"/>
          <w:sz w:val="18"/>
          <w:szCs w:val="18"/>
          <w:color w:val="auto"/>
        </w:rPr>
        <w:t xml:space="preserve">, </w:t>
      </w:r>
      <w:r>
        <w:rPr>
          <w:rFonts w:ascii="Arial" w:cs="Arial" w:eastAsia="Arial" w:hAnsi="Arial"/>
          <w:sz w:val="18"/>
          <w:szCs w:val="18"/>
          <w:u w:val="single" w:color="auto"/>
          <w:color w:val="auto"/>
        </w:rPr>
        <w:t>(y)</w:t>
      </w:r>
      <w:r>
        <w:rPr>
          <w:rFonts w:ascii="Arial" w:cs="Arial" w:eastAsia="Arial" w:hAnsi="Arial"/>
          <w:sz w:val="18"/>
          <w:szCs w:val="18"/>
          <w:color w:val="auto"/>
        </w:rPr>
        <w:t xml:space="preserve">, </w:t>
      </w:r>
      <w:r>
        <w:rPr>
          <w:rFonts w:ascii="Arial" w:cs="Arial" w:eastAsia="Arial" w:hAnsi="Arial"/>
          <w:sz w:val="18"/>
          <w:szCs w:val="18"/>
          <w:u w:val="single" w:color="auto"/>
          <w:color w:val="auto"/>
        </w:rPr>
        <w:t>(z)</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(jj)</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(in any case, including any refinancing Indebtedness incurred in respect thereof, “</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xml:space="preserve">”) and any subsequent Refinancing Indebtedness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5" w:lineRule="exact"/>
        <w:rPr>
          <w:rFonts w:ascii="Arial" w:cs="Arial" w:eastAsia="Arial" w:hAnsi="Arial"/>
          <w:sz w:val="18"/>
          <w:szCs w:val="18"/>
          <w:color w:val="auto"/>
        </w:rPr>
      </w:pPr>
    </w:p>
    <w:p>
      <w:pPr>
        <w:ind w:left="420" w:right="20" w:firstLine="419"/>
        <w:spacing w:after="0" w:line="270" w:lineRule="auto"/>
        <w:tabs>
          <w:tab w:leader="none" w:pos="1058" w:val="left"/>
        </w:tabs>
        <w:numPr>
          <w:ilvl w:val="1"/>
          <w:numId w:val="202"/>
        </w:numPr>
        <w:rPr>
          <w:rFonts w:ascii="Arial" w:cs="Arial" w:eastAsia="Arial" w:hAnsi="Arial"/>
          <w:sz w:val="17"/>
          <w:szCs w:val="17"/>
          <w:color w:val="auto"/>
        </w:rPr>
      </w:pPr>
      <w:r>
        <w:rPr>
          <w:rFonts w:ascii="Arial" w:cs="Arial" w:eastAsia="Arial" w:hAnsi="Arial"/>
          <w:sz w:val="17"/>
          <w:szCs w:val="17"/>
          <w:color w:val="auto"/>
        </w:rPr>
        <w:t xml:space="preserve">the principal amount of such Indebtedness does not exceed the principal amount of, and commitments in respect of, the Indebtedness being refinanced, refunded or replaced, except by (A) an amount equal to unpaid accrued interest, penalties and premiums (including tender premiums) thereon plus underwriting discounts, other reasonable and customary fees, commissions and expenses (including upfront fees, original issue discount or initial yield payments) incurred in connection with the relevant refinancing, refunding or replacement and the related refinancing transaction, (B) an amount equal to any existing commitments unutilized thereunder and (C) additional amounts permitted to be incurred pursuant to this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any additional Indebtedness referenced in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satisfies the other applicable requirements of this definition (with additional amounts incurred in reliance on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constituting a utilization of the relevant basket or exception pursuant to which such additional amount is permitted) and (2) if such additional Indebtedness is secured, the Lien securing such Indebtedness satisfies the applicable requirements of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73" w:lineRule="exact"/>
        <w:rPr>
          <w:sz w:val="20"/>
          <w:szCs w:val="20"/>
          <w:color w:val="auto"/>
        </w:rPr>
      </w:pPr>
    </w:p>
    <w:p>
      <w:pPr>
        <w:ind w:left="420" w:right="80" w:firstLine="419"/>
        <w:spacing w:after="0" w:line="279" w:lineRule="auto"/>
        <w:tabs>
          <w:tab w:leader="none" w:pos="1108" w:val="left"/>
        </w:tabs>
        <w:numPr>
          <w:ilvl w:val="1"/>
          <w:numId w:val="203"/>
        </w:numPr>
        <w:rPr>
          <w:rFonts w:ascii="Arial" w:cs="Arial" w:eastAsia="Arial" w:hAnsi="Arial"/>
          <w:sz w:val="17"/>
          <w:szCs w:val="17"/>
          <w:color w:val="auto"/>
        </w:rPr>
      </w:pPr>
      <w:r>
        <w:rPr>
          <w:rFonts w:ascii="Arial" w:cs="Arial" w:eastAsia="Arial" w:hAnsi="Arial"/>
          <w:sz w:val="17"/>
          <w:szCs w:val="17"/>
          <w:color w:val="auto"/>
        </w:rPr>
        <w:t xml:space="preserve">in the case of Refinancing Indebtedness with respect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(w)</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(z)</w:t>
      </w:r>
      <w:r>
        <w:rPr>
          <w:rFonts w:ascii="Arial" w:cs="Arial" w:eastAsia="Arial" w:hAnsi="Arial"/>
          <w:sz w:val="17"/>
          <w:szCs w:val="17"/>
          <w:color w:val="auto"/>
        </w:rPr>
        <w:t xml:space="preserve"> (other than Customary Bridge Loans), such Indebtedness (other than revolving indebtedness) has (A) a final maturity equal to or later than (and, in the case of revolving Indebtedness, does not require mandatory commitment reductions, if any, prior to) the Latest Term Loan Maturity Date and (B) a Weighted Average Life to Maturity equal to or greater than the Weighted Average Life to Maturity of the outstanding Term Loans at such time;</w:t>
      </w:r>
    </w:p>
    <w:p>
      <w:pPr>
        <w:spacing w:after="0" w:line="63" w:lineRule="exact"/>
        <w:rPr>
          <w:rFonts w:ascii="Arial" w:cs="Arial" w:eastAsia="Arial" w:hAnsi="Arial"/>
          <w:sz w:val="17"/>
          <w:szCs w:val="17"/>
          <w:color w:val="auto"/>
        </w:rPr>
      </w:pPr>
    </w:p>
    <w:p>
      <w:pPr>
        <w:ind w:left="420" w:right="80" w:firstLine="419"/>
        <w:spacing w:after="0" w:line="286" w:lineRule="auto"/>
        <w:tabs>
          <w:tab w:leader="none" w:pos="1158" w:val="left"/>
        </w:tabs>
        <w:numPr>
          <w:ilvl w:val="1"/>
          <w:numId w:val="203"/>
        </w:numPr>
        <w:rPr>
          <w:rFonts w:ascii="Arial" w:cs="Arial" w:eastAsia="Arial" w:hAnsi="Arial"/>
          <w:sz w:val="16"/>
          <w:szCs w:val="16"/>
          <w:color w:val="auto"/>
        </w:rPr>
      </w:pPr>
      <w:r>
        <w:rPr>
          <w:rFonts w:ascii="Arial" w:cs="Arial" w:eastAsia="Arial" w:hAnsi="Arial"/>
          <w:sz w:val="16"/>
          <w:szCs w:val="16"/>
          <w:color w:val="auto"/>
        </w:rPr>
        <w:t>the terms of any Replacement Debt with an original principal amount in excess of the Threshold Amount (excluding, to the extent applicable, pricing (including any “MFN” provision), fees, premiums, rate floors, optional prepayment, funding discounts, maturity, amortization schedule, redemption terms or subordination terms and security), are not, taken as a whole (as determined by the Borrower in good faith), more favorable to the lenders providing such Indebtedness than those applicable to the Indebtedness being refinanced, refunded or replaced (other than</w:t>
      </w:r>
    </w:p>
    <w:p>
      <w:pPr>
        <w:spacing w:after="0" w:line="1" w:lineRule="exact"/>
        <w:rPr>
          <w:rFonts w:ascii="Arial" w:cs="Arial" w:eastAsia="Arial" w:hAnsi="Arial"/>
          <w:sz w:val="16"/>
          <w:szCs w:val="16"/>
          <w:color w:val="auto"/>
        </w:rPr>
      </w:pPr>
    </w:p>
    <w:p>
      <w:pPr>
        <w:ind w:left="420" w:right="20" w:hanging="4"/>
        <w:spacing w:after="0" w:line="269" w:lineRule="auto"/>
        <w:tabs>
          <w:tab w:leader="none" w:pos="71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any covenant or any other provision applicable only to periods after the applicable maturity date of the debt then being refinanced as of such date, (B) any covenant or provision which constitutes a then-current market term for the applicable type of Indebtedness (as determined by the Borrower in good faith), or (C) any covenant or other provision which is conformed (or added) to the Loan Documents for the benefit of the Lenders or, as applicable, the Administrative Agent, pursuant to an amendment to this Agreement effectuated in reliance on </w:t>
      </w:r>
      <w:r>
        <w:rPr>
          <w:rFonts w:ascii="Arial" w:cs="Arial" w:eastAsia="Arial" w:hAnsi="Arial"/>
          <w:sz w:val="17"/>
          <w:szCs w:val="17"/>
          <w:u w:val="single" w:color="auto"/>
          <w:color w:val="auto"/>
        </w:rPr>
        <w:t>Section 9.02(d)(ii)</w:t>
      </w:r>
      <w:r>
        <w:rPr>
          <w:rFonts w:ascii="Arial" w:cs="Arial" w:eastAsia="Arial" w:hAnsi="Arial"/>
          <w:sz w:val="17"/>
          <w:szCs w:val="17"/>
          <w:color w:val="auto"/>
        </w:rPr>
        <w:t xml:space="preserve">), it being understood and agreed that if any Refinancing Indebtedness that constitutes a revolving facility includes a financial covenant, the requirement set forth in this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shall be satisfied if such financial covenant is added to this Agreement for the benefit of the then-existing Revolving Facility but not any then-existing Term Facility);</w:t>
      </w:r>
    </w:p>
    <w:p>
      <w:pPr>
        <w:spacing w:after="0" w:line="72" w:lineRule="exact"/>
        <w:rPr>
          <w:rFonts w:ascii="Arial" w:cs="Arial" w:eastAsia="Arial" w:hAnsi="Arial"/>
          <w:sz w:val="17"/>
          <w:szCs w:val="17"/>
          <w:color w:val="auto"/>
        </w:rPr>
      </w:pPr>
    </w:p>
    <w:p>
      <w:pPr>
        <w:jc w:val="both"/>
        <w:ind w:left="420" w:right="120" w:firstLine="419"/>
        <w:spacing w:after="0" w:line="279" w:lineRule="auto"/>
        <w:tabs>
          <w:tab w:leader="none" w:pos="1148" w:val="left"/>
        </w:tabs>
        <w:numPr>
          <w:ilvl w:val="1"/>
          <w:numId w:val="204"/>
        </w:numPr>
        <w:rPr>
          <w:rFonts w:ascii="Arial" w:cs="Arial" w:eastAsia="Arial" w:hAnsi="Arial"/>
          <w:sz w:val="17"/>
          <w:szCs w:val="17"/>
          <w:color w:val="auto"/>
        </w:rPr>
      </w:pPr>
      <w:r>
        <w:rPr>
          <w:rFonts w:ascii="Arial" w:cs="Arial" w:eastAsia="Arial" w:hAnsi="Arial"/>
          <w:sz w:val="17"/>
          <w:szCs w:val="17"/>
          <w:color w:val="auto"/>
        </w:rPr>
        <w:t xml:space="preserve">in the case of Refinancing Indebtedness with respect to Indebtedness permitted under </w:t>
      </w:r>
      <w:r>
        <w:rPr>
          <w:rFonts w:ascii="Arial" w:cs="Arial" w:eastAsia="Arial" w:hAnsi="Arial"/>
          <w:sz w:val="17"/>
          <w:szCs w:val="17"/>
          <w:u w:val="single" w:color="auto"/>
          <w:color w:val="auto"/>
        </w:rPr>
        <w:t>clauses (j)</w:t>
      </w:r>
      <w:r>
        <w:rPr>
          <w:rFonts w:ascii="Arial" w:cs="Arial" w:eastAsia="Arial" w:hAnsi="Arial"/>
          <w:sz w:val="17"/>
          <w:szCs w:val="17"/>
          <w:color w:val="auto"/>
        </w:rPr>
        <w:t xml:space="preserv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w:t>
      </w:r>
      <w:r>
        <w:rPr>
          <w:rFonts w:ascii="Arial" w:cs="Arial" w:eastAsia="Arial" w:hAnsi="Arial"/>
          <w:sz w:val="17"/>
          <w:szCs w:val="17"/>
          <w:u w:val="single" w:color="auto"/>
          <w:color w:val="auto"/>
        </w:rPr>
        <w:t>(n)(ii)(C)</w:t>
      </w:r>
      <w:r>
        <w:rPr>
          <w:rFonts w:ascii="Arial" w:cs="Arial" w:eastAsia="Arial" w:hAnsi="Arial"/>
          <w:sz w:val="17"/>
          <w:szCs w:val="17"/>
          <w:color w:val="auto"/>
        </w:rPr>
        <w:t xml:space="preserve">, </w:t>
      </w:r>
      <w:r>
        <w:rPr>
          <w:rFonts w:ascii="Arial" w:cs="Arial" w:eastAsia="Arial" w:hAnsi="Arial"/>
          <w:sz w:val="17"/>
          <w:szCs w:val="17"/>
          <w:u w:val="single" w:color="auto"/>
          <w:color w:val="auto"/>
        </w:rPr>
        <w:t>(u)</w:t>
      </w:r>
      <w:r>
        <w:rPr>
          <w:rFonts w:ascii="Arial" w:cs="Arial" w:eastAsia="Arial" w:hAnsi="Arial"/>
          <w:sz w:val="17"/>
          <w:szCs w:val="17"/>
          <w:color w:val="auto"/>
        </w:rPr>
        <w:t xml:space="preserve">, </w:t>
      </w:r>
      <w:r>
        <w:rPr>
          <w:rFonts w:ascii="Arial" w:cs="Arial" w:eastAsia="Arial" w:hAnsi="Arial"/>
          <w:sz w:val="17"/>
          <w:szCs w:val="17"/>
          <w:u w:val="single" w:color="auto"/>
          <w:color w:val="auto"/>
        </w:rPr>
        <w:t>(w)</w:t>
      </w:r>
      <w:r>
        <w:rPr>
          <w:rFonts w:ascii="Arial" w:cs="Arial" w:eastAsia="Arial" w:hAnsi="Arial"/>
          <w:sz w:val="17"/>
          <w:szCs w:val="17"/>
          <w:color w:val="auto"/>
        </w:rPr>
        <w:t xml:space="preserve"> (solely as it relates to the Fixed Incremental Amount), </w:t>
      </w:r>
      <w:r>
        <w:rPr>
          <w:rFonts w:ascii="Arial" w:cs="Arial" w:eastAsia="Arial" w:hAnsi="Arial"/>
          <w:sz w:val="17"/>
          <w:szCs w:val="17"/>
          <w:u w:val="single" w:color="auto"/>
          <w:color w:val="auto"/>
        </w:rPr>
        <w:t>(y)</w:t>
      </w:r>
      <w:r>
        <w:rPr>
          <w:rFonts w:ascii="Arial" w:cs="Arial" w:eastAsia="Arial" w:hAnsi="Arial"/>
          <w:sz w:val="17"/>
          <w:szCs w:val="17"/>
          <w:color w:val="auto"/>
        </w:rPr>
        <w:t xml:space="preserve">, </w:t>
      </w:r>
      <w:r>
        <w:rPr>
          <w:rFonts w:ascii="Arial" w:cs="Arial" w:eastAsia="Arial" w:hAnsi="Arial"/>
          <w:sz w:val="17"/>
          <w:szCs w:val="17"/>
          <w:u w:val="single" w:color="auto"/>
          <w:color w:val="auto"/>
        </w:rPr>
        <w:t>(z)</w:t>
      </w:r>
      <w:r>
        <w:rPr>
          <w:rFonts w:ascii="Arial" w:cs="Arial" w:eastAsia="Arial" w:hAnsi="Arial"/>
          <w:sz w:val="17"/>
          <w:szCs w:val="17"/>
          <w:color w:val="auto"/>
        </w:rPr>
        <w:t xml:space="preserve"> (solely as it relates to the Fixed Incremental Amount),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(jj)</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6.01</w:t>
      </w:r>
      <w:r>
        <w:rPr>
          <w:rFonts w:ascii="Arial" w:cs="Arial" w:eastAsia="Arial" w:hAnsi="Arial"/>
          <w:sz w:val="17"/>
          <w:szCs w:val="17"/>
          <w:color w:val="auto"/>
        </w:rPr>
        <w:t>, the incurrence thereof shall be without duplication of any amount outstanding in reliance on the relevant clause such that the amount available under the relevant clause shall be reduced by the amount of the applicable Refinancing Indebtedness;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960"/>
          </w:cols>
          <w:pgMar w:left="460" w:top="274" w:right="479" w:bottom="1440" w:gutter="0" w:footer="0" w:header="0"/>
        </w:sectPr>
      </w:pPr>
    </w:p>
    <w:bookmarkStart w:id="140" w:name="page141"/>
    <w:bookmarkEnd w:id="140"/>
    <w:p>
      <w:pPr>
        <w:ind w:left="4" w:right="20" w:firstLine="419"/>
        <w:spacing w:after="0" w:line="285" w:lineRule="auto"/>
        <w:tabs>
          <w:tab w:leader="none" w:pos="681" w:val="left"/>
        </w:tabs>
        <w:numPr>
          <w:ilvl w:val="1"/>
          <w:numId w:val="2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in the case of Refinancing Indebtedness constituting Replacement Debt, (A) (1) such Indebtedness, if secured, is secured only by Permitted Liens at the time of such refinancing, refunding or replacement (it being understood that secured Indebtedness may be refinanced with unsecured Indebtedness), and (2) either (x) if the Liens securing such Indebtedness were originally contractually subordinated to the Liens on the Collateral securing the Initial Term Loans, the Liens securing such Indebtedness are subordinated to the Liens on the Collateral securing the Initial Term Loans on terms not materially less favorable (as determined by the Borrower in good faith), taken as a whole, to the Lenders than those</w:t>
      </w:r>
    </w:p>
    <w:p>
      <w:pPr>
        <w:spacing w:after="0" w:line="1" w:lineRule="exact"/>
        <w:rPr>
          <w:rFonts w:ascii="Arial" w:cs="Arial" w:eastAsia="Arial" w:hAnsi="Arial"/>
          <w:sz w:val="16"/>
          <w:szCs w:val="16"/>
          <w:color w:val="auto"/>
        </w:rPr>
      </w:pPr>
    </w:p>
    <w:p>
      <w:pPr>
        <w:ind w:left="4" w:right="20" w:hanging="4"/>
        <w:spacing w:after="0" w:line="285" w:lineRule="auto"/>
        <w:tabs>
          <w:tab w:leader="none" w:pos="22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applicable to the Liens securing the Indebtedness being refinanced, refunded or replaced, taken as a whole, or (II) set forth in any relevant Intercreditor Agreement or (y) the purchase, defeasance, redemption, repurchase, repayment, refinancing or other acquisition or retirement of such Indebtedness is permitted under </w:t>
      </w:r>
      <w:r>
        <w:rPr>
          <w:rFonts w:ascii="Arial" w:cs="Arial" w:eastAsia="Arial" w:hAnsi="Arial"/>
          <w:sz w:val="16"/>
          <w:szCs w:val="16"/>
          <w:u w:val="single" w:color="auto"/>
          <w:color w:val="auto"/>
        </w:rPr>
        <w:t>Section 6.04(b)</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6.04(b)(i)</w:t>
      </w:r>
      <w:r>
        <w:rPr>
          <w:rFonts w:ascii="Arial" w:cs="Arial" w:eastAsia="Arial" w:hAnsi="Arial"/>
          <w:sz w:val="16"/>
          <w:szCs w:val="16"/>
          <w:color w:val="auto"/>
        </w:rPr>
        <w:t xml:space="preserve">); it being understood that the proceeds of any such Refinancing Indebtedness may be funded into Escrow pursuant to customary (in the good faith determination of the Borrower) escrow arrangements, (B) such Indebtedness is incurred by the obligor or obligors in respect of the Indebtedness being refinanced, refunded or replaced, except to the extent otherwise permitted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(it being understood that (1) any entity that was a guarantor in respect of the relevant refinanced Indebtedness may be the primary obligor in respect of the refinancing Indebtedness, and any entity that was the primary obligor in respect of the relevant refinanced Indebtedness may be a guarantor in respect of the refinancing Indebtedness and (2) the obligation of any Person with respect to any Escrow arrangement into which the proceeds of such Refinancing Indebtedness are deposited shall not constitute a Guarantee) and (C) if the Indebtedness being refinanced, refunded or replaced was expressly contractually subordinated to the Obligations in right of payment, (x) such Indebtedness is contractually subordinated to the Obligations in right of payment, or (y) if not contractually subordinated to the Obligations in right of payment, the purchase, defeasance, redemption, repurchase, repayment, refinancing or other acquisition or retirement of such Indebtedness is permitted under </w:t>
      </w:r>
      <w:r>
        <w:rPr>
          <w:rFonts w:ascii="Arial" w:cs="Arial" w:eastAsia="Arial" w:hAnsi="Arial"/>
          <w:sz w:val="16"/>
          <w:szCs w:val="16"/>
          <w:u w:val="single" w:color="auto"/>
          <w:color w:val="auto"/>
        </w:rPr>
        <w:t>Section 6.04(b)</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6.04(b)(i)</w:t>
      </w:r>
      <w:r>
        <w:rPr>
          <w:rFonts w:ascii="Arial" w:cs="Arial" w:eastAsia="Arial" w:hAnsi="Arial"/>
          <w:sz w:val="16"/>
          <w:szCs w:val="16"/>
          <w:color w:val="auto"/>
        </w:rPr>
        <w:t>); and</w:t>
      </w:r>
    </w:p>
    <w:p>
      <w:pPr>
        <w:spacing w:after="0" w:line="61" w:lineRule="exact"/>
        <w:rPr>
          <w:rFonts w:ascii="Arial" w:cs="Arial" w:eastAsia="Arial" w:hAnsi="Arial"/>
          <w:sz w:val="16"/>
          <w:szCs w:val="16"/>
          <w:color w:val="auto"/>
        </w:rPr>
      </w:pPr>
    </w:p>
    <w:p>
      <w:pPr>
        <w:ind w:left="4" w:firstLine="419"/>
        <w:spacing w:after="0" w:line="289" w:lineRule="auto"/>
        <w:tabs>
          <w:tab w:leader="none" w:pos="731" w:val="left"/>
        </w:tabs>
        <w:numPr>
          <w:ilvl w:val="1"/>
          <w:numId w:val="206"/>
        </w:numPr>
        <w:rPr>
          <w:rFonts w:ascii="Arial" w:cs="Arial" w:eastAsia="Arial" w:hAnsi="Arial"/>
          <w:sz w:val="16"/>
          <w:szCs w:val="16"/>
          <w:color w:val="auto"/>
        </w:rPr>
      </w:pPr>
      <w:r>
        <w:rPr>
          <w:rFonts w:ascii="Arial" w:cs="Arial" w:eastAsia="Arial" w:hAnsi="Arial"/>
          <w:sz w:val="16"/>
          <w:szCs w:val="16"/>
          <w:color w:val="auto"/>
        </w:rPr>
        <w:t xml:space="preserve">in the case of Refinancing Indebtedness constituting Replacement Debt, (A) such Indebtedness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in right of payment and secured by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basis with respect to the remaining Obligations hereunder, or is unsecured;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Refinancing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with respect to the Collateral shall be subject to an Intercreditor Agreement, (B) if the Indebtedness being refinanced, refunded or replaced is secured, it is not secured by any asset that does not constitute Collateral; it being understood that the proceeds of any such Refinancing Indebtedness may be funded into Escrow pursuant to customary (in the good faith determination of the Borrower) escrow arrangements, (C) if the Indebtedness being refinanced, refunded or replaced is Guaranteed, it shall not be Guaranteed by any Restricted Subsidiary of the Borrower other than one or more Loan Parties (it being understood that the obligation of any Person with respect to any Escrow arrangement into which the proceeds of such Refinancing Indebtedness are deposited shall not constitute a Guarantee) and (D) such Refinancing Indebtedness is incurred under (and pursuant to) documentation other than this Agreement;</w:t>
      </w:r>
    </w:p>
    <w:p>
      <w:pPr>
        <w:spacing w:after="0" w:line="58" w:lineRule="exact"/>
        <w:rPr>
          <w:sz w:val="20"/>
          <w:szCs w:val="20"/>
          <w:color w:val="auto"/>
        </w:rPr>
      </w:pPr>
    </w:p>
    <w:p>
      <w:pPr>
        <w:ind w:left="264" w:hanging="264"/>
        <w:spacing w:after="0"/>
        <w:tabs>
          <w:tab w:leader="none" w:pos="26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224" w:hanging="224"/>
        <w:spacing w:after="0"/>
        <w:tabs>
          <w:tab w:leader="none" w:pos="22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center"/>
        <w:ind w:left="4924" w:right="320" w:hanging="4924"/>
        <w:spacing w:after="0" w:line="449" w:lineRule="auto"/>
        <w:tabs>
          <w:tab w:leader="none" w:pos="22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Indebtedness of the Borrower and/or any Restricted Subsidiary under any Derivative Transaction not entered into for speculative purposes; 131</w:t>
      </w:r>
    </w:p>
    <w:p>
      <w:pPr>
        <w:sectPr>
          <w:pgSz w:w="11900" w:h="16838" w:orient="portrait"/>
          <w:cols w:equalWidth="0" w:num="1">
            <w:col w:w="10564"/>
          </w:cols>
          <w:pgMar w:left="876" w:top="274" w:right="459" w:bottom="1440" w:gutter="0" w:footer="0" w:header="0"/>
        </w:sectPr>
      </w:pPr>
    </w:p>
    <w:bookmarkStart w:id="141" w:name="page142"/>
    <w:bookmarkEnd w:id="141"/>
    <w:p>
      <w:pPr>
        <w:ind w:right="60" w:firstLine="436"/>
        <w:spacing w:after="0" w:line="259" w:lineRule="auto"/>
        <w:tabs>
          <w:tab w:leader="none" w:pos="655"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of the Borrower and/or any Restricted Subsidiary representing (i) deferred compensation to current or former directors, officers, employees, members of management, managers, and consultants of any Parent Company, the Borrower and/or any Restricted Subsidiary in the ordinary course of business and (ii) deferred compensation or other similar arrangements in connection with the Transactions, any Permitted Acquisition or any other Investment permitted hereby;</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Indebtedness of the Borrower and/or any Restricted Subsidiary in an aggregate outstanding principal amount not to exceed the greater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$42,500,000 and 50% of Consolidated Adjusted EBITDA as of the last day of the most recently ended Test Period;</w:t>
      </w:r>
    </w:p>
    <w:p>
      <w:pPr>
        <w:spacing w:after="0" w:line="103" w:lineRule="exact"/>
        <w:rPr>
          <w:sz w:val="20"/>
          <w:szCs w:val="20"/>
          <w:color w:val="auto"/>
        </w:rPr>
      </w:pPr>
    </w:p>
    <w:p>
      <w:pPr>
        <w:ind w:left="700" w:hanging="264"/>
        <w:spacing w:after="0"/>
        <w:tabs>
          <w:tab w:leader="none" w:pos="7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740" w:hanging="304"/>
        <w:spacing w:after="0"/>
        <w:tabs>
          <w:tab w:leader="none" w:pos="7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Indebtedness of the Borrower and/or any Restricted Subsidiary (any Indebtedness incurred pursuant to this </w:t>
      </w:r>
      <w:r>
        <w:rPr>
          <w:rFonts w:ascii="Arial" w:cs="Arial" w:eastAsia="Arial" w:hAnsi="Arial"/>
          <w:sz w:val="16"/>
          <w:szCs w:val="16"/>
          <w:u w:val="single" w:color="auto"/>
          <w:color w:val="auto"/>
        </w:rPr>
        <w:t>Section 6.01(w)</w:t>
      </w:r>
      <w:r>
        <w:rPr>
          <w:rFonts w:ascii="Arial" w:cs="Arial" w:eastAsia="Arial" w:hAnsi="Arial"/>
          <w:sz w:val="16"/>
          <w:szCs w:val="16"/>
          <w:color w:val="auto"/>
        </w:rPr>
        <w:t>, “</w:t>
      </w:r>
      <w:r>
        <w:rPr>
          <w:rFonts w:ascii="Arial" w:cs="Arial" w:eastAsia="Arial" w:hAnsi="Arial"/>
          <w:sz w:val="16"/>
          <w:szCs w:val="16"/>
          <w:u w:val="single" w:color="auto"/>
          <w:color w:val="auto"/>
        </w:rPr>
        <w:t>Ratio Debt</w:t>
      </w:r>
      <w:r>
        <w:rPr>
          <w:rFonts w:ascii="Arial" w:cs="Arial" w:eastAsia="Arial" w:hAnsi="Arial"/>
          <w:sz w:val="16"/>
          <w:szCs w:val="16"/>
          <w:color w:val="auto"/>
        </w:rPr>
        <w:t>”) so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long as:</w:t>
      </w:r>
    </w:p>
    <w:p>
      <w:pPr>
        <w:spacing w:after="0" w:line="102" w:lineRule="exact"/>
        <w:rPr>
          <w:rFonts w:ascii="Arial" w:cs="Arial" w:eastAsia="Arial" w:hAnsi="Arial"/>
          <w:sz w:val="16"/>
          <w:szCs w:val="16"/>
          <w:color w:val="auto"/>
        </w:rPr>
      </w:pPr>
    </w:p>
    <w:p>
      <w:pPr>
        <w:ind w:left="440" w:right="100" w:firstLine="419"/>
        <w:spacing w:after="0" w:line="257" w:lineRule="auto"/>
        <w:tabs>
          <w:tab w:leader="none" w:pos="107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 xml:space="preserve">after giving effect thereto, including the application of the proceeds thereof (in each case, without “netting” the cash proceeds of the applicable Indebtedness being incurred), the outstanding principal thereof does not exceed an amount equal to the sum of (x) the Fixed Incremental Amount, (y) (A) the Incremental Prepayment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amount of any Incremental Facility and/or Incremental Equivalent Debt incurred or implemented in reliance on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of “Incremental Cap” and (z) an additional unlimited amount, so long as, in the case of this </w:t>
      </w:r>
      <w:r>
        <w:rPr>
          <w:rFonts w:ascii="Arial" w:cs="Arial" w:eastAsia="Arial" w:hAnsi="Arial"/>
          <w:sz w:val="18"/>
          <w:szCs w:val="18"/>
          <w:u w:val="single" w:color="auto"/>
          <w:color w:val="auto"/>
        </w:rPr>
        <w:t>clause (z)</w:t>
      </w:r>
      <w:r>
        <w:rPr>
          <w:rFonts w:ascii="Arial" w:cs="Arial" w:eastAsia="Arial" w:hAnsi="Arial"/>
          <w:sz w:val="18"/>
          <w:szCs w:val="18"/>
          <w:color w:val="auto"/>
        </w:rPr>
        <w:t>, on a Pro Forma Basis:</w:t>
      </w:r>
    </w:p>
    <w:p>
      <w:pPr>
        <w:spacing w:after="0" w:line="79" w:lineRule="exact"/>
        <w:rPr>
          <w:rFonts w:ascii="Arial" w:cs="Arial" w:eastAsia="Arial" w:hAnsi="Arial"/>
          <w:sz w:val="18"/>
          <w:szCs w:val="18"/>
          <w:color w:val="auto"/>
        </w:rPr>
      </w:pPr>
    </w:p>
    <w:p>
      <w:pPr>
        <w:ind w:left="1680" w:hanging="292"/>
        <w:spacing w:after="0"/>
        <w:tabs>
          <w:tab w:leader="none" w:pos="1680" w:val="left"/>
        </w:tabs>
        <w:numPr>
          <w:ilvl w:val="2"/>
          <w:numId w:val="209"/>
        </w:numPr>
        <w:rPr>
          <w:rFonts w:ascii="Arial" w:cs="Arial" w:eastAsia="Arial" w:hAnsi="Arial"/>
          <w:sz w:val="18"/>
          <w:szCs w:val="18"/>
          <w:color w:val="auto"/>
        </w:rPr>
      </w:pPr>
      <w:r>
        <w:rPr>
          <w:rFonts w:ascii="Arial" w:cs="Arial" w:eastAsia="Arial" w:hAnsi="Arial"/>
          <w:sz w:val="18"/>
          <w:szCs w:val="18"/>
          <w:color w:val="auto"/>
        </w:rPr>
        <w:t>if such Ratio Debt constitutes First Lien Debt, the First Lien Net Leverage Ratio does not exceed 3.60:1.00;</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2"/>
          <w:numId w:val="209"/>
        </w:numPr>
        <w:rPr>
          <w:rFonts w:ascii="Arial" w:cs="Arial" w:eastAsia="Arial" w:hAnsi="Arial"/>
          <w:sz w:val="18"/>
          <w:szCs w:val="18"/>
          <w:color w:val="auto"/>
        </w:rPr>
      </w:pPr>
      <w:r>
        <w:rPr>
          <w:rFonts w:ascii="Arial" w:cs="Arial" w:eastAsia="Arial" w:hAnsi="Arial"/>
          <w:sz w:val="18"/>
          <w:szCs w:val="18"/>
          <w:color w:val="auto"/>
        </w:rPr>
        <w:t>if such Ratio Debt constitutes Junior Lien Debt, the Secured Net Leverage Ratio does not exceed 4.10:1.00; or</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2"/>
          <w:numId w:val="209"/>
        </w:numPr>
        <w:rPr>
          <w:rFonts w:ascii="Arial" w:cs="Arial" w:eastAsia="Arial" w:hAnsi="Arial"/>
          <w:sz w:val="17"/>
          <w:szCs w:val="17"/>
          <w:color w:val="auto"/>
        </w:rPr>
      </w:pPr>
      <w:r>
        <w:rPr>
          <w:rFonts w:ascii="Arial" w:cs="Arial" w:eastAsia="Arial" w:hAnsi="Arial"/>
          <w:sz w:val="17"/>
          <w:szCs w:val="17"/>
          <w:color w:val="auto"/>
        </w:rPr>
        <w:t>if such Ratio Debt is not secured by the Collateral or is unsecured, the Total Net Leverage Ratio does not exceed 4.35:1.00;</w:t>
      </w:r>
    </w:p>
    <w:p>
      <w:pPr>
        <w:spacing w:after="0" w:line="128" w:lineRule="exact"/>
        <w:rPr>
          <w:rFonts w:ascii="Arial" w:cs="Arial" w:eastAsia="Arial" w:hAnsi="Arial"/>
          <w:sz w:val="17"/>
          <w:szCs w:val="17"/>
          <w:color w:val="auto"/>
        </w:rPr>
      </w:pPr>
    </w:p>
    <w:p>
      <w:pPr>
        <w:ind w:left="440" w:right="60" w:firstLine="419"/>
        <w:spacing w:after="0" w:line="263" w:lineRule="auto"/>
        <w:tabs>
          <w:tab w:leader="none" w:pos="112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 xml:space="preserve">the aggregate outstanding principal amount of Ratio Debt incurred in reliance on this </w:t>
      </w:r>
      <w:r>
        <w:rPr>
          <w:rFonts w:ascii="Arial" w:cs="Arial" w:eastAsia="Arial" w:hAnsi="Arial"/>
          <w:sz w:val="18"/>
          <w:szCs w:val="18"/>
          <w:u w:val="single" w:color="auto"/>
          <w:color w:val="auto"/>
        </w:rPr>
        <w:t>Section 6.01(w)</w:t>
      </w:r>
      <w:r>
        <w:rPr>
          <w:rFonts w:ascii="Arial" w:cs="Arial" w:eastAsia="Arial" w:hAnsi="Arial"/>
          <w:sz w:val="18"/>
          <w:szCs w:val="18"/>
          <w:color w:val="auto"/>
        </w:rPr>
        <w:t xml:space="preserve"> by Restricted Subsidiaries that are not Loan Parties shall not, at any time, exceed an amount equal to the greater of $42,500,000 and 50% of Consolidated Adjusted EBITDA as of the last day of the most recently ended Test Period; and</w:t>
      </w:r>
    </w:p>
    <w:p>
      <w:pPr>
        <w:spacing w:after="0" w:line="75" w:lineRule="exact"/>
        <w:rPr>
          <w:rFonts w:ascii="Arial" w:cs="Arial" w:eastAsia="Arial" w:hAnsi="Arial"/>
          <w:sz w:val="18"/>
          <w:szCs w:val="18"/>
          <w:color w:val="auto"/>
        </w:rPr>
      </w:pPr>
    </w:p>
    <w:p>
      <w:pPr>
        <w:ind w:left="440" w:right="400" w:firstLine="419"/>
        <w:spacing w:after="0" w:line="277" w:lineRule="auto"/>
        <w:tabs>
          <w:tab w:leader="none" w:pos="117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if such Ratio Debt is issued or incurred by any Loan Party and consists of third party Indebtedness for borrowed money (other than Indebtedness among the Borrower and its Restricted Subsidiaries):</w:t>
      </w:r>
    </w:p>
    <w:p>
      <w:pPr>
        <w:spacing w:after="0" w:line="62" w:lineRule="exact"/>
        <w:rPr>
          <w:rFonts w:ascii="Arial" w:cs="Arial" w:eastAsia="Arial" w:hAnsi="Arial"/>
          <w:sz w:val="18"/>
          <w:szCs w:val="18"/>
          <w:color w:val="auto"/>
        </w:rPr>
      </w:pPr>
    </w:p>
    <w:p>
      <w:pPr>
        <w:ind w:left="980" w:firstLine="408"/>
        <w:spacing w:after="0" w:line="277" w:lineRule="auto"/>
        <w:tabs>
          <w:tab w:leader="none" w:pos="1676" w:val="left"/>
        </w:tabs>
        <w:numPr>
          <w:ilvl w:val="2"/>
          <w:numId w:val="209"/>
        </w:numPr>
        <w:rPr>
          <w:rFonts w:ascii="Arial" w:cs="Arial" w:eastAsia="Arial" w:hAnsi="Arial"/>
          <w:sz w:val="18"/>
          <w:szCs w:val="18"/>
          <w:color w:val="auto"/>
        </w:rPr>
      </w:pPr>
      <w:r>
        <w:rPr>
          <w:rFonts w:ascii="Arial" w:cs="Arial" w:eastAsia="Arial" w:hAnsi="Arial"/>
          <w:sz w:val="18"/>
          <w:szCs w:val="18"/>
          <w:color w:val="auto"/>
        </w:rPr>
        <w:t>the final maturity date of such Indebtedness (other than revolving loans) is no earlier than the Latest Term Loan Maturity Date on the date of the issuance or incurrence thereof,</w:t>
      </w:r>
    </w:p>
    <w:p>
      <w:pPr>
        <w:spacing w:after="0" w:line="62" w:lineRule="exact"/>
        <w:rPr>
          <w:rFonts w:ascii="Arial" w:cs="Arial" w:eastAsia="Arial" w:hAnsi="Arial"/>
          <w:sz w:val="18"/>
          <w:szCs w:val="18"/>
          <w:color w:val="auto"/>
        </w:rPr>
      </w:pPr>
    </w:p>
    <w:p>
      <w:pPr>
        <w:ind w:left="980" w:right="600" w:firstLine="408"/>
        <w:spacing w:after="0" w:line="277" w:lineRule="auto"/>
        <w:tabs>
          <w:tab w:leader="none" w:pos="1666" w:val="left"/>
        </w:tabs>
        <w:numPr>
          <w:ilvl w:val="2"/>
          <w:numId w:val="209"/>
        </w:numPr>
        <w:rPr>
          <w:rFonts w:ascii="Arial" w:cs="Arial" w:eastAsia="Arial" w:hAnsi="Arial"/>
          <w:sz w:val="18"/>
          <w:szCs w:val="18"/>
          <w:color w:val="auto"/>
        </w:rPr>
      </w:pPr>
      <w:r>
        <w:rPr>
          <w:rFonts w:ascii="Arial" w:cs="Arial" w:eastAsia="Arial" w:hAnsi="Arial"/>
          <w:sz w:val="18"/>
          <w:szCs w:val="18"/>
          <w:color w:val="auto"/>
        </w:rPr>
        <w:t>the Weighted Average Life to Maturity applicable to such Indebtedness (other than revolving loans) is no shorter than the Weighted Average Life to Maturity of the then-existing Term Loans, and</w:t>
      </w:r>
    </w:p>
    <w:p>
      <w:pPr>
        <w:spacing w:after="0" w:line="62" w:lineRule="exact"/>
        <w:rPr>
          <w:rFonts w:ascii="Arial" w:cs="Arial" w:eastAsia="Arial" w:hAnsi="Arial"/>
          <w:sz w:val="18"/>
          <w:szCs w:val="18"/>
          <w:color w:val="auto"/>
        </w:rPr>
      </w:pPr>
    </w:p>
    <w:p>
      <w:pPr>
        <w:ind w:left="980" w:right="680" w:firstLine="408"/>
        <w:spacing w:after="0" w:line="277" w:lineRule="auto"/>
        <w:tabs>
          <w:tab w:leader="none" w:pos="1666" w:val="left"/>
        </w:tabs>
        <w:numPr>
          <w:ilvl w:val="2"/>
          <w:numId w:val="209"/>
        </w:numPr>
        <w:rPr>
          <w:rFonts w:ascii="Arial" w:cs="Arial" w:eastAsia="Arial" w:hAnsi="Arial"/>
          <w:sz w:val="18"/>
          <w:szCs w:val="18"/>
          <w:color w:val="auto"/>
        </w:rPr>
      </w:pPr>
      <w:r>
        <w:rPr>
          <w:rFonts w:ascii="Arial" w:cs="Arial" w:eastAsia="Arial" w:hAnsi="Arial"/>
          <w:sz w:val="18"/>
          <w:szCs w:val="18"/>
          <w:color w:val="auto"/>
        </w:rPr>
        <w:t>if such Indebtedness constitutes revolving loans, such Indebtedness will not mature or have any mandatory commitment reductions prior to the Initial Revolving Credit Maturity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00"/>
          </w:cols>
          <w:pgMar w:left="440" w:top="274" w:right="459" w:bottom="1440" w:gutter="0" w:footer="0" w:header="0"/>
        </w:sectPr>
      </w:pPr>
    </w:p>
    <w:bookmarkStart w:id="142" w:name="page143"/>
    <w:bookmarkEnd w:id="142"/>
    <w:p>
      <w:pPr>
        <w:ind w:left="700" w:hanging="264"/>
        <w:spacing w:after="0"/>
        <w:tabs>
          <w:tab w:leader="none" w:pos="7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ind w:right="260" w:firstLine="436"/>
        <w:spacing w:after="0" w:line="277" w:lineRule="auto"/>
        <w:tabs>
          <w:tab w:leader="none" w:pos="69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Indebtedness of the Borrower and/or any Restricted Subsidiary incurred in connection with any Sale and Lease-Back Transaction permitted pursuant to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Incremental Equivalent Debt;</w:t>
      </w:r>
    </w:p>
    <w:p>
      <w:pPr>
        <w:spacing w:after="0" w:line="117" w:lineRule="exact"/>
        <w:rPr>
          <w:sz w:val="20"/>
          <w:szCs w:val="20"/>
          <w:color w:val="auto"/>
        </w:rPr>
      </w:pPr>
    </w:p>
    <w:p>
      <w:pPr>
        <w:ind w:right="60" w:firstLine="436"/>
        <w:spacing w:after="0" w:line="257" w:lineRule="auto"/>
        <w:tabs>
          <w:tab w:leader="none" w:pos="76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Indebtedness (including obligations in respect of letters of credit, bank guarantees, bankers’ acceptances, surety bonds, performance bonds or similar instruments with respect to such Indebtedness) incurred by the Borrower and/or any Restricted Subsidiary in respect of workers compensation claims, unemployment, property, casualty or liability insurance (including premiums related thereto) or self-insurance, other reimbursement-type obligations regarding workers’ compensation claims, other types of social security, pension obligations, vacation pay or health, disability or other employee benefits;</w:t>
      </w:r>
    </w:p>
    <w:p>
      <w:pPr>
        <w:spacing w:after="0" w:line="79" w:lineRule="exact"/>
        <w:rPr>
          <w:rFonts w:ascii="Arial" w:cs="Arial" w:eastAsia="Arial" w:hAnsi="Arial"/>
          <w:sz w:val="18"/>
          <w:szCs w:val="18"/>
          <w:color w:val="auto"/>
        </w:rPr>
      </w:pPr>
    </w:p>
    <w:p>
      <w:pPr>
        <w:ind w:right="120" w:firstLine="436"/>
        <w:spacing w:after="0" w:line="286" w:lineRule="auto"/>
        <w:tabs>
          <w:tab w:leader="none" w:pos="78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Indebtedness representing (i) deferred compensation to current or former directors, officers, employees, members of management, managers and consultants of any Parent Company, the Borrower or any Subsidiary in the ordinary course of business and (ii) deferred compensation or other similar arrangements in connection with the Transactions, any acquisition or any other Investment permitted hereby;</w:t>
      </w:r>
    </w:p>
    <w:p>
      <w:pPr>
        <w:spacing w:after="0" w:line="57" w:lineRule="exact"/>
        <w:rPr>
          <w:rFonts w:ascii="Arial" w:cs="Arial" w:eastAsia="Arial" w:hAnsi="Arial"/>
          <w:sz w:val="17"/>
          <w:szCs w:val="17"/>
          <w:color w:val="auto"/>
        </w:rPr>
      </w:pPr>
    </w:p>
    <w:p>
      <w:pPr>
        <w:ind w:right="40" w:firstLine="436"/>
        <w:spacing w:after="0" w:line="342" w:lineRule="auto"/>
        <w:tabs>
          <w:tab w:leader="none" w:pos="76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Indebtedness of the Borrower and/or any Restricted Subsidiary in respect of any letter of credit or bank guarantee issued in favor of any Issuing Bank or the Swingline Lender to support any Defaulting Lender’s participation in Letters of Credit issued, or Swingline Loans made, hereunder;</w:t>
      </w:r>
    </w:p>
    <w:p>
      <w:pPr>
        <w:spacing w:after="0" w:line="15" w:lineRule="exact"/>
        <w:rPr>
          <w:rFonts w:ascii="Arial" w:cs="Arial" w:eastAsia="Arial" w:hAnsi="Arial"/>
          <w:sz w:val="16"/>
          <w:szCs w:val="16"/>
          <w:color w:val="auto"/>
        </w:rPr>
      </w:pPr>
    </w:p>
    <w:p>
      <w:pPr>
        <w:ind w:right="200" w:firstLine="436"/>
        <w:spacing w:after="0" w:line="277" w:lineRule="auto"/>
        <w:tabs>
          <w:tab w:leader="none" w:pos="78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Indebtedness of the Borrower or any Restricted Subsidiary supported by any Letter of Credit or any other letter of credit, bank guarantee or similar instrument permitted by this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80" w:firstLine="436"/>
        <w:spacing w:after="0" w:line="342" w:lineRule="auto"/>
        <w:tabs>
          <w:tab w:leader="none" w:pos="76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unfunded pension fund and other employee benefit plan obligations and liabilities incurred by the Borrower and/or any Restricted Subsidiary in the ordinary course of business to the extent that the unfunded amounts would not otherwise cause an Event of Default under </w:t>
      </w:r>
      <w:r>
        <w:rPr>
          <w:rFonts w:ascii="Arial" w:cs="Arial" w:eastAsia="Arial" w:hAnsi="Arial"/>
          <w:sz w:val="16"/>
          <w:szCs w:val="16"/>
          <w:u w:val="single" w:color="auto"/>
          <w:color w:val="auto"/>
        </w:rPr>
        <w:t>Section 7.01(i)</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right="140" w:firstLine="436"/>
        <w:spacing w:after="0" w:line="277" w:lineRule="auto"/>
        <w:tabs>
          <w:tab w:leader="none" w:pos="72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customer deposits and advance payments received in the ordinary course of business from customers for goods and services purchased in the ordinary course of business;</w:t>
      </w:r>
    </w:p>
    <w:p>
      <w:pPr>
        <w:spacing w:after="0" w:line="62" w:lineRule="exact"/>
        <w:rPr>
          <w:rFonts w:ascii="Arial" w:cs="Arial" w:eastAsia="Arial" w:hAnsi="Arial"/>
          <w:sz w:val="18"/>
          <w:szCs w:val="18"/>
          <w:color w:val="auto"/>
        </w:rPr>
      </w:pPr>
    </w:p>
    <w:p>
      <w:pPr>
        <w:ind w:right="160" w:firstLine="436"/>
        <w:spacing w:after="0" w:line="263" w:lineRule="auto"/>
        <w:tabs>
          <w:tab w:leader="none" w:pos="78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without duplication of any other Indebtedness, all premiums (if any), interest (including post-petition interest and payment in kind interest), accretion or amortization of original issue discount, fees, expenses and charges with respect to Indebtedness of the Borrower and/or any Restricted Subsidiary hereunder;</w:t>
      </w:r>
    </w:p>
    <w:p>
      <w:pPr>
        <w:spacing w:after="0" w:line="75" w:lineRule="exact"/>
        <w:rPr>
          <w:rFonts w:ascii="Arial" w:cs="Arial" w:eastAsia="Arial" w:hAnsi="Arial"/>
          <w:sz w:val="18"/>
          <w:szCs w:val="18"/>
          <w:color w:val="auto"/>
        </w:rPr>
      </w:pPr>
    </w:p>
    <w:p>
      <w:pPr>
        <w:ind w:firstLine="436"/>
        <w:spacing w:after="0" w:line="263" w:lineRule="auto"/>
        <w:tabs>
          <w:tab w:leader="none" w:pos="78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Indebtedness in respect of Commercial Letters of Credit (and reimbursement obligations with respect thereto) in an aggregate outstanding principal amount not to exceed the greater of $17,500,000 and 20% of Consolidated Adjusted EBITDA as of the last day of the most recently ended Test Period;</w:t>
      </w:r>
    </w:p>
    <w:p>
      <w:pPr>
        <w:spacing w:after="0" w:line="75" w:lineRule="exact"/>
        <w:rPr>
          <w:rFonts w:ascii="Arial" w:cs="Arial" w:eastAsia="Arial" w:hAnsi="Arial"/>
          <w:sz w:val="18"/>
          <w:szCs w:val="18"/>
          <w:color w:val="auto"/>
        </w:rPr>
      </w:pPr>
    </w:p>
    <w:p>
      <w:pPr>
        <w:ind w:right="160" w:firstLine="436"/>
        <w:spacing w:after="0" w:line="277" w:lineRule="auto"/>
        <w:tabs>
          <w:tab w:leader="none" w:pos="70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Indebtedness in respect of any Receivables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principal amount of any Indebtedness permitted by this </w:t>
      </w:r>
      <w:r>
        <w:rPr>
          <w:rFonts w:ascii="Arial" w:cs="Arial" w:eastAsia="Arial" w:hAnsi="Arial"/>
          <w:sz w:val="18"/>
          <w:szCs w:val="18"/>
          <w:u w:val="single" w:color="auto"/>
          <w:color w:val="auto"/>
        </w:rPr>
        <w:t>Section 6.01(ii)</w:t>
      </w:r>
      <w:r>
        <w:rPr>
          <w:rFonts w:ascii="Arial" w:cs="Arial" w:eastAsia="Arial" w:hAnsi="Arial"/>
          <w:sz w:val="18"/>
          <w:szCs w:val="18"/>
          <w:color w:val="auto"/>
        </w:rPr>
        <w:t xml:space="preserve"> shall not exceed $25,000,000;</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Indebtedness owed on a short-term basis to banks and other financial institutions in the ordinary course of business to manage cash balances;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right="40" w:firstLine="436"/>
        <w:spacing w:after="0" w:line="277" w:lineRule="auto"/>
        <w:tabs>
          <w:tab w:leader="none" w:pos="78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Indebtedness in respect of earn-outs, seller notes or similar deferred purchase price obligations incurred in connection with any acquisition or other Investment permitted hereby.</w:t>
      </w:r>
    </w:p>
    <w:p>
      <w:pPr>
        <w:spacing w:after="0" w:line="62"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shall not, nor shall it permit any of its Restricted Subsidiaries to, create, incur, assume or permit or suffer to exist any Lien on or with respect to any property of any kind owned by it, whether now owned or hereafter acquired, or any income or profits therefrom, except: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Liens securing the Secured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00"/>
          </w:cols>
          <w:pgMar w:left="440" w:top="274" w:right="459" w:bottom="1440" w:gutter="0" w:footer="0" w:header="0"/>
        </w:sectPr>
      </w:pPr>
    </w:p>
    <w:bookmarkStart w:id="143" w:name="page144"/>
    <w:bookmarkEnd w:id="143"/>
    <w:p>
      <w:pPr>
        <w:ind w:left="4" w:right="640" w:firstLine="436"/>
        <w:spacing w:after="0" w:line="277" w:lineRule="auto"/>
        <w:tabs>
          <w:tab w:leader="none" w:pos="699" w:val="left"/>
        </w:tabs>
        <w:numPr>
          <w:ilvl w:val="1"/>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for Taxes which (i) are not then due, (ii) if due, are not at such time required to be paid pursuant to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or (iii) are being contested in accordance with </w:t>
      </w:r>
      <w:r>
        <w:rPr>
          <w:rFonts w:ascii="Arial" w:cs="Arial" w:eastAsia="Arial" w:hAnsi="Arial"/>
          <w:sz w:val="18"/>
          <w:szCs w:val="18"/>
          <w:u w:val="single" w:color="auto"/>
          <w:color w:val="auto"/>
        </w:rPr>
        <w:t>Section 5.03</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 w:firstLine="436"/>
        <w:spacing w:after="0" w:line="275" w:lineRule="auto"/>
        <w:tabs>
          <w:tab w:leader="none" w:pos="689" w:val="left"/>
        </w:tabs>
        <w:numPr>
          <w:ilvl w:val="1"/>
          <w:numId w:val="212"/>
        </w:numPr>
        <w:rPr>
          <w:rFonts w:ascii="Arial" w:cs="Arial" w:eastAsia="Arial" w:hAnsi="Arial"/>
          <w:sz w:val="17"/>
          <w:szCs w:val="17"/>
          <w:color w:val="auto"/>
        </w:rPr>
      </w:pPr>
      <w:r>
        <w:rPr>
          <w:rFonts w:ascii="Arial" w:cs="Arial" w:eastAsia="Arial" w:hAnsi="Arial"/>
          <w:sz w:val="17"/>
          <w:szCs w:val="17"/>
          <w:color w:val="auto"/>
        </w:rPr>
        <w:t>statutory Liens (and rights of set-off) of landlords, banks, carriers, warehousemen, mechanics, repairmen, workmen and materialmen, and other Liens imposed by applicable Requirements of Law, in each case incurred in the ordinary course of business (i) for amounts not yet overdue by more than 60 days, (ii) for amounts that are overdue by more than 60 days and that are being contested in good faith by appropriate proceedings, so long as any reserves or other appropriate provisions required by GAAP have been made for any such contested amounts or (iii) for amounts with respect to which the failure to make payment would not reasonably be expected to have a Material Adverse Effect;</w:t>
      </w:r>
    </w:p>
    <w:p>
      <w:pPr>
        <w:spacing w:after="0" w:line="68" w:lineRule="exact"/>
        <w:rPr>
          <w:rFonts w:ascii="Arial" w:cs="Arial" w:eastAsia="Arial" w:hAnsi="Arial"/>
          <w:sz w:val="17"/>
          <w:szCs w:val="17"/>
          <w:color w:val="auto"/>
        </w:rPr>
      </w:pPr>
    </w:p>
    <w:p>
      <w:pPr>
        <w:ind w:left="4" w:right="80" w:firstLine="436"/>
        <w:spacing w:after="0" w:line="284" w:lineRule="auto"/>
        <w:tabs>
          <w:tab w:leader="none" w:pos="699" w:val="left"/>
        </w:tabs>
        <w:numPr>
          <w:ilvl w:val="1"/>
          <w:numId w:val="212"/>
        </w:numPr>
        <w:rPr>
          <w:rFonts w:ascii="Arial" w:cs="Arial" w:eastAsia="Arial" w:hAnsi="Arial"/>
          <w:sz w:val="16"/>
          <w:szCs w:val="16"/>
          <w:color w:val="auto"/>
        </w:rPr>
      </w:pPr>
      <w:r>
        <w:rPr>
          <w:rFonts w:ascii="Arial" w:cs="Arial" w:eastAsia="Arial" w:hAnsi="Arial"/>
          <w:sz w:val="16"/>
          <w:szCs w:val="16"/>
          <w:color w:val="auto"/>
        </w:rPr>
        <w:t>Liens granted or arising (i) in the ordinary course of business in connection with workers’ compensation, unemployment insurance and other types of social security laws and regulations, (ii) in the ordinary course of business to secure the performance of tenders, statutory obligations, surety, stay, customs and appeal bonds, bids, leases, government contracts, trade contracts, performance and return-of-money bonds and other similar obligations (exclusive of obligations for the payment of borrowed money), (iii) pursuant to pledges and deposits of Cash or Cash Equivalents in the ordinary course of business securing (A) any liability for reimbursement or indemnification obligations of insurance carriers providing property, casualty, liability or other insurance to the Borrower and its subsidiaries or (B) leases or licenses of property otherwise permitted by this Agreement and</w:t>
      </w:r>
    </w:p>
    <w:p>
      <w:pPr>
        <w:spacing w:after="0" w:line="4" w:lineRule="exact"/>
        <w:rPr>
          <w:rFonts w:ascii="Arial" w:cs="Arial" w:eastAsia="Arial" w:hAnsi="Arial"/>
          <w:sz w:val="16"/>
          <w:szCs w:val="16"/>
          <w:color w:val="auto"/>
        </w:rPr>
      </w:pPr>
    </w:p>
    <w:p>
      <w:pPr>
        <w:ind w:left="4" w:right="220" w:hanging="4"/>
        <w:spacing w:after="0" w:line="260" w:lineRule="auto"/>
        <w:tabs>
          <w:tab w:leader="none" w:pos="309"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to secure obligations in respect of letters of credit, bank guaranties, surety bonds, performance bonds or similar instruments posted with respect to the items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w:t>
      </w:r>
    </w:p>
    <w:p>
      <w:pPr>
        <w:spacing w:after="0" w:line="77" w:lineRule="exact"/>
        <w:rPr>
          <w:rFonts w:ascii="Arial" w:cs="Arial" w:eastAsia="Arial" w:hAnsi="Arial"/>
          <w:sz w:val="18"/>
          <w:szCs w:val="18"/>
          <w:color w:val="auto"/>
        </w:rPr>
      </w:pPr>
    </w:p>
    <w:p>
      <w:pPr>
        <w:ind w:left="4" w:right="20" w:firstLine="436"/>
        <w:spacing w:after="0" w:line="257" w:lineRule="auto"/>
        <w:tabs>
          <w:tab w:leader="none" w:pos="689" w:val="left"/>
        </w:tabs>
        <w:numPr>
          <w:ilvl w:val="1"/>
          <w:numId w:val="213"/>
        </w:numPr>
        <w:rPr>
          <w:rFonts w:ascii="Arial" w:cs="Arial" w:eastAsia="Arial" w:hAnsi="Arial"/>
          <w:sz w:val="18"/>
          <w:szCs w:val="18"/>
          <w:color w:val="auto"/>
        </w:rPr>
      </w:pPr>
      <w:r>
        <w:rPr>
          <w:rFonts w:ascii="Arial" w:cs="Arial" w:eastAsia="Arial" w:hAnsi="Arial"/>
          <w:sz w:val="18"/>
          <w:szCs w:val="18"/>
          <w:color w:val="auto"/>
        </w:rPr>
        <w:t>Liens consisting of survey exceptions, easements, rights-of-way, restrictions, encroachments, servitudes for railways, sewers, drains, gas and oil and other pipelines, gas and water mains, electric light and power and telecommunication, telephone or telegraph or cable television conduits, poles, wires and cables, covenants, conditions, declarations, encroachments, zoning restrictions and other defects or irregularities in title or environmental deed restrictions, in each case, which do not, in the aggregate, materially interfere with the ordinary conduct of the business of the Borrower and/or its Restricted Subsidiaries, taken as a whole;</w:t>
      </w:r>
    </w:p>
    <w:p>
      <w:pPr>
        <w:spacing w:after="0" w:line="79" w:lineRule="exact"/>
        <w:rPr>
          <w:rFonts w:ascii="Arial" w:cs="Arial" w:eastAsia="Arial" w:hAnsi="Arial"/>
          <w:sz w:val="18"/>
          <w:szCs w:val="18"/>
          <w:color w:val="auto"/>
        </w:rPr>
      </w:pPr>
    </w:p>
    <w:p>
      <w:pPr>
        <w:ind w:left="4" w:right="740" w:firstLine="436"/>
        <w:spacing w:after="0" w:line="291" w:lineRule="auto"/>
        <w:tabs>
          <w:tab w:leader="none" w:pos="669" w:val="left"/>
        </w:tabs>
        <w:numPr>
          <w:ilvl w:val="1"/>
          <w:numId w:val="213"/>
        </w:numPr>
        <w:rPr>
          <w:rFonts w:ascii="Arial" w:cs="Arial" w:eastAsia="Arial" w:hAnsi="Arial"/>
          <w:sz w:val="16"/>
          <w:szCs w:val="16"/>
          <w:color w:val="auto"/>
        </w:rPr>
      </w:pPr>
      <w:r>
        <w:rPr>
          <w:rFonts w:ascii="Arial" w:cs="Arial" w:eastAsia="Arial" w:hAnsi="Arial"/>
          <w:sz w:val="16"/>
          <w:szCs w:val="16"/>
          <w:color w:val="auto"/>
        </w:rPr>
        <w:t>Liens consisting of any (i) interest or title of a lessor or sub-lessor under any lease of real estate permitted hereunder, (ii) landlord lien permitted by the terms of any lease, (iii) restriction or encumbrance to which the interest or title of such lessor or sub-lessor may be subject or</w:t>
      </w:r>
    </w:p>
    <w:p>
      <w:pPr>
        <w:ind w:left="304" w:hanging="304"/>
        <w:spacing w:after="0"/>
        <w:tabs>
          <w:tab w:leader="none" w:pos="304"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subordination of the interest of the lessee or sub-lessee under such lease to any restriction or encumbrance referred to in the preceding </w:t>
      </w:r>
      <w:r>
        <w:rPr>
          <w:rFonts w:ascii="Arial" w:cs="Arial" w:eastAsia="Arial" w:hAnsi="Arial"/>
          <w:sz w:val="16"/>
          <w:szCs w:val="16"/>
          <w:u w:val="single" w:color="auto"/>
          <w:color w:val="auto"/>
        </w:rPr>
        <w:t>clause (iii)</w:t>
      </w:r>
      <w:r>
        <w:rPr>
          <w:rFonts w:ascii="Arial" w:cs="Arial" w:eastAsia="Arial" w:hAnsi="Arial"/>
          <w:sz w:val="16"/>
          <w:szCs w:val="16"/>
          <w:color w:val="auto"/>
        </w:rPr>
        <w:t>;</w:t>
      </w:r>
    </w:p>
    <w:p>
      <w:pPr>
        <w:spacing w:after="0" w:line="125" w:lineRule="exact"/>
        <w:rPr>
          <w:rFonts w:ascii="Arial" w:cs="Arial" w:eastAsia="Arial" w:hAnsi="Arial"/>
          <w:sz w:val="16"/>
          <w:szCs w:val="16"/>
          <w:color w:val="auto"/>
        </w:rPr>
      </w:pPr>
    </w:p>
    <w:p>
      <w:pPr>
        <w:jc w:val="both"/>
        <w:ind w:left="4" w:right="180" w:firstLine="436"/>
        <w:spacing w:after="0" w:line="291" w:lineRule="auto"/>
        <w:tabs>
          <w:tab w:leader="none" w:pos="699" w:val="left"/>
        </w:tabs>
        <w:numPr>
          <w:ilvl w:val="1"/>
          <w:numId w:val="214"/>
        </w:numPr>
        <w:rPr>
          <w:rFonts w:ascii="Arial" w:cs="Arial" w:eastAsia="Arial" w:hAnsi="Arial"/>
          <w:sz w:val="16"/>
          <w:szCs w:val="16"/>
          <w:color w:val="auto"/>
        </w:rPr>
      </w:pPr>
      <w:r>
        <w:rPr>
          <w:rFonts w:ascii="Arial" w:cs="Arial" w:eastAsia="Arial" w:hAnsi="Arial"/>
          <w:sz w:val="16"/>
          <w:szCs w:val="16"/>
          <w:color w:val="auto"/>
        </w:rPr>
        <w:t>Liens (i) solely on any Cash earnest money deposits and/or arising in connection with any escrow arrangement made by the Borrower and/or any of its Restricted Subsidiaries in connection with any letter of intent or purchase agreement with respect to any Investment permitted hereunder and</w:t>
      </w:r>
    </w:p>
    <w:p>
      <w:pPr>
        <w:ind w:left="4" w:right="140" w:hanging="4"/>
        <w:spacing w:after="0" w:line="260" w:lineRule="auto"/>
        <w:tabs>
          <w:tab w:leader="none" w:pos="26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consisting of (A) an agreement to Dispose of any property in a Disposition permitted under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and/or (B) the pledge of Cash as part of an escrow arrangement required in any Disposition permitted under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4" w:right="20" w:firstLine="436"/>
        <w:spacing w:after="0" w:line="259" w:lineRule="auto"/>
        <w:tabs>
          <w:tab w:leader="none" w:pos="699"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 purported Liens evidenced by the filing of UCC financing statements or similar financing statements under applicable Requirements of Law relating solely to operating leases or consignment or bailee arrangements entered into in the ordinary course of business, (ii) Liens arising from precautionary UCC financing statements or similar filings and (iii) any Lien relating to the sale of accounts receivable for which a UCC financing statement or similar financing statement is required;</w:t>
      </w:r>
    </w:p>
    <w:p>
      <w:pPr>
        <w:spacing w:after="0" w:line="78" w:lineRule="exact"/>
        <w:rPr>
          <w:rFonts w:ascii="Arial" w:cs="Arial" w:eastAsia="Arial" w:hAnsi="Arial"/>
          <w:sz w:val="18"/>
          <w:szCs w:val="18"/>
          <w:color w:val="auto"/>
        </w:rPr>
      </w:pPr>
    </w:p>
    <w:p>
      <w:pPr>
        <w:ind w:left="4" w:right="640" w:firstLine="436"/>
        <w:spacing w:after="0" w:line="277" w:lineRule="auto"/>
        <w:tabs>
          <w:tab w:leader="none" w:pos="659" w:val="left"/>
        </w:tabs>
        <w:numPr>
          <w:ilvl w:val="1"/>
          <w:numId w:val="215"/>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24"/>
          </w:cols>
          <w:pgMar w:left="436" w:top="274" w:right="439" w:bottom="1440" w:gutter="0" w:footer="0" w:header="0"/>
        </w:sectPr>
      </w:pPr>
    </w:p>
    <w:bookmarkStart w:id="144" w:name="page145"/>
    <w:bookmarkEnd w:id="144"/>
    <w:p>
      <w:pPr>
        <w:ind w:right="200" w:firstLine="436"/>
        <w:spacing w:after="0" w:line="263" w:lineRule="auto"/>
        <w:tabs>
          <w:tab w:leader="none" w:pos="655" w:val="left"/>
        </w:tabs>
        <w:numPr>
          <w:ilvl w:val="0"/>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in connection with any zoning, building, environmental or similar Requirements of Law or right reserved to or vested in any Governmental Authority to control or regulate the use or dimensions of any real property or the structures thereon, including Liens in connection with any condemnation or eminent domain proceeding or compulsory purchase order;</w:t>
      </w:r>
    </w:p>
    <w:p>
      <w:pPr>
        <w:spacing w:after="0" w:line="75" w:lineRule="exact"/>
        <w:rPr>
          <w:rFonts w:ascii="Arial" w:cs="Arial" w:eastAsia="Arial" w:hAnsi="Arial"/>
          <w:sz w:val="18"/>
          <w:szCs w:val="18"/>
          <w:color w:val="auto"/>
        </w:rPr>
      </w:pPr>
    </w:p>
    <w:p>
      <w:pPr>
        <w:ind w:firstLine="436"/>
        <w:spacing w:after="0" w:line="291" w:lineRule="auto"/>
        <w:tabs>
          <w:tab w:leader="none" w:pos="69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pursuant to </w:t>
      </w:r>
      <w:r>
        <w:rPr>
          <w:rFonts w:ascii="Arial" w:cs="Arial" w:eastAsia="Arial" w:hAnsi="Arial"/>
          <w:sz w:val="16"/>
          <w:szCs w:val="16"/>
          <w:u w:val="single" w:color="auto"/>
          <w:color w:val="auto"/>
        </w:rPr>
        <w:t>Section 6.01(p)</w:t>
      </w:r>
      <w:r>
        <w:rPr>
          <w:rFonts w:ascii="Arial" w:cs="Arial" w:eastAsia="Arial" w:hAnsi="Arial"/>
          <w:sz w:val="16"/>
          <w:szCs w:val="16"/>
          <w:color w:val="auto"/>
        </w:rPr>
        <w:t xml:space="preserve"> (solely with respect to the permitted refinancing of (1) secured Indebtedness permitted pursuant to </w:t>
      </w:r>
      <w:r>
        <w:rPr>
          <w:rFonts w:ascii="Arial" w:cs="Arial" w:eastAsia="Arial" w:hAnsi="Arial"/>
          <w:sz w:val="16"/>
          <w:szCs w:val="16"/>
          <w:u w:val="single" w:color="auto"/>
          <w:color w:val="auto"/>
        </w:rPr>
        <w:t>Sections 6.01(a)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(j)</w:t>
      </w:r>
      <w:r>
        <w:rPr>
          <w:rFonts w:ascii="Arial" w:cs="Arial" w:eastAsia="Arial" w:hAnsi="Arial"/>
          <w:sz w:val="16"/>
          <w:szCs w:val="16"/>
          <w:color w:val="auto"/>
        </w:rPr>
        <w:t xml:space="preserve">, </w:t>
      </w:r>
      <w:r>
        <w:rPr>
          <w:rFonts w:ascii="Arial" w:cs="Arial" w:eastAsia="Arial" w:hAnsi="Arial"/>
          <w:sz w:val="16"/>
          <w:szCs w:val="16"/>
          <w:u w:val="single" w:color="auto"/>
          <w:color w:val="auto"/>
        </w:rPr>
        <w:t>(m)</w:t>
      </w:r>
      <w:r>
        <w:rPr>
          <w:rFonts w:ascii="Arial" w:cs="Arial" w:eastAsia="Arial" w:hAnsi="Arial"/>
          <w:sz w:val="16"/>
          <w:szCs w:val="16"/>
          <w:color w:val="auto"/>
        </w:rPr>
        <w:t xml:space="preserve">, </w:t>
      </w:r>
      <w:r>
        <w:rPr>
          <w:rFonts w:ascii="Arial" w:cs="Arial" w:eastAsia="Arial" w:hAnsi="Arial"/>
          <w:sz w:val="16"/>
          <w:szCs w:val="16"/>
          <w:u w:val="single" w:color="auto"/>
          <w:color w:val="auto"/>
        </w:rPr>
        <w:t>(n)</w:t>
      </w:r>
      <w:r>
        <w:rPr>
          <w:rFonts w:ascii="Arial" w:cs="Arial" w:eastAsia="Arial" w:hAnsi="Arial"/>
          <w:sz w:val="16"/>
          <w:szCs w:val="16"/>
          <w:color w:val="auto"/>
        </w:rPr>
        <w:t xml:space="preserve">, </w:t>
      </w:r>
      <w:r>
        <w:rPr>
          <w:rFonts w:ascii="Arial" w:cs="Arial" w:eastAsia="Arial" w:hAnsi="Arial"/>
          <w:sz w:val="16"/>
          <w:szCs w:val="16"/>
          <w:u w:val="single" w:color="auto"/>
          <w:color w:val="auto"/>
        </w:rPr>
        <w:t>(u)</w:t>
      </w:r>
      <w:r>
        <w:rPr>
          <w:rFonts w:ascii="Arial" w:cs="Arial" w:eastAsia="Arial" w:hAnsi="Arial"/>
          <w:sz w:val="16"/>
          <w:szCs w:val="16"/>
          <w:color w:val="auto"/>
        </w:rPr>
        <w:t xml:space="preserve">, </w:t>
      </w:r>
      <w:r>
        <w:rPr>
          <w:rFonts w:ascii="Arial" w:cs="Arial" w:eastAsia="Arial" w:hAnsi="Arial"/>
          <w:sz w:val="16"/>
          <w:szCs w:val="16"/>
          <w:u w:val="single" w:color="auto"/>
          <w:color w:val="auto"/>
        </w:rPr>
        <w:t>(w)</w:t>
      </w:r>
      <w:r>
        <w:rPr>
          <w:rFonts w:ascii="Arial" w:cs="Arial" w:eastAsia="Arial" w:hAnsi="Arial"/>
          <w:sz w:val="16"/>
          <w:szCs w:val="16"/>
          <w:color w:val="auto"/>
        </w:rPr>
        <w:t xml:space="preserve">, </w:t>
      </w:r>
      <w:r>
        <w:rPr>
          <w:rFonts w:ascii="Arial" w:cs="Arial" w:eastAsia="Arial" w:hAnsi="Arial"/>
          <w:sz w:val="16"/>
          <w:szCs w:val="16"/>
          <w:u w:val="single" w:color="auto"/>
          <w:color w:val="auto"/>
        </w:rPr>
        <w:t>(y)</w:t>
      </w:r>
      <w:r>
        <w:rPr>
          <w:rFonts w:ascii="Arial" w:cs="Arial" w:eastAsia="Arial" w:hAnsi="Arial"/>
          <w:sz w:val="16"/>
          <w:szCs w:val="16"/>
          <w:color w:val="auto"/>
        </w:rPr>
        <w:t xml:space="preserve">, </w:t>
      </w:r>
      <w:r>
        <w:rPr>
          <w:rFonts w:ascii="Arial" w:cs="Arial" w:eastAsia="Arial" w:hAnsi="Arial"/>
          <w:sz w:val="16"/>
          <w:szCs w:val="16"/>
          <w:u w:val="single" w:color="auto"/>
          <w:color w:val="auto"/>
        </w:rPr>
        <w:t>(z)</w:t>
      </w:r>
      <w:r>
        <w:rPr>
          <w:rFonts w:ascii="Arial" w:cs="Arial" w:eastAsia="Arial" w:hAnsi="Arial"/>
          <w:sz w:val="16"/>
          <w:szCs w:val="16"/>
          <w:color w:val="auto"/>
        </w:rPr>
        <w:t xml:space="preserve">, </w:t>
      </w:r>
      <w:r>
        <w:rPr>
          <w:rFonts w:ascii="Arial" w:cs="Arial" w:eastAsia="Arial" w:hAnsi="Arial"/>
          <w:sz w:val="16"/>
          <w:szCs w:val="16"/>
          <w:u w:val="single" w:color="auto"/>
          <w:color w:val="auto"/>
        </w:rPr>
        <w:t>(gg)</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(2) Indebtedness that is secured in reliance on</w:t>
      </w:r>
    </w:p>
    <w:p>
      <w:pPr>
        <w:spacing w:after="0" w:line="285" w:lineRule="auto"/>
        <w:rPr>
          <w:rFonts w:ascii="Arial" w:cs="Arial" w:eastAsia="Arial" w:hAnsi="Arial"/>
          <w:sz w:val="16"/>
          <w:szCs w:val="16"/>
          <w:color w:val="auto"/>
        </w:rPr>
      </w:pPr>
      <w:r>
        <w:rPr>
          <w:rFonts w:ascii="Arial" w:cs="Arial" w:eastAsia="Arial" w:hAnsi="Arial"/>
          <w:sz w:val="16"/>
          <w:szCs w:val="16"/>
          <w:u w:val="single" w:color="auto"/>
          <w:color w:val="auto"/>
        </w:rPr>
        <w:t>Section 6.02(u)</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granting of the relevant Lien shall be without duplication of any Lien outstanding under </w:t>
      </w:r>
      <w:r>
        <w:rPr>
          <w:rFonts w:ascii="Arial" w:cs="Arial" w:eastAsia="Arial" w:hAnsi="Arial"/>
          <w:sz w:val="16"/>
          <w:szCs w:val="16"/>
          <w:u w:val="single" w:color="auto"/>
          <w:color w:val="auto"/>
        </w:rPr>
        <w:t>Section 6.02(u)</w:t>
      </w:r>
      <w:r>
        <w:rPr>
          <w:rFonts w:ascii="Arial" w:cs="Arial" w:eastAsia="Arial" w:hAnsi="Arial"/>
          <w:sz w:val="16"/>
          <w:szCs w:val="16"/>
          <w:color w:val="auto"/>
        </w:rPr>
        <w:t xml:space="preserve"> such that the amount available under </w:t>
      </w:r>
      <w:r>
        <w:rPr>
          <w:rFonts w:ascii="Arial" w:cs="Arial" w:eastAsia="Arial" w:hAnsi="Arial"/>
          <w:sz w:val="16"/>
          <w:szCs w:val="16"/>
          <w:u w:val="single" w:color="auto"/>
          <w:color w:val="auto"/>
        </w:rPr>
        <w:t>Section 6.02(u)</w:t>
      </w:r>
      <w:r>
        <w:rPr>
          <w:rFonts w:ascii="Arial" w:cs="Arial" w:eastAsia="Arial" w:hAnsi="Arial"/>
          <w:sz w:val="16"/>
          <w:szCs w:val="16"/>
          <w:color w:val="auto"/>
        </w:rPr>
        <w:t xml:space="preserve"> shall be reduced by the amount secured by the applicable Lien granted in reliance on this </w:t>
      </w:r>
      <w:r>
        <w:rPr>
          <w:rFonts w:ascii="Arial" w:cs="Arial" w:eastAsia="Arial" w:hAnsi="Arial"/>
          <w:sz w:val="16"/>
          <w:szCs w:val="16"/>
          <w:u w:val="single" w:color="auto"/>
          <w:color w:val="auto"/>
        </w:rPr>
        <w:t>clause (2)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such Lien extends to any asset not covered by the Lien securing (or permitted to secure) the Indebtedness that is being refinanced (it being understood that individual financings of the type permitted under </w:t>
      </w:r>
      <w:r>
        <w:rPr>
          <w:rFonts w:ascii="Arial" w:cs="Arial" w:eastAsia="Arial" w:hAnsi="Arial"/>
          <w:sz w:val="16"/>
          <w:szCs w:val="16"/>
          <w:u w:val="single" w:color="auto"/>
          <w:color w:val="auto"/>
        </w:rPr>
        <w:t>Section 6.01(m)</w:t>
      </w:r>
      <w:r>
        <w:rPr>
          <w:rFonts w:ascii="Arial" w:cs="Arial" w:eastAsia="Arial" w:hAnsi="Arial"/>
          <w:sz w:val="16"/>
          <w:szCs w:val="16"/>
          <w:color w:val="auto"/>
        </w:rPr>
        <w:t xml:space="preserve"> provided by any lender may be cross-collateralized to other financings of such type provided by such lender or its affiliates), (ii) if the Lien securing the Indebtedness being refinanced was subject to intercreditor arrangements, then (A) the Lien securing any refinancing Indebtedness in respect thereof shall be subject to intercreditor arrangements that are not materially less favorable to the Secured Parties, taken as a whole, than the intercreditor arrangements governing the Lien securing the Indebtedness that is refinanced or (B) the intercreditor arrangements governing the Lien securing the relevant refinancing Indebtedness shall be set forth in an Intercreditor Agreement, (iii) except as permitted by another provision of this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no such Lien shall be senior in priority as compared to the Lien securing the Indebtedness being refinanced and (iv) subject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above, any such Lien may be subject to an Intercreditor Agreement to the extent the Lien securing the Indebtedness being refinanced was permitted to be subject to an Intercreditor Agreement;</w:t>
      </w:r>
    </w:p>
    <w:p>
      <w:pPr>
        <w:spacing w:after="0" w:line="66" w:lineRule="exact"/>
        <w:rPr>
          <w:rFonts w:ascii="Arial" w:cs="Arial" w:eastAsia="Arial" w:hAnsi="Arial"/>
          <w:sz w:val="16"/>
          <w:szCs w:val="16"/>
          <w:color w:val="auto"/>
        </w:rPr>
      </w:pPr>
    </w:p>
    <w:p>
      <w:pPr>
        <w:ind w:right="40" w:firstLine="436"/>
        <w:spacing w:after="0" w:line="293" w:lineRule="auto"/>
        <w:tabs>
          <w:tab w:leader="none" w:pos="65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Liens in existence on the Closing Date and any modification, replacement, refinancing, renewal or extension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such Lien extends to any additional property other than (A) after-acquired property that is affixed or incorporated into the property covered by such Lien or financed by Indebtedness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(B) proceeds and products thereof, replacements thereof, accessions or additions thereto and improvements thereon (it being understood that individual financings of the type permitted under </w:t>
      </w:r>
      <w:r>
        <w:rPr>
          <w:rFonts w:ascii="Arial" w:cs="Arial" w:eastAsia="Arial" w:hAnsi="Arial"/>
          <w:sz w:val="16"/>
          <w:szCs w:val="16"/>
          <w:u w:val="single" w:color="auto"/>
          <w:color w:val="auto"/>
        </w:rPr>
        <w:t>Section 6.01(m)</w:t>
      </w:r>
      <w:r>
        <w:rPr>
          <w:rFonts w:ascii="Arial" w:cs="Arial" w:eastAsia="Arial" w:hAnsi="Arial"/>
          <w:sz w:val="16"/>
          <w:szCs w:val="16"/>
          <w:color w:val="auto"/>
        </w:rPr>
        <w:t xml:space="preserve"> provided by any lender may be cross-collateralized to other financings of such type provided by such lender or its affiliates) and (ii) any such modification, replacement, refinancing, renewal or extension of the obligations secured or benefited by such Liens, if constituting Indebtedness, is permitted by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740" w:hanging="304"/>
        <w:spacing w:after="0"/>
        <w:tabs>
          <w:tab w:leader="none" w:pos="7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Liens arising out of Sale and Lease-Back Transactions permitted under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436"/>
        <w:spacing w:after="0" w:line="259" w:lineRule="auto"/>
        <w:tabs>
          <w:tab w:leader="none" w:pos="69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pursuant to </w:t>
      </w:r>
      <w:r>
        <w:rPr>
          <w:rFonts w:ascii="Arial" w:cs="Arial" w:eastAsia="Arial" w:hAnsi="Arial"/>
          <w:sz w:val="18"/>
          <w:szCs w:val="18"/>
          <w:u w:val="single" w:color="auto"/>
          <w:color w:val="auto"/>
        </w:rPr>
        <w:t>Section 6.01(m)</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Lien shall encumber only the asset acquired with the proceeds of such Indebtedness and proceeds and products thereof, replacements, accessions or additions thereto and improvements thereon (it being understood that individual financings of the type permitted under </w:t>
      </w:r>
      <w:r>
        <w:rPr>
          <w:rFonts w:ascii="Arial" w:cs="Arial" w:eastAsia="Arial" w:hAnsi="Arial"/>
          <w:sz w:val="18"/>
          <w:szCs w:val="18"/>
          <w:u w:val="single" w:color="auto"/>
          <w:color w:val="auto"/>
        </w:rPr>
        <w:t>Section 6.01(m)</w:t>
      </w:r>
      <w:r>
        <w:rPr>
          <w:rFonts w:ascii="Arial" w:cs="Arial" w:eastAsia="Arial" w:hAnsi="Arial"/>
          <w:sz w:val="18"/>
          <w:szCs w:val="18"/>
          <w:color w:val="auto"/>
        </w:rPr>
        <w:t xml:space="preserve"> provided by any lender may be cross-collateralized to other financings of such type provided by such lender or its affiliates);</w:t>
      </w:r>
    </w:p>
    <w:p>
      <w:pPr>
        <w:spacing w:after="0" w:line="78" w:lineRule="exact"/>
        <w:rPr>
          <w:rFonts w:ascii="Arial" w:cs="Arial" w:eastAsia="Arial" w:hAnsi="Arial"/>
          <w:sz w:val="18"/>
          <w:szCs w:val="18"/>
          <w:color w:val="auto"/>
        </w:rPr>
      </w:pPr>
    </w:p>
    <w:p>
      <w:pPr>
        <w:ind w:right="60" w:firstLine="436"/>
        <w:spacing w:after="0" w:line="272" w:lineRule="auto"/>
        <w:tabs>
          <w:tab w:leader="none" w:pos="695"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pursuant to </w:t>
      </w:r>
      <w:r>
        <w:rPr>
          <w:rFonts w:ascii="Arial" w:cs="Arial" w:eastAsia="Arial" w:hAnsi="Arial"/>
          <w:sz w:val="17"/>
          <w:szCs w:val="17"/>
          <w:u w:val="single" w:color="auto"/>
          <w:color w:val="auto"/>
        </w:rPr>
        <w:t>Section 6.01(n)</w:t>
      </w:r>
      <w:r>
        <w:rPr>
          <w:rFonts w:ascii="Arial" w:cs="Arial" w:eastAsia="Arial" w:hAnsi="Arial"/>
          <w:sz w:val="17"/>
          <w:szCs w:val="17"/>
          <w:color w:val="auto"/>
        </w:rPr>
        <w:t xml:space="preserve"> on the relevant acquired assets or on the Capital Stock and assets of the relevant newly acquired Restricted Subsidiary and/or any future subsidiary of such Restricted Subsidiary (including, for the avoidance of doubt, any after-acquired property of any such newly acquired subsidiary and/or any such subsidiary of such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Lien (i) extends to or covers any other assets (other than the proceeds or products thereof, replacements thereof, accessions or additions thereto and improvements thereon) (it being understood that (A) individual financings of the type permitted under </w:t>
      </w:r>
      <w:r>
        <w:rPr>
          <w:rFonts w:ascii="Arial" w:cs="Arial" w:eastAsia="Arial" w:hAnsi="Arial"/>
          <w:sz w:val="17"/>
          <w:szCs w:val="17"/>
          <w:u w:val="single" w:color="auto"/>
          <w:color w:val="auto"/>
        </w:rPr>
        <w:t>Section 6.01(m)</w:t>
      </w:r>
      <w:r>
        <w:rPr>
          <w:rFonts w:ascii="Arial" w:cs="Arial" w:eastAsia="Arial" w:hAnsi="Arial"/>
          <w:sz w:val="17"/>
          <w:szCs w:val="17"/>
          <w:color w:val="auto"/>
        </w:rPr>
        <w:t xml:space="preserve"> provided by any lender may be cross collateralized to other financings of such type provided by such lender or its affiliates and (B) any such Lien may extend to after-acquired property of any such Person) or (ii) was created in contemplation of the applicable acquisition of assets or Capital Stock;</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00"/>
          </w:cols>
          <w:pgMar w:left="440" w:top="274" w:right="459" w:bottom="1440" w:gutter="0" w:footer="0" w:header="0"/>
        </w:sectPr>
      </w:pPr>
    </w:p>
    <w:bookmarkStart w:id="145" w:name="page146"/>
    <w:bookmarkEnd w:id="145"/>
    <w:p>
      <w:pPr>
        <w:ind w:right="20" w:firstLine="436"/>
        <w:spacing w:after="0" w:line="269" w:lineRule="auto"/>
        <w:tabs>
          <w:tab w:leader="none" w:pos="695" w:val="left"/>
        </w:tabs>
        <w:numPr>
          <w:ilvl w:val="0"/>
          <w:numId w:val="2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Liens that are contractual rights of setoff or netting relating to (A) the establishment of depositary relations with banks not granted in connection with the issuance of Indebtedness, (B) pooled deposit or sweep accounts of the Borrower or any Restricted Subsidiary to permit satisfaction of overdraft or similar obligations incurred in the ordinary course of business of the Borrower or any Restricted Subsidiary, (C) purchase orders and other agreements entered into with customers of the Borrower or any Restricted Subsidiary in the ordinary course of business and (D) commodity trading or other brokerage accounts incurred in the ordinary course of business, (ii) Liens encumbering reasonable customary initial deposits and margin deposits, (iii) bankers Liens and rights and remedies as to Deposit Accounts, (iv) Liens of a collection bank arising under Section 4-208 of the UCC on items in the ordinary course of business, (v) Liens in favor of banking or other financial institutions arising as a matter of Law or under customary general terms and conditions encumbering deposits or other funds maintained with a financial institution and that are within the general parameters customary in the banking industry or arising pursuant to such banking institution’s general terms and conditions, (vi) Liens on the proceeds of any Indebtedness incurred in connection with any transaction permitted hereunder, which proceeds have been deposited into an escrow account on customary terms to secure such Indebtedness pending the application of such proceeds to finance such transaction and (vii) any general banking Lien over any bank account arising in the ordinary course of business;</w:t>
      </w:r>
    </w:p>
    <w:p>
      <w:pPr>
        <w:spacing w:after="0" w:line="70" w:lineRule="exact"/>
        <w:rPr>
          <w:rFonts w:ascii="Arial" w:cs="Arial" w:eastAsia="Arial" w:hAnsi="Arial"/>
          <w:sz w:val="17"/>
          <w:szCs w:val="17"/>
          <w:color w:val="auto"/>
        </w:rPr>
      </w:pPr>
    </w:p>
    <w:p>
      <w:pPr>
        <w:ind w:right="240" w:firstLine="436"/>
        <w:spacing w:after="0" w:line="308" w:lineRule="auto"/>
        <w:tabs>
          <w:tab w:leader="none" w:pos="695"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Liens on assets owned by, and/or Capital Stock of, Restricted Subsidiaries that are not Loan Parties (including Capital Stock owned by such Persons) securing Indebtedness of Restricted Subsidiaries that are not Loan Parties permitted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right="360" w:firstLine="436"/>
        <w:spacing w:after="0" w:line="308" w:lineRule="auto"/>
        <w:tabs>
          <w:tab w:leader="none" w:pos="665" w:val="left"/>
        </w:tabs>
        <w:numPr>
          <w:ilvl w:val="0"/>
          <w:numId w:val="217"/>
        </w:numPr>
        <w:rPr>
          <w:rFonts w:ascii="Arial" w:cs="Arial" w:eastAsia="Arial" w:hAnsi="Arial"/>
          <w:sz w:val="17"/>
          <w:szCs w:val="17"/>
          <w:color w:val="auto"/>
        </w:rPr>
      </w:pPr>
      <w:r>
        <w:rPr>
          <w:rFonts w:ascii="Arial" w:cs="Arial" w:eastAsia="Arial" w:hAnsi="Arial"/>
          <w:sz w:val="17"/>
          <w:szCs w:val="17"/>
          <w:color w:val="auto"/>
        </w:rPr>
        <w:t>Liens securing obligations (other than obligations representing Indebtedness for borrowed money) under operating, reciprocal easement or similar agreements entered into in the ordinary course of business of the Borrower and/or its Restricted Subsidiaries;</w:t>
      </w:r>
    </w:p>
    <w:p>
      <w:pPr>
        <w:spacing w:after="0" w:line="38" w:lineRule="exact"/>
        <w:rPr>
          <w:rFonts w:ascii="Arial" w:cs="Arial" w:eastAsia="Arial" w:hAnsi="Arial"/>
          <w:sz w:val="17"/>
          <w:szCs w:val="17"/>
          <w:color w:val="auto"/>
        </w:rPr>
      </w:pPr>
    </w:p>
    <w:p>
      <w:pPr>
        <w:jc w:val="both"/>
        <w:ind w:right="160" w:firstLine="436"/>
        <w:spacing w:after="0" w:line="259" w:lineRule="auto"/>
        <w:tabs>
          <w:tab w:leader="none" w:pos="67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Liens securing Indebtedness incurred in reliance on, and subject to the provisions set forth in, </w:t>
      </w:r>
      <w:r>
        <w:rPr>
          <w:rFonts w:ascii="Arial" w:cs="Arial" w:eastAsia="Arial" w:hAnsi="Arial"/>
          <w:sz w:val="18"/>
          <w:szCs w:val="18"/>
          <w:u w:val="single" w:color="auto"/>
          <w:color w:val="auto"/>
        </w:rPr>
        <w:t>Sections 6.01(w)</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(z)</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Lien that is granted on the Collateral in reliance on this </w:t>
      </w:r>
      <w:r>
        <w:rPr>
          <w:rFonts w:ascii="Arial" w:cs="Arial" w:eastAsia="Arial" w:hAnsi="Arial"/>
          <w:sz w:val="18"/>
          <w:szCs w:val="18"/>
          <w:u w:val="single" w:color="auto"/>
          <w:color w:val="auto"/>
        </w:rPr>
        <w:t>clause (s)</w:t>
      </w:r>
      <w:r>
        <w:rPr>
          <w:rFonts w:ascii="Arial" w:cs="Arial" w:eastAsia="Arial" w:hAnsi="Arial"/>
          <w:sz w:val="18"/>
          <w:szCs w:val="18"/>
          <w:color w:val="auto"/>
        </w:rPr>
        <w:t xml:space="preserve"> shall be subject to an Intercreditor Agreement unless, in the case of any Lien granted to secure Indebtedness incurred in reliance on </w:t>
      </w:r>
      <w:r>
        <w:rPr>
          <w:rFonts w:ascii="Arial" w:cs="Arial" w:eastAsia="Arial" w:hAnsi="Arial"/>
          <w:sz w:val="18"/>
          <w:szCs w:val="18"/>
          <w:u w:val="single" w:color="auto"/>
          <w:color w:val="auto"/>
        </w:rPr>
        <w:t>Section 6.01(w)</w:t>
      </w:r>
      <w:r>
        <w:rPr>
          <w:rFonts w:ascii="Arial" w:cs="Arial" w:eastAsia="Arial" w:hAnsi="Arial"/>
          <w:sz w:val="18"/>
          <w:szCs w:val="18"/>
          <w:color w:val="auto"/>
        </w:rPr>
        <w:t>, the holders of such Indebtedness and the Administrative Agent have not requested or required an intercreditor arrangement;</w:t>
      </w:r>
    </w:p>
    <w:p>
      <w:pPr>
        <w:spacing w:after="0" w:line="78" w:lineRule="exact"/>
        <w:rPr>
          <w:rFonts w:ascii="Arial" w:cs="Arial" w:eastAsia="Arial" w:hAnsi="Arial"/>
          <w:sz w:val="18"/>
          <w:szCs w:val="18"/>
          <w:color w:val="auto"/>
        </w:rPr>
      </w:pPr>
    </w:p>
    <w:p>
      <w:pPr>
        <w:ind w:left="660" w:hanging="224"/>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right="160" w:firstLine="436"/>
        <w:spacing w:after="0" w:line="286" w:lineRule="auto"/>
        <w:tabs>
          <w:tab w:leader="none" w:pos="695" w:val="left"/>
        </w:tabs>
        <w:numPr>
          <w:ilvl w:val="0"/>
          <w:numId w:val="217"/>
        </w:numPr>
        <w:rPr>
          <w:rFonts w:ascii="Arial" w:cs="Arial" w:eastAsia="Arial" w:hAnsi="Arial"/>
          <w:sz w:val="17"/>
          <w:szCs w:val="17"/>
          <w:color w:val="auto"/>
        </w:rPr>
      </w:pPr>
      <w:r>
        <w:rPr>
          <w:rFonts w:ascii="Arial" w:cs="Arial" w:eastAsia="Arial" w:hAnsi="Arial"/>
          <w:sz w:val="17"/>
          <w:szCs w:val="17"/>
          <w:color w:val="auto"/>
        </w:rPr>
        <w:t>Liens on assets securing Indebtedness or other obligations in an aggregate principal amount at any time outstanding not to exceed the greater of $42,500,000 and 50% of Consolidated Adjusted EBITDA as of the last day of the most recently ended Test Period, in each case, subject, in the case of any Lien on the Collateral, at the request of the relevant lender, to an Intercreditor Agreement;</w:t>
      </w:r>
    </w:p>
    <w:p>
      <w:pPr>
        <w:spacing w:after="0" w:line="57" w:lineRule="exact"/>
        <w:rPr>
          <w:rFonts w:ascii="Arial" w:cs="Arial" w:eastAsia="Arial" w:hAnsi="Arial"/>
          <w:sz w:val="17"/>
          <w:szCs w:val="17"/>
          <w:color w:val="auto"/>
        </w:rPr>
      </w:pPr>
    </w:p>
    <w:p>
      <w:pPr>
        <w:ind w:firstLine="436"/>
        <w:spacing w:after="0" w:line="263" w:lineRule="auto"/>
        <w:tabs>
          <w:tab w:leader="none" w:pos="69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(i) Liens on assets securing judgments, awards, attachments and/or decrees and notices of </w:t>
      </w:r>
      <w:r>
        <w:rPr>
          <w:rFonts w:ascii="Arial" w:cs="Arial" w:eastAsia="Arial" w:hAnsi="Arial"/>
          <w:sz w:val="18"/>
          <w:szCs w:val="18"/>
          <w:i w:val="1"/>
          <w:iCs w:val="1"/>
          <w:color w:val="auto"/>
        </w:rPr>
        <w:t>lis pendens</w:t>
      </w:r>
      <w:r>
        <w:rPr>
          <w:rFonts w:ascii="Arial" w:cs="Arial" w:eastAsia="Arial" w:hAnsi="Arial"/>
          <w:sz w:val="18"/>
          <w:szCs w:val="18"/>
          <w:color w:val="auto"/>
        </w:rPr>
        <w:t xml:space="preserve"> and associated rights relating to litigation being contested in good faith not constituting an Event of Default under </w:t>
      </w:r>
      <w:r>
        <w:rPr>
          <w:rFonts w:ascii="Arial" w:cs="Arial" w:eastAsia="Arial" w:hAnsi="Arial"/>
          <w:sz w:val="18"/>
          <w:szCs w:val="18"/>
          <w:u w:val="single" w:color="auto"/>
          <w:color w:val="auto"/>
        </w:rPr>
        <w:t>Section 7.01(h)</w:t>
      </w:r>
      <w:r>
        <w:rPr>
          <w:rFonts w:ascii="Arial" w:cs="Arial" w:eastAsia="Arial" w:hAnsi="Arial"/>
          <w:sz w:val="18"/>
          <w:szCs w:val="18"/>
          <w:color w:val="auto"/>
        </w:rPr>
        <w:t xml:space="preserve"> and (ii) any pledge and/or deposit securing any settlement of litigation;</w:t>
      </w:r>
    </w:p>
    <w:p>
      <w:pPr>
        <w:spacing w:after="0" w:line="75" w:lineRule="exact"/>
        <w:rPr>
          <w:rFonts w:ascii="Arial" w:cs="Arial" w:eastAsia="Arial" w:hAnsi="Arial"/>
          <w:sz w:val="18"/>
          <w:szCs w:val="18"/>
          <w:color w:val="auto"/>
        </w:rPr>
      </w:pPr>
    </w:p>
    <w:p>
      <w:pPr>
        <w:ind w:right="100" w:firstLine="436"/>
        <w:spacing w:after="0" w:line="277" w:lineRule="auto"/>
        <w:tabs>
          <w:tab w:leader="none" w:pos="73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 leases, licenses, subleases or sublicenses in the ordinary course of business which do not secure any Indebtedness and (ii) ground leases in respect of real property on which facilities owned or leased by the Borrower or any of its subsidiaries are located;</w:t>
      </w:r>
    </w:p>
    <w:p>
      <w:pPr>
        <w:spacing w:after="0" w:line="62" w:lineRule="exact"/>
        <w:rPr>
          <w:rFonts w:ascii="Arial" w:cs="Arial" w:eastAsia="Arial" w:hAnsi="Arial"/>
          <w:sz w:val="18"/>
          <w:szCs w:val="18"/>
          <w:color w:val="auto"/>
        </w:rPr>
      </w:pPr>
    </w:p>
    <w:p>
      <w:pPr>
        <w:ind w:right="320" w:firstLine="436"/>
        <w:spacing w:after="0" w:line="277" w:lineRule="auto"/>
        <w:tabs>
          <w:tab w:leader="none" w:pos="69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Liens on Securities that are the subject of repurchase agreements constituting Investments permitted under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arising out of such repurchase transaction;</w:t>
      </w:r>
    </w:p>
    <w:p>
      <w:pPr>
        <w:spacing w:after="0" w:line="62" w:lineRule="exact"/>
        <w:rPr>
          <w:rFonts w:ascii="Arial" w:cs="Arial" w:eastAsia="Arial" w:hAnsi="Arial"/>
          <w:sz w:val="18"/>
          <w:szCs w:val="18"/>
          <w:color w:val="auto"/>
        </w:rPr>
      </w:pPr>
    </w:p>
    <w:p>
      <w:pPr>
        <w:ind w:right="280" w:firstLine="436"/>
        <w:spacing w:after="0" w:line="277" w:lineRule="auto"/>
        <w:tabs>
          <w:tab w:leader="none" w:pos="69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Liens securing obligations in respect of letters of credit, bank guaranties, surety bonds, performance bonds or similar instruments permitted under </w:t>
      </w:r>
      <w:r>
        <w:rPr>
          <w:rFonts w:ascii="Arial" w:cs="Arial" w:eastAsia="Arial" w:hAnsi="Arial"/>
          <w:sz w:val="18"/>
          <w:szCs w:val="18"/>
          <w:u w:val="single" w:color="auto"/>
          <w:color w:val="auto"/>
        </w:rPr>
        <w:t>Sections 6.01(d)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(aa)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(cc)</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00"/>
          </w:cols>
          <w:pgMar w:left="440" w:top="274" w:right="459" w:bottom="1440" w:gutter="0" w:footer="0" w:header="0"/>
        </w:sectPr>
      </w:pPr>
    </w:p>
    <w:bookmarkStart w:id="146" w:name="page147"/>
    <w:bookmarkEnd w:id="146"/>
    <w:p>
      <w:pPr>
        <w:ind w:firstLine="436"/>
        <w:spacing w:after="0" w:line="342" w:lineRule="auto"/>
        <w:tabs>
          <w:tab w:leader="none" w:pos="685" w:val="left"/>
        </w:tabs>
        <w:numPr>
          <w:ilvl w:val="0"/>
          <w:numId w:val="2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arising (i) out of conditional sale, title retention, consignment or similar arrangements for the sale of any asset in the ordinary course of business and permitted by this Agreement or (ii) by operation of law under Article 2 of the UCC (or similar Requirement of Law under any jurisdiction);</w:t>
      </w:r>
    </w:p>
    <w:p>
      <w:pPr>
        <w:spacing w:after="0" w:line="16" w:lineRule="exact"/>
        <w:rPr>
          <w:sz w:val="20"/>
          <w:szCs w:val="20"/>
          <w:color w:val="auto"/>
        </w:rPr>
      </w:pPr>
    </w:p>
    <w:p>
      <w:pPr>
        <w:ind w:right="180" w:firstLine="436"/>
        <w:spacing w:after="0" w:line="308" w:lineRule="auto"/>
        <w:tabs>
          <w:tab w:leader="none" w:pos="765"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Liens (i) in favor of any Loan Party and/or (ii) granted by any non-Loan Party in favor of any Restricted Subsidiary that is not a Loan Party,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securing intercompany Indebtedness permitted (or not restricted) under </w:t>
      </w:r>
      <w:r>
        <w:rPr>
          <w:rFonts w:ascii="Arial" w:cs="Arial" w:eastAsia="Arial" w:hAnsi="Arial"/>
          <w:sz w:val="17"/>
          <w:szCs w:val="17"/>
          <w:u w:val="single" w:color="auto"/>
          <w:color w:val="auto"/>
        </w:rPr>
        <w:t>Section 5.16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6.01</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780" w:hanging="344"/>
        <w:spacing w:after="0"/>
        <w:tabs>
          <w:tab w:leader="none" w:pos="7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w:t>
      </w:r>
    </w:p>
    <w:p>
      <w:pPr>
        <w:spacing w:after="0" w:line="117" w:lineRule="exact"/>
        <w:rPr>
          <w:rFonts w:ascii="Arial" w:cs="Arial" w:eastAsia="Arial" w:hAnsi="Arial"/>
          <w:sz w:val="18"/>
          <w:szCs w:val="18"/>
          <w:color w:val="auto"/>
        </w:rPr>
      </w:pPr>
    </w:p>
    <w:p>
      <w:pPr>
        <w:ind w:right="140" w:firstLine="436"/>
        <w:spacing w:after="0" w:line="259" w:lineRule="auto"/>
        <w:tabs>
          <w:tab w:leader="none" w:pos="76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 receipt of progress payments and advances from customers in the ordinary course of business to the extent the same creates a Lien on the related inventory and proceeds thereof and (ii) Liens on specific items of inventory or other goods and the proceeds thereof securing the relevant Person’s obligations in respect of documentary letters of credit or banker’s acceptances issued or created for the account of such Person to facilitate the purchase, shipment or storage of such inventory or goods;</w:t>
      </w:r>
    </w:p>
    <w:p>
      <w:pPr>
        <w:spacing w:after="0" w:line="78" w:lineRule="exact"/>
        <w:rPr>
          <w:rFonts w:ascii="Arial" w:cs="Arial" w:eastAsia="Arial" w:hAnsi="Arial"/>
          <w:sz w:val="18"/>
          <w:szCs w:val="18"/>
          <w:color w:val="auto"/>
        </w:rPr>
      </w:pPr>
    </w:p>
    <w:p>
      <w:pPr>
        <w:ind w:left="780" w:hanging="344"/>
        <w:spacing w:after="0"/>
        <w:tabs>
          <w:tab w:leader="none" w:pos="78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Liens securing (i) obligations of the type described in </w:t>
      </w:r>
      <w:r>
        <w:rPr>
          <w:rFonts w:ascii="Arial" w:cs="Arial" w:eastAsia="Arial" w:hAnsi="Arial"/>
          <w:sz w:val="17"/>
          <w:szCs w:val="17"/>
          <w:u w:val="single" w:color="auto"/>
          <w:color w:val="auto"/>
        </w:rPr>
        <w:t>Section 6.01(f)</w:t>
      </w:r>
      <w:r>
        <w:rPr>
          <w:rFonts w:ascii="Arial" w:cs="Arial" w:eastAsia="Arial" w:hAnsi="Arial"/>
          <w:sz w:val="17"/>
          <w:szCs w:val="17"/>
          <w:color w:val="auto"/>
        </w:rPr>
        <w:t xml:space="preserve"> and/or (ii) obligations of the type described in </w:t>
      </w:r>
      <w:r>
        <w:rPr>
          <w:rFonts w:ascii="Arial" w:cs="Arial" w:eastAsia="Arial" w:hAnsi="Arial"/>
          <w:sz w:val="17"/>
          <w:szCs w:val="17"/>
          <w:u w:val="single" w:color="auto"/>
          <w:color w:val="auto"/>
        </w:rPr>
        <w:t>Section 6.01(s)</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right="480" w:firstLine="436"/>
        <w:spacing w:after="0" w:line="263" w:lineRule="auto"/>
        <w:tabs>
          <w:tab w:leader="none" w:pos="76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 Liens on Capital Stock of (A) joint ventures securing capital contributions to, or obligations of, such Persons and/or (B) Unrestricted Subsidiaries and (ii) customary rights of first refusal and tag, drag and similar rights in joint venture agreements and agreements with respect to non-Wholly-Owned Subsidiaries;</w:t>
      </w:r>
    </w:p>
    <w:p>
      <w:pPr>
        <w:spacing w:after="0" w:line="75" w:lineRule="exact"/>
        <w:rPr>
          <w:rFonts w:ascii="Arial" w:cs="Arial" w:eastAsia="Arial" w:hAnsi="Arial"/>
          <w:sz w:val="18"/>
          <w:szCs w:val="18"/>
          <w:color w:val="auto"/>
        </w:rPr>
      </w:pPr>
    </w:p>
    <w:p>
      <w:pPr>
        <w:ind w:left="720" w:hanging="284"/>
        <w:spacing w:after="0"/>
        <w:tabs>
          <w:tab w:leader="none" w:pos="7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Liens on cash or Cash Equivalents arising in connection with the defeasance, discharge or redemption of Indebtedness;</w:t>
      </w:r>
    </w:p>
    <w:p>
      <w:pPr>
        <w:spacing w:after="0" w:line="117" w:lineRule="exact"/>
        <w:rPr>
          <w:rFonts w:ascii="Arial" w:cs="Arial" w:eastAsia="Arial" w:hAnsi="Arial"/>
          <w:sz w:val="18"/>
          <w:szCs w:val="18"/>
          <w:color w:val="auto"/>
        </w:rPr>
      </w:pPr>
    </w:p>
    <w:p>
      <w:pPr>
        <w:ind w:left="780" w:hanging="344"/>
        <w:spacing w:after="0"/>
        <w:tabs>
          <w:tab w:leader="none" w:pos="78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Liens consisting of the prior rights of consignees and their lenders under consignment arrangements entered into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right="580" w:firstLine="436"/>
        <w:spacing w:after="0" w:line="277" w:lineRule="auto"/>
        <w:tabs>
          <w:tab w:leader="none" w:pos="78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Liens securing obligations under </w:t>
      </w:r>
      <w:r>
        <w:rPr>
          <w:rFonts w:ascii="Arial" w:cs="Arial" w:eastAsia="Arial" w:hAnsi="Arial"/>
          <w:sz w:val="18"/>
          <w:szCs w:val="18"/>
          <w:u w:val="single" w:color="auto"/>
          <w:color w:val="auto"/>
        </w:rPr>
        <w:t>Section 6.01(hh)</w:t>
      </w:r>
      <w:r>
        <w:rPr>
          <w:rFonts w:ascii="Arial" w:cs="Arial" w:eastAsia="Arial" w:hAnsi="Arial"/>
          <w:sz w:val="18"/>
          <w:szCs w:val="18"/>
          <w:color w:val="auto"/>
        </w:rPr>
        <w:t>, in each case, subject, in the case of any Lien on the Collateral, at the request of the relevant issuing bank, to an Intercreditor Agreement;</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ground leases in respect of real property on which facilities owned or leased by the Borrower or any of its Subsidiaries are located;</w:t>
      </w:r>
    </w:p>
    <w:p>
      <w:pPr>
        <w:spacing w:after="0" w:line="128" w:lineRule="exact"/>
        <w:rPr>
          <w:rFonts w:ascii="Arial" w:cs="Arial" w:eastAsia="Arial" w:hAnsi="Arial"/>
          <w:sz w:val="17"/>
          <w:szCs w:val="17"/>
          <w:color w:val="auto"/>
        </w:rPr>
      </w:pPr>
    </w:p>
    <w:p>
      <w:pPr>
        <w:jc w:val="both"/>
        <w:ind w:right="100" w:firstLine="436"/>
        <w:spacing w:after="0" w:line="263" w:lineRule="auto"/>
        <w:tabs>
          <w:tab w:leader="none" w:pos="70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Liens consisting of (i) any reservation, limitation, proviso and/or condition, if any, expressed in any original grant from the Crown of any real property or any interest therein and/or (ii) any right of expropriation, access, or user or any other right conferred or vested by statutes of Canada or any applicable province;</w:t>
      </w:r>
    </w:p>
    <w:p>
      <w:pPr>
        <w:spacing w:after="0" w:line="75" w:lineRule="exact"/>
        <w:rPr>
          <w:rFonts w:ascii="Arial" w:cs="Arial" w:eastAsia="Arial" w:hAnsi="Arial"/>
          <w:sz w:val="18"/>
          <w:szCs w:val="18"/>
          <w:color w:val="auto"/>
        </w:rPr>
      </w:pPr>
    </w:p>
    <w:p>
      <w:pPr>
        <w:ind w:right="620" w:firstLine="436"/>
        <w:spacing w:after="0" w:line="277" w:lineRule="auto"/>
        <w:tabs>
          <w:tab w:leader="none" w:pos="78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Liens that do not secure Indebtedness for borrowed money and are customary in the operation of the business of the Borrower and its Restricted Subsidiaries;</w:t>
      </w:r>
    </w:p>
    <w:p>
      <w:pPr>
        <w:spacing w:after="0" w:line="62" w:lineRule="exact"/>
        <w:rPr>
          <w:rFonts w:ascii="Arial" w:cs="Arial" w:eastAsia="Arial" w:hAnsi="Arial"/>
          <w:sz w:val="18"/>
          <w:szCs w:val="18"/>
          <w:color w:val="auto"/>
        </w:rPr>
      </w:pPr>
    </w:p>
    <w:p>
      <w:pPr>
        <w:ind w:right="180" w:firstLine="436"/>
        <w:spacing w:after="0" w:line="263" w:lineRule="auto"/>
        <w:tabs>
          <w:tab w:leader="none" w:pos="70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the proceeds thereof securing the relevant Person’s obligations in respect of documentary letters of credit or banker’s acceptances issued or created for the account of such Person to facilitate the purchase, shipment or storage of such inventory or goods;</w:t>
      </w:r>
    </w:p>
    <w:p>
      <w:pPr>
        <w:spacing w:after="0" w:line="75" w:lineRule="exact"/>
        <w:rPr>
          <w:rFonts w:ascii="Arial" w:cs="Arial" w:eastAsia="Arial" w:hAnsi="Arial"/>
          <w:sz w:val="18"/>
          <w:szCs w:val="18"/>
          <w:color w:val="auto"/>
        </w:rPr>
      </w:pPr>
    </w:p>
    <w:p>
      <w:pPr>
        <w:ind w:firstLine="436"/>
        <w:spacing w:after="0" w:line="263" w:lineRule="auto"/>
        <w:tabs>
          <w:tab w:leader="none" w:pos="88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Liens on Receivables Facility Assets or the equity interest of any Receivables Subsidiary that are granted or arise (or are deemed to have been granted or arisen) in connection with any Receivables Facility; </w:t>
      </w:r>
      <w:r>
        <w:rPr>
          <w:rFonts w:ascii="Arial" w:cs="Arial" w:eastAsia="Arial" w:hAnsi="Arial"/>
          <w:sz w:val="18"/>
          <w:szCs w:val="18"/>
          <w:u w:val="single" w:color="auto"/>
          <w:color w:val="auto"/>
        </w:rPr>
        <w:t>provided</w:t>
      </w:r>
      <w:r>
        <w:rPr>
          <w:rFonts w:ascii="Arial" w:cs="Arial" w:eastAsia="Arial" w:hAnsi="Arial"/>
          <w:sz w:val="18"/>
          <w:szCs w:val="18"/>
          <w:color w:val="auto"/>
        </w:rPr>
        <w:t>, that the aggregate outstanding principal amount of the obligations secured by such Liens shall not exceed $25,000,000;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00"/>
          </w:cols>
          <w:pgMar w:left="440" w:top="274" w:right="459" w:bottom="1440" w:gutter="0" w:footer="0" w:header="0"/>
        </w:sectPr>
      </w:pPr>
    </w:p>
    <w:bookmarkStart w:id="147" w:name="page148"/>
    <w:bookmarkEnd w:id="1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(nn) Liens arising in connection with escrow arrangements established in connection with the Transactions.</w:t>
      </w:r>
    </w:p>
    <w:p>
      <w:pPr>
        <w:spacing w:after="0" w:line="225"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Section 6.02</w:t>
      </w:r>
      <w:r>
        <w:rPr>
          <w:rFonts w:ascii="Arial" w:cs="Arial" w:eastAsia="Arial" w:hAnsi="Arial"/>
          <w:sz w:val="17"/>
          <w:szCs w:val="17"/>
          <w:color w:val="auto"/>
        </w:rPr>
        <w:t>, if the proceeds of any Indebtedness the Liens securing which are required or permitted to be subject to an Intercreditor Agreement are funded into Escrow, at the election of the Borrower, either (x) the relevant Intercreditor Agreement shall not be required to be entered into or become effective until the release and/or termination of the relevant Escrow arrangement, so long as, prior to such release and/or termination, the relevant Indebtedness is secured only by a Lien on such proceeds so funded into Escrow or (y) the property subject to the applicable Escrow arrangement is not required to be subject to the relevant Intercreditor Agreement.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Restricted Payments; Restricted Debt Payments</w:t>
      </w:r>
      <w:r>
        <w:rPr>
          <w:rFonts w:ascii="Arial" w:cs="Arial" w:eastAsia="Arial" w:hAnsi="Arial"/>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Borrower shall not pay or make any Restricted Payment, except that:</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Borrower may make, directly or indirectly, Restricted Payments to the extent necessary to permit any Parent Company:</w:t>
      </w:r>
    </w:p>
    <w:p>
      <w:pPr>
        <w:spacing w:after="0" w:line="117" w:lineRule="exact"/>
        <w:rPr>
          <w:rFonts w:ascii="Arial" w:cs="Arial" w:eastAsia="Arial" w:hAnsi="Arial"/>
          <w:sz w:val="18"/>
          <w:szCs w:val="18"/>
          <w:color w:val="auto"/>
        </w:rPr>
      </w:pPr>
    </w:p>
    <w:p>
      <w:pPr>
        <w:ind w:left="980" w:firstLine="408"/>
        <w:spacing w:after="0" w:line="270" w:lineRule="auto"/>
        <w:tabs>
          <w:tab w:leader="none" w:pos="1676" w:val="left"/>
        </w:tabs>
        <w:numPr>
          <w:ilvl w:val="3"/>
          <w:numId w:val="220"/>
        </w:numPr>
        <w:rPr>
          <w:rFonts w:ascii="Arial" w:cs="Arial" w:eastAsia="Arial" w:hAnsi="Arial"/>
          <w:sz w:val="17"/>
          <w:szCs w:val="17"/>
          <w:color w:val="auto"/>
        </w:rPr>
      </w:pPr>
      <w:r>
        <w:rPr>
          <w:rFonts w:ascii="Arial" w:cs="Arial" w:eastAsia="Arial" w:hAnsi="Arial"/>
          <w:sz w:val="17"/>
          <w:szCs w:val="17"/>
          <w:color w:val="auto"/>
        </w:rPr>
        <w:t xml:space="preserve">to pay general administrative and operating costs and expenses (including corporate overhead, legal or similar expenses and customary salary, bonus and other benefits payable to any director, officer, employee, member of management, manager and/or consultant of any Parent Company) and franchise Taxes, and similar fees and expenses required to maintain the organizational existence or qualification to do business of such Parent Company, in each case, which are reasonable and customary and incurred in the ordinary course of business,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amount of any reasonable and customary indemnification claim made by any director, officer, member of management, manager, employee and/or consultant of any Parent Company, in each case, to the extent attributable to the ownership or operations of any Parent Company and/or its subsidiaries (but excluding, for the avoidance of doubt, the portion of any such amount, if any, that is attributable to the ownership or operations of any subsidiary of any Parent Company other than Holdings, the Borrower and/or its subsidiaries);</w:t>
      </w:r>
    </w:p>
    <w:p>
      <w:pPr>
        <w:spacing w:after="0" w:line="72" w:lineRule="exact"/>
        <w:rPr>
          <w:rFonts w:ascii="Arial" w:cs="Arial" w:eastAsia="Arial" w:hAnsi="Arial"/>
          <w:sz w:val="17"/>
          <w:szCs w:val="17"/>
          <w:color w:val="auto"/>
        </w:rPr>
      </w:pPr>
    </w:p>
    <w:p>
      <w:pPr>
        <w:ind w:left="980" w:right="240" w:firstLine="408"/>
        <w:spacing w:after="0" w:line="284" w:lineRule="auto"/>
        <w:tabs>
          <w:tab w:leader="none" w:pos="1666" w:val="left"/>
        </w:tabs>
        <w:numPr>
          <w:ilvl w:val="3"/>
          <w:numId w:val="220"/>
        </w:numPr>
        <w:rPr>
          <w:rFonts w:ascii="Arial" w:cs="Arial" w:eastAsia="Arial" w:hAnsi="Arial"/>
          <w:sz w:val="16"/>
          <w:szCs w:val="16"/>
          <w:color w:val="auto"/>
        </w:rPr>
      </w:pPr>
      <w:r>
        <w:rPr>
          <w:rFonts w:ascii="Arial" w:cs="Arial" w:eastAsia="Arial" w:hAnsi="Arial"/>
          <w:sz w:val="16"/>
          <w:szCs w:val="16"/>
          <w:color w:val="auto"/>
        </w:rPr>
        <w:t>(i) for any taxable period (or part thereof) for which Holdings is a corporation (or a disregarded entity directly or indirectly owned by a corporation) for U.S. federal income tax purposes that is included in a consolidated, combined, unitary or similar group tax return, any distribution to Holdings to pay (or to make any distribution to any direct or indirect parent of Holdings to pay) the aggregate amount of consolidated, combined, unitary or similar group tax liabilities attributable to the income of Holdings, the Borrower and its subsidiaries; provided, that the amount of such payments does not exceed the amounts that Holdings, the Borrower, and its subsidiaries would have been required to pay had Holdings, the Borrower, and its subsidiaries been a stand-alone group for applicable tax purposes;</w:t>
      </w:r>
    </w:p>
    <w:p>
      <w:pPr>
        <w:spacing w:after="0" w:line="4" w:lineRule="exact"/>
        <w:rPr>
          <w:rFonts w:ascii="Arial" w:cs="Arial" w:eastAsia="Arial" w:hAnsi="Arial"/>
          <w:sz w:val="16"/>
          <w:szCs w:val="16"/>
          <w:color w:val="auto"/>
        </w:rPr>
      </w:pPr>
    </w:p>
    <w:p>
      <w:pPr>
        <w:ind w:left="980" w:right="100" w:firstLine="7"/>
        <w:spacing w:after="0" w:line="268" w:lineRule="auto"/>
        <w:tabs>
          <w:tab w:leader="none" w:pos="1245" w:val="left"/>
        </w:tabs>
        <w:numPr>
          <w:ilvl w:val="2"/>
          <w:numId w:val="220"/>
        </w:numPr>
        <w:rPr>
          <w:rFonts w:ascii="Arial" w:cs="Arial" w:eastAsia="Arial" w:hAnsi="Arial"/>
          <w:sz w:val="17"/>
          <w:szCs w:val="17"/>
          <w:color w:val="auto"/>
        </w:rPr>
      </w:pPr>
      <w:r>
        <w:rPr>
          <w:rFonts w:ascii="Arial" w:cs="Arial" w:eastAsia="Arial" w:hAnsi="Arial"/>
          <w:sz w:val="17"/>
          <w:szCs w:val="17"/>
          <w:color w:val="auto"/>
        </w:rPr>
        <w:t>for any taxable period (or part thereof) for which Holdings is a partnership or disregarded entity (other than wholly-owned by a corporation) for US federal income tax purposes, any distributions from the Borrower and Holdings in an amount sufficient to permit AIDH TopCo, LLC, a Delaware limited liability company (or such other direct or indirect parent partnership), to make pro rata distributions (in accordance with percentage interests) to its equity owners in an amount sufficient for each of them (or their direct or indirect owners) to pay their U.S. federal, state, and local taxes (including estimated taxes) with respect to income of the Borrower and its subsidiaries for such taxable period or part thereof (determined without regard to any adjustments under Section 743(b) or 734(b) of the Code), based on an assumed tax rate equal to the highest combined U.S. federal, state, and local tax rate applicable to an individual or corporation (whichever is higher) resident in New York, taking into account (A) the character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00"/>
          </w:cols>
          <w:pgMar w:left="440" w:top="274" w:right="459" w:bottom="1440" w:gutter="0" w:footer="0" w:header="0"/>
        </w:sectPr>
      </w:pPr>
    </w:p>
    <w:bookmarkStart w:id="148" w:name="page149"/>
    <w:bookmarkEnd w:id="148"/>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type of income earned (and for the avoidance of doubt, without regard to any reduction in rate attributable to Section 199A of the Code), (B) Medicare taxes, and (C) any applicable limitations with respect to any deductions and not taking into account any allocations under Section 704(c) of the Code and the Treasury Regulations thereunder to the extent such allocations are made under a remedial allocation method; provided, that any amounts distributed under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as applicable, in respect of any taxes attributable to the income of Unrestricted Subsidiaries may be made only to the extent that (x) such subsidiaries have made cash payments to any Loan Party or Restricted Subsidiary in at least the amount of such taxes or (y) the Borrower and its Restricted Subsidiaries with respect to making such a distribution are deemed to have made an Investment in the amount of such taxes in the relevant Unrestricted Subsidiary and such Investment complies with the requirements of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and (iii) distributions by the Borrower and Holdings to fund payments to satisfy obligations of the Parent under the tax receivable agreement entered into in connection with the IPO;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distributions under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shall be permitted with respect to such taxable period (or part thereof) only to the extent that the payments under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as applicable, with respect to such taxable period (or part thereof) are insufficient for the Parent to comply with its obligations under such tax receivable agreement after the payment of the actual income tax liability of the Parent;</w:t>
      </w:r>
    </w:p>
    <w:p>
      <w:pPr>
        <w:spacing w:after="0" w:line="60" w:lineRule="exact"/>
        <w:rPr>
          <w:sz w:val="20"/>
          <w:szCs w:val="20"/>
          <w:color w:val="auto"/>
        </w:rPr>
      </w:pPr>
    </w:p>
    <w:p>
      <w:pPr>
        <w:ind w:right="100" w:firstLine="408"/>
        <w:spacing w:after="0" w:line="259" w:lineRule="auto"/>
        <w:tabs>
          <w:tab w:leader="none" w:pos="68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to pay audit and other accounting and reporting expenses of any Parent Company to the extent such expenses are attributable to such Parent Company, the Borrower and its subsidiaries (but excluding, for the avoidance of doubt, the portion of any such expenses, if any, that is attributable to the ownership or operations of any subsidiary of any Parent Company other than Holdings, the Borrower and/or its subsidiaries);</w:t>
      </w:r>
    </w:p>
    <w:p>
      <w:pPr>
        <w:spacing w:after="0" w:line="78" w:lineRule="exact"/>
        <w:rPr>
          <w:rFonts w:ascii="Arial" w:cs="Arial" w:eastAsia="Arial" w:hAnsi="Arial"/>
          <w:sz w:val="18"/>
          <w:szCs w:val="18"/>
          <w:color w:val="auto"/>
        </w:rPr>
      </w:pPr>
    </w:p>
    <w:p>
      <w:pPr>
        <w:ind w:right="340" w:firstLine="408"/>
        <w:spacing w:after="0" w:line="286" w:lineRule="auto"/>
        <w:tabs>
          <w:tab w:leader="none" w:pos="696" w:val="left"/>
        </w:tabs>
        <w:numPr>
          <w:ilvl w:val="0"/>
          <w:numId w:val="221"/>
        </w:numPr>
        <w:rPr>
          <w:rFonts w:ascii="Arial" w:cs="Arial" w:eastAsia="Arial" w:hAnsi="Arial"/>
          <w:sz w:val="17"/>
          <w:szCs w:val="17"/>
          <w:color w:val="auto"/>
        </w:rPr>
      </w:pPr>
      <w:r>
        <w:rPr>
          <w:rFonts w:ascii="Arial" w:cs="Arial" w:eastAsia="Arial" w:hAnsi="Arial"/>
          <w:sz w:val="17"/>
          <w:szCs w:val="17"/>
          <w:color w:val="auto"/>
        </w:rPr>
        <w:t>for the payment of any insurance premium that is payable by or attributable to any Parent Company, the Borrower and/or its subsidiaries (but excluding, for the avoidance of doubt, the portion of any such premium, if any, that is attributable to the ownership or operations of any subsidiary of any Parent Company other than Holdings, the Borrower and/or its subsidiaries);</w:t>
      </w:r>
    </w:p>
    <w:p>
      <w:pPr>
        <w:spacing w:after="0" w:line="57" w:lineRule="exact"/>
        <w:rPr>
          <w:rFonts w:ascii="Arial" w:cs="Arial" w:eastAsia="Arial" w:hAnsi="Arial"/>
          <w:sz w:val="17"/>
          <w:szCs w:val="17"/>
          <w:color w:val="auto"/>
        </w:rPr>
      </w:pPr>
    </w:p>
    <w:p>
      <w:pPr>
        <w:ind w:right="60" w:firstLine="408"/>
        <w:spacing w:after="0" w:line="263" w:lineRule="auto"/>
        <w:tabs>
          <w:tab w:leader="none" w:pos="67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to pay (1) any fee and/or expense related to any debt and/or equity offering and/or the IPO, investment or acquisition (whether or not consummated) and/or any expense of, or indemnification obligation in favor of, any trustee, agent, arranger, underwriter or similar role, and (2) Public Company Costs;</w:t>
      </w:r>
    </w:p>
    <w:p>
      <w:pPr>
        <w:spacing w:after="0" w:line="75" w:lineRule="exact"/>
        <w:rPr>
          <w:rFonts w:ascii="Arial" w:cs="Arial" w:eastAsia="Arial" w:hAnsi="Arial"/>
          <w:sz w:val="18"/>
          <w:szCs w:val="18"/>
          <w:color w:val="auto"/>
        </w:rPr>
      </w:pPr>
    </w:p>
    <w:p>
      <w:pPr>
        <w:ind w:firstLine="408"/>
        <w:spacing w:after="0" w:line="254" w:lineRule="auto"/>
        <w:tabs>
          <w:tab w:leader="none" w:pos="66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to finance any Investment permitted under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6.06(t)</w:t>
      </w:r>
      <w:r>
        <w:rPr>
          <w:rFonts w:ascii="Arial" w:cs="Arial" w:eastAsia="Arial" w:hAnsi="Arial"/>
          <w:sz w:val="18"/>
          <w:szCs w:val="18"/>
          <w:color w:val="auto"/>
        </w:rPr>
        <w: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any Restricted Payment under this </w:t>
      </w:r>
      <w:r>
        <w:rPr>
          <w:rFonts w:ascii="Arial" w:cs="Arial" w:eastAsia="Arial" w:hAnsi="Arial"/>
          <w:sz w:val="18"/>
          <w:szCs w:val="18"/>
          <w:u w:val="single" w:color="auto"/>
          <w:color w:val="auto"/>
        </w:rPr>
        <w:t>clause (a)(i)(F)</w:t>
      </w:r>
      <w:r>
        <w:rPr>
          <w:rFonts w:ascii="Arial" w:cs="Arial" w:eastAsia="Arial" w:hAnsi="Arial"/>
          <w:sz w:val="18"/>
          <w:szCs w:val="18"/>
          <w:color w:val="auto"/>
        </w:rPr>
        <w:t xml:space="preserve"> shall be made substantially concurrently with the closing of such Investment (except with respect to any deferred purchase price or other contingent consideration, the Restricted Payments in respect of which may be made after the closing of such Investment) and (y) the relevant Parent Company shall, promptly following the closing thereof, cause (I) all property acquired to be contributed to the Borrower or one or more of its Restricted Subsidiaries, or (II) the merger, consolidation or amalgamation of the Person formed or acquired into the Borrower or one or more of its Restricted Subsidiaries, in order to consummate such Investment in compliance with the applicable requirements of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as if the relevant Investment was undertaken as a direct Investment by the Borrower or the relevant Restricted Subsidiary); and</w:t>
      </w:r>
    </w:p>
    <w:p>
      <w:pPr>
        <w:spacing w:after="0" w:line="83" w:lineRule="exact"/>
        <w:rPr>
          <w:rFonts w:ascii="Arial" w:cs="Arial" w:eastAsia="Arial" w:hAnsi="Arial"/>
          <w:sz w:val="18"/>
          <w:szCs w:val="18"/>
          <w:color w:val="auto"/>
        </w:rPr>
      </w:pPr>
    </w:p>
    <w:p>
      <w:pPr>
        <w:ind w:right="140" w:firstLine="408"/>
        <w:spacing w:after="0" w:line="259" w:lineRule="auto"/>
        <w:tabs>
          <w:tab w:leader="none" w:pos="69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to pay customary salary, bonus, severance and other benefits payable to current or former directors, officers, members of management, managers, employees or consultants of any Parent Company (or any Immediate Family Member of any of the foregoing) to the extent such salary, bonuses, severance and other benefits are attributable and reasonably allocated to the operations of the Borrower and/or its subsidiaries,</w:t>
      </w:r>
    </w:p>
    <w:p>
      <w:pPr>
        <w:spacing w:after="0" w:line="11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040"/>
          </w:cols>
          <w:pgMar w:left="1420" w:top="274" w:right="439" w:bottom="1440" w:gutter="0" w:footer="0" w:header="0"/>
        </w:sectPr>
      </w:pPr>
    </w:p>
    <w:bookmarkStart w:id="149" w:name="page150"/>
    <w:bookmarkEnd w:id="149"/>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each case, so long as such Parent Company applies the amount of any such Restricted Payment for such purpose;</w:t>
      </w:r>
    </w:p>
    <w:p>
      <w:pPr>
        <w:spacing w:after="0" w:line="117" w:lineRule="exact"/>
        <w:rPr>
          <w:sz w:val="20"/>
          <w:szCs w:val="20"/>
          <w:color w:val="auto"/>
        </w:rPr>
      </w:pPr>
    </w:p>
    <w:p>
      <w:pPr>
        <w:ind w:firstLine="419"/>
        <w:spacing w:after="0" w:line="259" w:lineRule="auto"/>
        <w:tabs>
          <w:tab w:leader="none" w:pos="68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Borrower may pay (or make Restricted Payments to allow any Parent Company) to repurchase, redeem, retire or otherwise acquire or retire for value the Capital Stock of any Parent Company or any subsidiary held by any future, present or former employee, director, member of management, officer, manager or consultant (or any Affiliate or Immediate Family Member thereof) of any Parent Company, the Borrower or any subsidiary:</w:t>
      </w:r>
    </w:p>
    <w:p>
      <w:pPr>
        <w:spacing w:after="0" w:line="78" w:lineRule="exact"/>
        <w:rPr>
          <w:rFonts w:ascii="Arial" w:cs="Arial" w:eastAsia="Arial" w:hAnsi="Arial"/>
          <w:sz w:val="18"/>
          <w:szCs w:val="18"/>
          <w:color w:val="auto"/>
        </w:rPr>
      </w:pPr>
    </w:p>
    <w:p>
      <w:pPr>
        <w:ind w:left="540" w:right="20" w:firstLine="408"/>
        <w:spacing w:after="0" w:line="254" w:lineRule="auto"/>
        <w:tabs>
          <w:tab w:leader="none" w:pos="1236" w:val="left"/>
        </w:tabs>
        <w:numPr>
          <w:ilvl w:val="1"/>
          <w:numId w:val="222"/>
        </w:numPr>
        <w:rPr>
          <w:rFonts w:ascii="Arial" w:cs="Arial" w:eastAsia="Arial" w:hAnsi="Arial"/>
          <w:sz w:val="18"/>
          <w:szCs w:val="18"/>
          <w:color w:val="auto"/>
        </w:rPr>
      </w:pPr>
      <w:r>
        <w:rPr>
          <w:rFonts w:ascii="Arial" w:cs="Arial" w:eastAsia="Arial" w:hAnsi="Arial"/>
          <w:sz w:val="18"/>
          <w:szCs w:val="18"/>
          <w:color w:val="auto"/>
        </w:rPr>
        <w:t>with Cash and Cash Equivalents (and including, to the extent constituting a Restricted Payment, amounts paid in respect of promissory notes issued to evidence any obligation to repurchase, redeem, retire or otherwise acquire or retire for value the Capital Stock of any Parent Company, the Borrower or any subsidiary held by any future, present or former employee, director, member of management, officer, manager or consultant (or any Affiliate or Immediate Family Member thereof) of any Parent Company, the Borrower or any subsidiary) in an amount not to exceed, in any Fiscal Year, the greater of $17,500,000 and 20% of Consolidated Adjusted EBITDA as of the last day of the most recently ended Test Period, in each case, which, if not used in such Fiscal Year, shall be carried forward to the next Fiscal Year;</w:t>
      </w:r>
    </w:p>
    <w:p>
      <w:pPr>
        <w:spacing w:after="0" w:line="86" w:lineRule="exact"/>
        <w:rPr>
          <w:rFonts w:ascii="Arial" w:cs="Arial" w:eastAsia="Arial" w:hAnsi="Arial"/>
          <w:sz w:val="18"/>
          <w:szCs w:val="18"/>
          <w:color w:val="auto"/>
        </w:rPr>
      </w:pPr>
    </w:p>
    <w:p>
      <w:pPr>
        <w:jc w:val="both"/>
        <w:ind w:left="540" w:right="200" w:firstLine="408"/>
        <w:spacing w:after="0" w:line="263" w:lineRule="auto"/>
        <w:tabs>
          <w:tab w:leader="none" w:pos="1226" w:val="left"/>
        </w:tabs>
        <w:numPr>
          <w:ilvl w:val="1"/>
          <w:numId w:val="222"/>
        </w:numPr>
        <w:rPr>
          <w:rFonts w:ascii="Arial" w:cs="Arial" w:eastAsia="Arial" w:hAnsi="Arial"/>
          <w:sz w:val="18"/>
          <w:szCs w:val="18"/>
          <w:color w:val="auto"/>
        </w:rPr>
      </w:pPr>
      <w:r>
        <w:rPr>
          <w:rFonts w:ascii="Arial" w:cs="Arial" w:eastAsia="Arial" w:hAnsi="Arial"/>
          <w:sz w:val="18"/>
          <w:szCs w:val="18"/>
          <w:color w:val="auto"/>
        </w:rPr>
        <w:t>with the proceeds of any sale or issuance of, or any capital contribution in respect of, the Capital Stock of the Borrower or any Parent Company that are Not Otherwise Applied (to the extent such proceeds are contributed in respect of Qualified Capital Stock to the Borrower or any Restricted Subsidiary); and/or</w:t>
      </w:r>
    </w:p>
    <w:p>
      <w:pPr>
        <w:spacing w:after="0" w:line="75" w:lineRule="exact"/>
        <w:rPr>
          <w:rFonts w:ascii="Arial" w:cs="Arial" w:eastAsia="Arial" w:hAnsi="Arial"/>
          <w:sz w:val="18"/>
          <w:szCs w:val="18"/>
          <w:color w:val="auto"/>
        </w:rPr>
      </w:pPr>
    </w:p>
    <w:p>
      <w:pPr>
        <w:ind w:left="1240" w:hanging="292"/>
        <w:spacing w:after="0"/>
        <w:tabs>
          <w:tab w:leader="none" w:pos="12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with the net proceeds of any key-man life insurance policy;</w:t>
      </w:r>
    </w:p>
    <w:p>
      <w:pPr>
        <w:spacing w:after="0" w:line="117" w:lineRule="exact"/>
        <w:rPr>
          <w:rFonts w:ascii="Arial" w:cs="Arial" w:eastAsia="Arial" w:hAnsi="Arial"/>
          <w:sz w:val="18"/>
          <w:szCs w:val="18"/>
          <w:color w:val="auto"/>
        </w:rPr>
      </w:pPr>
    </w:p>
    <w:p>
      <w:pPr>
        <w:ind w:right="40" w:firstLine="419"/>
        <w:spacing w:after="0" w:line="263" w:lineRule="auto"/>
        <w:tabs>
          <w:tab w:leader="none" w:pos="73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the Borrower may make Restricted Payments in an amount not to exceed (A) the portion, if any, of the Available Amount on such date that the Borrower elects to apply to this </w:t>
      </w:r>
      <w:r>
        <w:rPr>
          <w:rFonts w:ascii="Arial" w:cs="Arial" w:eastAsia="Arial" w:hAnsi="Arial"/>
          <w:sz w:val="18"/>
          <w:szCs w:val="18"/>
          <w:u w:val="single" w:color="auto"/>
          <w:color w:val="auto"/>
        </w:rPr>
        <w:t>clause (iii)(A)</w:t>
      </w:r>
      <w:r>
        <w:rPr>
          <w:rFonts w:ascii="Arial" w:cs="Arial" w:eastAsia="Arial" w:hAnsi="Arial"/>
          <w:sz w:val="18"/>
          <w:szCs w:val="18"/>
          <w:color w:val="auto"/>
        </w:rPr>
        <w:t xml:space="preserve"> and/or (B) the portion, if any, of the Available Excluded Contribution Amount on such date that the Borrower elects to apply to this </w:t>
      </w:r>
      <w:r>
        <w:rPr>
          <w:rFonts w:ascii="Arial" w:cs="Arial" w:eastAsia="Arial" w:hAnsi="Arial"/>
          <w:sz w:val="18"/>
          <w:szCs w:val="18"/>
          <w:u w:val="single" w:color="auto"/>
          <w:color w:val="auto"/>
        </w:rPr>
        <w:t>clause (iii)(B)</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720" w:hanging="301"/>
        <w:spacing w:after="0"/>
        <w:tabs>
          <w:tab w:leader="none" w:pos="7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Borrower may make Restricted Payments:</w:t>
      </w:r>
    </w:p>
    <w:p>
      <w:pPr>
        <w:spacing w:after="0" w:line="117" w:lineRule="exact"/>
        <w:rPr>
          <w:rFonts w:ascii="Arial" w:cs="Arial" w:eastAsia="Arial" w:hAnsi="Arial"/>
          <w:sz w:val="18"/>
          <w:szCs w:val="18"/>
          <w:color w:val="auto"/>
        </w:rPr>
      </w:pPr>
    </w:p>
    <w:p>
      <w:pPr>
        <w:ind w:left="540" w:right="320" w:firstLine="408"/>
        <w:spacing w:after="0" w:line="279" w:lineRule="auto"/>
        <w:tabs>
          <w:tab w:leader="none" w:pos="1236" w:val="left"/>
        </w:tabs>
        <w:numPr>
          <w:ilvl w:val="1"/>
          <w:numId w:val="222"/>
        </w:numPr>
        <w:rPr>
          <w:rFonts w:ascii="Arial" w:cs="Arial" w:eastAsia="Arial" w:hAnsi="Arial"/>
          <w:sz w:val="17"/>
          <w:szCs w:val="17"/>
          <w:color w:val="auto"/>
        </w:rPr>
      </w:pPr>
      <w:r>
        <w:rPr>
          <w:rFonts w:ascii="Arial" w:cs="Arial" w:eastAsia="Arial" w:hAnsi="Arial"/>
          <w:sz w:val="17"/>
          <w:szCs w:val="17"/>
          <w:color w:val="auto"/>
        </w:rPr>
        <w:t>to any Parent Company to enable such Parent Company to make Cash payments in lieu of the issuance of fractional shares in connection with any dividend, split or combination thereof in connection with any Investment permitted hereunder or the exercise or vesting of warrants, options, restricted stock units or similar incentive interests or other securities convertible into or exchangeable for Capital Stock of such Parent Company or otherwise to honor a conversion requested by a holder thereof or</w:t>
      </w:r>
    </w:p>
    <w:p>
      <w:pPr>
        <w:spacing w:after="0" w:line="63" w:lineRule="exact"/>
        <w:rPr>
          <w:rFonts w:ascii="Arial" w:cs="Arial" w:eastAsia="Arial" w:hAnsi="Arial"/>
          <w:sz w:val="17"/>
          <w:szCs w:val="17"/>
          <w:color w:val="auto"/>
        </w:rPr>
      </w:pPr>
    </w:p>
    <w:p>
      <w:pPr>
        <w:ind w:left="540" w:firstLine="408"/>
        <w:spacing w:after="0" w:line="272" w:lineRule="auto"/>
        <w:tabs>
          <w:tab w:leader="none" w:pos="1226" w:val="left"/>
        </w:tabs>
        <w:numPr>
          <w:ilvl w:val="1"/>
          <w:numId w:val="222"/>
        </w:numPr>
        <w:rPr>
          <w:rFonts w:ascii="Arial" w:cs="Arial" w:eastAsia="Arial" w:hAnsi="Arial"/>
          <w:sz w:val="17"/>
          <w:szCs w:val="17"/>
          <w:color w:val="auto"/>
        </w:rPr>
      </w:pPr>
      <w:r>
        <w:rPr>
          <w:rFonts w:ascii="Arial" w:cs="Arial" w:eastAsia="Arial" w:hAnsi="Arial"/>
          <w:sz w:val="17"/>
          <w:szCs w:val="17"/>
          <w:color w:val="auto"/>
        </w:rPr>
        <w:t xml:space="preserve">consisting of (1) payments made or expected to be made in respect of withholding or similar Taxes payable by any future, present or former officers, directors, employees, members of management, managers or consultants of the Borrower, any subsidiary of the Borrower or Parent Company or any of their respective Immediate Family Members, (2) payments or other adjustments to outstanding Capital Stock in accordance with any management equity plan, stock option plan or any other similar employee benefit or incentive plan, agreement or arrangement in connection with any Restricted Payment and/or (3) repurchases of Capital Stock in consideration of the payments described in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(2)</w:t>
      </w:r>
      <w:r>
        <w:rPr>
          <w:rFonts w:ascii="Arial" w:cs="Arial" w:eastAsia="Arial" w:hAnsi="Arial"/>
          <w:sz w:val="17"/>
          <w:szCs w:val="17"/>
          <w:color w:val="auto"/>
        </w:rPr>
        <w:t xml:space="preserve"> above, including demand repurchases, in connection with the exercise or vesting of stock options, restricted stock units or similar incentive interests;</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560"/>
          </w:cols>
          <w:pgMar w:left="880" w:top="274" w:right="459" w:bottom="1440" w:gutter="0" w:footer="0" w:header="0"/>
        </w:sectPr>
      </w:pPr>
    </w:p>
    <w:bookmarkStart w:id="150" w:name="page151"/>
    <w:bookmarkEnd w:id="150"/>
    <w:p>
      <w:pPr>
        <w:ind w:left="4" w:right="20" w:firstLine="419"/>
        <w:spacing w:after="0" w:line="259" w:lineRule="auto"/>
        <w:tabs>
          <w:tab w:leader="none" w:pos="681" w:val="left"/>
        </w:tabs>
        <w:numPr>
          <w:ilvl w:val="1"/>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may repurchase (or make Restricted Payments to any Parent Company to enable it to repurchase) Capital Stock upon the exercise of warrants, options or other securities convertible into or exchangeable for Capital Stock if such Capital Stock represents all or a portion of the exercise price of, or tax withholdings with respect to, such warrants, options or other securities convertible into or exchangeable for Capital Stock;</w:t>
      </w:r>
    </w:p>
    <w:p>
      <w:pPr>
        <w:spacing w:after="0" w:line="78" w:lineRule="exact"/>
        <w:rPr>
          <w:rFonts w:ascii="Arial" w:cs="Arial" w:eastAsia="Arial" w:hAnsi="Arial"/>
          <w:sz w:val="18"/>
          <w:szCs w:val="18"/>
          <w:color w:val="auto"/>
        </w:rPr>
      </w:pPr>
    </w:p>
    <w:p>
      <w:pPr>
        <w:ind w:left="724" w:hanging="301"/>
        <w:spacing w:after="0"/>
        <w:tabs>
          <w:tab w:leader="none" w:pos="724" w:val="left"/>
        </w:tabs>
        <w:numPr>
          <w:ilvl w:val="1"/>
          <w:numId w:val="223"/>
        </w:numPr>
        <w:rPr>
          <w:rFonts w:ascii="Arial" w:cs="Arial" w:eastAsia="Arial" w:hAnsi="Arial"/>
          <w:sz w:val="16"/>
          <w:szCs w:val="16"/>
          <w:color w:val="auto"/>
        </w:rPr>
      </w:pPr>
      <w:r>
        <w:rPr>
          <w:rFonts w:ascii="Arial" w:cs="Arial" w:eastAsia="Arial" w:hAnsi="Arial"/>
          <w:sz w:val="16"/>
          <w:szCs w:val="16"/>
          <w:color w:val="auto"/>
        </w:rPr>
        <w:t>the Borrower may make Restricted Payments, the proceeds of which are applied (A) to effect the consummation of the Transactions and</w:t>
      </w:r>
    </w:p>
    <w:p>
      <w:pPr>
        <w:spacing w:after="0" w:line="46" w:lineRule="exact"/>
        <w:rPr>
          <w:rFonts w:ascii="Arial" w:cs="Arial" w:eastAsia="Arial" w:hAnsi="Arial"/>
          <w:sz w:val="16"/>
          <w:szCs w:val="16"/>
          <w:color w:val="auto"/>
        </w:rPr>
      </w:pPr>
    </w:p>
    <w:p>
      <w:pPr>
        <w:ind w:left="284" w:hanging="284"/>
        <w:spacing w:after="0"/>
        <w:tabs>
          <w:tab w:leader="none" w:pos="28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to pay Transaction Costs;</w:t>
      </w:r>
    </w:p>
    <w:p>
      <w:pPr>
        <w:spacing w:after="0" w:line="102" w:lineRule="exact"/>
        <w:rPr>
          <w:rFonts w:ascii="Arial" w:cs="Arial" w:eastAsia="Arial" w:hAnsi="Arial"/>
          <w:sz w:val="18"/>
          <w:szCs w:val="18"/>
          <w:color w:val="auto"/>
        </w:rPr>
      </w:pPr>
    </w:p>
    <w:p>
      <w:pPr>
        <w:ind w:left="784" w:hanging="361"/>
        <w:spacing w:after="0"/>
        <w:tabs>
          <w:tab w:leader="none" w:pos="784" w:val="left"/>
        </w:tabs>
        <w:numPr>
          <w:ilvl w:val="1"/>
          <w:numId w:val="22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4" w:right="160" w:firstLine="419"/>
        <w:spacing w:after="0" w:line="291" w:lineRule="auto"/>
        <w:tabs>
          <w:tab w:leader="none" w:pos="831"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the Borrower may make Restricted Payments to (i) redeem, repurchase, retire or otherwise acquire any (A) Capital Stock (“</w:t>
      </w:r>
      <w:r>
        <w:rPr>
          <w:rFonts w:ascii="Arial" w:cs="Arial" w:eastAsia="Arial" w:hAnsi="Arial"/>
          <w:sz w:val="16"/>
          <w:szCs w:val="16"/>
          <w:u w:val="single" w:color="auto"/>
          <w:color w:val="auto"/>
        </w:rPr>
        <w:t>Treasury</w:t>
      </w:r>
      <w:r>
        <w:rPr>
          <w:rFonts w:ascii="Arial" w:cs="Arial" w:eastAsia="Arial" w:hAnsi="Arial"/>
          <w:sz w:val="16"/>
          <w:szCs w:val="16"/>
          <w:color w:val="auto"/>
        </w:rPr>
        <w:t xml:space="preserve"> </w:t>
      </w:r>
      <w:r>
        <w:rPr>
          <w:rFonts w:ascii="Arial" w:cs="Arial" w:eastAsia="Arial" w:hAnsi="Arial"/>
          <w:sz w:val="16"/>
          <w:szCs w:val="16"/>
          <w:u w:val="single" w:color="auto"/>
          <w:color w:val="auto"/>
        </w:rPr>
        <w:t>Capital Stock</w:t>
      </w:r>
      <w:r>
        <w:rPr>
          <w:rFonts w:ascii="Arial" w:cs="Arial" w:eastAsia="Arial" w:hAnsi="Arial"/>
          <w:sz w:val="16"/>
          <w:szCs w:val="16"/>
          <w:color w:val="auto"/>
        </w:rPr>
        <w:t xml:space="preserve">”) of the Borrower and/or any Restricted Subsidiary or (B) Capital Stock of any Parent Company, in the case of each of </w:t>
      </w:r>
      <w:r>
        <w:rPr>
          <w:rFonts w:ascii="Arial" w:cs="Arial" w:eastAsia="Arial" w:hAnsi="Arial"/>
          <w:sz w:val="16"/>
          <w:szCs w:val="16"/>
          <w:u w:val="single" w:color="auto"/>
          <w:color w:val="auto"/>
        </w:rPr>
        <w:t>subclauses</w:t>
      </w:r>
    </w:p>
    <w:p>
      <w:pPr>
        <w:ind w:left="4" w:right="140" w:hanging="4"/>
        <w:spacing w:after="0" w:line="271" w:lineRule="auto"/>
        <w:tabs>
          <w:tab w:leader="none" w:pos="298" w:val="left"/>
        </w:tabs>
        <w:numPr>
          <w:ilvl w:val="0"/>
          <w:numId w:val="225"/>
        </w:numPr>
        <w:rPr>
          <w:rFonts w:ascii="Arial" w:cs="Arial" w:eastAsia="Arial" w:hAnsi="Arial"/>
          <w:sz w:val="17"/>
          <w:szCs w:val="17"/>
          <w:u w:val="single" w:color="auto"/>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(B)</w:t>
      </w:r>
      <w:r>
        <w:rPr>
          <w:rFonts w:ascii="Arial" w:cs="Arial" w:eastAsia="Arial" w:hAnsi="Arial"/>
          <w:sz w:val="17"/>
          <w:szCs w:val="17"/>
          <w:color w:val="auto"/>
        </w:rPr>
        <w:t>, in exchange for, or out of the proceeds of the substantially concurrent sale (other than to the Borrower and/or any Restricted Subsidiary) of, Qualified Capital Stock of the Borrower or any Parent Company to the extent any such proceeds are contributed to the capital of the Borrower and/or any Restricted Subsidiary in respect of Qualified Capital Stock (“</w:t>
      </w:r>
      <w:r>
        <w:rPr>
          <w:rFonts w:ascii="Arial" w:cs="Arial" w:eastAsia="Arial" w:hAnsi="Arial"/>
          <w:sz w:val="17"/>
          <w:szCs w:val="17"/>
          <w:u w:val="single" w:color="auto"/>
          <w:color w:val="auto"/>
        </w:rPr>
        <w:t>Refunding Capital Stock</w:t>
      </w:r>
      <w:r>
        <w:rPr>
          <w:rFonts w:ascii="Arial" w:cs="Arial" w:eastAsia="Arial" w:hAnsi="Arial"/>
          <w:sz w:val="17"/>
          <w:szCs w:val="17"/>
          <w:color w:val="auto"/>
        </w:rPr>
        <w:t>”) to the extent such proceeds are Not Otherwise Applied and (ii) declare and pay dividends on any Treasury Capital Stock out of the proceeds of the substantially concurrent sale (other than to the Borrower or a Restricted Subsidiary) of any Refunding Capital Stock;</w:t>
      </w:r>
    </w:p>
    <w:p>
      <w:pPr>
        <w:spacing w:after="0" w:line="70" w:lineRule="exact"/>
        <w:rPr>
          <w:rFonts w:ascii="Arial" w:cs="Arial" w:eastAsia="Arial" w:hAnsi="Arial"/>
          <w:sz w:val="17"/>
          <w:szCs w:val="17"/>
          <w:u w:val="single" w:color="auto"/>
          <w:color w:val="auto"/>
        </w:rPr>
      </w:pPr>
    </w:p>
    <w:p>
      <w:pPr>
        <w:ind w:left="4" w:right="220" w:firstLine="419"/>
        <w:spacing w:after="0" w:line="308" w:lineRule="auto"/>
        <w:tabs>
          <w:tab w:leader="none" w:pos="731" w:val="left"/>
        </w:tabs>
        <w:numPr>
          <w:ilvl w:val="1"/>
          <w:numId w:val="225"/>
        </w:numPr>
        <w:rPr>
          <w:rFonts w:ascii="Arial" w:cs="Arial" w:eastAsia="Arial" w:hAnsi="Arial"/>
          <w:sz w:val="17"/>
          <w:szCs w:val="17"/>
          <w:color w:val="auto"/>
        </w:rPr>
      </w:pPr>
      <w:r>
        <w:rPr>
          <w:rFonts w:ascii="Arial" w:cs="Arial" w:eastAsia="Arial" w:hAnsi="Arial"/>
          <w:sz w:val="17"/>
          <w:szCs w:val="17"/>
          <w:color w:val="auto"/>
        </w:rPr>
        <w:t xml:space="preserve">to the extent constituting a Restricted Payment, the Borrower may consummate any transaction permitted by </w:t>
      </w:r>
      <w:r>
        <w:rPr>
          <w:rFonts w:ascii="Arial" w:cs="Arial" w:eastAsia="Arial" w:hAnsi="Arial"/>
          <w:sz w:val="17"/>
          <w:szCs w:val="17"/>
          <w:u w:val="single" w:color="auto"/>
          <w:color w:val="auto"/>
        </w:rPr>
        <w:t>Section 5.16</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Sections 5.16(d)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(j)</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Sections 6.06(j)</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(t)</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6.07(g)</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4" w:right="120" w:firstLine="419"/>
        <w:spacing w:after="0" w:line="277" w:lineRule="auto"/>
        <w:tabs>
          <w:tab w:leader="none" w:pos="681" w:val="left"/>
        </w:tabs>
        <w:numPr>
          <w:ilvl w:val="1"/>
          <w:numId w:val="225"/>
        </w:numPr>
        <w:rPr>
          <w:rFonts w:ascii="Arial" w:cs="Arial" w:eastAsia="Arial" w:hAnsi="Arial"/>
          <w:sz w:val="18"/>
          <w:szCs w:val="18"/>
          <w:color w:val="auto"/>
        </w:rPr>
      </w:pPr>
      <w:r>
        <w:rPr>
          <w:rFonts w:ascii="Arial" w:cs="Arial" w:eastAsia="Arial" w:hAnsi="Arial"/>
          <w:sz w:val="18"/>
          <w:szCs w:val="18"/>
          <w:color w:val="auto"/>
        </w:rPr>
        <w:t>so long as no Event of Default exists, the Borrower may make Restricted Payments in an aggregate amount not to exceed the greater of $30,000,000 and 35% of Consolidated Adjusted EBITDA as of the last day of the most recently ended Test Period;</w:t>
      </w:r>
    </w:p>
    <w:p>
      <w:pPr>
        <w:spacing w:after="0" w:line="62" w:lineRule="exact"/>
        <w:rPr>
          <w:rFonts w:ascii="Arial" w:cs="Arial" w:eastAsia="Arial" w:hAnsi="Arial"/>
          <w:sz w:val="18"/>
          <w:szCs w:val="18"/>
          <w:color w:val="auto"/>
        </w:rPr>
      </w:pPr>
    </w:p>
    <w:p>
      <w:pPr>
        <w:ind w:left="4" w:right="80" w:firstLine="419"/>
        <w:spacing w:after="0" w:line="277" w:lineRule="auto"/>
        <w:tabs>
          <w:tab w:leader="none" w:pos="731" w:val="left"/>
        </w:tabs>
        <w:numPr>
          <w:ilvl w:val="1"/>
          <w:numId w:val="225"/>
        </w:numPr>
        <w:rPr>
          <w:rFonts w:ascii="Arial" w:cs="Arial" w:eastAsia="Arial" w:hAnsi="Arial"/>
          <w:sz w:val="18"/>
          <w:szCs w:val="18"/>
          <w:color w:val="auto"/>
        </w:rPr>
      </w:pPr>
      <w:r>
        <w:rPr>
          <w:rFonts w:ascii="Arial" w:cs="Arial" w:eastAsia="Arial" w:hAnsi="Arial"/>
          <w:sz w:val="18"/>
          <w:szCs w:val="18"/>
          <w:color w:val="auto"/>
        </w:rPr>
        <w:t>so long as no Event of Default exists, the Borrower may make Restricted Payments so long as the Total Net Leverage Ratio, calculated on a Pro Forma Basis, would not exceed 2.25:1.00 as of the last day of the most recently ended Test Period;</w:t>
      </w:r>
    </w:p>
    <w:p>
      <w:pPr>
        <w:spacing w:after="0" w:line="62" w:lineRule="exact"/>
        <w:rPr>
          <w:rFonts w:ascii="Arial" w:cs="Arial" w:eastAsia="Arial" w:hAnsi="Arial"/>
          <w:sz w:val="18"/>
          <w:szCs w:val="18"/>
          <w:color w:val="auto"/>
        </w:rPr>
      </w:pPr>
    </w:p>
    <w:p>
      <w:pPr>
        <w:ind w:left="4" w:right="580" w:firstLine="419"/>
        <w:spacing w:after="0" w:line="277" w:lineRule="auto"/>
        <w:tabs>
          <w:tab w:leader="none" w:pos="781"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Borrower may declare and make dividend payments or other Restricted Payments payable solely in the Capital Stock of the Borrower or of any Parent Company;</w:t>
      </w:r>
    </w:p>
    <w:p>
      <w:pPr>
        <w:spacing w:after="0" w:line="62" w:lineRule="exact"/>
        <w:rPr>
          <w:rFonts w:ascii="Arial" w:cs="Arial" w:eastAsia="Arial" w:hAnsi="Arial"/>
          <w:sz w:val="18"/>
          <w:szCs w:val="18"/>
          <w:color w:val="auto"/>
        </w:rPr>
      </w:pPr>
    </w:p>
    <w:p>
      <w:pPr>
        <w:ind w:left="4" w:right="20" w:firstLine="419"/>
        <w:spacing w:after="0" w:line="263" w:lineRule="auto"/>
        <w:tabs>
          <w:tab w:leader="none" w:pos="831"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the Borrower may make Restricted Payments (other than in the form of Cash and Cash Equivalents) in connection with and/or relating to any internal reorganization or restructuring activities (including related to tax planning);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activities do not result in any Capital Stock of the Borrower becoming an Excluded Asset;</w:t>
      </w:r>
    </w:p>
    <w:p>
      <w:pPr>
        <w:spacing w:after="0" w:line="75" w:lineRule="exact"/>
        <w:rPr>
          <w:rFonts w:ascii="Arial" w:cs="Arial" w:eastAsia="Arial" w:hAnsi="Arial"/>
          <w:sz w:val="18"/>
          <w:szCs w:val="18"/>
          <w:color w:val="auto"/>
        </w:rPr>
      </w:pPr>
    </w:p>
    <w:p>
      <w:pPr>
        <w:ind w:left="4" w:right="640" w:firstLine="419"/>
        <w:spacing w:after="0" w:line="277" w:lineRule="auto"/>
        <w:tabs>
          <w:tab w:leader="none" w:pos="821"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the Borrower may make payments or distributions to satisfy dissenters’ or appraisal rights, pursuant to or in connection with a consolidation, amalgamation, merger or transfer of assets that complies with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64" w:hanging="341"/>
        <w:spacing w:after="0"/>
        <w:tabs>
          <w:tab w:leader="none" w:pos="764" w:val="left"/>
        </w:tabs>
        <w:numPr>
          <w:ilvl w:val="1"/>
          <w:numId w:val="22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824" w:hanging="401"/>
        <w:spacing w:after="0"/>
        <w:tabs>
          <w:tab w:leader="none" w:pos="824" w:val="left"/>
        </w:tabs>
        <w:numPr>
          <w:ilvl w:val="1"/>
          <w:numId w:val="225"/>
        </w:numPr>
        <w:rPr>
          <w:rFonts w:ascii="Arial" w:cs="Arial" w:eastAsia="Arial" w:hAnsi="Arial"/>
          <w:sz w:val="18"/>
          <w:szCs w:val="18"/>
          <w:color w:val="auto"/>
        </w:rPr>
      </w:pPr>
      <w:r>
        <w:rPr>
          <w:rFonts w:ascii="Arial" w:cs="Arial" w:eastAsia="Arial" w:hAnsi="Arial"/>
          <w:sz w:val="18"/>
          <w:szCs w:val="18"/>
          <w:color w:val="auto"/>
        </w:rPr>
        <w:t>[reserved]; and/or</w:t>
      </w:r>
    </w:p>
    <w:p>
      <w:pPr>
        <w:spacing w:after="0" w:line="117" w:lineRule="exact"/>
        <w:rPr>
          <w:rFonts w:ascii="Arial" w:cs="Arial" w:eastAsia="Arial" w:hAnsi="Arial"/>
          <w:sz w:val="18"/>
          <w:szCs w:val="18"/>
          <w:color w:val="auto"/>
        </w:rPr>
      </w:pPr>
    </w:p>
    <w:p>
      <w:pPr>
        <w:ind w:left="4" w:right="280" w:firstLine="419"/>
        <w:spacing w:after="0" w:line="279" w:lineRule="auto"/>
        <w:tabs>
          <w:tab w:leader="none" w:pos="871" w:val="left"/>
        </w:tabs>
        <w:numPr>
          <w:ilvl w:val="1"/>
          <w:numId w:val="225"/>
        </w:numPr>
        <w:rPr>
          <w:rFonts w:ascii="Arial" w:cs="Arial" w:eastAsia="Arial" w:hAnsi="Arial"/>
          <w:sz w:val="17"/>
          <w:szCs w:val="17"/>
          <w:color w:val="auto"/>
        </w:rPr>
      </w:pPr>
      <w:r>
        <w:rPr>
          <w:rFonts w:ascii="Arial" w:cs="Arial" w:eastAsia="Arial" w:hAnsi="Arial"/>
          <w:sz w:val="17"/>
          <w:szCs w:val="17"/>
          <w:color w:val="auto"/>
        </w:rPr>
        <w:t>any payment in connection with (or to allow the Parent to make any payment in connection with) (A) any Permitted Bond Hedge Transaction and/or (B) the settlement of any Permitted Warrant Transaction by (1) delivery of shares of the Parent’s common equity upon settlement thereof or (2) by (x) set-off against the related Permitted Bond Hedge Transaction or (y) payment of an early termination amount in common equity upon any early termination thereof, in each case, shall be permitted.</w:t>
      </w:r>
    </w:p>
    <w:p>
      <w:pPr>
        <w:spacing w:after="0" w:line="104"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524"/>
          </w:cols>
          <w:pgMar w:left="876" w:top="274" w:right="499" w:bottom="1440" w:gutter="0" w:footer="0" w:header="0"/>
        </w:sectPr>
      </w:pPr>
    </w:p>
    <w:bookmarkStart w:id="151" w:name="page152"/>
    <w:bookmarkEnd w:id="15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 is understood and agreed that, for purposes of this </w:t>
      </w:r>
      <w:r>
        <w:rPr>
          <w:rFonts w:ascii="Arial" w:cs="Arial" w:eastAsia="Arial" w:hAnsi="Arial"/>
          <w:sz w:val="18"/>
          <w:szCs w:val="18"/>
          <w:u w:val="single" w:color="auto"/>
          <w:color w:val="auto"/>
        </w:rPr>
        <w:t>Section 6.04(a)</w:t>
      </w:r>
      <w:r>
        <w:rPr>
          <w:rFonts w:ascii="Arial" w:cs="Arial" w:eastAsia="Arial" w:hAnsi="Arial"/>
          <w:sz w:val="18"/>
          <w:szCs w:val="18"/>
          <w:color w:val="auto"/>
        </w:rPr>
        <w:t>, any determination of the value of any asset other than Cash shall be made by the Borrower in good faith.</w:t>
      </w:r>
    </w:p>
    <w:p>
      <w:pPr>
        <w:spacing w:after="0" w:line="62" w:lineRule="exact"/>
        <w:rPr>
          <w:sz w:val="20"/>
          <w:szCs w:val="20"/>
          <w:color w:val="auto"/>
        </w:rPr>
      </w:pPr>
    </w:p>
    <w:p>
      <w:pPr>
        <w:ind w:right="60" w:firstLine="436"/>
        <w:spacing w:after="0" w:line="259" w:lineRule="auto"/>
        <w:tabs>
          <w:tab w:leader="none" w:pos="69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Borrower shall not, nor shall it permit any Restricted Subsidiary to make any voluntary prepayment in respect of principal outstanding of Restricted Debt, including any sinking fund or similar deposit, on account of the voluntary prepayment, repurchase, purchase, redemption, retirement, acquisition, cancellation or termination of any Restricted Debt, in each case, more than one year prior to the scheduled maturity date thereof (collectively, “</w:t>
      </w:r>
      <w:r>
        <w:rPr>
          <w:rFonts w:ascii="Arial" w:cs="Arial" w:eastAsia="Arial" w:hAnsi="Arial"/>
          <w:sz w:val="18"/>
          <w:szCs w:val="18"/>
          <w:u w:val="single" w:color="auto"/>
          <w:color w:val="auto"/>
        </w:rPr>
        <w:t>Restricted Debt Payments</w:t>
      </w:r>
      <w:r>
        <w:rPr>
          <w:rFonts w:ascii="Arial" w:cs="Arial" w:eastAsia="Arial" w:hAnsi="Arial"/>
          <w:sz w:val="18"/>
          <w:szCs w:val="18"/>
          <w:color w:val="auto"/>
        </w:rPr>
        <w:t>”), except:</w:t>
      </w:r>
    </w:p>
    <w:p>
      <w:pPr>
        <w:spacing w:after="0" w:line="78" w:lineRule="exact"/>
        <w:rPr>
          <w:rFonts w:ascii="Arial" w:cs="Arial" w:eastAsia="Arial" w:hAnsi="Arial"/>
          <w:sz w:val="18"/>
          <w:szCs w:val="18"/>
          <w:color w:val="auto"/>
        </w:rPr>
      </w:pPr>
    </w:p>
    <w:p>
      <w:pPr>
        <w:ind w:left="440" w:right="40" w:firstLine="419"/>
        <w:spacing w:after="0" w:line="308" w:lineRule="auto"/>
        <w:tabs>
          <w:tab w:leader="none" w:pos="1078" w:val="left"/>
        </w:tabs>
        <w:numPr>
          <w:ilvl w:val="1"/>
          <w:numId w:val="226"/>
        </w:numPr>
        <w:rPr>
          <w:rFonts w:ascii="Arial" w:cs="Arial" w:eastAsia="Arial" w:hAnsi="Arial"/>
          <w:sz w:val="17"/>
          <w:szCs w:val="17"/>
          <w:color w:val="auto"/>
        </w:rPr>
      </w:pPr>
      <w:r>
        <w:rPr>
          <w:rFonts w:ascii="Arial" w:cs="Arial" w:eastAsia="Arial" w:hAnsi="Arial"/>
          <w:sz w:val="17"/>
          <w:szCs w:val="17"/>
          <w:color w:val="auto"/>
        </w:rPr>
        <w:t xml:space="preserve">with respect to any purchase, defeasance, redemption, refinancing repurchase, repayment or other acquisition or retirement thereof made by exchange for, or out of the proceeds of, Indebtedness permitted by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that constitutes Restricted Debt;</w:t>
      </w:r>
    </w:p>
    <w:p>
      <w:pPr>
        <w:spacing w:after="0" w:line="38" w:lineRule="exact"/>
        <w:rPr>
          <w:rFonts w:ascii="Arial" w:cs="Arial" w:eastAsia="Arial" w:hAnsi="Arial"/>
          <w:sz w:val="17"/>
          <w:szCs w:val="17"/>
          <w:color w:val="auto"/>
        </w:rPr>
      </w:pPr>
    </w:p>
    <w:p>
      <w:pPr>
        <w:ind w:left="1120" w:hanging="261"/>
        <w:spacing w:after="0"/>
        <w:tabs>
          <w:tab w:leader="none" w:pos="11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as part of an applicable high yield discount obligation catch-up payment;</w:t>
      </w:r>
    </w:p>
    <w:p>
      <w:pPr>
        <w:spacing w:after="0" w:line="117" w:lineRule="exact"/>
        <w:rPr>
          <w:rFonts w:ascii="Arial" w:cs="Arial" w:eastAsia="Arial" w:hAnsi="Arial"/>
          <w:sz w:val="18"/>
          <w:szCs w:val="18"/>
          <w:color w:val="auto"/>
        </w:rPr>
      </w:pPr>
    </w:p>
    <w:p>
      <w:pPr>
        <w:jc w:val="both"/>
        <w:ind w:left="440" w:firstLine="419"/>
        <w:spacing w:after="0" w:line="342" w:lineRule="auto"/>
        <w:tabs>
          <w:tab w:leader="none" w:pos="1178" w:val="left"/>
        </w:tabs>
        <w:numPr>
          <w:ilvl w:val="1"/>
          <w:numId w:val="226"/>
        </w:numPr>
        <w:rPr>
          <w:rFonts w:ascii="Arial" w:cs="Arial" w:eastAsia="Arial" w:hAnsi="Arial"/>
          <w:sz w:val="16"/>
          <w:szCs w:val="16"/>
          <w:color w:val="auto"/>
        </w:rPr>
      </w:pPr>
      <w:r>
        <w:rPr>
          <w:rFonts w:ascii="Arial" w:cs="Arial" w:eastAsia="Arial" w:hAnsi="Arial"/>
          <w:sz w:val="16"/>
          <w:szCs w:val="16"/>
          <w:color w:val="auto"/>
        </w:rPr>
        <w:t>payments of regularly scheduled principal or regularly scheduled interest (including any penalty interest, if applicable) and payments of fees, expenses and indemnification obligations as and when due (other than payments that are prohibited by the subordination provisions thereof);</w:t>
      </w:r>
    </w:p>
    <w:p>
      <w:pPr>
        <w:spacing w:after="0" w:line="15" w:lineRule="exact"/>
        <w:rPr>
          <w:rFonts w:ascii="Arial" w:cs="Arial" w:eastAsia="Arial" w:hAnsi="Arial"/>
          <w:sz w:val="16"/>
          <w:szCs w:val="16"/>
          <w:color w:val="auto"/>
        </w:rPr>
      </w:pPr>
    </w:p>
    <w:p>
      <w:pPr>
        <w:ind w:left="440" w:firstLine="419"/>
        <w:spacing w:after="0" w:line="301" w:lineRule="auto"/>
        <w:tabs>
          <w:tab w:leader="none" w:pos="1168" w:val="left"/>
        </w:tabs>
        <w:numPr>
          <w:ilvl w:val="1"/>
          <w:numId w:val="226"/>
        </w:numPr>
        <w:rPr>
          <w:rFonts w:ascii="Arial" w:cs="Arial" w:eastAsia="Arial" w:hAnsi="Arial"/>
          <w:sz w:val="16"/>
          <w:szCs w:val="16"/>
          <w:color w:val="auto"/>
        </w:rPr>
      </w:pPr>
      <w:r>
        <w:rPr>
          <w:rFonts w:ascii="Arial" w:cs="Arial" w:eastAsia="Arial" w:hAnsi="Arial"/>
          <w:sz w:val="16"/>
          <w:szCs w:val="16"/>
          <w:color w:val="auto"/>
        </w:rPr>
        <w:t xml:space="preserve">so long as no Event of Default exists, Restricted Debt Payments in an aggregate amount not to exceed (A) the greater of $30,000,000 and 35% of Consolidated Adjusted EBITDA as of the last day of the most recently ended Test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at the election of the Borrower, the amount of Restricted Payments then permitted to be made by the Borrower in reliance on </w:t>
      </w:r>
      <w:r>
        <w:rPr>
          <w:rFonts w:ascii="Arial" w:cs="Arial" w:eastAsia="Arial" w:hAnsi="Arial"/>
          <w:sz w:val="16"/>
          <w:szCs w:val="16"/>
          <w:u w:val="single" w:color="auto"/>
          <w:color w:val="auto"/>
        </w:rPr>
        <w:t>Section 6.04(a)(x)</w:t>
      </w:r>
      <w:r>
        <w:rPr>
          <w:rFonts w:ascii="Arial" w:cs="Arial" w:eastAsia="Arial" w:hAnsi="Arial"/>
          <w:sz w:val="16"/>
          <w:szCs w:val="16"/>
          <w:color w:val="auto"/>
        </w:rPr>
        <w:t xml:space="preserve"> (it being understood that any amount utilized under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to make a Restricted Debt Payment shall result in a reduction in the amount available under </w:t>
      </w:r>
      <w:r>
        <w:rPr>
          <w:rFonts w:ascii="Arial" w:cs="Arial" w:eastAsia="Arial" w:hAnsi="Arial"/>
          <w:sz w:val="16"/>
          <w:szCs w:val="16"/>
          <w:u w:val="single" w:color="auto"/>
          <w:color w:val="auto"/>
        </w:rPr>
        <w:t>Section 6.04(a)(x)</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440" w:firstLine="419"/>
        <w:spacing w:after="0" w:line="275" w:lineRule="auto"/>
        <w:tabs>
          <w:tab w:leader="none" w:pos="1118" w:val="left"/>
        </w:tabs>
        <w:numPr>
          <w:ilvl w:val="1"/>
          <w:numId w:val="226"/>
        </w:numPr>
        <w:rPr>
          <w:rFonts w:ascii="Arial" w:cs="Arial" w:eastAsia="Arial" w:hAnsi="Arial"/>
          <w:sz w:val="17"/>
          <w:szCs w:val="17"/>
          <w:color w:val="auto"/>
        </w:rPr>
      </w:pPr>
      <w:r>
        <w:rPr>
          <w:rFonts w:ascii="Arial" w:cs="Arial" w:eastAsia="Arial" w:hAnsi="Arial"/>
          <w:sz w:val="17"/>
          <w:szCs w:val="17"/>
          <w:color w:val="auto"/>
        </w:rPr>
        <w:t xml:space="preserve">(A) Restricted Debt Payments in exchange for, or with proceeds of any issuance of, Capital Stock of any Parent Company or Qualified Capital Stock of the Borrower and/or any capital contribution in respect of Qualified Capital Stock of the Borrower, in each case, that are Not Otherwise Applied, (B) Restricted Debt Payments as a result of the conversion of all or any portion of any Restricted Debt into Qualified Capital Stock of the Borrower or the Capital Stock of any Parent Company and (C) to the extent constituting a Restricted Debt Payment, payment-in-kind interest with respect to any Restricted Debt that is permitted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440" w:firstLine="419"/>
        <w:spacing w:after="0" w:line="263" w:lineRule="auto"/>
        <w:tabs>
          <w:tab w:leader="none" w:pos="1168" w:val="left"/>
        </w:tabs>
        <w:numPr>
          <w:ilvl w:val="1"/>
          <w:numId w:val="226"/>
        </w:numPr>
        <w:rPr>
          <w:rFonts w:ascii="Arial" w:cs="Arial" w:eastAsia="Arial" w:hAnsi="Arial"/>
          <w:sz w:val="18"/>
          <w:szCs w:val="18"/>
          <w:color w:val="auto"/>
        </w:rPr>
      </w:pPr>
      <w:r>
        <w:rPr>
          <w:rFonts w:ascii="Arial" w:cs="Arial" w:eastAsia="Arial" w:hAnsi="Arial"/>
          <w:sz w:val="18"/>
          <w:szCs w:val="18"/>
          <w:color w:val="auto"/>
        </w:rPr>
        <w:t xml:space="preserve">Restricted Debt Payments in an aggregate amount not to exceed (A) the portion, if any, of the Available Amount on such date that the Borrower elects to apply to this </w:t>
      </w:r>
      <w:r>
        <w:rPr>
          <w:rFonts w:ascii="Arial" w:cs="Arial" w:eastAsia="Arial" w:hAnsi="Arial"/>
          <w:sz w:val="18"/>
          <w:szCs w:val="18"/>
          <w:u w:val="single" w:color="auto"/>
          <w:color w:val="auto"/>
        </w:rPr>
        <w:t>clause (vi)(A)</w:t>
      </w:r>
      <w:r>
        <w:rPr>
          <w:rFonts w:ascii="Arial" w:cs="Arial" w:eastAsia="Arial" w:hAnsi="Arial"/>
          <w:sz w:val="18"/>
          <w:szCs w:val="18"/>
          <w:color w:val="auto"/>
        </w:rPr>
        <w:t xml:space="preserve"> and/or (B) the portion, if any, of the Available Excluded Contribution Amount on such date that the Borrower elects to apply to this </w:t>
      </w:r>
      <w:r>
        <w:rPr>
          <w:rFonts w:ascii="Arial" w:cs="Arial" w:eastAsia="Arial" w:hAnsi="Arial"/>
          <w:sz w:val="18"/>
          <w:szCs w:val="18"/>
          <w:u w:val="single" w:color="auto"/>
          <w:color w:val="auto"/>
        </w:rPr>
        <w:t>clause (vi)(B)</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0" w:right="80" w:firstLine="419"/>
        <w:spacing w:after="0" w:line="263" w:lineRule="auto"/>
        <w:tabs>
          <w:tab w:leader="none" w:pos="1218" w:val="left"/>
        </w:tabs>
        <w:numPr>
          <w:ilvl w:val="1"/>
          <w:numId w:val="226"/>
        </w:numPr>
        <w:rPr>
          <w:rFonts w:ascii="Arial" w:cs="Arial" w:eastAsia="Arial" w:hAnsi="Arial"/>
          <w:sz w:val="18"/>
          <w:szCs w:val="18"/>
          <w:color w:val="auto"/>
        </w:rPr>
      </w:pPr>
      <w:r>
        <w:rPr>
          <w:rFonts w:ascii="Arial" w:cs="Arial" w:eastAsia="Arial" w:hAnsi="Arial"/>
          <w:sz w:val="18"/>
          <w:szCs w:val="18"/>
          <w:color w:val="auto"/>
        </w:rPr>
        <w:t xml:space="preserve">so long as no Event of Default exists, Restricted Debt Payments in an unlimited amount; </w:t>
      </w:r>
      <w:r>
        <w:rPr>
          <w:rFonts w:ascii="Arial" w:cs="Arial" w:eastAsia="Arial" w:hAnsi="Arial"/>
          <w:sz w:val="18"/>
          <w:szCs w:val="18"/>
          <w:u w:val="single" w:color="auto"/>
          <w:color w:val="auto"/>
        </w:rPr>
        <w:t>provided</w:t>
      </w:r>
      <w:r>
        <w:rPr>
          <w:rFonts w:ascii="Arial" w:cs="Arial" w:eastAsia="Arial" w:hAnsi="Arial"/>
          <w:sz w:val="18"/>
          <w:szCs w:val="18"/>
          <w:color w:val="auto"/>
        </w:rPr>
        <w:t>, that after giving effect thereto the Total Net Leverage Ratio, calculated on a Pro Forma Basis, would not exceed 2.50:1.00 as of the last day of the most recently ended Test Period; and/or</w:t>
      </w:r>
    </w:p>
    <w:p>
      <w:pPr>
        <w:spacing w:after="0" w:line="75" w:lineRule="exact"/>
        <w:rPr>
          <w:rFonts w:ascii="Arial" w:cs="Arial" w:eastAsia="Arial" w:hAnsi="Arial"/>
          <w:sz w:val="18"/>
          <w:szCs w:val="18"/>
          <w:color w:val="auto"/>
        </w:rPr>
      </w:pPr>
    </w:p>
    <w:p>
      <w:pPr>
        <w:jc w:val="both"/>
        <w:ind w:left="440" w:right="60" w:firstLine="419"/>
        <w:spacing w:after="0" w:line="263" w:lineRule="auto"/>
        <w:tabs>
          <w:tab w:leader="none" w:pos="1268" w:val="left"/>
        </w:tabs>
        <w:numPr>
          <w:ilvl w:val="1"/>
          <w:numId w:val="226"/>
        </w:numPr>
        <w:rPr>
          <w:rFonts w:ascii="Arial" w:cs="Arial" w:eastAsia="Arial" w:hAnsi="Arial"/>
          <w:sz w:val="18"/>
          <w:szCs w:val="18"/>
          <w:color w:val="auto"/>
        </w:rPr>
      </w:pPr>
      <w:r>
        <w:rPr>
          <w:rFonts w:ascii="Arial" w:cs="Arial" w:eastAsia="Arial" w:hAnsi="Arial"/>
          <w:sz w:val="18"/>
          <w:szCs w:val="18"/>
          <w:color w:val="auto"/>
        </w:rPr>
        <w:t xml:space="preserve">mandatory prepayments of Restricted Debt (and related payments of interest) made with Declined Proceeds (it being understood that any Declined Proceeds applied to make Restricted Debt Payments in reliance on this </w:t>
      </w:r>
      <w:r>
        <w:rPr>
          <w:rFonts w:ascii="Arial" w:cs="Arial" w:eastAsia="Arial" w:hAnsi="Arial"/>
          <w:sz w:val="18"/>
          <w:szCs w:val="18"/>
          <w:u w:val="single" w:color="auto"/>
          <w:color w:val="auto"/>
        </w:rPr>
        <w:t>Section 6.04(b)(viii)</w:t>
      </w:r>
      <w:r>
        <w:rPr>
          <w:rFonts w:ascii="Arial" w:cs="Arial" w:eastAsia="Arial" w:hAnsi="Arial"/>
          <w:sz w:val="18"/>
          <w:szCs w:val="18"/>
          <w:color w:val="auto"/>
        </w:rPr>
        <w:t xml:space="preserve"> shall not increase the amount available under </w:t>
      </w:r>
      <w:r>
        <w:rPr>
          <w:rFonts w:ascii="Arial" w:cs="Arial" w:eastAsia="Arial" w:hAnsi="Arial"/>
          <w:sz w:val="18"/>
          <w:szCs w:val="18"/>
          <w:u w:val="single" w:color="auto"/>
          <w:color w:val="auto"/>
        </w:rPr>
        <w:t>clause (a)(ix)</w:t>
      </w:r>
      <w:r>
        <w:rPr>
          <w:rFonts w:ascii="Arial" w:cs="Arial" w:eastAsia="Arial" w:hAnsi="Arial"/>
          <w:sz w:val="18"/>
          <w:szCs w:val="18"/>
          <w:color w:val="auto"/>
        </w:rPr>
        <w:t xml:space="preserve"> of the definition of “Available Amount” to the extent so applied).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940"/>
          </w:cols>
          <w:pgMar w:left="440" w:top="274" w:right="519" w:bottom="1440" w:gutter="0" w:footer="0" w:header="0"/>
        </w:sectPr>
      </w:pPr>
    </w:p>
    <w:bookmarkStart w:id="152" w:name="page153"/>
    <w:bookmarkEnd w:id="152"/>
    <w:p>
      <w:pPr>
        <w:ind w:right="6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6.05. </w:t>
      </w:r>
      <w:r>
        <w:rPr>
          <w:rFonts w:ascii="Arial" w:cs="Arial" w:eastAsia="Arial" w:hAnsi="Arial"/>
          <w:sz w:val="18"/>
          <w:szCs w:val="18"/>
          <w:u w:val="single" w:color="auto"/>
          <w:color w:val="auto"/>
        </w:rPr>
        <w:t>Burdensome Agreements</w:t>
      </w:r>
      <w:r>
        <w:rPr>
          <w:rFonts w:ascii="Arial" w:cs="Arial" w:eastAsia="Arial" w:hAnsi="Arial"/>
          <w:sz w:val="18"/>
          <w:szCs w:val="18"/>
          <w:color w:val="auto"/>
        </w:rPr>
        <w:t xml:space="preserve">. Except as provided herein or in any other Loan Document, any document with respect to any Incremental Equivalent Debt and/or in any agreement with respect to any refinancing, renewal or replacement of any such Indebtedness that is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the Borrower shall not, nor shall it permit any of its Restricted Subsidiaries to, enter into or cause to exist any agreement (any such agreement, a “</w:t>
      </w:r>
      <w:r>
        <w:rPr>
          <w:rFonts w:ascii="Arial" w:cs="Arial" w:eastAsia="Arial" w:hAnsi="Arial"/>
          <w:sz w:val="18"/>
          <w:szCs w:val="18"/>
          <w:u w:val="single" w:color="auto"/>
          <w:color w:val="auto"/>
        </w:rPr>
        <w:t>Burdensome Agreement</w:t>
      </w:r>
      <w:r>
        <w:rPr>
          <w:rFonts w:ascii="Arial" w:cs="Arial" w:eastAsia="Arial" w:hAnsi="Arial"/>
          <w:sz w:val="18"/>
          <w:szCs w:val="18"/>
          <w:color w:val="auto"/>
        </w:rPr>
        <w:t>”) restricting the ability of any Loan Party to create, permit or grant a Lien on any of its properties or assets to secure the Secured Obligations (after giving effect to the applicable anti-assignment provisions of the UCC and/or any other applicable Requirement of Law), except restrictions:</w:t>
      </w:r>
    </w:p>
    <w:p>
      <w:pPr>
        <w:spacing w:after="0" w:line="84" w:lineRule="exact"/>
        <w:rPr>
          <w:sz w:val="20"/>
          <w:szCs w:val="20"/>
          <w:color w:val="auto"/>
        </w:rPr>
      </w:pPr>
    </w:p>
    <w:p>
      <w:pPr>
        <w:ind w:right="200" w:firstLine="436"/>
        <w:spacing w:after="0" w:line="307" w:lineRule="auto"/>
        <w:tabs>
          <w:tab w:leader="none" w:pos="685" w:val="left"/>
        </w:tabs>
        <w:numPr>
          <w:ilvl w:val="0"/>
          <w:numId w:val="227"/>
        </w:numPr>
        <w:rPr>
          <w:rFonts w:ascii="Arial" w:cs="Arial" w:eastAsia="Arial" w:hAnsi="Arial"/>
          <w:sz w:val="15"/>
          <w:szCs w:val="15"/>
          <w:color w:val="auto"/>
        </w:rPr>
      </w:pPr>
      <w:r>
        <w:rPr>
          <w:rFonts w:ascii="Arial" w:cs="Arial" w:eastAsia="Arial" w:hAnsi="Arial"/>
          <w:sz w:val="15"/>
          <w:szCs w:val="15"/>
          <w:color w:val="auto"/>
        </w:rPr>
        <w:t xml:space="preserve">set forth in any agreement governing (i) Indebtedness of a Restricted Subsidiary that is not a Loan Party permitted by </w:t>
      </w:r>
      <w:r>
        <w:rPr>
          <w:rFonts w:ascii="Arial" w:cs="Arial" w:eastAsia="Arial" w:hAnsi="Arial"/>
          <w:sz w:val="15"/>
          <w:szCs w:val="15"/>
          <w:u w:val="single" w:color="auto"/>
          <w:color w:val="auto"/>
        </w:rPr>
        <w:t>Section 6.01</w:t>
      </w:r>
      <w:r>
        <w:rPr>
          <w:rFonts w:ascii="Arial" w:cs="Arial" w:eastAsia="Arial" w:hAnsi="Arial"/>
          <w:sz w:val="15"/>
          <w:szCs w:val="15"/>
          <w:color w:val="auto"/>
        </w:rPr>
        <w:t xml:space="preserve">, (ii) Indebtedness permitted by </w:t>
      </w:r>
      <w:r>
        <w:rPr>
          <w:rFonts w:ascii="Arial" w:cs="Arial" w:eastAsia="Arial" w:hAnsi="Arial"/>
          <w:sz w:val="15"/>
          <w:szCs w:val="15"/>
          <w:u w:val="single" w:color="auto"/>
          <w:color w:val="auto"/>
        </w:rPr>
        <w:t>Section 6.01</w:t>
      </w:r>
      <w:r>
        <w:rPr>
          <w:rFonts w:ascii="Arial" w:cs="Arial" w:eastAsia="Arial" w:hAnsi="Arial"/>
          <w:sz w:val="15"/>
          <w:szCs w:val="15"/>
          <w:color w:val="auto"/>
        </w:rPr>
        <w:t xml:space="preserve"> that is secured by a Permitted Lien if the relevant restriction applies only to the Person obligated under such Indebtedness and its Restricted Subsidiaries or the assets intended to secure such Indebtedness and (iii) Indebtedness permitted pursuant to </w:t>
      </w:r>
      <w:r>
        <w:rPr>
          <w:rFonts w:ascii="Arial" w:cs="Arial" w:eastAsia="Arial" w:hAnsi="Arial"/>
          <w:sz w:val="15"/>
          <w:szCs w:val="15"/>
          <w:u w:val="single" w:color="auto"/>
          <w:color w:val="auto"/>
        </w:rPr>
        <w:t>clauses (j)</w:t>
      </w:r>
      <w:r>
        <w:rPr>
          <w:rFonts w:ascii="Arial" w:cs="Arial" w:eastAsia="Arial" w:hAnsi="Arial"/>
          <w:sz w:val="15"/>
          <w:szCs w:val="15"/>
          <w:color w:val="auto"/>
        </w:rPr>
        <w:t>,</w:t>
      </w:r>
    </w:p>
    <w:p>
      <w:pPr>
        <w:ind w:right="260"/>
        <w:spacing w:after="0" w:line="260" w:lineRule="auto"/>
        <w:rPr>
          <w:rFonts w:ascii="Arial" w:cs="Arial" w:eastAsia="Arial" w:hAnsi="Arial"/>
          <w:sz w:val="15"/>
          <w:szCs w:val="15"/>
          <w:color w:val="auto"/>
        </w:rPr>
      </w:pPr>
      <w:r>
        <w:rPr>
          <w:rFonts w:ascii="Arial" w:cs="Arial" w:eastAsia="Arial" w:hAnsi="Arial"/>
          <w:sz w:val="18"/>
          <w:szCs w:val="18"/>
          <w:u w:val="single" w:color="auto"/>
          <w:color w:val="auto"/>
        </w:rPr>
        <w:t>(m)</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8"/>
          <w:szCs w:val="18"/>
          <w:color w:val="auto"/>
        </w:rPr>
        <w:t xml:space="preserve"> (as it relates to Indebtedness in respect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8"/>
          <w:szCs w:val="18"/>
          <w:color w:val="auto"/>
        </w:rPr>
        <w:t xml:space="preserve">, </w:t>
      </w:r>
      <w:r>
        <w:rPr>
          <w:rFonts w:ascii="Arial" w:cs="Arial" w:eastAsia="Arial" w:hAnsi="Arial"/>
          <w:sz w:val="18"/>
          <w:szCs w:val="18"/>
          <w:u w:val="single" w:color="auto"/>
          <w:color w:val="auto"/>
        </w:rPr>
        <w:t>(w)</w:t>
      </w:r>
      <w:r>
        <w:rPr>
          <w:rFonts w:ascii="Arial" w:cs="Arial" w:eastAsia="Arial" w:hAnsi="Arial"/>
          <w:sz w:val="18"/>
          <w:szCs w:val="18"/>
          <w:color w:val="auto"/>
        </w:rPr>
        <w:t xml:space="preserve">, </w:t>
      </w:r>
      <w:r>
        <w:rPr>
          <w:rFonts w:ascii="Arial" w:cs="Arial" w:eastAsia="Arial" w:hAnsi="Arial"/>
          <w:sz w:val="18"/>
          <w:szCs w:val="18"/>
          <w:u w:val="single" w:color="auto"/>
          <w:color w:val="auto"/>
        </w:rPr>
        <w:t>(y)</w:t>
      </w:r>
      <w:r>
        <w:rPr>
          <w:rFonts w:ascii="Arial" w:cs="Arial" w:eastAsia="Arial" w:hAnsi="Arial"/>
          <w:sz w:val="18"/>
          <w:szCs w:val="18"/>
          <w:color w:val="auto"/>
        </w:rPr>
        <w:t xml:space="preserve">, </w:t>
      </w:r>
      <w:r>
        <w:rPr>
          <w:rFonts w:ascii="Arial" w:cs="Arial" w:eastAsia="Arial" w:hAnsi="Arial"/>
          <w:sz w:val="18"/>
          <w:szCs w:val="18"/>
          <w:u w:val="single" w:color="auto"/>
          <w:color w:val="auto"/>
        </w:rPr>
        <w:t>(z)</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(jj)</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8"/>
          <w:szCs w:val="18"/>
          <w:color w:val="auto"/>
        </w:rPr>
        <w:t xml:space="preserve">, </w:t>
      </w:r>
      <w:r>
        <w:rPr>
          <w:rFonts w:ascii="Arial" w:cs="Arial" w:eastAsia="Arial" w:hAnsi="Arial"/>
          <w:sz w:val="18"/>
          <w:szCs w:val="18"/>
          <w:u w:val="single" w:color="auto"/>
          <w:color w:val="auto"/>
        </w:rPr>
        <w:t>(w)</w:t>
      </w:r>
      <w:r>
        <w:rPr>
          <w:rFonts w:ascii="Arial" w:cs="Arial" w:eastAsia="Arial" w:hAnsi="Arial"/>
          <w:sz w:val="18"/>
          <w:szCs w:val="18"/>
          <w:color w:val="auto"/>
        </w:rPr>
        <w:t xml:space="preserve">, </w:t>
      </w:r>
      <w:r>
        <w:rPr>
          <w:rFonts w:ascii="Arial" w:cs="Arial" w:eastAsia="Arial" w:hAnsi="Arial"/>
          <w:sz w:val="18"/>
          <w:szCs w:val="18"/>
          <w:u w:val="single" w:color="auto"/>
          <w:color w:val="auto"/>
        </w:rPr>
        <w:t>(y)</w:t>
      </w:r>
      <w:r>
        <w:rPr>
          <w:rFonts w:ascii="Arial" w:cs="Arial" w:eastAsia="Arial" w:hAnsi="Arial"/>
          <w:sz w:val="18"/>
          <w:szCs w:val="18"/>
          <w:color w:val="auto"/>
        </w:rPr>
        <w:t xml:space="preserve">, </w:t>
      </w:r>
      <w:r>
        <w:rPr>
          <w:rFonts w:ascii="Arial" w:cs="Arial" w:eastAsia="Arial" w:hAnsi="Arial"/>
          <w:sz w:val="18"/>
          <w:szCs w:val="18"/>
          <w:u w:val="single" w:color="auto"/>
          <w:color w:val="auto"/>
        </w:rPr>
        <w:t>(z)</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(jj)</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77" w:lineRule="exact"/>
        <w:rPr>
          <w:rFonts w:ascii="Arial" w:cs="Arial" w:eastAsia="Arial" w:hAnsi="Arial"/>
          <w:sz w:val="15"/>
          <w:szCs w:val="15"/>
          <w:color w:val="auto"/>
        </w:rPr>
      </w:pPr>
    </w:p>
    <w:p>
      <w:pPr>
        <w:ind w:right="440" w:firstLine="436"/>
        <w:spacing w:after="0" w:line="342" w:lineRule="auto"/>
        <w:tabs>
          <w:tab w:leader="none" w:pos="69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arising under customary provisions restricting assignments, subletting or other transfers (including the granting of any Lien) contained in leases, subleases, licenses, sublicenses, joint venture agreements and other agreements entered into in the ordinary course of business;</w:t>
      </w:r>
    </w:p>
    <w:p>
      <w:pPr>
        <w:spacing w:after="0" w:line="15" w:lineRule="exact"/>
        <w:rPr>
          <w:rFonts w:ascii="Arial" w:cs="Arial" w:eastAsia="Arial" w:hAnsi="Arial"/>
          <w:sz w:val="16"/>
          <w:szCs w:val="16"/>
          <w:color w:val="auto"/>
        </w:rPr>
      </w:pPr>
    </w:p>
    <w:p>
      <w:pPr>
        <w:ind w:right="280" w:firstLine="436"/>
        <w:spacing w:after="0" w:line="277" w:lineRule="auto"/>
        <w:tabs>
          <w:tab w:leader="none" w:pos="68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that are or were created by virtue of any Lien granted upon, transfer of, agreement to transfer or grant of, any option or right with respect to any assets or Capital Stock not otherwise prohibited under this Agreement;</w:t>
      </w:r>
    </w:p>
    <w:p>
      <w:pPr>
        <w:spacing w:after="0" w:line="62" w:lineRule="exact"/>
        <w:rPr>
          <w:rFonts w:ascii="Arial" w:cs="Arial" w:eastAsia="Arial" w:hAnsi="Arial"/>
          <w:sz w:val="18"/>
          <w:szCs w:val="18"/>
          <w:color w:val="auto"/>
        </w:rPr>
      </w:pPr>
    </w:p>
    <w:p>
      <w:pPr>
        <w:ind w:firstLine="436"/>
        <w:spacing w:after="0" w:line="263" w:lineRule="auto"/>
        <w:tabs>
          <w:tab w:leader="none" w:pos="69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that are assumed in connection with any acquisition of property or the Capital Stock of any Person, so long as the relevant encumbrance or restriction relates solely to the Person and its subsidiaries (including the Capital Stock of the relevant Person or Persons) and/or property so acquired and was not created in connection with or in anticipation of such acquisition;</w:t>
      </w:r>
    </w:p>
    <w:p>
      <w:pPr>
        <w:spacing w:after="0" w:line="75" w:lineRule="exact"/>
        <w:rPr>
          <w:rFonts w:ascii="Arial" w:cs="Arial" w:eastAsia="Arial" w:hAnsi="Arial"/>
          <w:sz w:val="18"/>
          <w:szCs w:val="18"/>
          <w:color w:val="auto"/>
        </w:rPr>
      </w:pPr>
    </w:p>
    <w:p>
      <w:pPr>
        <w:ind w:right="340" w:firstLine="436"/>
        <w:spacing w:after="0" w:line="342" w:lineRule="auto"/>
        <w:tabs>
          <w:tab w:leader="none" w:pos="68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set forth in any agreement for any Disposition of any Restricted Subsidiary (or all or substantially all of the assets thereof) that restricts the payment of dividends or other distributions or the making of cash loans or advances by such Restricted Subsidiary pending such Disposition;</w:t>
      </w:r>
    </w:p>
    <w:p>
      <w:pPr>
        <w:spacing w:after="0" w:line="15" w:lineRule="exact"/>
        <w:rPr>
          <w:rFonts w:ascii="Arial" w:cs="Arial" w:eastAsia="Arial" w:hAnsi="Arial"/>
          <w:sz w:val="16"/>
          <w:szCs w:val="16"/>
          <w:color w:val="auto"/>
        </w:rPr>
      </w:pPr>
    </w:p>
    <w:p>
      <w:pPr>
        <w:ind w:right="140" w:firstLine="436"/>
        <w:spacing w:after="0" w:line="277" w:lineRule="auto"/>
        <w:tabs>
          <w:tab w:leader="none" w:pos="66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set forth in provisions in agreements or instruments which prohibit the payment of dividends or the making of other distributions with respect to any class of Capital Stock of a Person other than on a pro rata basis;</w:t>
      </w:r>
    </w:p>
    <w:p>
      <w:pPr>
        <w:spacing w:after="0" w:line="62" w:lineRule="exact"/>
        <w:rPr>
          <w:rFonts w:ascii="Arial" w:cs="Arial" w:eastAsia="Arial" w:hAnsi="Arial"/>
          <w:sz w:val="18"/>
          <w:szCs w:val="18"/>
          <w:color w:val="auto"/>
        </w:rPr>
      </w:pPr>
    </w:p>
    <w:p>
      <w:pPr>
        <w:ind w:right="300" w:firstLine="436"/>
        <w:spacing w:after="0" w:line="277" w:lineRule="auto"/>
        <w:tabs>
          <w:tab w:leader="none" w:pos="69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imposed by customary provisions in partnership agreements, limited liability company organizational governance documents, joint venture agreements and other similar agreements;</w:t>
      </w:r>
    </w:p>
    <w:p>
      <w:pPr>
        <w:spacing w:after="0" w:line="62" w:lineRule="exact"/>
        <w:rPr>
          <w:rFonts w:ascii="Arial" w:cs="Arial" w:eastAsia="Arial" w:hAnsi="Arial"/>
          <w:sz w:val="18"/>
          <w:szCs w:val="18"/>
          <w:color w:val="auto"/>
        </w:rPr>
      </w:pPr>
    </w:p>
    <w:p>
      <w:pPr>
        <w:ind w:right="300" w:firstLine="436"/>
        <w:spacing w:after="0" w:line="277" w:lineRule="auto"/>
        <w:tabs>
          <w:tab w:leader="none" w:pos="69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on Cash, other deposits or net worth or similar restrictions imposed by any Person under any contract entered into in the ordinary course of business or for whose benefit such Cash, other deposits or net worth or similar restrictions exist;</w:t>
      </w:r>
    </w:p>
    <w:p>
      <w:pPr>
        <w:spacing w:after="0" w:line="62" w:lineRule="exact"/>
        <w:rPr>
          <w:rFonts w:ascii="Arial" w:cs="Arial" w:eastAsia="Arial" w:hAnsi="Arial"/>
          <w:sz w:val="18"/>
          <w:szCs w:val="18"/>
          <w:color w:val="auto"/>
        </w:rPr>
      </w:pPr>
    </w:p>
    <w:p>
      <w:pPr>
        <w:ind w:left="660" w:hanging="224"/>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set forth in documents which exist on the Closing Date;</w:t>
      </w:r>
    </w:p>
    <w:p>
      <w:pPr>
        <w:spacing w:after="0" w:line="117" w:lineRule="exact"/>
        <w:rPr>
          <w:rFonts w:ascii="Arial" w:cs="Arial" w:eastAsia="Arial" w:hAnsi="Arial"/>
          <w:sz w:val="18"/>
          <w:szCs w:val="18"/>
          <w:color w:val="auto"/>
        </w:rPr>
      </w:pPr>
    </w:p>
    <w:p>
      <w:pPr>
        <w:ind w:right="360" w:firstLine="436"/>
        <w:spacing w:after="0" w:line="263" w:lineRule="auto"/>
        <w:tabs>
          <w:tab w:leader="none" w:pos="65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arising pursuant to an agreement or instrument relating to any Indebtedness permitted to be incurred after the Closing Date if the relevant restrictions, taken as a whole, are not materially less favorable to the Lenders than the restrictions contained in this Agreement, taken as a whole (as determined in good faith by the Borrower);</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arising under or as a result of applicable Requirements of Law or the terms of any license, authorization, concession or permit;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00"/>
          </w:cols>
          <w:pgMar w:left="440" w:top="274" w:right="459" w:bottom="1440" w:gutter="0" w:footer="0" w:header="0"/>
        </w:sectPr>
      </w:pPr>
    </w:p>
    <w:bookmarkStart w:id="153" w:name="page154"/>
    <w:bookmarkEnd w:id="153"/>
    <w:p>
      <w:pPr>
        <w:ind w:left="4" w:right="40" w:firstLine="436"/>
        <w:spacing w:after="0" w:line="277" w:lineRule="auto"/>
        <w:tabs>
          <w:tab w:leader="none" w:pos="659" w:val="left"/>
        </w:tabs>
        <w:numPr>
          <w:ilvl w:val="0"/>
          <w:numId w:val="2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arising in any Hedge Agreement and/or any agreement or arrangement relating to any Banking Services and/or any other obligation of the type permitted under </w:t>
      </w:r>
      <w:r>
        <w:rPr>
          <w:rFonts w:ascii="Arial" w:cs="Arial" w:eastAsia="Arial" w:hAnsi="Arial"/>
          <w:sz w:val="18"/>
          <w:szCs w:val="18"/>
          <w:u w:val="single" w:color="auto"/>
          <w:color w:val="auto"/>
        </w:rPr>
        <w:t>Section 6.01(f)</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4" w:right="420" w:firstLine="436"/>
        <w:spacing w:after="0" w:line="311" w:lineRule="auto"/>
        <w:tabs>
          <w:tab w:leader="none" w:pos="74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relating to any asset (or all of the assets) of and/or the Capital Stock of the Borrower and/or any Restricted Subsidiary which is imposed pursuant to an agreement entered into in connection with any Disposition of such asset (or assets) and/or all or a portion of the Capital Stock of the relevant Person that is permitted or not restricted by this Agreement or that would result in the occurrence of the Termination Date;</w:t>
      </w:r>
    </w:p>
    <w:p>
      <w:pPr>
        <w:spacing w:after="0" w:line="40" w:lineRule="exact"/>
        <w:rPr>
          <w:rFonts w:ascii="Arial" w:cs="Arial" w:eastAsia="Arial" w:hAnsi="Arial"/>
          <w:sz w:val="16"/>
          <w:szCs w:val="16"/>
          <w:color w:val="auto"/>
        </w:rPr>
      </w:pPr>
    </w:p>
    <w:p>
      <w:pPr>
        <w:ind w:left="4" w:firstLine="436"/>
        <w:spacing w:after="0" w:line="277" w:lineRule="auto"/>
        <w:tabs>
          <w:tab w:leader="none" w:pos="69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set forth in any agreement relating to any Permitted Lien that limits the right of the Borrower and/or any Restricted Subsidiary to Dispose of or encumber the assets subject thereto;</w:t>
      </w:r>
    </w:p>
    <w:p>
      <w:pPr>
        <w:spacing w:after="0" w:line="62" w:lineRule="exact"/>
        <w:rPr>
          <w:rFonts w:ascii="Arial" w:cs="Arial" w:eastAsia="Arial" w:hAnsi="Arial"/>
          <w:sz w:val="18"/>
          <w:szCs w:val="18"/>
          <w:color w:val="auto"/>
        </w:rPr>
      </w:pPr>
    </w:p>
    <w:p>
      <w:pPr>
        <w:ind w:left="4" w:right="600" w:firstLine="436"/>
        <w:spacing w:after="0" w:line="277" w:lineRule="auto"/>
        <w:tabs>
          <w:tab w:leader="none" w:pos="69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customary subordination and/or subrogation provisions set forth in guaranty or similar documentation (not relating to Indebtedness for borrowed money) that is entered into in the ordinary course of business;</w:t>
      </w:r>
    </w:p>
    <w:p>
      <w:pPr>
        <w:spacing w:after="0" w:line="62" w:lineRule="exact"/>
        <w:rPr>
          <w:rFonts w:ascii="Arial" w:cs="Arial" w:eastAsia="Arial" w:hAnsi="Arial"/>
          <w:sz w:val="18"/>
          <w:szCs w:val="18"/>
          <w:color w:val="auto"/>
        </w:rPr>
      </w:pPr>
    </w:p>
    <w:p>
      <w:pPr>
        <w:jc w:val="both"/>
        <w:ind w:left="4" w:right="80" w:firstLine="436"/>
        <w:spacing w:after="0" w:line="263" w:lineRule="auto"/>
        <w:tabs>
          <w:tab w:leader="none" w:pos="69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restriction created in connection with any factoring program implemented in the ordinary course of business, so long as in the case of any prohibition on Liens, the relevant restriction relates solely to assets subject to such factoring program and the Capital Stock of any Person participating in such factoring program; and/or</w:t>
      </w:r>
    </w:p>
    <w:p>
      <w:pPr>
        <w:spacing w:after="0" w:line="75" w:lineRule="exact"/>
        <w:rPr>
          <w:rFonts w:ascii="Arial" w:cs="Arial" w:eastAsia="Arial" w:hAnsi="Arial"/>
          <w:sz w:val="18"/>
          <w:szCs w:val="18"/>
          <w:color w:val="auto"/>
        </w:rPr>
      </w:pPr>
    </w:p>
    <w:p>
      <w:pPr>
        <w:ind w:left="4" w:right="80" w:firstLine="436"/>
        <w:spacing w:after="0" w:line="257" w:lineRule="auto"/>
        <w:tabs>
          <w:tab w:leader="none" w:pos="69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imposed by any amendment, modification, restatement, renewal, increase, supplement, refunding, replacement or refinancing of any contract, instrument or obligation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(p)</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amendment, modification, restatement, renewal, increase, supplement, refunding, replacement or refinancing is, in the good faith judgment of the Borrower, more restrictive with respect to such restrictions, taken as a whole, than those in existence prior to such amendment, modification, restatement, renewal, increase, supplement, refunding, replacement or refinancing.</w:t>
      </w:r>
    </w:p>
    <w:p>
      <w:pPr>
        <w:spacing w:after="0" w:line="188"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Investments</w:t>
      </w:r>
      <w:r>
        <w:rPr>
          <w:rFonts w:ascii="Arial" w:cs="Arial" w:eastAsia="Arial" w:hAnsi="Arial"/>
          <w:sz w:val="18"/>
          <w:szCs w:val="18"/>
          <w:color w:val="auto"/>
        </w:rPr>
        <w:t>. The Borrower shall not, nor shall it permit any of its Restricted Subsidiaries to, make or own any Investment in any other Person except:</w:t>
      </w:r>
    </w:p>
    <w:p>
      <w:pPr>
        <w:spacing w:after="0" w:line="62" w:lineRule="exact"/>
        <w:rPr>
          <w:sz w:val="20"/>
          <w:szCs w:val="20"/>
          <w:color w:val="auto"/>
        </w:rPr>
      </w:pPr>
    </w:p>
    <w:p>
      <w:pPr>
        <w:ind w:left="684" w:hanging="244"/>
        <w:spacing w:after="0"/>
        <w:tabs>
          <w:tab w:leader="none" w:pos="684" w:val="left"/>
        </w:tabs>
        <w:numPr>
          <w:ilvl w:val="1"/>
          <w:numId w:val="229"/>
        </w:numPr>
        <w:rPr>
          <w:rFonts w:ascii="Arial" w:cs="Arial" w:eastAsia="Arial" w:hAnsi="Arial"/>
          <w:sz w:val="18"/>
          <w:szCs w:val="18"/>
          <w:color w:val="auto"/>
        </w:rPr>
      </w:pPr>
      <w:r>
        <w:rPr>
          <w:rFonts w:ascii="Arial" w:cs="Arial" w:eastAsia="Arial" w:hAnsi="Arial"/>
          <w:sz w:val="18"/>
          <w:szCs w:val="18"/>
          <w:color w:val="auto"/>
        </w:rPr>
        <w:t>Cash or Investments that were Cash Equivalents at the time made;</w:t>
      </w:r>
    </w:p>
    <w:p>
      <w:pPr>
        <w:spacing w:after="0" w:line="117" w:lineRule="exact"/>
        <w:rPr>
          <w:rFonts w:ascii="Arial" w:cs="Arial" w:eastAsia="Arial" w:hAnsi="Arial"/>
          <w:sz w:val="18"/>
          <w:szCs w:val="18"/>
          <w:color w:val="auto"/>
        </w:rPr>
      </w:pPr>
    </w:p>
    <w:p>
      <w:pPr>
        <w:ind w:left="4" w:firstLine="436"/>
        <w:spacing w:after="0" w:line="290" w:lineRule="auto"/>
        <w:tabs>
          <w:tab w:leader="none" w:pos="699" w:val="left"/>
        </w:tabs>
        <w:numPr>
          <w:ilvl w:val="1"/>
          <w:numId w:val="229"/>
        </w:numPr>
        <w:rPr>
          <w:rFonts w:ascii="Arial" w:cs="Arial" w:eastAsia="Arial" w:hAnsi="Arial"/>
          <w:sz w:val="16"/>
          <w:szCs w:val="16"/>
          <w:color w:val="auto"/>
        </w:rPr>
      </w:pPr>
      <w:r>
        <w:rPr>
          <w:rFonts w:ascii="Arial" w:cs="Arial" w:eastAsia="Arial" w:hAnsi="Arial"/>
          <w:sz w:val="16"/>
          <w:szCs w:val="16"/>
          <w:color w:val="auto"/>
        </w:rPr>
        <w:t xml:space="preserve">(i) Investments existing on the Closing Date in the Borrower or in any subsidiary, (ii) Investments made after the Closing Date among the Borrower and/or one or more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outstanding amount of Investments by any Loan Party in any Restricted Subsidiary that is not a Loan Party in reliance on this </w:t>
      </w:r>
      <w:r>
        <w:rPr>
          <w:rFonts w:ascii="Arial" w:cs="Arial" w:eastAsia="Arial" w:hAnsi="Arial"/>
          <w:sz w:val="16"/>
          <w:szCs w:val="16"/>
          <w:u w:val="single" w:color="auto"/>
          <w:color w:val="auto"/>
        </w:rPr>
        <w:t>Section 6.06(b)(ii)</w:t>
      </w:r>
      <w:r>
        <w:rPr>
          <w:rFonts w:ascii="Arial" w:cs="Arial" w:eastAsia="Arial" w:hAnsi="Arial"/>
          <w:sz w:val="16"/>
          <w:szCs w:val="16"/>
          <w:color w:val="auto"/>
        </w:rPr>
        <w:t xml:space="preserve"> shall not exceed the greater of $32,500,000 and 50% of Consolidated Adjusted EBITDA as of the last day of the most recently ended Test Period, (iii) any Investment made after the Closing Date among the Borrower and/or one or more Restricted Subsidiaries in connection with cash management and (iv) Investments in any Restricted Subsidiary in the form of any contribution or Disposition of the Capital Stock of any Person that is not a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there is a bona fide business purpose for such contribution or Disposition or (y) such contribution or Disposition is not consummated solely for the purpose of obtaining a release of the Collateral in respect of the Capital Stock in such Person, in the case of the foregoing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as determined in good faith by the Borrower;</w:t>
      </w:r>
    </w:p>
    <w:p>
      <w:pPr>
        <w:spacing w:after="0" w:line="57" w:lineRule="exact"/>
        <w:rPr>
          <w:rFonts w:ascii="Arial" w:cs="Arial" w:eastAsia="Arial" w:hAnsi="Arial"/>
          <w:sz w:val="16"/>
          <w:szCs w:val="16"/>
          <w:color w:val="auto"/>
        </w:rPr>
      </w:pPr>
    </w:p>
    <w:p>
      <w:pPr>
        <w:jc w:val="both"/>
        <w:ind w:left="4" w:firstLine="436"/>
        <w:spacing w:after="0" w:line="311" w:lineRule="auto"/>
        <w:tabs>
          <w:tab w:leader="none" w:pos="689" w:val="left"/>
        </w:tabs>
        <w:numPr>
          <w:ilvl w:val="1"/>
          <w:numId w:val="229"/>
        </w:numPr>
        <w:rPr>
          <w:rFonts w:ascii="Arial" w:cs="Arial" w:eastAsia="Arial" w:hAnsi="Arial"/>
          <w:sz w:val="16"/>
          <w:szCs w:val="16"/>
          <w:color w:val="auto"/>
        </w:rPr>
      </w:pPr>
      <w:r>
        <w:rPr>
          <w:rFonts w:ascii="Arial" w:cs="Arial" w:eastAsia="Arial" w:hAnsi="Arial"/>
          <w:sz w:val="16"/>
          <w:szCs w:val="16"/>
          <w:color w:val="auto"/>
        </w:rPr>
        <w:t xml:space="preserve">Investments (i) constituting deposits, prepayments, trade credits and/or credits to suppliers, (ii) made in connection with obtaining, maintaining or renewing client and customer contracts or (iii) made in distributors, suppliers, licensors and licensees, in each case, in the ordinary course of business or, in the case of </w:t>
      </w:r>
      <w:r>
        <w:rPr>
          <w:rFonts w:ascii="Arial" w:cs="Arial" w:eastAsia="Arial" w:hAnsi="Arial"/>
          <w:sz w:val="16"/>
          <w:szCs w:val="16"/>
          <w:u w:val="single" w:color="auto"/>
          <w:color w:val="auto"/>
        </w:rPr>
        <w:t>clause (iii)</w:t>
      </w:r>
      <w:r>
        <w:rPr>
          <w:rFonts w:ascii="Arial" w:cs="Arial" w:eastAsia="Arial" w:hAnsi="Arial"/>
          <w:sz w:val="16"/>
          <w:szCs w:val="16"/>
          <w:color w:val="auto"/>
        </w:rPr>
        <w:t>, to the extent necessary to maintain the ordinary course of supplies to the Borrower or any Restricted Subsidiary;</w:t>
      </w:r>
    </w:p>
    <w:p>
      <w:pPr>
        <w:spacing w:after="0" w:line="40" w:lineRule="exact"/>
        <w:rPr>
          <w:rFonts w:ascii="Arial" w:cs="Arial" w:eastAsia="Arial" w:hAnsi="Arial"/>
          <w:sz w:val="16"/>
          <w:szCs w:val="16"/>
          <w:color w:val="auto"/>
        </w:rPr>
      </w:pPr>
    </w:p>
    <w:p>
      <w:pPr>
        <w:ind w:left="4" w:right="560" w:firstLine="436"/>
        <w:spacing w:after="0" w:line="291" w:lineRule="auto"/>
        <w:tabs>
          <w:tab w:leader="none" w:pos="699" w:val="left"/>
        </w:tabs>
        <w:numPr>
          <w:ilvl w:val="1"/>
          <w:numId w:val="229"/>
        </w:numPr>
        <w:rPr>
          <w:rFonts w:ascii="Arial" w:cs="Arial" w:eastAsia="Arial" w:hAnsi="Arial"/>
          <w:sz w:val="16"/>
          <w:szCs w:val="16"/>
          <w:color w:val="auto"/>
        </w:rPr>
      </w:pPr>
      <w:r>
        <w:rPr>
          <w:rFonts w:ascii="Arial" w:cs="Arial" w:eastAsia="Arial" w:hAnsi="Arial"/>
          <w:sz w:val="16"/>
          <w:szCs w:val="16"/>
          <w:color w:val="auto"/>
        </w:rPr>
        <w:t xml:space="preserve">(i) Investments in joint ventures in an aggregate outstanding amount not to exceed the greater of $30,000,000 and 35% of Consolidated Adjusted EBITDA as of the last day of the most recently ended Test Period and (ii) so long as no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w:t>
      </w:r>
    </w:p>
    <w:p>
      <w:pPr>
        <w:ind w:left="4" w:right="880" w:hanging="4"/>
        <w:spacing w:after="0" w:line="260" w:lineRule="auto"/>
        <w:tabs>
          <w:tab w:leader="none" w:pos="259" w:val="left"/>
        </w:tabs>
        <w:numPr>
          <w:ilvl w:val="0"/>
          <w:numId w:val="230"/>
        </w:numPr>
        <w:rPr>
          <w:rFonts w:ascii="Arial" w:cs="Arial" w:eastAsia="Arial" w:hAnsi="Arial"/>
          <w:sz w:val="18"/>
          <w:szCs w:val="18"/>
          <w:u w:val="single" w:color="auto"/>
          <w:color w:val="auto"/>
        </w:rPr>
      </w:pPr>
      <w:r>
        <w:rPr>
          <w:rFonts w:ascii="Arial" w:cs="Arial" w:eastAsia="Arial" w:hAnsi="Arial"/>
          <w:sz w:val="18"/>
          <w:szCs w:val="18"/>
          <w:color w:val="auto"/>
        </w:rPr>
        <w:t>exists, Investments in Unrestricted Subsidiaries in an aggregate outstanding amount not to exceed the greater of $30,000,000 and 35% of Consolidated Adjusted EBITDA as of the last day of the most recently ended Test Period;</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984"/>
          </w:cols>
          <w:pgMar w:left="436" w:top="274" w:right="479" w:bottom="1440" w:gutter="0" w:footer="0" w:header="0"/>
        </w:sectPr>
      </w:pPr>
    </w:p>
    <w:bookmarkStart w:id="154" w:name="page155"/>
    <w:bookmarkEnd w:id="154"/>
    <w:p>
      <w:pPr>
        <w:ind w:left="4" w:right="60" w:firstLine="436"/>
        <w:spacing w:after="0" w:line="259" w:lineRule="auto"/>
        <w:tabs>
          <w:tab w:leader="none" w:pos="689" w:val="left"/>
        </w:tabs>
        <w:numPr>
          <w:ilvl w:val="0"/>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Permitted Acquisitions and (ii) any Investment in any Restricted Subsidiary that is not a Loan Party in an amount required to permit such Restricted Subsidiary to directly, or indirectly through one or more other Restricted Subsidiaries, consummate a Permitted Acquisition, which amount is applied, by such Restricted Subsidiary, directly or indirectly, through one or more other Restricted Subsidiaries to consummate such Permitted Acquisition;</w:t>
      </w:r>
    </w:p>
    <w:p>
      <w:pPr>
        <w:spacing w:after="0" w:line="78" w:lineRule="exact"/>
        <w:rPr>
          <w:rFonts w:ascii="Arial" w:cs="Arial" w:eastAsia="Arial" w:hAnsi="Arial"/>
          <w:sz w:val="18"/>
          <w:szCs w:val="18"/>
          <w:color w:val="auto"/>
        </w:rPr>
      </w:pPr>
    </w:p>
    <w:p>
      <w:pPr>
        <w:ind w:left="4" w:right="20" w:firstLine="436"/>
        <w:spacing w:after="0" w:line="263" w:lineRule="auto"/>
        <w:tabs>
          <w:tab w:leader="none" w:pos="66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(i) Investments existing on, or contractually committed to or contemplated as of, the Closing Date and (ii) any modification, replacement, renewal or extension of any Investment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so long as no such modification, renewal or extension increases the amount of such Investment except by the terms thereof or as otherwise permitted by this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 w:right="540" w:firstLine="436"/>
        <w:spacing w:after="0" w:line="277" w:lineRule="auto"/>
        <w:tabs>
          <w:tab w:leader="none" w:pos="69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Investments received in lieu of Cash in connection with any Disposition permitted by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or any other disposition of assets not constituting a Disposition;</w:t>
      </w:r>
    </w:p>
    <w:p>
      <w:pPr>
        <w:spacing w:after="0" w:line="62" w:lineRule="exact"/>
        <w:rPr>
          <w:rFonts w:ascii="Arial" w:cs="Arial" w:eastAsia="Arial" w:hAnsi="Arial"/>
          <w:sz w:val="18"/>
          <w:szCs w:val="18"/>
          <w:color w:val="auto"/>
        </w:rPr>
      </w:pPr>
    </w:p>
    <w:p>
      <w:pPr>
        <w:ind w:left="4" w:firstLine="436"/>
        <w:spacing w:after="0" w:line="296" w:lineRule="auto"/>
        <w:tabs>
          <w:tab w:leader="none" w:pos="699" w:val="left"/>
        </w:tabs>
        <w:numPr>
          <w:ilvl w:val="0"/>
          <w:numId w:val="231"/>
        </w:numPr>
        <w:rPr>
          <w:rFonts w:ascii="Arial" w:cs="Arial" w:eastAsia="Arial" w:hAnsi="Arial"/>
          <w:sz w:val="16"/>
          <w:szCs w:val="16"/>
          <w:color w:val="auto"/>
        </w:rPr>
      </w:pPr>
      <w:r>
        <w:rPr>
          <w:rFonts w:ascii="Arial" w:cs="Arial" w:eastAsia="Arial" w:hAnsi="Arial"/>
          <w:sz w:val="16"/>
          <w:szCs w:val="16"/>
          <w:color w:val="auto"/>
        </w:rPr>
        <w:t>loans or advances to present or former employees, directors, members of management, officers, managers or consultants or independent contractors (or their respective Immediate Family Members) of any Parent Company, the Borrower, its subsidiaries and/or any joint venture to the extent permitted by Requirements of Law, in connection with such Person’s purchase of Capital Stock of any Parent Company or the Borrower, either (i) in an aggregate principal amount not to exceed $2,500,000 at any one time outstanding or (ii) so long as the proceeds of such loan or advance are substantially contemporaneously contributed (or deemed to have been contributed) to the Borrower for the purchase of such Capital Stock;</w:t>
      </w:r>
    </w:p>
    <w:p>
      <w:pPr>
        <w:spacing w:after="0" w:line="53" w:lineRule="exact"/>
        <w:rPr>
          <w:rFonts w:ascii="Arial" w:cs="Arial" w:eastAsia="Arial" w:hAnsi="Arial"/>
          <w:sz w:val="16"/>
          <w:szCs w:val="16"/>
          <w:color w:val="auto"/>
        </w:rPr>
      </w:pPr>
    </w:p>
    <w:p>
      <w:pPr>
        <w:ind w:left="4" w:right="200" w:firstLine="436"/>
        <w:spacing w:after="0" w:line="277" w:lineRule="auto"/>
        <w:tabs>
          <w:tab w:leader="none" w:pos="65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w:t>
      </w:r>
    </w:p>
    <w:p>
      <w:pPr>
        <w:spacing w:after="0" w:line="62" w:lineRule="exact"/>
        <w:rPr>
          <w:rFonts w:ascii="Arial" w:cs="Arial" w:eastAsia="Arial" w:hAnsi="Arial"/>
          <w:sz w:val="18"/>
          <w:szCs w:val="18"/>
          <w:color w:val="auto"/>
        </w:rPr>
      </w:pPr>
    </w:p>
    <w:p>
      <w:pPr>
        <w:ind w:left="664" w:hanging="224"/>
        <w:spacing w:after="0"/>
        <w:tabs>
          <w:tab w:leader="none" w:pos="664"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Investments consisting of (or resulting from) Indebtedness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(other than Indebtedness permitted under </w:t>
      </w:r>
      <w:r>
        <w:rPr>
          <w:rFonts w:ascii="Arial" w:cs="Arial" w:eastAsia="Arial" w:hAnsi="Arial"/>
          <w:sz w:val="16"/>
          <w:szCs w:val="16"/>
          <w:u w:val="single" w:color="auto"/>
          <w:color w:val="auto"/>
        </w:rPr>
        <w:t>Sections</w:t>
      </w:r>
    </w:p>
    <w:p>
      <w:pPr>
        <w:spacing w:after="0" w:line="46" w:lineRule="exact"/>
        <w:rPr>
          <w:sz w:val="20"/>
          <w:szCs w:val="20"/>
          <w:color w:val="auto"/>
        </w:rPr>
      </w:pPr>
    </w:p>
    <w:p>
      <w:pPr>
        <w:ind w:left="4"/>
        <w:spacing w:after="0" w:line="253" w:lineRule="auto"/>
        <w:rPr>
          <w:sz w:val="20"/>
          <w:szCs w:val="20"/>
          <w:color w:val="auto"/>
        </w:rPr>
      </w:pPr>
      <w:r>
        <w:rPr>
          <w:rFonts w:ascii="Arial" w:cs="Arial" w:eastAsia="Arial" w:hAnsi="Arial"/>
          <w:sz w:val="18"/>
          <w:szCs w:val="18"/>
          <w:u w:val="single" w:color="auto"/>
          <w:color w:val="auto"/>
        </w:rPr>
        <w:t>6.01(b)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Permitted Liens, Restricted Payments permitted under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6.04(a)(ix)</w:t>
      </w:r>
      <w:r>
        <w:rPr>
          <w:rFonts w:ascii="Arial" w:cs="Arial" w:eastAsia="Arial" w:hAnsi="Arial"/>
          <w:sz w:val="18"/>
          <w:szCs w:val="18"/>
          <w:color w:val="auto"/>
        </w:rPr>
        <w:t xml:space="preserve">), Restricted Debt Payments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and mergers, consolidations, amalgamations, liquidations, windings up, dissolutions or Dispositions permitted by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6.07(a)</w:t>
      </w:r>
      <w:r>
        <w:rPr>
          <w:rFonts w:ascii="Arial" w:cs="Arial" w:eastAsia="Arial" w:hAnsi="Arial"/>
          <w:sz w:val="18"/>
          <w:szCs w:val="18"/>
          <w:color w:val="auto"/>
        </w:rPr>
        <w:t xml:space="preserve"> (if made in reliance on </w:t>
      </w:r>
      <w:r>
        <w:rPr>
          <w:rFonts w:ascii="Arial" w:cs="Arial" w:eastAsia="Arial" w:hAnsi="Arial"/>
          <w:sz w:val="18"/>
          <w:szCs w:val="18"/>
          <w:u w:val="single" w:color="auto"/>
          <w:color w:val="auto"/>
        </w:rPr>
        <w:t>subclause (ii)(B)</w:t>
      </w:r>
      <w:r>
        <w:rPr>
          <w:rFonts w:ascii="Arial" w:cs="Arial" w:eastAsia="Arial" w:hAnsi="Arial"/>
          <w:sz w:val="18"/>
          <w:szCs w:val="18"/>
          <w:color w:val="auto"/>
        </w:rPr>
        <w:t xml:space="preserve"> of the proviso thereto), </w:t>
      </w:r>
      <w:r>
        <w:rPr>
          <w:rFonts w:ascii="Arial" w:cs="Arial" w:eastAsia="Arial" w:hAnsi="Arial"/>
          <w:sz w:val="18"/>
          <w:szCs w:val="18"/>
          <w:u w:val="single" w:color="auto"/>
          <w:color w:val="auto"/>
        </w:rPr>
        <w:t>Section 6.07(c)(ii)</w:t>
      </w:r>
      <w:r>
        <w:rPr>
          <w:rFonts w:ascii="Arial" w:cs="Arial" w:eastAsia="Arial" w:hAnsi="Arial"/>
          <w:sz w:val="18"/>
          <w:szCs w:val="18"/>
          <w:color w:val="auto"/>
        </w:rPr>
        <w:t xml:space="preserve"> (if made in reliance on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therein) and </w:t>
      </w:r>
      <w:r>
        <w:rPr>
          <w:rFonts w:ascii="Arial" w:cs="Arial" w:eastAsia="Arial" w:hAnsi="Arial"/>
          <w:sz w:val="18"/>
          <w:szCs w:val="18"/>
          <w:u w:val="single" w:color="auto"/>
          <w:color w:val="auto"/>
        </w:rPr>
        <w:t>Section 6.07(g)</w:t>
      </w:r>
      <w:r>
        <w:rPr>
          <w:rFonts w:ascii="Arial" w:cs="Arial" w:eastAsia="Arial" w:hAnsi="Arial"/>
          <w:sz w:val="18"/>
          <w:szCs w:val="18"/>
          <w:color w:val="auto"/>
        </w:rPr>
        <w:t>);</w:t>
      </w:r>
    </w:p>
    <w:p>
      <w:pPr>
        <w:spacing w:after="0" w:line="85" w:lineRule="exact"/>
        <w:rPr>
          <w:sz w:val="20"/>
          <w:szCs w:val="20"/>
          <w:color w:val="auto"/>
        </w:rPr>
      </w:pPr>
    </w:p>
    <w:p>
      <w:pPr>
        <w:ind w:left="4" w:right="100" w:firstLine="436"/>
        <w:spacing w:after="0" w:line="291" w:lineRule="auto"/>
        <w:tabs>
          <w:tab w:leader="none" w:pos="699" w:val="left"/>
        </w:tabs>
        <w:numPr>
          <w:ilvl w:val="1"/>
          <w:numId w:val="232"/>
        </w:numPr>
        <w:rPr>
          <w:rFonts w:ascii="Arial" w:cs="Arial" w:eastAsia="Arial" w:hAnsi="Arial"/>
          <w:sz w:val="16"/>
          <w:szCs w:val="16"/>
          <w:color w:val="auto"/>
        </w:rPr>
      </w:pPr>
      <w:r>
        <w:rPr>
          <w:rFonts w:ascii="Arial" w:cs="Arial" w:eastAsia="Arial" w:hAnsi="Arial"/>
          <w:sz w:val="16"/>
          <w:szCs w:val="16"/>
          <w:color w:val="auto"/>
        </w:rPr>
        <w:t>Investments (i) in the ordinary course of business consisting of endorsements for collection or deposit and customary trade arrangements with customers, (ii) in the ordinary course of business and/or consistent with industry practice consisting of loans or advances made to distributors and/or</w:t>
      </w:r>
    </w:p>
    <w:p>
      <w:pPr>
        <w:ind w:left="324" w:hanging="324"/>
        <w:spacing w:after="0"/>
        <w:tabs>
          <w:tab w:leader="none" w:pos="32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consisting of residual equity in any Receivables Subsidiary;</w:t>
      </w:r>
    </w:p>
    <w:p>
      <w:pPr>
        <w:spacing w:after="0" w:line="102" w:lineRule="exact"/>
        <w:rPr>
          <w:rFonts w:ascii="Arial" w:cs="Arial" w:eastAsia="Arial" w:hAnsi="Arial"/>
          <w:sz w:val="18"/>
          <w:szCs w:val="18"/>
          <w:color w:val="auto"/>
        </w:rPr>
      </w:pPr>
    </w:p>
    <w:p>
      <w:pPr>
        <w:ind w:left="664" w:hanging="224"/>
        <w:spacing w:after="0"/>
        <w:tabs>
          <w:tab w:leader="none" w:pos="664" w:val="left"/>
        </w:tabs>
        <w:numPr>
          <w:ilvl w:val="1"/>
          <w:numId w:val="233"/>
        </w:numPr>
        <w:rPr>
          <w:rFonts w:ascii="Arial" w:cs="Arial" w:eastAsia="Arial" w:hAnsi="Arial"/>
          <w:sz w:val="17"/>
          <w:szCs w:val="17"/>
          <w:color w:val="auto"/>
        </w:rPr>
      </w:pPr>
      <w:r>
        <w:rPr>
          <w:rFonts w:ascii="Arial" w:cs="Arial" w:eastAsia="Arial" w:hAnsi="Arial"/>
          <w:sz w:val="17"/>
          <w:szCs w:val="17"/>
          <w:color w:val="auto"/>
        </w:rPr>
        <w:t>Investments (including debt obligations and Capital Stock) received (i) in connection with the bankruptcy or reorganization of any Person,</w:t>
      </w:r>
    </w:p>
    <w:p>
      <w:pPr>
        <w:spacing w:after="0" w:line="35" w:lineRule="exact"/>
        <w:rPr>
          <w:sz w:val="20"/>
          <w:szCs w:val="20"/>
          <w:color w:val="auto"/>
        </w:rPr>
      </w:pPr>
    </w:p>
    <w:p>
      <w:pPr>
        <w:ind w:left="4" w:right="220" w:hanging="4"/>
        <w:spacing w:after="0" w:line="255" w:lineRule="auto"/>
        <w:tabs>
          <w:tab w:leader="none" w:pos="26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 settlement of delinquent obligations of, or other disputes with, customers, suppliers and other account debtors arising in the ordinary course of business, (iii) upon foreclosure with respect to any secured Investment or other transfer of title with respect to any secured Investment and/or (iv) as a result of the settlement, compromise, resolution of litigation, arbitration or other disputes;</w:t>
      </w:r>
    </w:p>
    <w:p>
      <w:pPr>
        <w:spacing w:after="0" w:line="81" w:lineRule="exact"/>
        <w:rPr>
          <w:rFonts w:ascii="Arial" w:cs="Arial" w:eastAsia="Arial" w:hAnsi="Arial"/>
          <w:sz w:val="18"/>
          <w:szCs w:val="18"/>
          <w:color w:val="auto"/>
        </w:rPr>
      </w:pPr>
    </w:p>
    <w:p>
      <w:pPr>
        <w:ind w:left="4" w:right="100" w:firstLine="436"/>
        <w:spacing w:after="0" w:line="257" w:lineRule="auto"/>
        <w:tabs>
          <w:tab w:leader="none" w:pos="749" w:val="left"/>
        </w:tabs>
        <w:numPr>
          <w:ilvl w:val="1"/>
          <w:numId w:val="234"/>
        </w:numPr>
        <w:rPr>
          <w:rFonts w:ascii="Arial" w:cs="Arial" w:eastAsia="Arial" w:hAnsi="Arial"/>
          <w:sz w:val="18"/>
          <w:szCs w:val="18"/>
          <w:color w:val="auto"/>
        </w:rPr>
      </w:pPr>
      <w:r>
        <w:rPr>
          <w:rFonts w:ascii="Arial" w:cs="Arial" w:eastAsia="Arial" w:hAnsi="Arial"/>
          <w:sz w:val="18"/>
          <w:szCs w:val="18"/>
          <w:color w:val="auto"/>
        </w:rPr>
        <w:t>loans and advances of payroll payments or other compensation (including deferred compensation) to present or former employees, directors, members of management, officers, managers or consultants of any Parent Company (to the extent such payments or other compensation relate to services provided to such Parent Company (but excluding, for the avoidance of doubt, the portion of any such amount, if any, attributable to the ownership or operations of any subsidiary of any Parent Company other than the Borrower and/or its subsidiaries)), the Borrower and/or any subsidiary in the ordinary course of business;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04"/>
          </w:cols>
          <w:pgMar w:left="436" w:top="274" w:right="459" w:bottom="1440" w:gutter="0" w:footer="0" w:header="0"/>
        </w:sectPr>
      </w:pPr>
    </w:p>
    <w:bookmarkStart w:id="155" w:name="page156"/>
    <w:bookmarkEnd w:id="155"/>
    <w:p>
      <w:pPr>
        <w:jc w:val="both"/>
        <w:ind w:firstLine="436"/>
        <w:spacing w:after="0" w:line="259" w:lineRule="auto"/>
        <w:tabs>
          <w:tab w:leader="none" w:pos="695" w:val="left"/>
        </w:tabs>
        <w:numPr>
          <w:ilvl w:val="0"/>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Investments to the extent that payment therefor is made with Capital Stock of any Parent Company or Qualified Capital Stock of the Borrower or any Restricted Subsidiary that are Not Otherwise Applied, in each case, to the extent not resulting in a Change of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connection with any such Investment, any payment (or portion thereof) not made with Capital Stock of any Parent Company or Qualified Capital Stock of the Borrower or any Restricted Subsidiary must otherwise be permitted under this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180" w:firstLine="436"/>
        <w:spacing w:after="0" w:line="293" w:lineRule="auto"/>
        <w:tabs>
          <w:tab w:leader="none" w:pos="695"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(i) Investments of any Restricted Subsidiary acquired after the Closing Date, or of any Person acquired by, or merged into or consolidated or amalgamated with, the Borrower or any Restricted Subsidiary after the Closing Date, in each case as part of an Investment otherwise permitted by this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to the extent that such acquired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6.06(o)</w:t>
      </w:r>
      <w:r>
        <w:rPr>
          <w:rFonts w:ascii="Arial" w:cs="Arial" w:eastAsia="Arial" w:hAnsi="Arial"/>
          <w:sz w:val="16"/>
          <w:szCs w:val="16"/>
          <w:color w:val="auto"/>
        </w:rPr>
        <w:t xml:space="preserve"> so long as no such modification, replacement, renewal or extension thereof increases the original amount of such Investment, except as otherwise permitted by this </w:t>
      </w:r>
      <w:r>
        <w:rPr>
          <w:rFonts w:ascii="Arial" w:cs="Arial" w:eastAsia="Arial" w:hAnsi="Arial"/>
          <w:sz w:val="16"/>
          <w:szCs w:val="16"/>
          <w:u w:val="single" w:color="auto"/>
          <w:color w:val="auto"/>
        </w:rPr>
        <w:t>Section 6.06</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700" w:hanging="264"/>
        <w:spacing w:after="0"/>
        <w:tabs>
          <w:tab w:leader="none" w:pos="7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Investments made in connection with the Transactions;</w:t>
      </w:r>
    </w:p>
    <w:p>
      <w:pPr>
        <w:spacing w:after="0" w:line="117" w:lineRule="exact"/>
        <w:rPr>
          <w:rFonts w:ascii="Arial" w:cs="Arial" w:eastAsia="Arial" w:hAnsi="Arial"/>
          <w:sz w:val="18"/>
          <w:szCs w:val="18"/>
          <w:color w:val="auto"/>
        </w:rPr>
      </w:pPr>
    </w:p>
    <w:p>
      <w:pPr>
        <w:ind w:right="660" w:firstLine="436"/>
        <w:spacing w:after="0" w:line="277" w:lineRule="auto"/>
        <w:tabs>
          <w:tab w:leader="none" w:pos="69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Investments made after the Closing Date by the Borrower and/or any of its Restricted Subsidiaries in an aggregate amount at any time outstanding not to exceed:</w:t>
      </w:r>
    </w:p>
    <w:p>
      <w:pPr>
        <w:spacing w:after="0" w:line="62" w:lineRule="exact"/>
        <w:rPr>
          <w:rFonts w:ascii="Arial" w:cs="Arial" w:eastAsia="Arial" w:hAnsi="Arial"/>
          <w:sz w:val="18"/>
          <w:szCs w:val="18"/>
          <w:color w:val="auto"/>
        </w:rPr>
      </w:pPr>
    </w:p>
    <w:p>
      <w:pPr>
        <w:ind w:left="440" w:firstLine="419"/>
        <w:spacing w:after="0" w:line="254" w:lineRule="auto"/>
        <w:tabs>
          <w:tab w:leader="none" w:pos="1078"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so long as no Event of Default under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exists, (A) the greater of $30,000,000 and 35% of Consolidated Adjusted EBITDA as of the last day of the most recently ended Test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at the election of the Borrower, the amount of Restricted Payments then permitted to be made by the Borrower in reliance on </w:t>
      </w:r>
      <w:r>
        <w:rPr>
          <w:rFonts w:ascii="Arial" w:cs="Arial" w:eastAsia="Arial" w:hAnsi="Arial"/>
          <w:sz w:val="18"/>
          <w:szCs w:val="18"/>
          <w:u w:val="single" w:color="auto"/>
          <w:color w:val="auto"/>
        </w:rPr>
        <w:t>Section 6.04(a)(x)</w:t>
      </w:r>
      <w:r>
        <w:rPr>
          <w:rFonts w:ascii="Arial" w:cs="Arial" w:eastAsia="Arial" w:hAnsi="Arial"/>
          <w:sz w:val="18"/>
          <w:szCs w:val="18"/>
          <w:color w:val="auto"/>
        </w:rPr>
        <w:t xml:space="preserve"> (it being understood that any amount utilized under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to make an Investment shall result in a reduction in the amount available under </w:t>
      </w:r>
      <w:r>
        <w:rPr>
          <w:rFonts w:ascii="Arial" w:cs="Arial" w:eastAsia="Arial" w:hAnsi="Arial"/>
          <w:sz w:val="18"/>
          <w:szCs w:val="18"/>
          <w:u w:val="single" w:color="auto"/>
          <w:color w:val="auto"/>
        </w:rPr>
        <w:t>Section 6.04(a)(x)</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at the election of the Borrower, the amount of Restricted Debt Payments then permitted to be made by the Borrower or any Restricted Subsidiary in reliance on </w:t>
      </w:r>
      <w:r>
        <w:rPr>
          <w:rFonts w:ascii="Arial" w:cs="Arial" w:eastAsia="Arial" w:hAnsi="Arial"/>
          <w:sz w:val="18"/>
          <w:szCs w:val="18"/>
          <w:u w:val="single" w:color="auto"/>
          <w:color w:val="auto"/>
        </w:rPr>
        <w:t>Section 6.04(b)(iv)(A)</w:t>
      </w:r>
      <w:r>
        <w:rPr>
          <w:rFonts w:ascii="Arial" w:cs="Arial" w:eastAsia="Arial" w:hAnsi="Arial"/>
          <w:sz w:val="18"/>
          <w:szCs w:val="18"/>
          <w:color w:val="auto"/>
        </w:rPr>
        <w:t xml:space="preserve"> (it being understood that any amount utilized under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to make an Investment shall result in a reduction in the amount available under </w:t>
      </w:r>
      <w:r>
        <w:rPr>
          <w:rFonts w:ascii="Arial" w:cs="Arial" w:eastAsia="Arial" w:hAnsi="Arial"/>
          <w:sz w:val="18"/>
          <w:szCs w:val="18"/>
          <w:u w:val="single" w:color="auto"/>
          <w:color w:val="auto"/>
        </w:rPr>
        <w:t>Section 6.04(b)(iv)(A)</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86" w:lineRule="exact"/>
        <w:rPr>
          <w:rFonts w:ascii="Arial" w:cs="Arial" w:eastAsia="Arial" w:hAnsi="Arial"/>
          <w:sz w:val="18"/>
          <w:szCs w:val="18"/>
          <w:color w:val="auto"/>
        </w:rPr>
      </w:pPr>
    </w:p>
    <w:p>
      <w:pPr>
        <w:ind w:left="440" w:right="40" w:firstLine="419"/>
        <w:spacing w:after="0" w:line="263" w:lineRule="auto"/>
        <w:tabs>
          <w:tab w:leader="none" w:pos="1128" w:val="left"/>
        </w:tabs>
        <w:numPr>
          <w:ilvl w:val="1"/>
          <w:numId w:val="235"/>
        </w:numPr>
        <w:rPr>
          <w:rFonts w:ascii="Arial" w:cs="Arial" w:eastAsia="Arial" w:hAnsi="Arial"/>
          <w:sz w:val="18"/>
          <w:szCs w:val="18"/>
          <w:color w:val="auto"/>
        </w:rPr>
      </w:pPr>
      <w:r>
        <w:rPr>
          <w:rFonts w:ascii="Arial" w:cs="Arial" w:eastAsia="Arial" w:hAnsi="Arial"/>
          <w:sz w:val="18"/>
          <w:szCs w:val="18"/>
          <w:color w:val="auto"/>
        </w:rPr>
        <w:t>in the event that (A) the Borrower or any of its Restricted Subsidiaries makes any Investment after the Closing Date in any Person that is not a Restricted Subsidiary and (B) such Person subsequently becomes a Restricted Subsidiary, an amount equal to 100% of the fair market value of such Investment as of the date on which such Person becomes a Restricted Subsidiary;</w:t>
      </w:r>
    </w:p>
    <w:p>
      <w:pPr>
        <w:spacing w:after="0" w:line="75" w:lineRule="exact"/>
        <w:rPr>
          <w:rFonts w:ascii="Arial" w:cs="Arial" w:eastAsia="Arial" w:hAnsi="Arial"/>
          <w:sz w:val="18"/>
          <w:szCs w:val="18"/>
          <w:color w:val="auto"/>
        </w:rPr>
      </w:pPr>
    </w:p>
    <w:p>
      <w:pPr>
        <w:ind w:right="40" w:firstLine="436"/>
        <w:spacing w:after="0" w:line="286" w:lineRule="auto"/>
        <w:tabs>
          <w:tab w:leader="none" w:pos="665"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Investments made after the Closing Date by the Borrower and/or any of its Restricted Subsidiaries in an aggregate outstanding amount not to exceed (i) the portion, if any, of the Available Amount on such date that the Borrower elects to apply to this </w:t>
      </w:r>
      <w:r>
        <w:rPr>
          <w:rFonts w:ascii="Arial" w:cs="Arial" w:eastAsia="Arial" w:hAnsi="Arial"/>
          <w:sz w:val="17"/>
          <w:szCs w:val="17"/>
          <w:u w:val="single" w:color="auto"/>
          <w:color w:val="auto"/>
        </w:rPr>
        <w:t>clause (r)(i)</w:t>
      </w:r>
      <w:r>
        <w:rPr>
          <w:rFonts w:ascii="Arial" w:cs="Arial" w:eastAsia="Arial" w:hAnsi="Arial"/>
          <w:sz w:val="17"/>
          <w:szCs w:val="17"/>
          <w:color w:val="auto"/>
        </w:rPr>
        <w:t xml:space="preserve"> and/or (ii) the portion, if any, of the Available Excluded Contribution Amount on such date that the Borrower elects to apply to this </w:t>
      </w:r>
      <w:r>
        <w:rPr>
          <w:rFonts w:ascii="Arial" w:cs="Arial" w:eastAsia="Arial" w:hAnsi="Arial"/>
          <w:sz w:val="17"/>
          <w:szCs w:val="17"/>
          <w:u w:val="single" w:color="auto"/>
          <w:color w:val="auto"/>
        </w:rPr>
        <w:t>clause (r)(ii)</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right="160" w:firstLine="436"/>
        <w:spacing w:after="0" w:line="263" w:lineRule="auto"/>
        <w:tabs>
          <w:tab w:leader="none" w:pos="67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 Guarantees of leases (other than Capital Leases) or of other obligations not constituting Indebtedness and (ii) Guarantees of the lease obligations of suppliers, customers, franchisees and licensees of the Borrower and/or its Restricted Subsidiaries, in each case, in the ordinary course of business;</w:t>
      </w:r>
    </w:p>
    <w:p>
      <w:pPr>
        <w:spacing w:after="0" w:line="75" w:lineRule="exact"/>
        <w:rPr>
          <w:rFonts w:ascii="Arial" w:cs="Arial" w:eastAsia="Arial" w:hAnsi="Arial"/>
          <w:sz w:val="18"/>
          <w:szCs w:val="18"/>
          <w:color w:val="auto"/>
        </w:rPr>
      </w:pPr>
    </w:p>
    <w:p>
      <w:pPr>
        <w:ind w:right="140" w:firstLine="436"/>
        <w:spacing w:after="0" w:line="263" w:lineRule="auto"/>
        <w:tabs>
          <w:tab w:leader="none" w:pos="65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Investments in any Parent Company in amounts and for purposes for which Restricted Payments to such Parent Company are permitted under </w:t>
      </w:r>
      <w:r>
        <w:rPr>
          <w:rFonts w:ascii="Arial" w:cs="Arial" w:eastAsia="Arial" w:hAnsi="Arial"/>
          <w:sz w:val="18"/>
          <w:szCs w:val="18"/>
          <w:u w:val="single" w:color="auto"/>
          <w:color w:val="auto"/>
        </w:rPr>
        <w:t>Section 6.04(a)</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6.04(a)(i)(F)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Investment made as provided above in lieu of any such Restricted Payment shall reduce availability under the applicable Restricted Payment basket under </w:t>
      </w:r>
      <w:r>
        <w:rPr>
          <w:rFonts w:ascii="Arial" w:cs="Arial" w:eastAsia="Arial" w:hAnsi="Arial"/>
          <w:sz w:val="18"/>
          <w:szCs w:val="18"/>
          <w:u w:val="single" w:color="auto"/>
          <w:color w:val="auto"/>
        </w:rPr>
        <w:t>Section 6.04(a)</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00"/>
          </w:cols>
          <w:pgMar w:left="440" w:top="274" w:right="459" w:bottom="1440" w:gutter="0" w:footer="0" w:header="0"/>
        </w:sectPr>
      </w:pPr>
    </w:p>
    <w:bookmarkStart w:id="156" w:name="page157"/>
    <w:bookmarkEnd w:id="156"/>
    <w:p>
      <w:pPr>
        <w:ind w:right="420" w:firstLine="436"/>
        <w:spacing w:after="0" w:line="277" w:lineRule="auto"/>
        <w:tabs>
          <w:tab w:leader="none" w:pos="695" w:val="left"/>
        </w:tabs>
        <w:numPr>
          <w:ilvl w:val="0"/>
          <w:numId w:val="2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in Similar Businesses in an aggregate outstanding amount not to exceed the greater of $30,000,000 and 35% of Consolidated Adjusted EBITDA as of the last day of the most recently ended Test Period;</w:t>
      </w:r>
    </w:p>
    <w:p>
      <w:pPr>
        <w:spacing w:after="0" w:line="62" w:lineRule="exact"/>
        <w:rPr>
          <w:rFonts w:ascii="Arial" w:cs="Arial" w:eastAsia="Arial" w:hAnsi="Arial"/>
          <w:sz w:val="18"/>
          <w:szCs w:val="18"/>
          <w:color w:val="auto"/>
        </w:rPr>
      </w:pPr>
    </w:p>
    <w:p>
      <w:pPr>
        <w:ind w:firstLine="436"/>
        <w:spacing w:after="0" w:line="259" w:lineRule="auto"/>
        <w:tabs>
          <w:tab w:leader="none" w:pos="69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Investments in the Borrower and/or any Restricted Subsidiary in connection with internal reorganizations and/or restructurings and/or activities related to tax planning; </w:t>
      </w:r>
      <w:r>
        <w:rPr>
          <w:rFonts w:ascii="Arial" w:cs="Arial" w:eastAsia="Arial" w:hAnsi="Arial"/>
          <w:sz w:val="18"/>
          <w:szCs w:val="18"/>
          <w:u w:val="single" w:color="auto"/>
          <w:color w:val="auto"/>
        </w:rPr>
        <w:t>provided</w:t>
      </w:r>
      <w:r>
        <w:rPr>
          <w:rFonts w:ascii="Arial" w:cs="Arial" w:eastAsia="Arial" w:hAnsi="Arial"/>
          <w:sz w:val="18"/>
          <w:szCs w:val="18"/>
          <w:color w:val="auto"/>
        </w:rPr>
        <w:t>, that, after giving effect to any such reorganization, restructuring or activity, in the good faith determination of the Borrower, neither the Loan Guaranty, taken as a whole, nor the security interest of the Administrative Agent in the Collateral, taken as a whole, is materially impaired;</w:t>
      </w:r>
    </w:p>
    <w:p>
      <w:pPr>
        <w:spacing w:after="0" w:line="78" w:lineRule="exact"/>
        <w:rPr>
          <w:rFonts w:ascii="Arial" w:cs="Arial" w:eastAsia="Arial" w:hAnsi="Arial"/>
          <w:sz w:val="18"/>
          <w:szCs w:val="18"/>
          <w:color w:val="auto"/>
        </w:rPr>
      </w:pPr>
    </w:p>
    <w:p>
      <w:pPr>
        <w:ind w:left="740" w:hanging="304"/>
        <w:spacing w:after="0"/>
        <w:tabs>
          <w:tab w:leader="none" w:pos="7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Investments under Derivative Transactions of the type permitted under </w:t>
      </w:r>
      <w:r>
        <w:rPr>
          <w:rFonts w:ascii="Arial" w:cs="Arial" w:eastAsia="Arial" w:hAnsi="Arial"/>
          <w:sz w:val="18"/>
          <w:szCs w:val="18"/>
          <w:u w:val="single" w:color="auto"/>
          <w:color w:val="auto"/>
        </w:rPr>
        <w:t>Section 6.01(s)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120" w:firstLine="436"/>
        <w:spacing w:after="0" w:line="277" w:lineRule="auto"/>
        <w:tabs>
          <w:tab w:leader="none" w:pos="69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Investments made in joint ventures as required by, or made pursuant to, customary buy/sell arrangements between the joint venture parties set forth in joint venture agreements and similar binding arrangements entered into in the ordinary course of business;</w:t>
      </w:r>
    </w:p>
    <w:p>
      <w:pPr>
        <w:spacing w:after="0" w:line="62" w:lineRule="exact"/>
        <w:rPr>
          <w:rFonts w:ascii="Arial" w:cs="Arial" w:eastAsia="Arial" w:hAnsi="Arial"/>
          <w:sz w:val="18"/>
          <w:szCs w:val="18"/>
          <w:color w:val="auto"/>
        </w:rPr>
      </w:pPr>
    </w:p>
    <w:p>
      <w:pPr>
        <w:ind w:right="280" w:firstLine="436"/>
        <w:spacing w:after="0" w:line="263" w:lineRule="auto"/>
        <w:tabs>
          <w:tab w:leader="none" w:pos="68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Investments made in connection with any nonqualified deferred compensation plan or arrangement for any present or former employee, director, member of management, officer, manager or consultant or independent contractor (or any Immediate Family Member thereof) of any Parent Company, the Borrower, its subsidiaries and/or any joint venture;</w:t>
      </w:r>
    </w:p>
    <w:p>
      <w:pPr>
        <w:spacing w:after="0" w:line="76" w:lineRule="exact"/>
        <w:rPr>
          <w:sz w:val="20"/>
          <w:szCs w:val="20"/>
          <w:color w:val="auto"/>
        </w:rPr>
      </w:pPr>
    </w:p>
    <w:p>
      <w:pPr>
        <w:ind w:right="40" w:firstLine="436"/>
        <w:spacing w:after="0" w:line="277" w:lineRule="auto"/>
        <w:tabs>
          <w:tab w:leader="none" w:pos="76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Investments in the Borrower, any Restricted Subsidiary and/or joint venture in connection with intercompany cash management arrangements and related activities in the ordinary course of business;</w:t>
      </w:r>
    </w:p>
    <w:p>
      <w:pPr>
        <w:spacing w:after="0" w:line="62" w:lineRule="exact"/>
        <w:rPr>
          <w:rFonts w:ascii="Arial" w:cs="Arial" w:eastAsia="Arial" w:hAnsi="Arial"/>
          <w:sz w:val="18"/>
          <w:szCs w:val="18"/>
          <w:color w:val="auto"/>
        </w:rPr>
      </w:pPr>
    </w:p>
    <w:p>
      <w:pPr>
        <w:ind w:right="240" w:firstLine="436"/>
        <w:spacing w:after="0" w:line="277" w:lineRule="auto"/>
        <w:tabs>
          <w:tab w:leader="none" w:pos="78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so long as no Event of Default under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exists, any Investment so long as, after giving effect thereto on a Pro Forma Basis, the Total Net Leverage Ratio does not exceed 2.75:1.00 as of the last day of the most recently ended Test Period;</w:t>
      </w:r>
    </w:p>
    <w:p>
      <w:pPr>
        <w:spacing w:after="0" w:line="62" w:lineRule="exact"/>
        <w:rPr>
          <w:rFonts w:ascii="Arial" w:cs="Arial" w:eastAsia="Arial" w:hAnsi="Arial"/>
          <w:sz w:val="18"/>
          <w:szCs w:val="18"/>
          <w:color w:val="auto"/>
        </w:rPr>
      </w:pPr>
    </w:p>
    <w:p>
      <w:pPr>
        <w:ind w:right="180" w:firstLine="436"/>
        <w:spacing w:after="0" w:line="263" w:lineRule="auto"/>
        <w:tabs>
          <w:tab w:leader="none" w:pos="76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Investment made or committed to be made by any Unrestricted Subsidiary prior to the date on which such Unrestricted Subsidiary is designated as a Restricted Subsidiary so long as the relevant Investment was not made or committed to be made in contemplation of the designation of such Unrestricted Subsidiary as a Restricted Subsidiary;</w:t>
      </w:r>
    </w:p>
    <w:p>
      <w:pPr>
        <w:spacing w:after="0" w:line="75" w:lineRule="exact"/>
        <w:rPr>
          <w:rFonts w:ascii="Arial" w:cs="Arial" w:eastAsia="Arial" w:hAnsi="Arial"/>
          <w:sz w:val="18"/>
          <w:szCs w:val="18"/>
          <w:color w:val="auto"/>
        </w:rPr>
      </w:pPr>
    </w:p>
    <w:p>
      <w:pPr>
        <w:ind w:right="40" w:firstLine="436"/>
        <w:spacing w:after="0" w:line="277" w:lineRule="auto"/>
        <w:tabs>
          <w:tab w:leader="none" w:pos="78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Investments consisting of the licensing, sublicensing or contribution of IP Rights, including pursuant to joint marketing, collaboration or joint development arrangements with other Persons in the ordinary course of business;</w:t>
      </w:r>
    </w:p>
    <w:p>
      <w:pPr>
        <w:spacing w:after="0" w:line="62" w:lineRule="exact"/>
        <w:rPr>
          <w:rFonts w:ascii="Arial" w:cs="Arial" w:eastAsia="Arial" w:hAnsi="Arial"/>
          <w:sz w:val="18"/>
          <w:szCs w:val="18"/>
          <w:color w:val="auto"/>
        </w:rPr>
      </w:pPr>
    </w:p>
    <w:p>
      <w:pPr>
        <w:ind w:right="80" w:firstLine="436"/>
        <w:spacing w:after="0" w:line="259" w:lineRule="auto"/>
        <w:tabs>
          <w:tab w:leader="none" w:pos="76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any loan and/or advance to any Parent Company not in excess of the amount (after giving effect to any other loan, advance or Restricted Payment in respect thereof) of Restricted Payments that are permitted to be made to such Parent Company in accordance with </w:t>
      </w:r>
      <w:r>
        <w:rPr>
          <w:rFonts w:ascii="Arial" w:cs="Arial" w:eastAsia="Arial" w:hAnsi="Arial"/>
          <w:sz w:val="18"/>
          <w:szCs w:val="18"/>
          <w:u w:val="single" w:color="auto"/>
          <w:color w:val="auto"/>
        </w:rPr>
        <w:t>Section 6.04(a)(i)</w:t>
      </w:r>
      <w:r>
        <w:rPr>
          <w:rFonts w:ascii="Arial" w:cs="Arial" w:eastAsia="Arial" w:hAnsi="Arial"/>
          <w:sz w:val="18"/>
          <w:szCs w:val="18"/>
          <w:color w:val="auto"/>
        </w:rPr>
        <w:t xml:space="preserve">, such Investment being treated for purposes of the applicable provision of </w:t>
      </w:r>
      <w:r>
        <w:rPr>
          <w:rFonts w:ascii="Arial" w:cs="Arial" w:eastAsia="Arial" w:hAnsi="Arial"/>
          <w:sz w:val="18"/>
          <w:szCs w:val="18"/>
          <w:u w:val="single" w:color="auto"/>
          <w:color w:val="auto"/>
        </w:rPr>
        <w:t>Section 6.04(a)</w:t>
      </w:r>
      <w:r>
        <w:rPr>
          <w:rFonts w:ascii="Arial" w:cs="Arial" w:eastAsia="Arial" w:hAnsi="Arial"/>
          <w:sz w:val="18"/>
          <w:szCs w:val="18"/>
          <w:color w:val="auto"/>
        </w:rPr>
        <w:t>, including any limitation, as a Restricted Payment made pursuant to such clause;</w:t>
      </w:r>
    </w:p>
    <w:p>
      <w:pPr>
        <w:spacing w:after="0" w:line="78" w:lineRule="exact"/>
        <w:rPr>
          <w:rFonts w:ascii="Arial" w:cs="Arial" w:eastAsia="Arial" w:hAnsi="Arial"/>
          <w:sz w:val="18"/>
          <w:szCs w:val="18"/>
          <w:color w:val="auto"/>
        </w:rPr>
      </w:pPr>
    </w:p>
    <w:p>
      <w:pPr>
        <w:ind w:left="720" w:hanging="284"/>
        <w:spacing w:after="0"/>
        <w:tabs>
          <w:tab w:leader="none" w:pos="7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20" w:firstLine="436"/>
        <w:spacing w:after="0" w:line="308" w:lineRule="auto"/>
        <w:tabs>
          <w:tab w:leader="none" w:pos="785" w:val="left"/>
        </w:tabs>
        <w:numPr>
          <w:ilvl w:val="0"/>
          <w:numId w:val="237"/>
        </w:numPr>
        <w:rPr>
          <w:rFonts w:ascii="Arial" w:cs="Arial" w:eastAsia="Arial" w:hAnsi="Arial"/>
          <w:sz w:val="17"/>
          <w:szCs w:val="17"/>
          <w:color w:val="auto"/>
        </w:rPr>
      </w:pPr>
      <w:r>
        <w:rPr>
          <w:rFonts w:ascii="Arial" w:cs="Arial" w:eastAsia="Arial" w:hAnsi="Arial"/>
          <w:sz w:val="17"/>
          <w:szCs w:val="17"/>
          <w:color w:val="auto"/>
        </w:rPr>
        <w:t>Investments (i) of Receivables Facility Assets in connection with any Receivables Facility and/or (ii) necessary to permit the payment of fees, expenses and/or indemnification obligations and/or the satisfaction of any repurchase obligation in connection with any Receivables Facility;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20"/>
          </w:cols>
          <w:pgMar w:left="440" w:top="274" w:right="439" w:bottom="1440" w:gutter="0" w:footer="0" w:header="0"/>
        </w:sectPr>
      </w:pPr>
    </w:p>
    <w:bookmarkStart w:id="157" w:name="page158"/>
    <w:bookmarkEnd w:id="157"/>
    <w:p>
      <w:pPr>
        <w:ind w:left="4" w:right="160" w:firstLine="436"/>
        <w:spacing w:after="0" w:line="287" w:lineRule="auto"/>
        <w:tabs>
          <w:tab w:leader="none" w:pos="789" w:val="left"/>
        </w:tabs>
        <w:numPr>
          <w:ilvl w:val="1"/>
          <w:numId w:val="2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Investments made by any Restricted Subsidiary that is not a Loan Party with the proceeds received by such Restricted Subsidiary from an Investment permitted to be made by any Loan Party in such Restricted Subsidiary pursuant to this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(other than any Investment made pursuant to (x) </w:t>
      </w:r>
      <w:r>
        <w:rPr>
          <w:rFonts w:ascii="Arial" w:cs="Arial" w:eastAsia="Arial" w:hAnsi="Arial"/>
          <w:sz w:val="16"/>
          <w:szCs w:val="16"/>
          <w:u w:val="single" w:color="auto"/>
          <w:color w:val="auto"/>
        </w:rPr>
        <w:t>Section 6.06(b)(ii)</w:t>
      </w:r>
      <w:r>
        <w:rPr>
          <w:rFonts w:ascii="Arial" w:cs="Arial" w:eastAsia="Arial" w:hAnsi="Arial"/>
          <w:sz w:val="16"/>
          <w:szCs w:val="16"/>
          <w:color w:val="auto"/>
        </w:rPr>
        <w:t>, solely to the extent the proceeds thereof are to be used to make an Investment in any Unrestricted Subsidiary and/or</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Section 6.06(e)(ii)</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704" w:hanging="264"/>
        <w:spacing w:after="0"/>
        <w:tabs>
          <w:tab w:leader="none" w:pos="704" w:val="left"/>
        </w:tabs>
        <w:numPr>
          <w:ilvl w:val="1"/>
          <w:numId w:val="239"/>
        </w:numPr>
        <w:rPr>
          <w:rFonts w:ascii="Arial" w:cs="Arial" w:eastAsia="Arial" w:hAnsi="Arial"/>
          <w:sz w:val="18"/>
          <w:szCs w:val="18"/>
          <w:color w:val="auto"/>
        </w:rPr>
      </w:pPr>
      <w:r>
        <w:rPr>
          <w:rFonts w:ascii="Arial" w:cs="Arial" w:eastAsia="Arial" w:hAnsi="Arial"/>
          <w:sz w:val="18"/>
          <w:szCs w:val="18"/>
          <w:color w:val="auto"/>
        </w:rPr>
        <w:t>[reserved]; and/or</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Permitted Bond Hedge Transaction;</w:t>
      </w:r>
    </w:p>
    <w:p>
      <w:pPr>
        <w:spacing w:after="0" w:line="117" w:lineRule="exact"/>
        <w:rPr>
          <w:rFonts w:ascii="Arial" w:cs="Arial" w:eastAsia="Arial" w:hAnsi="Arial"/>
          <w:sz w:val="18"/>
          <w:szCs w:val="18"/>
          <w:color w:val="auto"/>
        </w:rPr>
      </w:pPr>
    </w:p>
    <w:p>
      <w:pPr>
        <w:ind w:left="4" w:right="700" w:firstLine="436"/>
        <w:spacing w:after="0" w:line="277" w:lineRule="auto"/>
        <w:tabs>
          <w:tab w:leader="none" w:pos="789" w:val="left"/>
        </w:tabs>
        <w:numPr>
          <w:ilvl w:val="1"/>
          <w:numId w:val="239"/>
        </w:numPr>
        <w:rPr>
          <w:rFonts w:ascii="Arial" w:cs="Arial" w:eastAsia="Arial" w:hAnsi="Arial"/>
          <w:sz w:val="18"/>
          <w:szCs w:val="18"/>
          <w:color w:val="auto"/>
        </w:rPr>
      </w:pPr>
      <w:r>
        <w:rPr>
          <w:rFonts w:ascii="Arial" w:cs="Arial" w:eastAsia="Arial" w:hAnsi="Arial"/>
          <w:sz w:val="18"/>
          <w:szCs w:val="18"/>
          <w:color w:val="auto"/>
        </w:rPr>
        <w:t>Investments consisting of prepaid expenses, negotiable instruments held for collection and lease, utility and workers’ compensation, performance and other similar deposits;</w:t>
      </w:r>
    </w:p>
    <w:p>
      <w:pPr>
        <w:spacing w:after="0" w:line="62" w:lineRule="exact"/>
        <w:rPr>
          <w:rFonts w:ascii="Arial" w:cs="Arial" w:eastAsia="Arial" w:hAnsi="Arial"/>
          <w:sz w:val="18"/>
          <w:szCs w:val="18"/>
          <w:color w:val="auto"/>
        </w:rPr>
      </w:pPr>
    </w:p>
    <w:p>
      <w:pPr>
        <w:ind w:left="4" w:right="420" w:firstLine="436"/>
        <w:spacing w:after="0" w:line="263" w:lineRule="auto"/>
        <w:tabs>
          <w:tab w:leader="none" w:pos="709" w:val="left"/>
        </w:tabs>
        <w:numPr>
          <w:ilvl w:val="1"/>
          <w:numId w:val="239"/>
        </w:numPr>
        <w:rPr>
          <w:rFonts w:ascii="Arial" w:cs="Arial" w:eastAsia="Arial" w:hAnsi="Arial"/>
          <w:sz w:val="18"/>
          <w:szCs w:val="18"/>
          <w:color w:val="auto"/>
        </w:rPr>
      </w:pPr>
      <w:r>
        <w:rPr>
          <w:rFonts w:ascii="Arial" w:cs="Arial" w:eastAsia="Arial" w:hAnsi="Arial"/>
          <w:sz w:val="18"/>
          <w:szCs w:val="18"/>
          <w:color w:val="auto"/>
        </w:rPr>
        <w:t>Investments in receivables owing to the Borrower and/or any Restricted Subsidiary in the ordinary course of business on customary trade terms, including such concessionary trade terms as the Borrower or the relevant Restricted Subsidiary may deem reasonable under the applicable circumstances; and/or</w:t>
      </w:r>
    </w:p>
    <w:p>
      <w:pPr>
        <w:spacing w:after="0" w:line="75" w:lineRule="exact"/>
        <w:rPr>
          <w:rFonts w:ascii="Arial" w:cs="Arial" w:eastAsia="Arial" w:hAnsi="Arial"/>
          <w:sz w:val="18"/>
          <w:szCs w:val="18"/>
          <w:color w:val="auto"/>
        </w:rPr>
      </w:pPr>
    </w:p>
    <w:p>
      <w:pPr>
        <w:ind w:left="4" w:right="140" w:firstLine="436"/>
        <w:spacing w:after="0" w:line="277" w:lineRule="auto"/>
        <w:tabs>
          <w:tab w:leader="none" w:pos="889"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contribution to a “rabbi” trust for the benefit of any employee, director, consultant, independent contractor or other service provider or any other grantor trust.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Notwithstanding the foregoing, it is understood and agreed that this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shall not permit an IP Separation Transaction.</w:t>
      </w:r>
    </w:p>
    <w:p>
      <w:pPr>
        <w:spacing w:after="0" w:line="225"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Fundamental Changes; Disposition of Assets</w:t>
      </w:r>
      <w:r>
        <w:rPr>
          <w:rFonts w:ascii="Arial" w:cs="Arial" w:eastAsia="Arial" w:hAnsi="Arial"/>
          <w:sz w:val="18"/>
          <w:szCs w:val="18"/>
          <w:color w:val="auto"/>
        </w:rPr>
        <w:t>. The Borrower shall not, nor shall it permit any of its Restricted Subsidiaries to, merge, consolidate, amalgamate, or liquidate, wind up or dissolve themselves (or suffer any liquidation or dissolution), or make any voluntary Disposition of assets outside the ordinary course of business having a fair market value in excess of the greater of $17,500,000 and 20% of Consolidated Adjusted EBITDA as of the last day of the most recently ended Test Period in any single transaction or series of related transactions (including, in each case, pursuant to a Delaware LLC Division), except:</w:t>
      </w:r>
    </w:p>
    <w:p>
      <w:pPr>
        <w:spacing w:after="0" w:line="80" w:lineRule="exact"/>
        <w:rPr>
          <w:sz w:val="20"/>
          <w:szCs w:val="20"/>
          <w:color w:val="auto"/>
        </w:rPr>
      </w:pPr>
    </w:p>
    <w:p>
      <w:pPr>
        <w:jc w:val="both"/>
        <w:ind w:left="4" w:right="620" w:firstLine="436"/>
        <w:spacing w:after="0" w:line="263" w:lineRule="auto"/>
        <w:tabs>
          <w:tab w:leader="none" w:pos="689"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the Borrower or any Subsidiary Guarantor may be merged, consolidated or amalgamated with another Person or, if applicable, effect a Delaware LLC Division, or any Restricted Subsidiary may be merged, consolidated or amalgamated with or into the Borrower or any Restricted Subsidiary or, if applicable, effect a Delaware LLC Division;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5" w:lineRule="exact"/>
        <w:rPr>
          <w:rFonts w:ascii="Arial" w:cs="Arial" w:eastAsia="Arial" w:hAnsi="Arial"/>
          <w:sz w:val="18"/>
          <w:szCs w:val="18"/>
          <w:color w:val="auto"/>
        </w:rPr>
      </w:pPr>
    </w:p>
    <w:p>
      <w:pPr>
        <w:ind w:left="444" w:right="20" w:firstLine="419"/>
        <w:spacing w:after="0" w:line="270" w:lineRule="auto"/>
        <w:tabs>
          <w:tab w:leader="none" w:pos="1082" w:val="left"/>
        </w:tabs>
        <w:numPr>
          <w:ilvl w:val="1"/>
          <w:numId w:val="240"/>
        </w:numPr>
        <w:rPr>
          <w:rFonts w:ascii="Arial" w:cs="Arial" w:eastAsia="Arial" w:hAnsi="Arial"/>
          <w:sz w:val="17"/>
          <w:szCs w:val="17"/>
          <w:color w:val="auto"/>
        </w:rPr>
      </w:pPr>
      <w:r>
        <w:rPr>
          <w:rFonts w:ascii="Arial" w:cs="Arial" w:eastAsia="Arial" w:hAnsi="Arial"/>
          <w:sz w:val="17"/>
          <w:szCs w:val="17"/>
          <w:color w:val="auto"/>
        </w:rPr>
        <w:t>in the case of any such merger, consolidation or amalgamation with or into the Borrower or any Delaware LLC Division relating to the Borrower, (A) the Borrower shall be the continuing or surviving Person or (B) if the Person formed by or surviving any such merger, consolidation, amalgamation or Delaware LLC Division is not the Borrower (any such Person, the “</w:t>
      </w:r>
      <w:r>
        <w:rPr>
          <w:rFonts w:ascii="Arial" w:cs="Arial" w:eastAsia="Arial" w:hAnsi="Arial"/>
          <w:sz w:val="17"/>
          <w:szCs w:val="17"/>
          <w:u w:val="single" w:color="auto"/>
          <w:color w:val="auto"/>
        </w:rPr>
        <w:t>Successor Borrower</w:t>
      </w:r>
      <w:r>
        <w:rPr>
          <w:rFonts w:ascii="Arial" w:cs="Arial" w:eastAsia="Arial" w:hAnsi="Arial"/>
          <w:sz w:val="17"/>
          <w:szCs w:val="17"/>
          <w:color w:val="auto"/>
        </w:rPr>
        <w:t xml:space="preserve">”), (1) the Successor Borrower shall be an entity organized or existing under the law of the US, any state thereof or the District of Columbia, (2) the Successor Borrower shall expressly assume the Obligations of the Borrower in a manner reasonably satisfactory to the Administrative Agent and (3) except as the Administrative Agent may otherwise agree, each Guarantor, unless it is the other party to such merger, consolidation or amalgamation, shall have executed and delivered a reaffirmation agreement with respect to its obligations under the Loan Guaranty and the other Loan Documents; it being understood and agreed that if the foregoing conditions under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(3)</w:t>
      </w:r>
      <w:r>
        <w:rPr>
          <w:rFonts w:ascii="Arial" w:cs="Arial" w:eastAsia="Arial" w:hAnsi="Arial"/>
          <w:sz w:val="17"/>
          <w:szCs w:val="17"/>
          <w:color w:val="auto"/>
        </w:rPr>
        <w:t xml:space="preserve"> are satisfied, the Successor Borrower will succeed to, and be substituted for, the Borrower under this Agreement and the other Loan Documents, and</w:t>
      </w:r>
    </w:p>
    <w:p>
      <w:pPr>
        <w:spacing w:after="0" w:line="72" w:lineRule="exact"/>
        <w:rPr>
          <w:rFonts w:ascii="Arial" w:cs="Arial" w:eastAsia="Arial" w:hAnsi="Arial"/>
          <w:sz w:val="17"/>
          <w:szCs w:val="17"/>
          <w:color w:val="auto"/>
        </w:rPr>
      </w:pPr>
    </w:p>
    <w:p>
      <w:pPr>
        <w:ind w:left="444" w:firstLine="419"/>
        <w:spacing w:after="0" w:line="257" w:lineRule="auto"/>
        <w:tabs>
          <w:tab w:leader="none" w:pos="113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 xml:space="preserve">in the case of any such merger, consolidation or amalgamation with or into any Subsidiary Guarantor or any Delaware LLC Division relating to any Subsidiary Guarantor, either (A) the Borrower or a Subsidiary Guarantor shall be the continuing or surviving Person or the continuing or surviving Person (or, in the case of an amalgamation, the Person formed as a result thereof) shall expressly assume the obligations of such Subsidiary Guarantor in a manner reasonably satisfactory to the Administrative Agent or (B) the relevant transaction shall be treated as an Investment and shall comply with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04"/>
          </w:cols>
          <w:pgMar w:left="436" w:top="274" w:right="459" w:bottom="1440" w:gutter="0" w:footer="0" w:header="0"/>
        </w:sectPr>
      </w:pPr>
    </w:p>
    <w:bookmarkStart w:id="158" w:name="page159"/>
    <w:bookmarkEnd w:id="158"/>
    <w:p>
      <w:pPr>
        <w:ind w:left="4" w:right="180" w:firstLine="436"/>
        <w:spacing w:after="0" w:line="263" w:lineRule="auto"/>
        <w:tabs>
          <w:tab w:leader="none" w:pos="699" w:val="left"/>
        </w:tabs>
        <w:numPr>
          <w:ilvl w:val="1"/>
          <w:numId w:val="2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Dispositions (including of Capital Stock) among the Borrower and/or any Restricted Subsidiary (upon voluntary liquidation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relevant Disposition is to a Restricted Subsidiary that is not a Loan Party, the relevant transaction shall be treated as an Investment and shall comply with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 w:right="60" w:firstLine="436"/>
        <w:spacing w:after="0" w:line="284" w:lineRule="auto"/>
        <w:tabs>
          <w:tab w:leader="none" w:pos="689" w:val="left"/>
        </w:tabs>
        <w:numPr>
          <w:ilvl w:val="1"/>
          <w:numId w:val="241"/>
        </w:numPr>
        <w:rPr>
          <w:rFonts w:ascii="Arial" w:cs="Arial" w:eastAsia="Arial" w:hAnsi="Arial"/>
          <w:sz w:val="16"/>
          <w:szCs w:val="16"/>
          <w:color w:val="auto"/>
        </w:rPr>
      </w:pPr>
      <w:r>
        <w:rPr>
          <w:rFonts w:ascii="Arial" w:cs="Arial" w:eastAsia="Arial" w:hAnsi="Arial"/>
          <w:sz w:val="16"/>
          <w:szCs w:val="16"/>
          <w:color w:val="auto"/>
        </w:rPr>
        <w:t xml:space="preserve">(i) the liquidation, dissolution or Delaware LLC Division of any Restricted Subsidiary if the Borrower determines in good faith that (A) such liquidation, dissolution or Delaware LLC Division is in the best interests of the Borrower and (B) is not materially disadvantageous to the Lenders (taken as a whole) and (ii) the Borrower or any Restricted Subsidiary receives the assets (if any) of the relevant liquidated, dissolved or divided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liquidation, dissolution or Delaware LLC Division of any Loan Party that results in a distribution of assets to any Restricted Subsidiary that is not a Loan Party, such distribution shall be treated as an Investment and shall comply with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(other than in reliance on </w:t>
      </w:r>
      <w:r>
        <w:rPr>
          <w:rFonts w:ascii="Arial" w:cs="Arial" w:eastAsia="Arial" w:hAnsi="Arial"/>
          <w:sz w:val="16"/>
          <w:szCs w:val="16"/>
          <w:u w:val="single" w:color="auto"/>
          <w:color w:val="auto"/>
        </w:rPr>
        <w:t>clause (j)</w:t>
      </w:r>
      <w:r>
        <w:rPr>
          <w:rFonts w:ascii="Arial" w:cs="Arial" w:eastAsia="Arial" w:hAnsi="Arial"/>
          <w:sz w:val="16"/>
          <w:szCs w:val="16"/>
          <w:color w:val="auto"/>
        </w:rPr>
        <w:t xml:space="preserve"> thereof); (ii) any merger, amalgamation, dissolution, liquidation, consolidation or Delaware LLC Division, the purpose of which is to effect (A) any Disposition otherwise permitted under this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clause (c)</w:t>
      </w:r>
      <w:r>
        <w:rPr>
          <w:rFonts w:ascii="Arial" w:cs="Arial" w:eastAsia="Arial" w:hAnsi="Arial"/>
          <w:sz w:val="16"/>
          <w:szCs w:val="16"/>
          <w:color w:val="auto"/>
        </w:rPr>
        <w:t>) or</w:t>
      </w:r>
    </w:p>
    <w:p>
      <w:pPr>
        <w:spacing w:after="0" w:line="2" w:lineRule="exact"/>
        <w:rPr>
          <w:rFonts w:ascii="Arial" w:cs="Arial" w:eastAsia="Arial" w:hAnsi="Arial"/>
          <w:sz w:val="16"/>
          <w:szCs w:val="16"/>
          <w:color w:val="auto"/>
        </w:rPr>
      </w:pPr>
    </w:p>
    <w:p>
      <w:pPr>
        <w:ind w:left="4" w:right="80" w:hanging="4"/>
        <w:spacing w:after="0" w:line="255" w:lineRule="auto"/>
        <w:tabs>
          <w:tab w:leader="none" w:pos="28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any Investment permitted under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6.06(j)</w:t>
      </w:r>
      <w:r>
        <w:rPr>
          <w:rFonts w:ascii="Arial" w:cs="Arial" w:eastAsia="Arial" w:hAnsi="Arial"/>
          <w:sz w:val="18"/>
          <w:szCs w:val="18"/>
          <w:color w:val="auto"/>
        </w:rPr>
        <w:t>); and (iii) the conversion of the Borrower or any Restricted Subsidiary into another form of entity, so long as such conversion does not, in the good faith determination of the Borrower, adversely affect the value of the Loan Guaranty or Collateral, if any;</w:t>
      </w:r>
    </w:p>
    <w:p>
      <w:pPr>
        <w:spacing w:after="0" w:line="81" w:lineRule="exact"/>
        <w:rPr>
          <w:rFonts w:ascii="Arial" w:cs="Arial" w:eastAsia="Arial" w:hAnsi="Arial"/>
          <w:sz w:val="18"/>
          <w:szCs w:val="18"/>
          <w:color w:val="auto"/>
        </w:rPr>
      </w:pPr>
    </w:p>
    <w:p>
      <w:pPr>
        <w:ind w:left="4" w:right="260" w:firstLine="436"/>
        <w:spacing w:after="0" w:line="277" w:lineRule="auto"/>
        <w:tabs>
          <w:tab w:leader="none" w:pos="699" w:val="left"/>
        </w:tabs>
        <w:numPr>
          <w:ilvl w:val="1"/>
          <w:numId w:val="242"/>
        </w:numPr>
        <w:rPr>
          <w:rFonts w:ascii="Arial" w:cs="Arial" w:eastAsia="Arial" w:hAnsi="Arial"/>
          <w:sz w:val="18"/>
          <w:szCs w:val="18"/>
          <w:color w:val="auto"/>
        </w:rPr>
      </w:pPr>
      <w:r>
        <w:rPr>
          <w:rFonts w:ascii="Arial" w:cs="Arial" w:eastAsia="Arial" w:hAnsi="Arial"/>
          <w:sz w:val="18"/>
          <w:szCs w:val="18"/>
          <w:color w:val="auto"/>
        </w:rPr>
        <w:t>(i) Dispositions of inventory or equipment or immaterial assets in the ordinary course of business (including on an intercompany basis) and (ii) the leasing or subleasing of real property in the ordinary course of business;</w:t>
      </w:r>
    </w:p>
    <w:p>
      <w:pPr>
        <w:spacing w:after="0" w:line="62" w:lineRule="exact"/>
        <w:rPr>
          <w:rFonts w:ascii="Arial" w:cs="Arial" w:eastAsia="Arial" w:hAnsi="Arial"/>
          <w:sz w:val="18"/>
          <w:szCs w:val="18"/>
          <w:color w:val="auto"/>
        </w:rPr>
      </w:pPr>
    </w:p>
    <w:p>
      <w:pPr>
        <w:ind w:left="4" w:right="80" w:firstLine="436"/>
        <w:spacing w:after="0" w:line="263" w:lineRule="auto"/>
        <w:tabs>
          <w:tab w:leader="none" w:pos="689" w:val="left"/>
        </w:tabs>
        <w:numPr>
          <w:ilvl w:val="1"/>
          <w:numId w:val="242"/>
        </w:numPr>
        <w:rPr>
          <w:rFonts w:ascii="Arial" w:cs="Arial" w:eastAsia="Arial" w:hAnsi="Arial"/>
          <w:sz w:val="18"/>
          <w:szCs w:val="18"/>
          <w:color w:val="auto"/>
        </w:rPr>
      </w:pPr>
      <w:r>
        <w:rPr>
          <w:rFonts w:ascii="Arial" w:cs="Arial" w:eastAsia="Arial" w:hAnsi="Arial"/>
          <w:sz w:val="18"/>
          <w:szCs w:val="18"/>
          <w:color w:val="auto"/>
        </w:rPr>
        <w:t>Dispositions of surplus, obsolete, used or worn out property or other property that, in the good faith judgment of the Borrower, is (i) no longer useful in its business (or in the business of any Restricted Subsidiary of the Borrower) or (ii) otherwise economically impracticable to maintain, including any property abandoned in connection with the termination of any lease;</w:t>
      </w:r>
    </w:p>
    <w:p>
      <w:pPr>
        <w:spacing w:after="0" w:line="75" w:lineRule="exact"/>
        <w:rPr>
          <w:rFonts w:ascii="Arial" w:cs="Arial" w:eastAsia="Arial" w:hAnsi="Arial"/>
          <w:sz w:val="18"/>
          <w:szCs w:val="18"/>
          <w:color w:val="auto"/>
        </w:rPr>
      </w:pPr>
    </w:p>
    <w:p>
      <w:pPr>
        <w:ind w:left="664" w:hanging="224"/>
        <w:spacing w:after="0"/>
        <w:tabs>
          <w:tab w:leader="none" w:pos="664" w:val="left"/>
        </w:tabs>
        <w:numPr>
          <w:ilvl w:val="1"/>
          <w:numId w:val="242"/>
        </w:numPr>
        <w:rPr>
          <w:rFonts w:ascii="Arial" w:cs="Arial" w:eastAsia="Arial" w:hAnsi="Arial"/>
          <w:sz w:val="16"/>
          <w:szCs w:val="16"/>
          <w:color w:val="auto"/>
        </w:rPr>
      </w:pPr>
      <w:r>
        <w:rPr>
          <w:rFonts w:ascii="Arial" w:cs="Arial" w:eastAsia="Arial" w:hAnsi="Arial"/>
          <w:sz w:val="16"/>
          <w:szCs w:val="16"/>
          <w:color w:val="auto"/>
        </w:rPr>
        <w:t>Dispositions of Cash and/or Cash Equivalents and/or other assets that were Cash Equivalents when the relevant original Investment was made;</w:t>
      </w:r>
    </w:p>
    <w:p>
      <w:pPr>
        <w:spacing w:after="0" w:line="140" w:lineRule="exact"/>
        <w:rPr>
          <w:rFonts w:ascii="Arial" w:cs="Arial" w:eastAsia="Arial" w:hAnsi="Arial"/>
          <w:sz w:val="16"/>
          <w:szCs w:val="16"/>
          <w:color w:val="auto"/>
        </w:rPr>
      </w:pPr>
    </w:p>
    <w:p>
      <w:pPr>
        <w:jc w:val="both"/>
        <w:ind w:left="4" w:firstLine="436"/>
        <w:spacing w:after="0" w:line="342" w:lineRule="auto"/>
        <w:tabs>
          <w:tab w:leader="none" w:pos="699" w:val="left"/>
        </w:tabs>
        <w:numPr>
          <w:ilvl w:val="1"/>
          <w:numId w:val="242"/>
        </w:numPr>
        <w:rPr>
          <w:rFonts w:ascii="Arial" w:cs="Arial" w:eastAsia="Arial" w:hAnsi="Arial"/>
          <w:sz w:val="16"/>
          <w:szCs w:val="16"/>
          <w:color w:val="auto"/>
        </w:rPr>
      </w:pPr>
      <w:r>
        <w:rPr>
          <w:rFonts w:ascii="Arial" w:cs="Arial" w:eastAsia="Arial" w:hAnsi="Arial"/>
          <w:sz w:val="16"/>
          <w:szCs w:val="16"/>
          <w:color w:val="auto"/>
        </w:rPr>
        <w:t xml:space="preserve">Dispositions, mergers, amalgamations, consolidations or conveyances that constitute (or would result in) (i) Investments permitted pursuant to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6.06(j)</w:t>
      </w:r>
      <w:r>
        <w:rPr>
          <w:rFonts w:ascii="Arial" w:cs="Arial" w:eastAsia="Arial" w:hAnsi="Arial"/>
          <w:sz w:val="16"/>
          <w:szCs w:val="16"/>
          <w:color w:val="auto"/>
        </w:rPr>
        <w:t xml:space="preserve">), (ii) Permitted Liens and (iii) Restricted Payments permitted by </w:t>
      </w:r>
      <w:r>
        <w:rPr>
          <w:rFonts w:ascii="Arial" w:cs="Arial" w:eastAsia="Arial" w:hAnsi="Arial"/>
          <w:sz w:val="16"/>
          <w:szCs w:val="16"/>
          <w:u w:val="single" w:color="auto"/>
          <w:color w:val="auto"/>
        </w:rPr>
        <w:t>Section 6.04(a)</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6.04(a)(ix)</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704" w:hanging="264"/>
        <w:spacing w:after="0"/>
        <w:tabs>
          <w:tab w:leader="none" w:pos="704" w:val="left"/>
        </w:tabs>
        <w:numPr>
          <w:ilvl w:val="1"/>
          <w:numId w:val="242"/>
        </w:numPr>
        <w:rPr>
          <w:rFonts w:ascii="Arial" w:cs="Arial" w:eastAsia="Arial" w:hAnsi="Arial"/>
          <w:sz w:val="18"/>
          <w:szCs w:val="18"/>
          <w:color w:val="auto"/>
        </w:rPr>
      </w:pPr>
      <w:r>
        <w:rPr>
          <w:rFonts w:ascii="Arial" w:cs="Arial" w:eastAsia="Arial" w:hAnsi="Arial"/>
          <w:sz w:val="18"/>
          <w:szCs w:val="18"/>
          <w:color w:val="auto"/>
        </w:rPr>
        <w:t xml:space="preserve">Dispositions for fair market value;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117" w:lineRule="exact"/>
        <w:rPr>
          <w:rFonts w:ascii="Arial" w:cs="Arial" w:eastAsia="Arial" w:hAnsi="Arial"/>
          <w:sz w:val="18"/>
          <w:szCs w:val="18"/>
          <w:color w:val="auto"/>
        </w:rPr>
      </w:pPr>
    </w:p>
    <w:p>
      <w:pPr>
        <w:ind w:left="444" w:right="40" w:firstLine="419"/>
        <w:spacing w:after="0" w:line="311" w:lineRule="auto"/>
        <w:tabs>
          <w:tab w:leader="none" w:pos="1082" w:val="left"/>
        </w:tabs>
        <w:numPr>
          <w:ilvl w:val="2"/>
          <w:numId w:val="242"/>
        </w:numPr>
        <w:rPr>
          <w:rFonts w:ascii="Arial" w:cs="Arial" w:eastAsia="Arial" w:hAnsi="Arial"/>
          <w:sz w:val="16"/>
          <w:szCs w:val="16"/>
          <w:color w:val="auto"/>
        </w:rPr>
      </w:pPr>
      <w:r>
        <w:rPr>
          <w:rFonts w:ascii="Arial" w:cs="Arial" w:eastAsia="Arial" w:hAnsi="Arial"/>
          <w:sz w:val="16"/>
          <w:szCs w:val="16"/>
          <w:color w:val="auto"/>
        </w:rPr>
        <w:t>with respect to any such Disposition (other than any Permitted Asset Swap) with a purchase price in excess of the greater of $10,000,000 and 10% of Consolidated Adjusted EBITDA as of the last day of the most recently ended Test Period, at least 75% of the consideration for such Disposition (other than the portion of any such Disposition consisting of a Permitted Asset Swap) shall consist of Cash or Cash Equivalents;</w:t>
      </w:r>
    </w:p>
    <w:p>
      <w:pPr>
        <w:spacing w:after="0" w:line="40" w:lineRule="exact"/>
        <w:rPr>
          <w:rFonts w:ascii="Arial" w:cs="Arial" w:eastAsia="Arial" w:hAnsi="Arial"/>
          <w:sz w:val="16"/>
          <w:szCs w:val="16"/>
          <w:color w:val="auto"/>
        </w:rPr>
      </w:pPr>
    </w:p>
    <w:p>
      <w:pPr>
        <w:ind w:left="1124" w:hanging="261"/>
        <w:spacing w:after="0"/>
        <w:tabs>
          <w:tab w:leader="none" w:pos="1124" w:val="left"/>
        </w:tabs>
        <w:numPr>
          <w:ilvl w:val="2"/>
          <w:numId w:val="242"/>
        </w:numPr>
        <w:rPr>
          <w:rFonts w:ascii="Arial" w:cs="Arial" w:eastAsia="Arial" w:hAnsi="Arial"/>
          <w:sz w:val="18"/>
          <w:szCs w:val="18"/>
          <w:color w:val="auto"/>
        </w:rPr>
      </w:pPr>
      <w:r>
        <w:rPr>
          <w:rFonts w:ascii="Arial" w:cs="Arial" w:eastAsia="Arial" w:hAnsi="Arial"/>
          <w:sz w:val="18"/>
          <w:szCs w:val="18"/>
          <w:color w:val="auto"/>
        </w:rPr>
        <w:t>for purposes of the 75% Cash consideration requirement described immediately above:</w:t>
      </w:r>
    </w:p>
    <w:p>
      <w:pPr>
        <w:spacing w:after="0" w:line="117" w:lineRule="exact"/>
        <w:rPr>
          <w:rFonts w:ascii="Arial" w:cs="Arial" w:eastAsia="Arial" w:hAnsi="Arial"/>
          <w:sz w:val="18"/>
          <w:szCs w:val="18"/>
          <w:color w:val="auto"/>
        </w:rPr>
      </w:pPr>
    </w:p>
    <w:p>
      <w:pPr>
        <w:ind w:left="984" w:right="220" w:firstLine="408"/>
        <w:spacing w:after="0" w:line="296" w:lineRule="auto"/>
        <w:tabs>
          <w:tab w:leader="none" w:pos="1680" w:val="left"/>
        </w:tabs>
        <w:numPr>
          <w:ilvl w:val="3"/>
          <w:numId w:val="242"/>
        </w:numPr>
        <w:rPr>
          <w:rFonts w:ascii="Arial" w:cs="Arial" w:eastAsia="Arial" w:hAnsi="Arial"/>
          <w:sz w:val="16"/>
          <w:szCs w:val="16"/>
          <w:color w:val="auto"/>
        </w:rPr>
      </w:pPr>
      <w:r>
        <w:rPr>
          <w:rFonts w:ascii="Arial" w:cs="Arial" w:eastAsia="Arial" w:hAnsi="Arial"/>
          <w:sz w:val="16"/>
          <w:szCs w:val="16"/>
          <w:color w:val="auto"/>
        </w:rPr>
        <w:t>the amount of any Indebtedness or other liabilities (other than Indebtedness or other liabilities that are subordinated to the Obligations or that are owed to the Borrower or any Restricted Subsidiary) of the Borrower or any Restricted Subsidiary (as shown on such Person’s most recent balance sheet or statement of financial position (or in the notes thereto)) that are assumed by the transferee of any such assets (or that are otherwise terminated or cancelled in connection with the transaction with such transferee) and for which the Borrower and/or its applicable Restricted Subsidiary have been validly released by all relevant creditors in writing,</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984"/>
          </w:cols>
          <w:pgMar w:left="436" w:top="274" w:right="479" w:bottom="1440" w:gutter="0" w:footer="0" w:header="0"/>
        </w:sectPr>
      </w:pPr>
    </w:p>
    <w:bookmarkStart w:id="159" w:name="page160"/>
    <w:bookmarkEnd w:id="159"/>
    <w:p>
      <w:pPr>
        <w:ind w:left="984" w:right="540" w:firstLine="408"/>
        <w:spacing w:after="0" w:line="277" w:lineRule="auto"/>
        <w:tabs>
          <w:tab w:leader="none" w:pos="1670" w:val="left"/>
        </w:tabs>
        <w:numPr>
          <w:ilvl w:val="0"/>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of any trade-in value applied to the purchase price of any replacement assets acquired in connection with such Disposition,</w:t>
      </w:r>
    </w:p>
    <w:p>
      <w:pPr>
        <w:spacing w:after="0" w:line="62" w:lineRule="exact"/>
        <w:rPr>
          <w:rFonts w:ascii="Arial" w:cs="Arial" w:eastAsia="Arial" w:hAnsi="Arial"/>
          <w:sz w:val="18"/>
          <w:szCs w:val="18"/>
          <w:color w:val="auto"/>
        </w:rPr>
      </w:pPr>
    </w:p>
    <w:p>
      <w:pPr>
        <w:ind w:left="984" w:right="160" w:firstLine="408"/>
        <w:spacing w:after="0" w:line="263" w:lineRule="auto"/>
        <w:tabs>
          <w:tab w:leader="none" w:pos="167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Security received by the Borrower or any Restricted Subsidiary from such transferee that will be converted by such Person into Cash or Cash Equivalents (to the extent of the Cash or Cash Equivalents received) within 180 days following the closing of the applicable Disposition, and</w:t>
      </w:r>
    </w:p>
    <w:p>
      <w:pPr>
        <w:spacing w:after="0" w:line="75" w:lineRule="exact"/>
        <w:rPr>
          <w:rFonts w:ascii="Arial" w:cs="Arial" w:eastAsia="Arial" w:hAnsi="Arial"/>
          <w:sz w:val="18"/>
          <w:szCs w:val="18"/>
          <w:color w:val="auto"/>
        </w:rPr>
      </w:pPr>
    </w:p>
    <w:p>
      <w:pPr>
        <w:ind w:left="984" w:firstLine="408"/>
        <w:spacing w:after="0" w:line="311" w:lineRule="auto"/>
        <w:tabs>
          <w:tab w:leader="none" w:pos="168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any Designated Non-Cash Consideration received in respect of such Disposition having an aggregate fair market value, taken together with all other Designated Non-Cash Consideration received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that is at that time outstanding, not in excess of the greater of $25,000,000 and 30% of Consolidated Adjusted EBITDA as of the last day of the most recently ended Test Period,</w:t>
      </w:r>
    </w:p>
    <w:p>
      <w:pPr>
        <w:spacing w:after="0" w:line="4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in each case, shall be deemed to be Cash.</w:t>
      </w:r>
    </w:p>
    <w:p>
      <w:pPr>
        <w:spacing w:after="0" w:line="117" w:lineRule="exact"/>
        <w:rPr>
          <w:sz w:val="20"/>
          <w:szCs w:val="20"/>
          <w:color w:val="auto"/>
        </w:rPr>
      </w:pPr>
    </w:p>
    <w:p>
      <w:pPr>
        <w:ind w:left="664" w:hanging="224"/>
        <w:spacing w:after="0"/>
        <w:tabs>
          <w:tab w:leader="none" w:pos="664" w:val="left"/>
        </w:tabs>
        <w:numPr>
          <w:ilvl w:val="1"/>
          <w:numId w:val="244"/>
        </w:numPr>
        <w:rPr>
          <w:rFonts w:ascii="Arial" w:cs="Arial" w:eastAsia="Arial" w:hAnsi="Arial"/>
          <w:sz w:val="16"/>
          <w:szCs w:val="16"/>
          <w:color w:val="auto"/>
        </w:rPr>
      </w:pPr>
      <w:r>
        <w:rPr>
          <w:rFonts w:ascii="Arial" w:cs="Arial" w:eastAsia="Arial" w:hAnsi="Arial"/>
          <w:sz w:val="16"/>
          <w:szCs w:val="16"/>
          <w:color w:val="auto"/>
        </w:rPr>
        <w:t>Dispositions to the extent that (i) the relevant property is exchanged for credit against the purchase price of similar replacement property or</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proceeds of the relevant Disposition are promptly applied to the purchase price of such replacement property;</w:t>
      </w:r>
    </w:p>
    <w:p>
      <w:pPr>
        <w:spacing w:after="0" w:line="103" w:lineRule="exact"/>
        <w:rPr>
          <w:sz w:val="20"/>
          <w:szCs w:val="20"/>
          <w:color w:val="auto"/>
        </w:rPr>
      </w:pPr>
    </w:p>
    <w:p>
      <w:pPr>
        <w:ind w:left="4" w:right="320" w:firstLine="436"/>
        <w:spacing w:after="0" w:line="277" w:lineRule="auto"/>
        <w:tabs>
          <w:tab w:leader="none" w:pos="65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buy/sell arrangements between joint venture or similar parties set forth in the relevant joint venture arrangements and/or similar binding arrangements;</w:t>
      </w:r>
    </w:p>
    <w:p>
      <w:pPr>
        <w:spacing w:after="0" w:line="62" w:lineRule="exact"/>
        <w:rPr>
          <w:rFonts w:ascii="Arial" w:cs="Arial" w:eastAsia="Arial" w:hAnsi="Arial"/>
          <w:sz w:val="18"/>
          <w:szCs w:val="18"/>
          <w:color w:val="auto"/>
        </w:rPr>
      </w:pPr>
    </w:p>
    <w:p>
      <w:pPr>
        <w:ind w:left="4" w:right="280" w:firstLine="436"/>
        <w:spacing w:after="0" w:line="342" w:lineRule="auto"/>
        <w:tabs>
          <w:tab w:leader="none" w:pos="699" w:val="left"/>
        </w:tabs>
        <w:numPr>
          <w:ilvl w:val="0"/>
          <w:numId w:val="246"/>
        </w:numPr>
        <w:rPr>
          <w:rFonts w:ascii="Arial" w:cs="Arial" w:eastAsia="Arial" w:hAnsi="Arial"/>
          <w:sz w:val="16"/>
          <w:szCs w:val="16"/>
          <w:color w:val="auto"/>
        </w:rPr>
      </w:pPr>
      <w:r>
        <w:rPr>
          <w:rFonts w:ascii="Arial" w:cs="Arial" w:eastAsia="Arial" w:hAnsi="Arial"/>
          <w:sz w:val="16"/>
          <w:szCs w:val="16"/>
          <w:color w:val="auto"/>
        </w:rPr>
        <w:t>Dispositions, discounting or forgiveness of notes receivable or accounts receivable in the ordinary course of business (including to insurers which have provided insurance as to the collection thereof) or in connection with the collection or compromise thereof (including sales to factors);</w:t>
      </w:r>
    </w:p>
    <w:p>
      <w:pPr>
        <w:spacing w:after="0" w:line="15" w:lineRule="exact"/>
        <w:rPr>
          <w:rFonts w:ascii="Arial" w:cs="Arial" w:eastAsia="Arial" w:hAnsi="Arial"/>
          <w:sz w:val="16"/>
          <w:szCs w:val="16"/>
          <w:color w:val="auto"/>
        </w:rPr>
      </w:pPr>
    </w:p>
    <w:p>
      <w:pPr>
        <w:ind w:left="4" w:right="60" w:firstLine="436"/>
        <w:spacing w:after="0" w:line="263" w:lineRule="auto"/>
        <w:tabs>
          <w:tab w:leader="none" w:pos="65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Dispositions and/or terminations of leases, subleases, licenses or sublicenses (including the provision of software under any open source license), (i) the Disposition or termination of which will not materially interfere with the business of the Borrower and its Restricted Subsidiaries (taken as a whole) or (ii) which relate to closed facilities or the discontinuation of any product line;</w:t>
      </w:r>
    </w:p>
    <w:p>
      <w:pPr>
        <w:spacing w:after="0" w:line="75" w:lineRule="exact"/>
        <w:rPr>
          <w:rFonts w:ascii="Arial" w:cs="Arial" w:eastAsia="Arial" w:hAnsi="Arial"/>
          <w:sz w:val="18"/>
          <w:szCs w:val="18"/>
          <w:color w:val="auto"/>
        </w:rPr>
      </w:pPr>
    </w:p>
    <w:p>
      <w:pPr>
        <w:ind w:left="4" w:right="60" w:firstLine="436"/>
        <w:spacing w:after="0" w:line="263" w:lineRule="auto"/>
        <w:tabs>
          <w:tab w:leader="none" w:pos="74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 any termination of any lease in the ordinary course of business, (ii) any expiration of any option agreement in respect of real or personal property and (iii) any surrender or waiver of contractual rights or the settlement, release or surrender of contractual rights or litigation claims (including in tort) in the ordinary course of business;</w:t>
      </w:r>
    </w:p>
    <w:p>
      <w:pPr>
        <w:spacing w:after="0" w:line="75" w:lineRule="exact"/>
        <w:rPr>
          <w:rFonts w:ascii="Arial" w:cs="Arial" w:eastAsia="Arial" w:hAnsi="Arial"/>
          <w:sz w:val="18"/>
          <w:szCs w:val="18"/>
          <w:color w:val="auto"/>
        </w:rPr>
      </w:pPr>
    </w:p>
    <w:p>
      <w:pPr>
        <w:ind w:left="4" w:right="520" w:firstLine="436"/>
        <w:spacing w:after="0" w:line="277" w:lineRule="auto"/>
        <w:tabs>
          <w:tab w:leader="none" w:pos="69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Dispositions of property subject to foreclosure, casualty, eminent domain or condemnation proceedings (including in lieu thereof or any similar proceeding);</w:t>
      </w:r>
    </w:p>
    <w:p>
      <w:pPr>
        <w:spacing w:after="0" w:line="62" w:lineRule="exact"/>
        <w:rPr>
          <w:rFonts w:ascii="Arial" w:cs="Arial" w:eastAsia="Arial" w:hAnsi="Arial"/>
          <w:sz w:val="18"/>
          <w:szCs w:val="18"/>
          <w:color w:val="auto"/>
        </w:rPr>
      </w:pPr>
    </w:p>
    <w:p>
      <w:pPr>
        <w:ind w:left="4" w:right="160" w:firstLine="436"/>
        <w:spacing w:after="0" w:line="277" w:lineRule="auto"/>
        <w:tabs>
          <w:tab w:leader="none" w:pos="69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Dispositions or consignments of equipment, inventory or other assets (including leasehold interests in real property) with respect to facilities that are temporarily not in use, held for sale or closed;</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40" w:firstLine="436"/>
        <w:spacing w:after="0" w:line="311" w:lineRule="auto"/>
        <w:tabs>
          <w:tab w:leader="none" w:pos="699"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Dispositions of non-core (as determined by the Borrower in good faith) assets acquired in connection with any acquisition or other Investment permitted hereunder and sales of Real Estate Assets acquired in any acquisition or other Investment permitted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exists on the date on which the definitive agreement governing the relevant Disposition is executed;</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0984"/>
          </w:cols>
          <w:pgMar w:left="436" w:top="274" w:right="479" w:bottom="1440" w:gutter="0" w:footer="0" w:header="0"/>
        </w:sectPr>
      </w:pPr>
    </w:p>
    <w:bookmarkStart w:id="160" w:name="page161"/>
    <w:bookmarkEnd w:id="160"/>
    <w:p>
      <w:pPr>
        <w:ind w:left="-40" w:right="100" w:firstLine="436"/>
        <w:spacing w:after="0" w:line="263" w:lineRule="auto"/>
        <w:tabs>
          <w:tab w:leader="none" w:pos="625" w:val="left"/>
        </w:tabs>
        <w:numPr>
          <w:ilvl w:val="0"/>
          <w:numId w:val="2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exchanges or swaps, including transactions covered by Section 1031 of the Code (or any comparable provision of any foreign jurisdiction), of assets so long as any such exchange or swap is made for fair value (as determined by the Borrower in good faith) for like assets (including Related Business Assets);</w:t>
      </w:r>
    </w:p>
    <w:p>
      <w:pPr>
        <w:spacing w:after="0" w:line="75" w:lineRule="exact"/>
        <w:rPr>
          <w:rFonts w:ascii="Arial" w:cs="Arial" w:eastAsia="Arial" w:hAnsi="Arial"/>
          <w:sz w:val="18"/>
          <w:szCs w:val="18"/>
          <w:color w:val="auto"/>
        </w:rPr>
      </w:pPr>
    </w:p>
    <w:p>
      <w:pPr>
        <w:ind w:left="640" w:hanging="244"/>
        <w:spacing w:after="0"/>
        <w:tabs>
          <w:tab w:leader="none" w:pos="6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Dispositions of assets that do not constitute Collateral for fair market value;</w:t>
      </w:r>
    </w:p>
    <w:p>
      <w:pPr>
        <w:spacing w:after="0" w:line="117" w:lineRule="exact"/>
        <w:rPr>
          <w:rFonts w:ascii="Arial" w:cs="Arial" w:eastAsia="Arial" w:hAnsi="Arial"/>
          <w:sz w:val="18"/>
          <w:szCs w:val="18"/>
          <w:color w:val="auto"/>
        </w:rPr>
      </w:pPr>
    </w:p>
    <w:p>
      <w:pPr>
        <w:ind w:left="-40" w:firstLine="436"/>
        <w:spacing w:after="0" w:line="301" w:lineRule="auto"/>
        <w:tabs>
          <w:tab w:leader="none" w:pos="615" w:val="left"/>
        </w:tabs>
        <w:numPr>
          <w:ilvl w:val="0"/>
          <w:numId w:val="247"/>
        </w:numPr>
        <w:rPr>
          <w:rFonts w:ascii="Arial" w:cs="Arial" w:eastAsia="Arial" w:hAnsi="Arial"/>
          <w:sz w:val="16"/>
          <w:szCs w:val="16"/>
          <w:color w:val="auto"/>
        </w:rPr>
      </w:pPr>
      <w:r>
        <w:rPr>
          <w:rFonts w:ascii="Arial" w:cs="Arial" w:eastAsia="Arial" w:hAnsi="Arial"/>
          <w:sz w:val="16"/>
          <w:szCs w:val="16"/>
          <w:color w:val="auto"/>
        </w:rPr>
        <w:t>(i) any Disposition, licensing, sublicensing and/or cross-licensing arrangement involving any technology or IP Right of the Borrower or any Restricted Subsidiary in the ordinary course of business, and (ii) any Disposition, abandonment, cancellation or lapse of any IP Right, or any issuance or registration, or application for issuance or registration, of any IP Right, which, in the good faith determination of the Borrower is not material to the conduct of the business of the Borrower and its Restricted Subsidiaries, taken as a whole, or is no longer economical to maintain in light of its use;</w:t>
      </w:r>
    </w:p>
    <w:p>
      <w:pPr>
        <w:spacing w:after="0" w:line="49" w:lineRule="exact"/>
        <w:rPr>
          <w:rFonts w:ascii="Arial" w:cs="Arial" w:eastAsia="Arial" w:hAnsi="Arial"/>
          <w:sz w:val="16"/>
          <w:szCs w:val="16"/>
          <w:color w:val="auto"/>
        </w:rPr>
      </w:pPr>
    </w:p>
    <w:p>
      <w:pPr>
        <w:ind w:left="660" w:hanging="264"/>
        <w:spacing w:after="0"/>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any termination or unwind of Derivative Transactions or Banking Services Obligations;</w:t>
      </w:r>
    </w:p>
    <w:p>
      <w:pPr>
        <w:spacing w:after="0" w:line="117" w:lineRule="exact"/>
        <w:rPr>
          <w:rFonts w:ascii="Arial" w:cs="Arial" w:eastAsia="Arial" w:hAnsi="Arial"/>
          <w:sz w:val="18"/>
          <w:szCs w:val="18"/>
          <w:color w:val="auto"/>
        </w:rPr>
      </w:pPr>
    </w:p>
    <w:p>
      <w:pPr>
        <w:ind w:left="660" w:hanging="264"/>
        <w:spacing w:after="0"/>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Dispositions of Capital Stock of, or sales of Indebtedness or other Securities of, Unrestricted Subsidiaries;</w:t>
      </w:r>
    </w:p>
    <w:p>
      <w:pPr>
        <w:spacing w:after="0" w:line="117" w:lineRule="exact"/>
        <w:rPr>
          <w:rFonts w:ascii="Arial" w:cs="Arial" w:eastAsia="Arial" w:hAnsi="Arial"/>
          <w:sz w:val="18"/>
          <w:szCs w:val="18"/>
          <w:color w:val="auto"/>
        </w:rPr>
      </w:pPr>
    </w:p>
    <w:p>
      <w:pPr>
        <w:ind w:left="-40" w:right="200" w:firstLine="436"/>
        <w:spacing w:after="0" w:line="342" w:lineRule="auto"/>
        <w:tabs>
          <w:tab w:leader="none" w:pos="695" w:val="left"/>
        </w:tabs>
        <w:numPr>
          <w:ilvl w:val="0"/>
          <w:numId w:val="247"/>
        </w:numPr>
        <w:rPr>
          <w:rFonts w:ascii="Arial" w:cs="Arial" w:eastAsia="Arial" w:hAnsi="Arial"/>
          <w:sz w:val="16"/>
          <w:szCs w:val="16"/>
          <w:color w:val="auto"/>
        </w:rPr>
      </w:pPr>
      <w:r>
        <w:rPr>
          <w:rFonts w:ascii="Arial" w:cs="Arial" w:eastAsia="Arial" w:hAnsi="Arial"/>
          <w:sz w:val="16"/>
          <w:szCs w:val="16"/>
          <w:color w:val="auto"/>
        </w:rPr>
        <w:t>Dispositions of Real Estate Assets and related assets in the ordinary course of business in connection with relocation activities for directors, officers, employees, members of management, managers or consultants of any Parent Company, the Borrower and/or any Restricted Subsidiary;</w:t>
      </w:r>
    </w:p>
    <w:p>
      <w:pPr>
        <w:spacing w:after="0" w:line="15" w:lineRule="exact"/>
        <w:rPr>
          <w:rFonts w:ascii="Arial" w:cs="Arial" w:eastAsia="Arial" w:hAnsi="Arial"/>
          <w:sz w:val="16"/>
          <w:szCs w:val="16"/>
          <w:color w:val="auto"/>
        </w:rPr>
      </w:pPr>
    </w:p>
    <w:p>
      <w:pPr>
        <w:ind w:left="-40" w:right="120" w:firstLine="436"/>
        <w:spacing w:after="0" w:line="277" w:lineRule="auto"/>
        <w:tabs>
          <w:tab w:leader="none" w:pos="65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Dispositions made to comply with any order of any Governmental Authority or any applicable Requirement of Law (including as a condition to, or in connection with, the consummation of the Transactions);</w:t>
      </w:r>
    </w:p>
    <w:p>
      <w:pPr>
        <w:spacing w:after="0" w:line="62" w:lineRule="exact"/>
        <w:rPr>
          <w:rFonts w:ascii="Arial" w:cs="Arial" w:eastAsia="Arial" w:hAnsi="Arial"/>
          <w:sz w:val="18"/>
          <w:szCs w:val="18"/>
          <w:color w:val="auto"/>
        </w:rPr>
      </w:pPr>
    </w:p>
    <w:p>
      <w:pPr>
        <w:ind w:left="-40" w:right="220" w:firstLine="436"/>
        <w:spacing w:after="0" w:line="277" w:lineRule="auto"/>
        <w:tabs>
          <w:tab w:leader="none" w:pos="65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any merger, consolidation, Disposition or conveyance the purpose of which is to reincorporate or reorganize (i) any Restricted Subsidiary in another jurisdiction in the US and/or (ii) any Foreign Subsidiary in the US or any other jurisdiction;</w:t>
      </w:r>
    </w:p>
    <w:p>
      <w:pPr>
        <w:spacing w:after="0" w:line="62" w:lineRule="exact"/>
        <w:rPr>
          <w:rFonts w:ascii="Arial" w:cs="Arial" w:eastAsia="Arial" w:hAnsi="Arial"/>
          <w:sz w:val="18"/>
          <w:szCs w:val="18"/>
          <w:color w:val="auto"/>
        </w:rPr>
      </w:pPr>
    </w:p>
    <w:p>
      <w:pPr>
        <w:ind w:left="640" w:hanging="244"/>
        <w:spacing w:after="0"/>
        <w:tabs>
          <w:tab w:leader="none" w:pos="64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any sale of motor vehicles and information technology equipment purchased at the end of an operating lease and resold thereafter;</w:t>
      </w:r>
    </w:p>
    <w:p>
      <w:pPr>
        <w:spacing w:after="0" w:line="129" w:lineRule="exact"/>
        <w:rPr>
          <w:sz w:val="20"/>
          <w:szCs w:val="20"/>
          <w:color w:val="auto"/>
        </w:rPr>
      </w:pPr>
    </w:p>
    <w:p>
      <w:pPr>
        <w:ind w:left="-40" w:right="160" w:firstLine="436"/>
        <w:spacing w:after="0" w:line="263" w:lineRule="auto"/>
        <w:tabs>
          <w:tab w:leader="none" w:pos="72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Dispositions involving assets having a fair market value of not more than the greater of $10,000,000 and 10% of Consolidated Adjusted EBITDA as of the last day of the most recently ended Test Period in any Fiscal Year, which, if not used in such Fiscal Year, shall be carried forward to the next Fiscal Year;</w:t>
      </w:r>
    </w:p>
    <w:p>
      <w:pPr>
        <w:spacing w:after="0" w:line="75" w:lineRule="exact"/>
        <w:rPr>
          <w:rFonts w:ascii="Arial" w:cs="Arial" w:eastAsia="Arial" w:hAnsi="Arial"/>
          <w:sz w:val="18"/>
          <w:szCs w:val="18"/>
          <w:color w:val="auto"/>
        </w:rPr>
      </w:pPr>
    </w:p>
    <w:p>
      <w:pPr>
        <w:ind w:left="-40" w:right="40" w:firstLine="436"/>
        <w:spacing w:after="0" w:line="286" w:lineRule="auto"/>
        <w:tabs>
          <w:tab w:leader="none" w:pos="745" w:val="left"/>
        </w:tabs>
        <w:numPr>
          <w:ilvl w:val="0"/>
          <w:numId w:val="248"/>
        </w:numPr>
        <w:rPr>
          <w:rFonts w:ascii="Arial" w:cs="Arial" w:eastAsia="Arial" w:hAnsi="Arial"/>
          <w:sz w:val="17"/>
          <w:szCs w:val="17"/>
          <w:color w:val="auto"/>
        </w:rPr>
      </w:pPr>
      <w:r>
        <w:rPr>
          <w:rFonts w:ascii="Arial" w:cs="Arial" w:eastAsia="Arial" w:hAnsi="Arial"/>
          <w:sz w:val="17"/>
          <w:szCs w:val="17"/>
          <w:color w:val="auto"/>
        </w:rPr>
        <w:t xml:space="preserve">Dispositions in connection with reorganizations and/or restructurings and/or activities related to tax planning;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such reorganization, restructuring or activity, in the good faith determination of the Borrower, neither the Loan Guaranty, taken as a whole, nor the security interest of the Administrative Agent in the Collateral, taken as a whole, is materially impaired;</w:t>
      </w:r>
    </w:p>
    <w:p>
      <w:pPr>
        <w:spacing w:after="0" w:line="57" w:lineRule="exact"/>
        <w:rPr>
          <w:rFonts w:ascii="Arial" w:cs="Arial" w:eastAsia="Arial" w:hAnsi="Arial"/>
          <w:sz w:val="17"/>
          <w:szCs w:val="17"/>
          <w:color w:val="auto"/>
        </w:rPr>
      </w:pPr>
    </w:p>
    <w:p>
      <w:pPr>
        <w:ind w:left="-40" w:right="40" w:firstLine="436"/>
        <w:spacing w:after="0" w:line="259" w:lineRule="auto"/>
        <w:tabs>
          <w:tab w:leader="none" w:pos="72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Dispositions of assets in connection with the closing or sale of an office in the ordinary course of business of the Borrower and the Restricted Subsidiaries, which consist of leasehold interests in the premises of such office, the equipment and fixtures located at such premises and the books and records relating exclusively and directly to the operations of such office;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sale shall be at a commercially reasonable price and on commercially reasonable terms in a bona fide arm’s-length transaction;</w:t>
      </w:r>
    </w:p>
    <w:p>
      <w:pPr>
        <w:spacing w:after="0" w:line="78" w:lineRule="exact"/>
        <w:rPr>
          <w:rFonts w:ascii="Arial" w:cs="Arial" w:eastAsia="Arial" w:hAnsi="Arial"/>
          <w:sz w:val="18"/>
          <w:szCs w:val="18"/>
          <w:color w:val="auto"/>
        </w:rPr>
      </w:pPr>
    </w:p>
    <w:p>
      <w:pPr>
        <w:ind w:left="740" w:hanging="344"/>
        <w:spacing w:after="0"/>
        <w:tabs>
          <w:tab w:leader="none" w:pos="7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940"/>
          </w:cols>
          <w:pgMar w:left="480" w:top="274" w:right="479" w:bottom="1440" w:gutter="0" w:footer="0" w:header="0"/>
        </w:sectPr>
      </w:pPr>
    </w:p>
    <w:bookmarkStart w:id="161" w:name="page162"/>
    <w:bookmarkEnd w:id="161"/>
    <w:p>
      <w:pPr>
        <w:ind w:right="100" w:firstLine="436"/>
        <w:spacing w:after="0" w:line="308" w:lineRule="auto"/>
        <w:tabs>
          <w:tab w:leader="none" w:pos="765" w:val="left"/>
        </w:tabs>
        <w:numPr>
          <w:ilvl w:val="0"/>
          <w:numId w:val="2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Sale and Lease-Back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the fair market value of all property so Disposed of after the Closing Date shall not exceed the greater of $30,000,000 and 35% of Consolidated Adjusted EBITDA as of the last day of the most recently ended Test Period;</w:t>
      </w:r>
    </w:p>
    <w:p>
      <w:pPr>
        <w:spacing w:after="0" w:line="38" w:lineRule="exact"/>
        <w:rPr>
          <w:rFonts w:ascii="Arial" w:cs="Arial" w:eastAsia="Arial" w:hAnsi="Arial"/>
          <w:sz w:val="17"/>
          <w:szCs w:val="17"/>
          <w:color w:val="auto"/>
        </w:rPr>
      </w:pPr>
    </w:p>
    <w:p>
      <w:pPr>
        <w:ind w:left="720" w:hanging="284"/>
        <w:spacing w:after="0"/>
        <w:tabs>
          <w:tab w:leader="none" w:pos="7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780" w:hanging="344"/>
        <w:spacing w:after="0"/>
        <w:tabs>
          <w:tab w:leader="none" w:pos="7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any Disposition of any Receivables Facility Asset (and/or any participation therein) in connection with any Receivables Facility;</w:t>
      </w:r>
    </w:p>
    <w:p>
      <w:pPr>
        <w:spacing w:after="0" w:line="117" w:lineRule="exact"/>
        <w:rPr>
          <w:rFonts w:ascii="Arial" w:cs="Arial" w:eastAsia="Arial" w:hAnsi="Arial"/>
          <w:sz w:val="18"/>
          <w:szCs w:val="18"/>
          <w:color w:val="auto"/>
        </w:rPr>
      </w:pPr>
    </w:p>
    <w:p>
      <w:pPr>
        <w:ind w:left="780" w:hanging="344"/>
        <w:spacing w:after="0"/>
        <w:tabs>
          <w:tab w:leader="none" w:pos="7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settlement or early termination of any Permitted Bond Hedge Transaction and/or any related Permitted Warrant Transaction; and</w:t>
      </w:r>
    </w:p>
    <w:p>
      <w:pPr>
        <w:spacing w:after="0" w:line="128" w:lineRule="exact"/>
        <w:rPr>
          <w:rFonts w:ascii="Arial" w:cs="Arial" w:eastAsia="Arial" w:hAnsi="Arial"/>
          <w:sz w:val="17"/>
          <w:szCs w:val="17"/>
          <w:color w:val="auto"/>
        </w:rPr>
      </w:pPr>
    </w:p>
    <w:p>
      <w:pPr>
        <w:ind w:left="700" w:hanging="264"/>
        <w:spacing w:after="0"/>
        <w:tabs>
          <w:tab w:leader="none" w:pos="7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Dispositions of any asset acquired with the proceeds of an Available Excluded Contribution Amount.</w:t>
      </w:r>
    </w:p>
    <w:p>
      <w:pPr>
        <w:spacing w:after="0" w:line="22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It is understood and agreed that (a) to the extent that any Collateral is Disposed of as permitted by this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such Collateral shall be Disposed of free and clear of the Liens created by the Loan Documents, which Liens shall be automatically released upon the consummation of such Disposition, and the Administrative Agent shall be authorized to take, and shall take, any action reasonably requested by the Borrower in order to effect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 Disposition made to any Loan Party, the relevant transferred assets shall become part of the Collateral of the transferee Loan Party (except to the extent such assets constitute Excluded Assets), (b) any determination of the fair market value of any asset other than Cash for purposes of this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shall be made by the Borrower in good faith at its election either (1) at the time of the execution of the definitive agreement governing such Disposition or (2) the date on which such Disposition is consummated and (c) notwithstanding the foregoing provisions of this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shall not permit an IP Separation Transaction.</w:t>
      </w:r>
    </w:p>
    <w:p>
      <w:pPr>
        <w:spacing w:after="0" w:line="178"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Amendments of or Waivers with Respect to Restricted Debt</w:t>
      </w:r>
      <w:r>
        <w:rPr>
          <w:rFonts w:ascii="Arial" w:cs="Arial" w:eastAsia="Arial" w:hAnsi="Arial"/>
          <w:sz w:val="18"/>
          <w:szCs w:val="18"/>
          <w:color w:val="auto"/>
        </w:rPr>
        <w:t xml:space="preserve">. The Borrower shall not, nor shall it permit any of its Restricted Subsidiaries to, amend or otherwise modify the subordination terms set forth in the documentation governing any Restricted Debt if the effect of such amendment or modification, together with all other amendments or modifications made, is, in the good faith determination of the Borrower, materially adverse to the interests of the Lenders (in their capacities as such); </w:t>
      </w:r>
      <w:r>
        <w:rPr>
          <w:rFonts w:ascii="Arial" w:cs="Arial" w:eastAsia="Arial" w:hAnsi="Arial"/>
          <w:sz w:val="18"/>
          <w:szCs w:val="18"/>
          <w:u w:val="single" w:color="auto"/>
          <w:color w:val="auto"/>
        </w:rPr>
        <w:t>provided</w:t>
      </w:r>
      <w:r>
        <w:rPr>
          <w:rFonts w:ascii="Arial" w:cs="Arial" w:eastAsia="Arial" w:hAnsi="Arial"/>
          <w:sz w:val="18"/>
          <w:szCs w:val="18"/>
          <w:color w:val="auto"/>
        </w:rPr>
        <w:t>, that, for purposes of clarity, it is understood and agreed that the foregoing limitation shall not otherwise prohibit any Refinancing Indebtedness or any other replacement, refinancing, amendment, supplement, modification, extension, renewal, restatement or refunding of any Restricted Debt, in each case, that is otherwise permitted to be incurred under this Agreement in respect thereof.</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Holdings</w:t>
      </w:r>
      <w:r>
        <w:rPr>
          <w:rFonts w:ascii="Arial" w:cs="Arial" w:eastAsia="Arial" w:hAnsi="Arial"/>
          <w:sz w:val="18"/>
          <w:szCs w:val="18"/>
          <w:color w:val="auto"/>
        </w:rPr>
        <w:t>. Holdings shall not:</w:t>
      </w:r>
    </w:p>
    <w:p>
      <w:pPr>
        <w:spacing w:after="0" w:line="117" w:lineRule="exact"/>
        <w:rPr>
          <w:sz w:val="20"/>
          <w:szCs w:val="20"/>
          <w:color w:val="auto"/>
        </w:rPr>
      </w:pPr>
    </w:p>
    <w:p>
      <w:pPr>
        <w:ind w:firstLine="436"/>
        <w:spacing w:after="0" w:line="255" w:lineRule="auto"/>
        <w:tabs>
          <w:tab w:leader="none" w:pos="68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create or suffer to exist any Lien on any asset now owned or hereafter acquired by it other than (i) the Liens created under the Collateral Documents to which it is a party, (ii) any other Lien created in connection with the Transactions, (iii) Liens on the Collateral that are secured on a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or junior basis with the Secured Obligations, so long as such Liens secure Guarantees of Indebtedness or other obligations of the Borrower and/or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Restricted Subsidiary that are otherwise permitted hereunder and the underlying Indebtedness subject to such Guarantees is of the type permitted to be secured on the same basis pursuant to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and (iv) Liens of the type permitted under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(other than in respect of Indebtedness for borrowed money); or</w:t>
      </w:r>
    </w:p>
    <w:p>
      <w:pPr>
        <w:spacing w:after="0" w:line="84" w:lineRule="exact"/>
        <w:rPr>
          <w:rFonts w:ascii="Arial" w:cs="Arial" w:eastAsia="Arial" w:hAnsi="Arial"/>
          <w:sz w:val="18"/>
          <w:szCs w:val="18"/>
          <w:color w:val="auto"/>
        </w:rPr>
      </w:pPr>
    </w:p>
    <w:p>
      <w:pPr>
        <w:ind w:right="80" w:firstLine="436"/>
        <w:spacing w:after="0" w:line="263" w:lineRule="auto"/>
        <w:tabs>
          <w:tab w:leader="none" w:pos="69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consolidate or amalgamate with, or merge with or into, or convey, sell or otherwise Dispose of all or substantially all of its assets to, any Person or dissolve or cancel its existence; </w:t>
      </w:r>
      <w:r>
        <w:rPr>
          <w:rFonts w:ascii="Arial" w:cs="Arial" w:eastAsia="Arial" w:hAnsi="Arial"/>
          <w:sz w:val="18"/>
          <w:szCs w:val="18"/>
          <w:u w:val="single" w:color="auto"/>
          <w:color w:val="auto"/>
        </w:rPr>
        <w:t>provided</w:t>
      </w:r>
      <w:r>
        <w:rPr>
          <w:rFonts w:ascii="Arial" w:cs="Arial" w:eastAsia="Arial" w:hAnsi="Arial"/>
          <w:sz w:val="18"/>
          <w:szCs w:val="18"/>
          <w:color w:val="auto"/>
        </w:rPr>
        <w:t>, that (A) Holdings may consolidate or amalgamate with, or merge with or into, any other Person so long as, to the extent after giving</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940"/>
          </w:cols>
          <w:pgMar w:left="440" w:top="274" w:right="519" w:bottom="1440" w:gutter="0" w:footer="0" w:header="0"/>
        </w:sectPr>
      </w:pPr>
    </w:p>
    <w:bookmarkStart w:id="162" w:name="page163"/>
    <w:bookmarkEnd w:id="162"/>
    <w:p>
      <w:pPr>
        <w:ind w:left="4"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effect to such consolidation, amalgamation or merger (x) Holdings is the continuing or surviving Person or (y) if the Person formed by or surviving any such consolidation, amalgamation or merger is not Holdings and such Person is the direct Parent Company of the Borrower (any such surviving or successor Person, together with any Person referred to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below and any immediate Parent Company of the Borrower referred to in </w:t>
      </w:r>
      <w:r>
        <w:rPr>
          <w:rFonts w:ascii="Arial" w:cs="Arial" w:eastAsia="Arial" w:hAnsi="Arial"/>
          <w:sz w:val="16"/>
          <w:szCs w:val="16"/>
          <w:u w:val="single" w:color="auto"/>
          <w:color w:val="auto"/>
        </w:rPr>
        <w:t>clause</w:t>
      </w:r>
    </w:p>
    <w:p>
      <w:pPr>
        <w:spacing w:after="0" w:line="2" w:lineRule="exact"/>
        <w:rPr>
          <w:sz w:val="20"/>
          <w:szCs w:val="20"/>
          <w:color w:val="auto"/>
        </w:rPr>
      </w:pPr>
    </w:p>
    <w:p>
      <w:pPr>
        <w:ind w:left="4" w:right="220" w:hanging="4"/>
        <w:spacing w:after="0" w:line="281" w:lineRule="auto"/>
        <w:tabs>
          <w:tab w:leader="none" w:pos="289" w:val="left"/>
        </w:tabs>
        <w:numPr>
          <w:ilvl w:val="0"/>
          <w:numId w:val="251"/>
        </w:numPr>
        <w:rPr>
          <w:rFonts w:ascii="Arial" w:cs="Arial" w:eastAsia="Arial" w:hAnsi="Arial"/>
          <w:sz w:val="16"/>
          <w:szCs w:val="16"/>
          <w:u w:val="single" w:color="auto"/>
          <w:color w:val="auto"/>
        </w:rPr>
      </w:pPr>
      <w:r>
        <w:rPr>
          <w:rFonts w:ascii="Arial" w:cs="Arial" w:eastAsia="Arial" w:hAnsi="Arial"/>
          <w:sz w:val="16"/>
          <w:szCs w:val="16"/>
          <w:color w:val="auto"/>
        </w:rPr>
        <w:t>below, “</w:t>
      </w:r>
      <w:r>
        <w:rPr>
          <w:rFonts w:ascii="Arial" w:cs="Arial" w:eastAsia="Arial" w:hAnsi="Arial"/>
          <w:sz w:val="16"/>
          <w:szCs w:val="16"/>
          <w:u w:val="single" w:color="auto"/>
          <w:color w:val="auto"/>
        </w:rPr>
        <w:t>Successor Holdings</w:t>
      </w:r>
      <w:r>
        <w:rPr>
          <w:rFonts w:ascii="Arial" w:cs="Arial" w:eastAsia="Arial" w:hAnsi="Arial"/>
          <w:sz w:val="16"/>
          <w:szCs w:val="16"/>
          <w:color w:val="auto"/>
        </w:rPr>
        <w:t>”), (i) Successor Holdings shall be an entity organized or existing under the law of the US, any state thereof or the District of Columbia and (ii) Successor Holdings shall expressly assume all Obligations of Holdings under this Agreement and the other Loan Documents to which Holdings is a party pursuant to a supplement hereto and/or thereto in a form reasonably satisfactory to the Administrative Agent,</w:t>
      </w:r>
    </w:p>
    <w:p>
      <w:pPr>
        <w:spacing w:after="0" w:line="1" w:lineRule="exact"/>
        <w:rPr>
          <w:rFonts w:ascii="Arial" w:cs="Arial" w:eastAsia="Arial" w:hAnsi="Arial"/>
          <w:sz w:val="16"/>
          <w:szCs w:val="16"/>
          <w:u w:val="single" w:color="auto"/>
          <w:color w:val="auto"/>
        </w:rPr>
      </w:pPr>
    </w:p>
    <w:p>
      <w:pPr>
        <w:ind w:left="4" w:hanging="4"/>
        <w:spacing w:after="0" w:line="281" w:lineRule="auto"/>
        <w:tabs>
          <w:tab w:leader="none" w:pos="289" w:val="left"/>
        </w:tabs>
        <w:numPr>
          <w:ilvl w:val="0"/>
          <w:numId w:val="252"/>
        </w:numPr>
        <w:rPr>
          <w:rFonts w:ascii="Arial" w:cs="Arial" w:eastAsia="Arial" w:hAnsi="Arial"/>
          <w:sz w:val="16"/>
          <w:szCs w:val="16"/>
          <w:color w:val="auto"/>
        </w:rPr>
      </w:pPr>
      <w:r>
        <w:rPr>
          <w:rFonts w:ascii="Arial" w:cs="Arial" w:eastAsia="Arial" w:hAnsi="Arial"/>
          <w:sz w:val="16"/>
          <w:szCs w:val="16"/>
          <w:color w:val="auto"/>
        </w:rPr>
        <w:t xml:space="preserve">Holdings may otherwise convey, sell or otherwise transfer all or substantially all of its assets to any other Person (other than the Borrower and any of its Subsidiaries) so long as (x) no Change of Control results therefrom, (y) Successor Holdings shall be an entity organized or existing under the law of the US, any state thereof or the District of Columbia and (z) Successor Holdings shall expressly assume all of the Obligations of Holdings under this Agreement and the other Loan Documents to which Holdings is a party pursuant to a supplement hereto and/or thereto in a form reasonably satisfactory to the Administrative Agent and (C) Holdings may dissolve or otherwise cancel its existence, so long as the immediate Parent Company of the Borrower (if any) after giving effect to such dissolution or cancellation, becomes Successor Holdings and complies with the requirements of the foregoing </w:t>
      </w:r>
      <w:r>
        <w:rPr>
          <w:rFonts w:ascii="Arial" w:cs="Arial" w:eastAsia="Arial" w:hAnsi="Arial"/>
          <w:sz w:val="16"/>
          <w:szCs w:val="16"/>
          <w:u w:val="single" w:color="auto"/>
          <w:color w:val="auto"/>
        </w:rPr>
        <w:t>clause</w:t>
      </w:r>
    </w:p>
    <w:p>
      <w:pPr>
        <w:spacing w:after="0" w:line="3" w:lineRule="exact"/>
        <w:rPr>
          <w:rFonts w:ascii="Arial" w:cs="Arial" w:eastAsia="Arial" w:hAnsi="Arial"/>
          <w:sz w:val="16"/>
          <w:szCs w:val="16"/>
          <w:color w:val="auto"/>
        </w:rPr>
      </w:pPr>
    </w:p>
    <w:p>
      <w:pPr>
        <w:ind w:left="4" w:right="20" w:hanging="4"/>
        <w:spacing w:after="0" w:line="253" w:lineRule="auto"/>
        <w:tabs>
          <w:tab w:leader="none" w:pos="299" w:val="left"/>
        </w:tabs>
        <w:numPr>
          <w:ilvl w:val="0"/>
          <w:numId w:val="253"/>
        </w:numPr>
        <w:rPr>
          <w:rFonts w:ascii="Arial" w:cs="Arial" w:eastAsia="Arial" w:hAnsi="Arial"/>
          <w:sz w:val="18"/>
          <w:szCs w:val="18"/>
          <w:u w:val="single" w:color="auto"/>
          <w:color w:val="auto"/>
        </w:rPr>
      </w:pPr>
      <w:r>
        <w:rPr>
          <w:rFonts w:ascii="Arial" w:cs="Arial" w:eastAsia="Arial" w:hAnsi="Arial"/>
          <w:sz w:val="18"/>
          <w:szCs w:val="18"/>
          <w:color w:val="auto"/>
        </w:rPr>
        <w:t xml:space="preserve">applicable to Successor Holdings;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(1) if the conditions set forth in the preceding proviso are satisfied, Successor Holdings will succeed to, and be substituted for, Holdings under this Agreement, (2) it is understood and agreed that Holdings may convert into another form of entity organized or existing under the law of the US, any state thereof or the District of Columbia so long as such conversion does not adversely affect the value of its Loan Guaranty or the Collateral.</w:t>
      </w:r>
    </w:p>
    <w:p>
      <w:pPr>
        <w:spacing w:after="0" w:line="19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Financial Covenant</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89" w:lineRule="auto"/>
        <w:tabs>
          <w:tab w:leader="none" w:pos="689"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Total Net Leverage Ratio</w:t>
      </w:r>
      <w:r>
        <w:rPr>
          <w:rFonts w:ascii="Arial" w:cs="Arial" w:eastAsia="Arial" w:hAnsi="Arial"/>
          <w:sz w:val="16"/>
          <w:szCs w:val="16"/>
          <w:color w:val="auto"/>
        </w:rPr>
        <w:t xml:space="preserve">. (i) On the last day of any Test Period (commencing with the Test Period ending December 31, 2021), the Borrower shall not permit the Total Net Leverage Ratio to be greater than (A) from the Test Period ending on December 31, 2021 to, and including, the Test Period ending on September 30, 2022, 5.25:1.00, and (C) from the Test Period ending on December 31, 2022 and each Test Period thereafter, 4.50:1.00; </w:t>
      </w:r>
      <w:r>
        <w:rPr>
          <w:rFonts w:ascii="Arial" w:cs="Arial" w:eastAsia="Arial" w:hAnsi="Arial"/>
          <w:sz w:val="16"/>
          <w:szCs w:val="16"/>
          <w:u w:val="single" w:color="auto"/>
          <w:color w:val="auto"/>
        </w:rPr>
        <w:t>provided</w:t>
      </w:r>
      <w:r>
        <w:rPr>
          <w:rFonts w:ascii="Arial" w:cs="Arial" w:eastAsia="Arial" w:hAnsi="Arial"/>
          <w:sz w:val="16"/>
          <w:szCs w:val="16"/>
          <w:color w:val="auto"/>
        </w:rPr>
        <w:t>, that upon the consummation of a Material Acquisition, for the Fiscal Quarter in which such Material Acquisition is consummated and the three full Fiscal Quarters ending immediately thereafter (such period, the “</w:t>
      </w:r>
      <w:r>
        <w:rPr>
          <w:rFonts w:ascii="Arial" w:cs="Arial" w:eastAsia="Arial" w:hAnsi="Arial"/>
          <w:sz w:val="16"/>
          <w:szCs w:val="16"/>
          <w:u w:val="single" w:color="auto"/>
          <w:color w:val="auto"/>
        </w:rPr>
        <w:t>Covenant Acquisition Increase Period</w:t>
      </w:r>
      <w:r>
        <w:rPr>
          <w:rFonts w:ascii="Arial" w:cs="Arial" w:eastAsia="Arial" w:hAnsi="Arial"/>
          <w:sz w:val="16"/>
          <w:szCs w:val="16"/>
          <w:color w:val="auto"/>
        </w:rPr>
        <w:t>”), the ratios set forth above applicable to each such Fiscal Quarter shall be increased by 0.50:1.00 (such increase, the “</w:t>
      </w:r>
      <w:r>
        <w:rPr>
          <w:rFonts w:ascii="Arial" w:cs="Arial" w:eastAsia="Arial" w:hAnsi="Arial"/>
          <w:sz w:val="16"/>
          <w:szCs w:val="16"/>
          <w:u w:val="single" w:color="auto"/>
          <w:color w:val="auto"/>
        </w:rPr>
        <w:t>Covenant Acquisition Increase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notwithstanding the foregoing, there shall be at least one Fiscal Quarter in which no Covenant Acquisition Increase is in effect between successive Covenant Acquisition Increase Periods (which, for the avoidance of doubt, may result in the delay of the commencement of a Covenant Acquisition Increase Period with respect to any Material Acquisition that occurs during another Covenant Acquisition Increase Period or such one Fiscal Quarter period);</w:t>
      </w:r>
    </w:p>
    <w:p>
      <w:pPr>
        <w:spacing w:after="0" w:line="58" w:lineRule="exact"/>
        <w:rPr>
          <w:rFonts w:ascii="Arial" w:cs="Arial" w:eastAsia="Arial" w:hAnsi="Arial"/>
          <w:sz w:val="16"/>
          <w:szCs w:val="16"/>
          <w:color w:val="auto"/>
        </w:rPr>
      </w:pPr>
    </w:p>
    <w:p>
      <w:pPr>
        <w:ind w:left="704" w:hanging="264"/>
        <w:spacing w:after="0"/>
        <w:tabs>
          <w:tab w:leader="none" w:pos="70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(including </w:t>
      </w:r>
      <w:r>
        <w:rPr>
          <w:rFonts w:ascii="Arial" w:cs="Arial" w:eastAsia="Arial" w:hAnsi="Arial"/>
          <w:sz w:val="18"/>
          <w:szCs w:val="18"/>
          <w:u w:val="single" w:color="auto"/>
          <w:color w:val="auto"/>
        </w:rPr>
        <w:t>Article 7</w:t>
      </w:r>
      <w:r>
        <w:rPr>
          <w:rFonts w:ascii="Arial" w:cs="Arial" w:eastAsia="Arial" w:hAnsi="Arial"/>
          <w:sz w:val="18"/>
          <w:szCs w:val="18"/>
          <w:color w:val="auto"/>
        </w:rPr>
        <w:t>), upon any failure by the Borrower to comply with</w:t>
      </w:r>
    </w:p>
    <w:p>
      <w:pPr>
        <w:spacing w:after="0" w:line="23" w:lineRule="exact"/>
        <w:rPr>
          <w:sz w:val="20"/>
          <w:szCs w:val="20"/>
          <w:color w:val="auto"/>
        </w:rPr>
      </w:pPr>
    </w:p>
    <w:p>
      <w:pPr>
        <w:ind w:left="4" w:right="80"/>
        <w:spacing w:after="0" w:line="267" w:lineRule="auto"/>
        <w:rPr>
          <w:sz w:val="20"/>
          <w:szCs w:val="20"/>
          <w:color w:val="auto"/>
        </w:rPr>
      </w:pP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above for the Test Period ending on the last day of any Fiscal Quarter, the Borrower shall have the right (the “</w:t>
      </w:r>
      <w:r>
        <w:rPr>
          <w:rFonts w:ascii="Arial" w:cs="Arial" w:eastAsia="Arial" w:hAnsi="Arial"/>
          <w:sz w:val="17"/>
          <w:szCs w:val="17"/>
          <w:u w:val="single" w:color="auto"/>
          <w:color w:val="auto"/>
        </w:rPr>
        <w:t>Cure Right</w:t>
      </w:r>
      <w:r>
        <w:rPr>
          <w:rFonts w:ascii="Arial" w:cs="Arial" w:eastAsia="Arial" w:hAnsi="Arial"/>
          <w:sz w:val="17"/>
          <w:szCs w:val="17"/>
          <w:color w:val="auto"/>
        </w:rPr>
        <w:t xml:space="preserve">”) at any time during such Fiscal Quarter or thereafter until the date that is 15 Business Days after the date on which financial statements for such Fiscal Quarter are required to be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as applicable, to issue Qualified Capital Stock or other equity (such other equity to be on terms reasonably acceptable to the Administrative Agent) for Cash or otherwise receive Cash contributions in respect of its Qualified Capital Stock or other equity (such other equity to be on terms reasonably acceptable to the Administrative Agent) (the “</w:t>
      </w:r>
      <w:r>
        <w:rPr>
          <w:rFonts w:ascii="Arial" w:cs="Arial" w:eastAsia="Arial" w:hAnsi="Arial"/>
          <w:sz w:val="17"/>
          <w:szCs w:val="17"/>
          <w:u w:val="single" w:color="auto"/>
          <w:color w:val="auto"/>
        </w:rPr>
        <w:t>Cure Amount</w:t>
      </w:r>
      <w:r>
        <w:rPr>
          <w:rFonts w:ascii="Arial" w:cs="Arial" w:eastAsia="Arial" w:hAnsi="Arial"/>
          <w:sz w:val="17"/>
          <w:szCs w:val="17"/>
          <w:color w:val="auto"/>
        </w:rPr>
        <w:t xml:space="preserve">”), and thereupon the Borrower’s compliance with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shall be recalculated giving effect to a pro forma increase in the amount of Consolidated Adjusted EBITDA in an amount equal to the Cure Amount (notwithstanding the absence of a related addback in the definition of “Consolidated Adjusted EBITDA”) solely for the purpose of determining compliance with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as of the end of such Fiscal Quarter and for applicable subsequent periods that include such Fiscal Quarter. If, after giving effect to the foregoing recalculation (but not, for the avoidance of doubt, taking into account any immediate repayment of Indebtedness in connection therewith), the requirements of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would be satisfied, then the requirements of </w:t>
      </w:r>
      <w:r>
        <w:rPr>
          <w:rFonts w:ascii="Arial" w:cs="Arial" w:eastAsia="Arial" w:hAnsi="Arial"/>
          <w:sz w:val="17"/>
          <w:szCs w:val="17"/>
          <w:u w:val="single" w:color="auto"/>
          <w:color w:val="auto"/>
        </w:rPr>
        <w:t>Section 6.10(a)</w:t>
      </w:r>
      <w:r>
        <w:rPr>
          <w:rFonts w:ascii="Arial" w:cs="Arial" w:eastAsia="Arial" w:hAnsi="Arial"/>
          <w:sz w:val="17"/>
          <w:szCs w:val="17"/>
          <w:color w:val="auto"/>
        </w:rPr>
        <w:t xml:space="preserve"> shall be deemed to have been</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24"/>
          </w:cols>
          <w:pgMar w:left="436" w:top="274" w:right="439" w:bottom="1440" w:gutter="0" w:footer="0" w:header="0"/>
        </w:sectPr>
      </w:pPr>
    </w:p>
    <w:bookmarkStart w:id="163" w:name="page164"/>
    <w:bookmarkEnd w:id="163"/>
    <w:p>
      <w:pPr>
        <w:ind w:left="4"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satisfied as of the end of the relevant Fiscal Quarter (and Test Period) with the same effect as though there had been no failure to comply therewith at such date. Notwithstanding anything herein to the contrary:</w:t>
      </w:r>
    </w:p>
    <w:p>
      <w:pPr>
        <w:spacing w:after="0" w:line="62" w:lineRule="exact"/>
        <w:rPr>
          <w:sz w:val="20"/>
          <w:szCs w:val="20"/>
          <w:color w:val="auto"/>
        </w:rPr>
      </w:pPr>
    </w:p>
    <w:p>
      <w:pPr>
        <w:ind w:left="444" w:firstLine="419"/>
        <w:spacing w:after="0" w:line="277" w:lineRule="auto"/>
        <w:tabs>
          <w:tab w:leader="none" w:pos="108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in each four consecutive Fiscal Quarter period there shall be at least two Fiscal Quarters in which the Cure Right is not exercised (it being understood that, subject to </w:t>
      </w:r>
      <w:r>
        <w:rPr>
          <w:rFonts w:ascii="Arial" w:cs="Arial" w:eastAsia="Arial" w:hAnsi="Arial"/>
          <w:sz w:val="18"/>
          <w:szCs w:val="18"/>
          <w:u w:val="single" w:color="auto"/>
          <w:color w:val="auto"/>
        </w:rPr>
        <w:t>clause (ii)</w:t>
      </w:r>
      <w:r>
        <w:rPr>
          <w:rFonts w:ascii="Arial" w:cs="Arial" w:eastAsia="Arial" w:hAnsi="Arial"/>
          <w:sz w:val="18"/>
          <w:szCs w:val="18"/>
          <w:color w:val="auto"/>
        </w:rPr>
        <w:t>, the Cure Right may be exercised in consecutive Fiscal Quarters),</w:t>
      </w:r>
    </w:p>
    <w:p>
      <w:pPr>
        <w:spacing w:after="0" w:line="62" w:lineRule="exact"/>
        <w:rPr>
          <w:rFonts w:ascii="Arial" w:cs="Arial" w:eastAsia="Arial" w:hAnsi="Arial"/>
          <w:sz w:val="18"/>
          <w:szCs w:val="18"/>
          <w:color w:val="auto"/>
        </w:rPr>
      </w:pPr>
    </w:p>
    <w:p>
      <w:pPr>
        <w:ind w:left="1124" w:hanging="261"/>
        <w:spacing w:after="0"/>
        <w:tabs>
          <w:tab w:leader="none" w:pos="112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during the term of this Agreement, the Cure Right shall not be exercised more than five times,</w:t>
      </w:r>
    </w:p>
    <w:p>
      <w:pPr>
        <w:spacing w:after="0" w:line="117" w:lineRule="exact"/>
        <w:rPr>
          <w:rFonts w:ascii="Arial" w:cs="Arial" w:eastAsia="Arial" w:hAnsi="Arial"/>
          <w:sz w:val="18"/>
          <w:szCs w:val="18"/>
          <w:color w:val="auto"/>
        </w:rPr>
      </w:pPr>
    </w:p>
    <w:p>
      <w:pPr>
        <w:ind w:left="1184" w:hanging="321"/>
        <w:spacing w:after="0"/>
        <w:tabs>
          <w:tab w:leader="none" w:pos="118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the Cure Amount shall be no greater than the amount required for the purpose of complying with </w:t>
      </w:r>
      <w:r>
        <w:rPr>
          <w:rFonts w:ascii="Arial" w:cs="Arial" w:eastAsia="Arial" w:hAnsi="Arial"/>
          <w:sz w:val="18"/>
          <w:szCs w:val="18"/>
          <w:u w:val="single" w:color="auto"/>
          <w:color w:val="auto"/>
        </w:rPr>
        <w:t>Section 6.10(a)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100" w:firstLine="419"/>
        <w:spacing w:after="0" w:line="259" w:lineRule="auto"/>
        <w:tabs>
          <w:tab w:leader="none" w:pos="11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there shall be no pro forma or other reduction of the amount of Indebtedness by the amount of any Cure Amount for purposes of determining compliance with </w:t>
      </w:r>
      <w:r>
        <w:rPr>
          <w:rFonts w:ascii="Arial" w:cs="Arial" w:eastAsia="Arial" w:hAnsi="Arial"/>
          <w:sz w:val="18"/>
          <w:szCs w:val="18"/>
          <w:u w:val="single" w:color="auto"/>
          <w:color w:val="auto"/>
        </w:rPr>
        <w:t>Section 6.10(a)</w:t>
      </w:r>
      <w:r>
        <w:rPr>
          <w:rFonts w:ascii="Arial" w:cs="Arial" w:eastAsia="Arial" w:hAnsi="Arial"/>
          <w:sz w:val="18"/>
          <w:szCs w:val="18"/>
          <w:color w:val="auto"/>
        </w:rPr>
        <w:t xml:space="preserve"> for the Fiscal Quarter in respect of which the Cure Right was exercised (other than, with respect to any future period, to the extent of any portion of such Cure Amount that is actually applied to prepay Indebtedness (including by way of buyback or repurchase)),</w:t>
      </w:r>
    </w:p>
    <w:p>
      <w:pPr>
        <w:spacing w:after="0" w:line="78" w:lineRule="exact"/>
        <w:rPr>
          <w:rFonts w:ascii="Arial" w:cs="Arial" w:eastAsia="Arial" w:hAnsi="Arial"/>
          <w:sz w:val="18"/>
          <w:szCs w:val="18"/>
          <w:color w:val="auto"/>
        </w:rPr>
      </w:pPr>
    </w:p>
    <w:p>
      <w:pPr>
        <w:ind w:left="444" w:right="180" w:firstLine="419"/>
        <w:spacing w:after="0" w:line="259" w:lineRule="auto"/>
        <w:tabs>
          <w:tab w:leader="none" w:pos="112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any pro forma adjustment to Consolidated Adjusted EBITDA resulting from any Cure Amount shall be disregarded for purposes of determining (A) whether any financial ratio-based condition to the availability of any carve-out 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of this Agreement has been satisfied or (B) the Applicable Rate or the Commitment Fee Rate, in each case during each Fiscal Quarter in which the pro forma adjustment applies, and</w:t>
      </w:r>
    </w:p>
    <w:p>
      <w:pPr>
        <w:spacing w:after="0" w:line="78" w:lineRule="exact"/>
        <w:rPr>
          <w:rFonts w:ascii="Arial" w:cs="Arial" w:eastAsia="Arial" w:hAnsi="Arial"/>
          <w:sz w:val="18"/>
          <w:szCs w:val="18"/>
          <w:color w:val="auto"/>
        </w:rPr>
      </w:pPr>
    </w:p>
    <w:p>
      <w:pPr>
        <w:ind w:left="444" w:firstLine="419"/>
        <w:spacing w:after="0" w:line="259" w:lineRule="auto"/>
        <w:tabs>
          <w:tab w:leader="none" w:pos="11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no Revolving Lender or Issuing Bank shall be required to make any Revolving Loan or issue, amend or increase the face amount of any Letter of Credit from and after the date on which a Compliance Certificate demonstrating a failure to comply with </w:t>
      </w:r>
      <w:r>
        <w:rPr>
          <w:rFonts w:ascii="Arial" w:cs="Arial" w:eastAsia="Arial" w:hAnsi="Arial"/>
          <w:sz w:val="18"/>
          <w:szCs w:val="18"/>
          <w:u w:val="single" w:color="auto"/>
          <w:color w:val="auto"/>
        </w:rPr>
        <w:t>Section 6.10(a)</w:t>
      </w:r>
      <w:r>
        <w:rPr>
          <w:rFonts w:ascii="Arial" w:cs="Arial" w:eastAsia="Arial" w:hAnsi="Arial"/>
          <w:sz w:val="18"/>
          <w:szCs w:val="18"/>
          <w:color w:val="auto"/>
        </w:rPr>
        <w:t xml:space="preserve"> for the Test Period ending on the last day of any Fiscal Quarter is (or would be required to be) delivered pursuant to </w:t>
      </w:r>
      <w:r>
        <w:rPr>
          <w:rFonts w:ascii="Arial" w:cs="Arial" w:eastAsia="Arial" w:hAnsi="Arial"/>
          <w:sz w:val="18"/>
          <w:szCs w:val="18"/>
          <w:u w:val="single" w:color="auto"/>
          <w:color w:val="auto"/>
        </w:rPr>
        <w:t>Section 5.01(c)</w:t>
      </w:r>
      <w:r>
        <w:rPr>
          <w:rFonts w:ascii="Arial" w:cs="Arial" w:eastAsia="Arial" w:hAnsi="Arial"/>
          <w:sz w:val="18"/>
          <w:szCs w:val="18"/>
          <w:color w:val="auto"/>
        </w:rPr>
        <w:t xml:space="preserve"> until the date on which the Borrower receives the relevant Cure Amount.</w:t>
      </w:r>
    </w:p>
    <w:p>
      <w:pPr>
        <w:spacing w:after="0" w:line="394"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ARTICLE 7</w:t>
      </w:r>
    </w:p>
    <w:p>
      <w:pPr>
        <w:spacing w:after="0" w:line="2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EVENTS OF DEFAULT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w:t>
      </w:r>
    </w:p>
    <w:p>
      <w:pPr>
        <w:spacing w:after="0" w:line="117" w:lineRule="exact"/>
        <w:rPr>
          <w:sz w:val="20"/>
          <w:szCs w:val="20"/>
          <w:color w:val="auto"/>
        </w:rPr>
      </w:pPr>
    </w:p>
    <w:p>
      <w:pPr>
        <w:ind w:left="4" w:right="40" w:firstLine="436"/>
        <w:spacing w:after="0" w:line="263" w:lineRule="auto"/>
        <w:tabs>
          <w:tab w:leader="none" w:pos="689" w:val="left"/>
        </w:tabs>
        <w:numPr>
          <w:ilvl w:val="1"/>
          <w:numId w:val="256"/>
        </w:numPr>
        <w:rPr>
          <w:rFonts w:ascii="Arial" w:cs="Arial" w:eastAsia="Arial" w:hAnsi="Arial"/>
          <w:sz w:val="18"/>
          <w:szCs w:val="18"/>
          <w:color w:val="auto"/>
        </w:rPr>
      </w:pPr>
      <w:r>
        <w:rPr>
          <w:rFonts w:ascii="Arial" w:cs="Arial" w:eastAsia="Arial" w:hAnsi="Arial"/>
          <w:sz w:val="18"/>
          <w:szCs w:val="18"/>
          <w:u w:val="single" w:color="auto"/>
          <w:color w:val="auto"/>
        </w:rPr>
        <w:t>Failure To Make Payments When Due</w:t>
      </w:r>
      <w:r>
        <w:rPr>
          <w:rFonts w:ascii="Arial" w:cs="Arial" w:eastAsia="Arial" w:hAnsi="Arial"/>
          <w:sz w:val="18"/>
          <w:szCs w:val="18"/>
          <w:color w:val="auto"/>
        </w:rPr>
        <w:t>. Failure by the Borrower to pay (i) any installment of principal of any Loan when due, whether at stated maturity, by acceleration, by notice of voluntary prepayment, by mandatory prepayment or otherwise; or (ii) any interest on any Loan or any fee or any other amount due hereunder within five Business Days after the date due; or</w:t>
      </w:r>
    </w:p>
    <w:p>
      <w:pPr>
        <w:spacing w:after="0" w:line="75" w:lineRule="exact"/>
        <w:rPr>
          <w:rFonts w:ascii="Arial" w:cs="Arial" w:eastAsia="Arial" w:hAnsi="Arial"/>
          <w:sz w:val="18"/>
          <w:szCs w:val="18"/>
          <w:color w:val="auto"/>
        </w:rPr>
      </w:pPr>
    </w:p>
    <w:p>
      <w:pPr>
        <w:ind w:left="4" w:right="180" w:firstLine="436"/>
        <w:spacing w:after="0" w:line="291" w:lineRule="auto"/>
        <w:tabs>
          <w:tab w:leader="none" w:pos="699" w:val="left"/>
        </w:tabs>
        <w:numPr>
          <w:ilvl w:val="1"/>
          <w:numId w:val="256"/>
        </w:numPr>
        <w:rPr>
          <w:rFonts w:ascii="Arial" w:cs="Arial" w:eastAsia="Arial" w:hAnsi="Arial"/>
          <w:sz w:val="16"/>
          <w:szCs w:val="16"/>
          <w:color w:val="auto"/>
        </w:rPr>
      </w:pPr>
      <w:r>
        <w:rPr>
          <w:rFonts w:ascii="Arial" w:cs="Arial" w:eastAsia="Arial" w:hAnsi="Arial"/>
          <w:sz w:val="16"/>
          <w:szCs w:val="16"/>
          <w:u w:val="single" w:color="auto"/>
          <w:color w:val="auto"/>
        </w:rPr>
        <w:t>Default in Other Agreements</w:t>
      </w:r>
      <w:r>
        <w:rPr>
          <w:rFonts w:ascii="Arial" w:cs="Arial" w:eastAsia="Arial" w:hAnsi="Arial"/>
          <w:sz w:val="16"/>
          <w:szCs w:val="16"/>
          <w:color w:val="auto"/>
        </w:rPr>
        <w:t>. (i) Failure by the Borrower or any Restricted Subsidiary to pay when due any principal of or interest on or any other amount payable in respect of one or more items of Indebtedness for borrowed money of the Borrower or such Restricted Subsidiary (other than</w:t>
      </w:r>
    </w:p>
    <w:p>
      <w:pPr>
        <w:ind w:left="4" w:right="140" w:hanging="4"/>
        <w:spacing w:after="0" w:line="252" w:lineRule="auto"/>
        <w:tabs>
          <w:tab w:leader="none" w:pos="25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Indebtedness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and (y) intercompany Indebtedness) with an individual outstanding principal amount exceeding the Threshold Amount, in each case beyond the grace period, if any, provided therefor; or (ii) breach or default by the Borrower or any Restricted Subsidiary with respect to any other term of (A) one or more items of third-party Indebtedness for borrowed money of the Borrower or such Restricted Subsidiary (other than (x) Indebtedness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and (y) intercompany Indebtedness) with an individual outstanding principal amount exceeding the Threshold Amount or (B) any loan agreement, mortgage, indenture or other agreement relating to such item(s) of Indebtedness (other than, for the avoidance of doubt, with respect</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04"/>
          </w:cols>
          <w:pgMar w:left="436" w:top="274" w:right="459" w:bottom="1440" w:gutter="0" w:footer="0" w:header="0"/>
        </w:sectPr>
      </w:pPr>
    </w:p>
    <w:bookmarkStart w:id="164" w:name="page165"/>
    <w:bookmarkEnd w:id="164"/>
    <w:p>
      <w:pPr>
        <w:ind w:left="4"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Indebtedness consisting of Hedging Obligations, termination events or equivalent events pursuant to the terms of the relevant Hedge Agreement which are not the result of any default thereunder by the Borrower or any Restricted Subsidiary), in each case beyond the grace period, if any, provided therefor, if the effect of such breach or default is to cause, or to permit the holder or holders of such Indebtedness (or a trustee or agent on behalf of such holder or holders) to cause (with the giving of notice, if required) such Indebtedness to become or be declared due and payable (or redeemable) prior to its stated maturity or the stated maturity of any underlying obligation,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shall not apply to secured Indebtedness that becomes due as a result of the voluntary sale or transfer of the property securing such Indebtedness if such sale or transfer is permitted hereunder, (II) any failure described under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is unremedied and is not waived by the holders of such Indebtedness prior to any termination of the Commitments or acceleration of the Loans pursuant to this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(III) [reserved] and (IV) it is understood and agreed that the occurrence of any event described in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that would, prior to the expiration of any applicable grace period, permit the holder or holders of the relevant Indebtedness (or a trustee or agent on behalf of such holder or holders) to cause (with the giving of notice, if required) such Indebtedness to become or be declared due and payable (or redeemable) prior to its stated maturity or the stated maturity of any underlying obligation, as the case may be, will not result in a Default or Event of Default under this Agreement prior to the expiration of such grace period; or</w:t>
      </w:r>
    </w:p>
    <w:p>
      <w:pPr>
        <w:spacing w:after="0" w:line="78" w:lineRule="exact"/>
        <w:rPr>
          <w:sz w:val="20"/>
          <w:szCs w:val="20"/>
          <w:color w:val="auto"/>
        </w:rPr>
      </w:pPr>
    </w:p>
    <w:p>
      <w:pPr>
        <w:ind w:left="4" w:right="280" w:firstLine="436"/>
        <w:spacing w:after="0" w:line="287" w:lineRule="auto"/>
        <w:tabs>
          <w:tab w:leader="none" w:pos="689" w:val="left"/>
        </w:tabs>
        <w:numPr>
          <w:ilvl w:val="1"/>
          <w:numId w:val="258"/>
        </w:numPr>
        <w:rPr>
          <w:rFonts w:ascii="Arial" w:cs="Arial" w:eastAsia="Arial" w:hAnsi="Arial"/>
          <w:sz w:val="16"/>
          <w:szCs w:val="16"/>
          <w:color w:val="auto"/>
        </w:rPr>
      </w:pPr>
      <w:r>
        <w:rPr>
          <w:rFonts w:ascii="Arial" w:cs="Arial" w:eastAsia="Arial" w:hAnsi="Arial"/>
          <w:sz w:val="16"/>
          <w:szCs w:val="16"/>
          <w:u w:val="single" w:color="auto"/>
          <w:color w:val="auto"/>
        </w:rPr>
        <w:t>Breach of Certain Covenants</w:t>
      </w:r>
      <w:r>
        <w:rPr>
          <w:rFonts w:ascii="Arial" w:cs="Arial" w:eastAsia="Arial" w:hAnsi="Arial"/>
          <w:sz w:val="16"/>
          <w:szCs w:val="16"/>
          <w:color w:val="auto"/>
        </w:rPr>
        <w:t xml:space="preserve">. Failure of any Loan Party, as required by the relevant provision, to perform or comply with </w:t>
      </w:r>
      <w:r>
        <w:rPr>
          <w:rFonts w:ascii="Arial" w:cs="Arial" w:eastAsia="Arial" w:hAnsi="Arial"/>
          <w:sz w:val="16"/>
          <w:szCs w:val="16"/>
          <w:u w:val="single" w:color="auto"/>
          <w:color w:val="auto"/>
        </w:rPr>
        <w:t>Section 5.01(e)(i)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Event of Default arising from a failure to perform or comply with </w:t>
      </w:r>
      <w:r>
        <w:rPr>
          <w:rFonts w:ascii="Arial" w:cs="Arial" w:eastAsia="Arial" w:hAnsi="Arial"/>
          <w:sz w:val="16"/>
          <w:szCs w:val="16"/>
          <w:u w:val="single" w:color="auto"/>
          <w:color w:val="auto"/>
        </w:rPr>
        <w:t>Section 5.01(e)(i)</w:t>
      </w:r>
      <w:r>
        <w:rPr>
          <w:rFonts w:ascii="Arial" w:cs="Arial" w:eastAsia="Arial" w:hAnsi="Arial"/>
          <w:sz w:val="16"/>
          <w:szCs w:val="16"/>
          <w:color w:val="auto"/>
        </w:rPr>
        <w:t xml:space="preserve"> shall automatically be deemed to have been cured (and no longer continuing) immediately upon the earlier to occur of (x) the delivery of notice of the relevant Default or Event of Default and</w:t>
      </w:r>
    </w:p>
    <w:p>
      <w:pPr>
        <w:spacing w:after="0" w:line="2" w:lineRule="exact"/>
        <w:rPr>
          <w:rFonts w:ascii="Arial" w:cs="Arial" w:eastAsia="Arial" w:hAnsi="Arial"/>
          <w:sz w:val="16"/>
          <w:szCs w:val="16"/>
          <w:color w:val="auto"/>
        </w:rPr>
      </w:pPr>
    </w:p>
    <w:p>
      <w:pPr>
        <w:ind w:left="4" w:right="120" w:hanging="4"/>
        <w:spacing w:after="0" w:line="255" w:lineRule="auto"/>
        <w:tabs>
          <w:tab w:leader="none" w:pos="25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the cessation of the existence of the underlying Default or Event of Default), in either case unless a Responsible Officer of the Borrower had knowledge of the underlying Default or Event of Default),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(as it applies to the preservation of the existence of the Borrower), or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1" w:lineRule="exact"/>
        <w:rPr>
          <w:rFonts w:ascii="Arial" w:cs="Arial" w:eastAsia="Arial" w:hAnsi="Arial"/>
          <w:sz w:val="18"/>
          <w:szCs w:val="18"/>
          <w:color w:val="auto"/>
        </w:rPr>
      </w:pPr>
    </w:p>
    <w:p>
      <w:pPr>
        <w:ind w:left="1084" w:hanging="221"/>
        <w:spacing w:after="0"/>
        <w:tabs>
          <w:tab w:leader="none" w:pos="1084" w:val="left"/>
        </w:tabs>
        <w:numPr>
          <w:ilvl w:val="2"/>
          <w:numId w:val="259"/>
        </w:numPr>
        <w:rPr>
          <w:rFonts w:ascii="Arial" w:cs="Arial" w:eastAsia="Arial" w:hAnsi="Arial"/>
          <w:sz w:val="18"/>
          <w:szCs w:val="18"/>
          <w:color w:val="auto"/>
        </w:rPr>
      </w:pPr>
      <w:r>
        <w:rPr>
          <w:rFonts w:ascii="Arial" w:cs="Arial" w:eastAsia="Arial" w:hAnsi="Arial"/>
          <w:sz w:val="18"/>
          <w:szCs w:val="18"/>
          <w:color w:val="auto"/>
        </w:rPr>
        <w:t xml:space="preserve">any breach of </w:t>
      </w:r>
      <w:r>
        <w:rPr>
          <w:rFonts w:ascii="Arial" w:cs="Arial" w:eastAsia="Arial" w:hAnsi="Arial"/>
          <w:sz w:val="18"/>
          <w:szCs w:val="18"/>
          <w:u w:val="single" w:color="auto"/>
          <w:color w:val="auto"/>
        </w:rPr>
        <w:t>Section 6.10(a)</w:t>
      </w:r>
      <w:r>
        <w:rPr>
          <w:rFonts w:ascii="Arial" w:cs="Arial" w:eastAsia="Arial" w:hAnsi="Arial"/>
          <w:sz w:val="18"/>
          <w:szCs w:val="18"/>
          <w:color w:val="auto"/>
        </w:rPr>
        <w:t xml:space="preserve"> is subject to cure as provided in </w:t>
      </w:r>
      <w:r>
        <w:rPr>
          <w:rFonts w:ascii="Arial" w:cs="Arial" w:eastAsia="Arial" w:hAnsi="Arial"/>
          <w:sz w:val="18"/>
          <w:szCs w:val="18"/>
          <w:u w:val="single" w:color="auto"/>
          <w:color w:val="auto"/>
        </w:rPr>
        <w:t>Section 6.10(b)</w:t>
      </w:r>
      <w:r>
        <w:rPr>
          <w:rFonts w:ascii="Arial" w:cs="Arial" w:eastAsia="Arial" w:hAnsi="Arial"/>
          <w:sz w:val="18"/>
          <w:szCs w:val="18"/>
          <w:color w:val="auto"/>
        </w:rPr>
        <w:t xml:space="preserve"> and</w:t>
      </w:r>
    </w:p>
    <w:p>
      <w:pPr>
        <w:spacing w:after="0" w:line="117" w:lineRule="exact"/>
        <w:rPr>
          <w:rFonts w:ascii="Arial" w:cs="Arial" w:eastAsia="Arial" w:hAnsi="Arial"/>
          <w:sz w:val="18"/>
          <w:szCs w:val="18"/>
          <w:color w:val="auto"/>
        </w:rPr>
      </w:pPr>
    </w:p>
    <w:p>
      <w:pPr>
        <w:ind w:left="444" w:firstLine="419"/>
        <w:spacing w:after="0" w:line="257" w:lineRule="auto"/>
        <w:tabs>
          <w:tab w:leader="none" w:pos="1132" w:val="left"/>
        </w:tabs>
        <w:numPr>
          <w:ilvl w:val="2"/>
          <w:numId w:val="259"/>
        </w:numPr>
        <w:rPr>
          <w:rFonts w:ascii="Arial" w:cs="Arial" w:eastAsia="Arial" w:hAnsi="Arial"/>
          <w:sz w:val="18"/>
          <w:szCs w:val="18"/>
          <w:color w:val="auto"/>
        </w:rPr>
      </w:pPr>
      <w:r>
        <w:rPr>
          <w:rFonts w:ascii="Arial" w:cs="Arial" w:eastAsia="Arial" w:hAnsi="Arial"/>
          <w:sz w:val="18"/>
          <w:szCs w:val="18"/>
          <w:color w:val="auto"/>
        </w:rPr>
        <w:t xml:space="preserve">no Default or Event of Default may arise under </w:t>
      </w:r>
      <w:r>
        <w:rPr>
          <w:rFonts w:ascii="Arial" w:cs="Arial" w:eastAsia="Arial" w:hAnsi="Arial"/>
          <w:sz w:val="18"/>
          <w:szCs w:val="18"/>
          <w:u w:val="single" w:color="auto"/>
          <w:color w:val="auto"/>
        </w:rPr>
        <w:t>Section 6.10(a)</w:t>
      </w:r>
      <w:r>
        <w:rPr>
          <w:rFonts w:ascii="Arial" w:cs="Arial" w:eastAsia="Arial" w:hAnsi="Arial"/>
          <w:sz w:val="18"/>
          <w:szCs w:val="18"/>
          <w:color w:val="auto"/>
        </w:rPr>
        <w:t xml:space="preserve"> until the 15th Business Day after the date on which financial statements are required to be delivered for the relevant Fiscal Quarter under </w:t>
      </w:r>
      <w:r>
        <w:rPr>
          <w:rFonts w:ascii="Arial" w:cs="Arial" w:eastAsia="Arial" w:hAnsi="Arial"/>
          <w:sz w:val="18"/>
          <w:szCs w:val="18"/>
          <w:u w:val="single" w:color="auto"/>
          <w:color w:val="auto"/>
        </w:rPr>
        <w:t>Sections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(unless the Cure Right has previously been exercised in excess of the aggregate cap on Cure Rights contemplated by </w:t>
      </w:r>
      <w:r>
        <w:rPr>
          <w:rFonts w:ascii="Arial" w:cs="Arial" w:eastAsia="Arial" w:hAnsi="Arial"/>
          <w:sz w:val="18"/>
          <w:szCs w:val="18"/>
          <w:u w:val="single" w:color="auto"/>
          <w:color w:val="auto"/>
        </w:rPr>
        <w:t>Section 6.10(b)</w:t>
      </w:r>
      <w:r>
        <w:rPr>
          <w:rFonts w:ascii="Arial" w:cs="Arial" w:eastAsia="Arial" w:hAnsi="Arial"/>
          <w:sz w:val="18"/>
          <w:szCs w:val="18"/>
          <w:color w:val="auto"/>
        </w:rPr>
        <w:t xml:space="preserve"> over the life of this Agreement and/or the Cure Right has previously been exercised twice in the applicable four consecutive Fiscal Quarter period), and then only to the extent the Cure Amount has not been received on or prior to such date; or</w:t>
      </w:r>
    </w:p>
    <w:p>
      <w:pPr>
        <w:spacing w:after="0" w:line="79" w:lineRule="exact"/>
        <w:rPr>
          <w:rFonts w:ascii="Arial" w:cs="Arial" w:eastAsia="Arial" w:hAnsi="Arial"/>
          <w:sz w:val="18"/>
          <w:szCs w:val="18"/>
          <w:color w:val="auto"/>
        </w:rPr>
      </w:pPr>
    </w:p>
    <w:p>
      <w:pPr>
        <w:ind w:left="4" w:right="20" w:firstLine="436"/>
        <w:spacing w:after="0" w:line="253" w:lineRule="auto"/>
        <w:tabs>
          <w:tab w:leader="none" w:pos="699"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Breach of Representations, Etc</w:t>
      </w:r>
      <w:r>
        <w:rPr>
          <w:rFonts w:ascii="Arial" w:cs="Arial" w:eastAsia="Arial" w:hAnsi="Arial"/>
          <w:sz w:val="18"/>
          <w:szCs w:val="18"/>
          <w:color w:val="auto"/>
        </w:rPr>
        <w:t xml:space="preserve">. Any representation, warranty or certification made or deemed made by any Loan Party in any Loan Document or in any certificate required to be delivered in connection herewith or therewith (including, for the avoidance of doubt, any Perfection Certificate) being untrue in any material respect as of the date made or deemed made; it being understood and agreed that (i) any breach of any representation, warranty or certification resulting from the failure of the Administrative Agent to file any Uniform Commercial Code financing statement, amendment and/or continuation statement or the failure of the Administrative Agent to maintain possession of any Collateral actually delivered to it shall not result in an Event of Default under this </w:t>
      </w:r>
      <w:r>
        <w:rPr>
          <w:rFonts w:ascii="Arial" w:cs="Arial" w:eastAsia="Arial" w:hAnsi="Arial"/>
          <w:sz w:val="18"/>
          <w:szCs w:val="18"/>
          <w:u w:val="single" w:color="auto"/>
          <w:color w:val="auto"/>
        </w:rPr>
        <w:t>Section 7.01(d)</w:t>
      </w:r>
      <w:r>
        <w:rPr>
          <w:rFonts w:ascii="Arial" w:cs="Arial" w:eastAsia="Arial" w:hAnsi="Arial"/>
          <w:sz w:val="18"/>
          <w:szCs w:val="18"/>
          <w:color w:val="auto"/>
        </w:rPr>
        <w:t xml:space="preserve"> or any other provision of any Loan Document and (ii) if the relevant representation and warranty is capable of being cured (including by the delivery of a restated certification or calculation or restated financial statements), no Default or Event of Default may arise under this </w:t>
      </w:r>
      <w:r>
        <w:rPr>
          <w:rFonts w:ascii="Arial" w:cs="Arial" w:eastAsia="Arial" w:hAnsi="Arial"/>
          <w:sz w:val="18"/>
          <w:szCs w:val="18"/>
          <w:u w:val="single" w:color="auto"/>
          <w:color w:val="auto"/>
        </w:rPr>
        <w:t>Section 7.01(d)</w:t>
      </w:r>
      <w:r>
        <w:rPr>
          <w:rFonts w:ascii="Arial" w:cs="Arial" w:eastAsia="Arial" w:hAnsi="Arial"/>
          <w:sz w:val="18"/>
          <w:szCs w:val="18"/>
          <w:color w:val="auto"/>
        </w:rPr>
        <w:t xml:space="preserve"> with respect to such representation and warranty unless such representation and warranty remains incorrect in any material respect for a period of 30 days following the delivery of a written notice by the Administrative Agent of the relevant inaccuracy to the Borrower; or</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04"/>
          </w:cols>
          <w:pgMar w:left="436" w:top="274" w:right="459" w:bottom="1440" w:gutter="0" w:footer="0" w:header="0"/>
        </w:sectPr>
      </w:pPr>
    </w:p>
    <w:bookmarkStart w:id="165" w:name="page166"/>
    <w:bookmarkEnd w:id="165"/>
    <w:p>
      <w:pPr>
        <w:jc w:val="both"/>
        <w:ind w:right="40" w:firstLine="436"/>
        <w:spacing w:after="0" w:line="263" w:lineRule="auto"/>
        <w:tabs>
          <w:tab w:leader="none" w:pos="685"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Defaults Under Loan Documents</w:t>
      </w:r>
      <w:r>
        <w:rPr>
          <w:rFonts w:ascii="Arial" w:cs="Arial" w:eastAsia="Arial" w:hAnsi="Arial"/>
          <w:sz w:val="18"/>
          <w:szCs w:val="18"/>
          <w:color w:val="auto"/>
        </w:rPr>
        <w:t xml:space="preserve">. Default by any Loan Party in the performance of or compliance with any term contained herein or any of the other Loan Documents, other than any such term referred to in any other Section of this </w:t>
      </w:r>
      <w:r>
        <w:rPr>
          <w:rFonts w:ascii="Arial" w:cs="Arial" w:eastAsia="Arial" w:hAnsi="Arial"/>
          <w:sz w:val="18"/>
          <w:szCs w:val="18"/>
          <w:u w:val="single" w:color="auto"/>
          <w:color w:val="auto"/>
        </w:rPr>
        <w:t>Article 7</w:t>
      </w:r>
      <w:r>
        <w:rPr>
          <w:rFonts w:ascii="Arial" w:cs="Arial" w:eastAsia="Arial" w:hAnsi="Arial"/>
          <w:sz w:val="18"/>
          <w:szCs w:val="18"/>
          <w:color w:val="auto"/>
        </w:rPr>
        <w:t>, which default has not been remedied or waived within 30 days after receipt by the Borrower of written notice thereof from the Administrative Agent; or</w:t>
      </w:r>
    </w:p>
    <w:p>
      <w:pPr>
        <w:spacing w:after="0" w:line="75" w:lineRule="exact"/>
        <w:rPr>
          <w:rFonts w:ascii="Arial" w:cs="Arial" w:eastAsia="Arial" w:hAnsi="Arial"/>
          <w:sz w:val="18"/>
          <w:szCs w:val="18"/>
          <w:color w:val="auto"/>
        </w:rPr>
      </w:pPr>
    </w:p>
    <w:p>
      <w:pPr>
        <w:ind w:right="100" w:firstLine="436"/>
        <w:spacing w:after="0" w:line="287" w:lineRule="auto"/>
        <w:tabs>
          <w:tab w:leader="none" w:pos="665"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Involuntary Bankruptcy; Appointment of Receiver, Etc</w:t>
      </w:r>
      <w:r>
        <w:rPr>
          <w:rFonts w:ascii="Arial" w:cs="Arial" w:eastAsia="Arial" w:hAnsi="Arial"/>
          <w:sz w:val="16"/>
          <w:szCs w:val="16"/>
          <w:color w:val="auto"/>
        </w:rPr>
        <w:t xml:space="preserve">. (i) The entry by a court of competent jurisdiction of a decree or order for relief in respect of Holdings, the Borrower or any Restricted Subsidiary (other than any Immaterial Subsidiary) in an involuntary case under any Debtor Relief Law now or hereafter in effect, which decree or order is not stayed; or any other similar relief in respect of Holdings, the Borrower or any Restricted Subsidiary (other than any Immaterial Subsidiary) shall be granted under any applicable Requirements of Law, which relief is not stayed; or (ii) the commencement of an involuntary case against Holdings, the Borrower or any Restricted Subsidiary (other than any Immaterial Subsidiary) under any Debtor Relief Law; the entry by a court having jurisdiction in the premises of a decree or order for the appointment of a receiver, receiver and manager, (preliminary) insolvency receiver, liquidator, sequestrator, trustee, administrator, custodian or other officer having similar powers over Holdings, the Borrower or any Restricted Subsidiary (other than any Immaterial Subsidiary), or over all or a material part of its property; or the involuntary appointment of an interim receiver, trustee or other custodian of Holdings, the Borrower or any Restricted Subsidiary (other than any Immaterial Subsidiary) for all or a material part of its property, which remains, in any case under this </w:t>
      </w:r>
      <w:r>
        <w:rPr>
          <w:rFonts w:ascii="Arial" w:cs="Arial" w:eastAsia="Arial" w:hAnsi="Arial"/>
          <w:sz w:val="16"/>
          <w:szCs w:val="16"/>
          <w:u w:val="single" w:color="auto"/>
          <w:color w:val="auto"/>
        </w:rPr>
        <w:t>Section 7.01(f)</w:t>
      </w:r>
      <w:r>
        <w:rPr>
          <w:rFonts w:ascii="Arial" w:cs="Arial" w:eastAsia="Arial" w:hAnsi="Arial"/>
          <w:sz w:val="16"/>
          <w:szCs w:val="16"/>
          <w:color w:val="auto"/>
        </w:rPr>
        <w:t xml:space="preserve">, undismissed, unvacated, unbounded or unstayed pending appeal for 60 consecutive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it is understood and agreed that the occurrence of any event described in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will not result in a Default or Event of Default under this Agreement prior to the expiration of such 60 consecutive day period; or</w:t>
      </w:r>
    </w:p>
    <w:p>
      <w:pPr>
        <w:spacing w:after="0" w:line="59" w:lineRule="exact"/>
        <w:rPr>
          <w:rFonts w:ascii="Arial" w:cs="Arial" w:eastAsia="Arial" w:hAnsi="Arial"/>
          <w:sz w:val="16"/>
          <w:szCs w:val="16"/>
          <w:color w:val="auto"/>
        </w:rPr>
      </w:pPr>
    </w:p>
    <w:p>
      <w:pPr>
        <w:ind w:firstLine="436"/>
        <w:spacing w:after="0" w:line="270" w:lineRule="auto"/>
        <w:tabs>
          <w:tab w:leader="none" w:pos="695"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Voluntary Bankruptcy; Appointment of Receiver, Etc</w:t>
      </w:r>
      <w:r>
        <w:rPr>
          <w:rFonts w:ascii="Arial" w:cs="Arial" w:eastAsia="Arial" w:hAnsi="Arial"/>
          <w:sz w:val="17"/>
          <w:szCs w:val="17"/>
          <w:color w:val="auto"/>
        </w:rPr>
        <w:t>. (i) The entry against Holdings, the Borrower or any Restricted Subsidiary (other than any Immaterial Subsidiary) of an order for relief in, or the commencement by Holdings, the Borrower or any Restricted Subsidiary (other than any Immaterial Subsidiary) of, a voluntary case under any Debtor Relief Law, or the consent by Holdings, the Borrower or any Restricted Subsidiary (other than any Immaterial Subsidiary) to the entry of an order for relief in an involuntary case or to the conversion of an involuntary case to a voluntary case, under any Debtor Relief Law, or the consent by Holdings, the Borrower or any Restricted Subsidiary (other than any Immaterial Subsidiary) to the appointment of or taking possession by a receiver, receiver and manager, insolvency receiver, liquidator, sequestrator, trustee, administrator, custodian or other like official for or in respect of itself or for all or a material part of the property of Holdings, the Borrower and any Restricted Subsidiary (other taken any Immaterial Subsidiary), taken as a whole or (ii) the making by Holdings, the Borrower or any Restricted Subsidiary (other than any Immaterial Subsidiary) of a general assignment for the benefit of creditors; or</w:t>
      </w:r>
    </w:p>
    <w:p>
      <w:pPr>
        <w:spacing w:after="0" w:line="72" w:lineRule="exact"/>
        <w:rPr>
          <w:rFonts w:ascii="Arial" w:cs="Arial" w:eastAsia="Arial" w:hAnsi="Arial"/>
          <w:sz w:val="17"/>
          <w:szCs w:val="17"/>
          <w:color w:val="auto"/>
        </w:rPr>
      </w:pPr>
    </w:p>
    <w:p>
      <w:pPr>
        <w:ind w:right="40" w:firstLine="436"/>
        <w:spacing w:after="0" w:line="254" w:lineRule="auto"/>
        <w:tabs>
          <w:tab w:leader="none" w:pos="695"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Judgments and Attachments</w:t>
      </w:r>
      <w:r>
        <w:rPr>
          <w:rFonts w:ascii="Arial" w:cs="Arial" w:eastAsia="Arial" w:hAnsi="Arial"/>
          <w:sz w:val="18"/>
          <w:szCs w:val="18"/>
          <w:color w:val="auto"/>
        </w:rPr>
        <w:t xml:space="preserve">. The entry or filing of one or more final money judgments, writs or warrants of attachment or similar process against the Borrower or any Restricted Subsidiary (other than any Immaterial Subsidiary) individually or any of its assets involving in the aggregate at any time an amount in excess of the Threshold Amount (in either case, to the extent not adequately covered by indemnity from a third party (including any escrow arrangement), by self-insurance (if applicable) or by insurance as to which, in the case of any such third party insurance, the relevant third party insurance company has been notified and not denied coverage), which judgment, writ, warrant or similar process remains unpaid, undischarged, unvacated, unbonded or unstayed pending appeal for a period of 60 consecutive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it is understood and agreed that the occurrence of any event described in this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will not result in a Default or Event of Default under this Agreement prior to the expiration of such 60 consecutive day period; or</w:t>
      </w:r>
    </w:p>
    <w:p>
      <w:pPr>
        <w:spacing w:after="0" w:line="83" w:lineRule="exact"/>
        <w:rPr>
          <w:rFonts w:ascii="Arial" w:cs="Arial" w:eastAsia="Arial" w:hAnsi="Arial"/>
          <w:sz w:val="18"/>
          <w:szCs w:val="18"/>
          <w:color w:val="auto"/>
        </w:rPr>
      </w:pPr>
    </w:p>
    <w:p>
      <w:pPr>
        <w:ind w:right="100" w:firstLine="436"/>
        <w:spacing w:after="0" w:line="263" w:lineRule="auto"/>
        <w:tabs>
          <w:tab w:leader="none" w:pos="655"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r>
        <w:rPr>
          <w:rFonts w:ascii="Arial" w:cs="Arial" w:eastAsia="Arial" w:hAnsi="Arial"/>
          <w:sz w:val="18"/>
          <w:szCs w:val="18"/>
          <w:color w:val="auto"/>
        </w:rPr>
        <w:t>. The occurrence of one or more ERISA Events with respect to the Borrower or any Restricted Subsidiary (other than any Immaterial Subsidiary), which individually or in the aggregate result in liability of any Loan Party in an aggregate amount which would reasonably be expected to result in a Material Adverse Effect; or</w:t>
      </w:r>
    </w:p>
    <w:p>
      <w:pPr>
        <w:spacing w:after="0" w:line="75" w:lineRule="exact"/>
        <w:rPr>
          <w:rFonts w:ascii="Arial" w:cs="Arial" w:eastAsia="Arial" w:hAnsi="Arial"/>
          <w:sz w:val="18"/>
          <w:szCs w:val="18"/>
          <w:color w:val="auto"/>
        </w:rPr>
      </w:pPr>
    </w:p>
    <w:p>
      <w:pPr>
        <w:ind w:left="660" w:hanging="224"/>
        <w:spacing w:after="0"/>
        <w:tabs>
          <w:tab w:leader="none" w:pos="66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 occurrence of a Change of Control;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00"/>
          </w:cols>
          <w:pgMar w:left="440" w:top="274" w:right="459" w:bottom="1440" w:gutter="0" w:footer="0" w:header="0"/>
        </w:sectPr>
      </w:pPr>
    </w:p>
    <w:bookmarkStart w:id="166" w:name="page167"/>
    <w:bookmarkEnd w:id="166"/>
    <w:p>
      <w:pPr>
        <w:ind w:left="4" w:right="60" w:firstLine="436"/>
        <w:spacing w:after="0" w:line="283" w:lineRule="auto"/>
        <w:tabs>
          <w:tab w:leader="none" w:pos="699" w:val="left"/>
        </w:tabs>
        <w:numPr>
          <w:ilvl w:val="1"/>
          <w:numId w:val="26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Guaranties, Collateral Documents and Other Loan Documents</w:t>
      </w:r>
      <w:r>
        <w:rPr>
          <w:rFonts w:ascii="Arial" w:cs="Arial" w:eastAsia="Arial" w:hAnsi="Arial"/>
          <w:sz w:val="16"/>
          <w:szCs w:val="16"/>
          <w:color w:val="auto"/>
        </w:rPr>
        <w:t>. At any time after the execution and delivery thereof, (i) any material Loan Guaranty for any reason, other than the occurrence of the Termination Date, shall cease to be in full force and effect (other than in accordance with its terms) or shall be declared, by a court of competent jurisdiction, to be null and void or any Loan Guarantor shall repudiate in writing its obligations thereunder (in each case, other than as a result of the discharge of such Loan Guarantor in accordance with the terms thereof and other than as a result of any act or omission by the Administrative Agent or any Lender), (ii) this Agreement or any material Collateral Document ceases to be in full force and effect or shall be declared, by a court of competent jurisdiction, to be null and void or any Lien on a material portion of the Collateral created under any Collateral Document ceases to be perfected with respect to a material portion of the Collateral (other than solely by reason of (1) such perfection not being required pursuant to the Collateral and Guarantee Requirement, the Collateral Documents, this Agreement or otherwise, (2) the failure of the Administrative Agent to maintain possession of any Collateral actually delivered to it or the failure of the Administrative Agent to file Uniform Commercial Code financing statements, amendments or continuation statements, (3) a release of Collateral in accordance with the terms hereof or thereof or (4) the occurrence of the Termination Date or any other termination of such Collateral Document in accordance with the terms thereof) or</w:t>
      </w:r>
    </w:p>
    <w:p>
      <w:pPr>
        <w:spacing w:after="0" w:line="3" w:lineRule="exact"/>
        <w:rPr>
          <w:rFonts w:ascii="Arial" w:cs="Arial" w:eastAsia="Arial" w:hAnsi="Arial"/>
          <w:sz w:val="16"/>
          <w:szCs w:val="16"/>
          <w:color w:val="auto"/>
        </w:rPr>
      </w:pPr>
    </w:p>
    <w:p>
      <w:pPr>
        <w:ind w:left="4" w:right="80" w:hanging="4"/>
        <w:spacing w:after="0" w:line="288" w:lineRule="auto"/>
        <w:tabs>
          <w:tab w:leader="none" w:pos="319"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other than in any bona fide, good faith dispute as to the scope of Collateral or whether any Lien has been, or is required to be released, any Loan Party shall contest in writing, the validity or enforceability of any material provision of any Loan Document (or any Lien purported to be created by the Collateral Documents on any material portion of the Collateral or any Loan Guaranty) or deny in writing that it has any further liability (other than by reason of the occurrence of the Termination Date or any other termination of any other Loan Document in accordance with the terms thereof), including with respect to future advances by the Lenders, under any Loan Document to which it is a party; it being understood and agreed that the failure of the Administrative Agent to file any Uniform Commercial Code financing statement, amendment or continuation statement and/or maintain possession of any physical Collateral shall not result in an Event of Default under this </w:t>
      </w:r>
      <w:r>
        <w:rPr>
          <w:rFonts w:ascii="Arial" w:cs="Arial" w:eastAsia="Arial" w:hAnsi="Arial"/>
          <w:sz w:val="16"/>
          <w:szCs w:val="16"/>
          <w:u w:val="single" w:color="auto"/>
          <w:color w:val="auto"/>
        </w:rPr>
        <w:t>Section 7.01(k)</w:t>
      </w:r>
      <w:r>
        <w:rPr>
          <w:rFonts w:ascii="Arial" w:cs="Arial" w:eastAsia="Arial" w:hAnsi="Arial"/>
          <w:sz w:val="16"/>
          <w:szCs w:val="16"/>
          <w:color w:val="auto"/>
        </w:rPr>
        <w:t xml:space="preserve"> or any other provision of any Loan Document;</w:t>
      </w:r>
    </w:p>
    <w:p>
      <w:pPr>
        <w:spacing w:after="0" w:line="60" w:lineRule="exact"/>
        <w:rPr>
          <w:rFonts w:ascii="Arial" w:cs="Arial" w:eastAsia="Arial" w:hAnsi="Arial"/>
          <w:sz w:val="16"/>
          <w:szCs w:val="16"/>
          <w:color w:val="auto"/>
        </w:rPr>
      </w:pPr>
    </w:p>
    <w:p>
      <w:pPr>
        <w:ind w:left="4" w:right="480" w:firstLine="436"/>
        <w:spacing w:after="0" w:line="301" w:lineRule="auto"/>
        <w:tabs>
          <w:tab w:leader="none" w:pos="659" w:val="left"/>
        </w:tabs>
        <w:numPr>
          <w:ilvl w:val="1"/>
          <w:numId w:val="262"/>
        </w:numPr>
        <w:rPr>
          <w:rFonts w:ascii="Arial" w:cs="Arial" w:eastAsia="Arial" w:hAnsi="Arial"/>
          <w:sz w:val="16"/>
          <w:szCs w:val="16"/>
          <w:color w:val="auto"/>
        </w:rPr>
      </w:pPr>
      <w:r>
        <w:rPr>
          <w:rFonts w:ascii="Arial" w:cs="Arial" w:eastAsia="Arial" w:hAnsi="Arial"/>
          <w:sz w:val="16"/>
          <w:szCs w:val="16"/>
          <w:u w:val="single" w:color="auto"/>
          <w:color w:val="auto"/>
        </w:rPr>
        <w:t>Subordination</w:t>
      </w:r>
      <w:r>
        <w:rPr>
          <w:rFonts w:ascii="Arial" w:cs="Arial" w:eastAsia="Arial" w:hAnsi="Arial"/>
          <w:sz w:val="16"/>
          <w:szCs w:val="16"/>
          <w:color w:val="auto"/>
        </w:rPr>
        <w:t>. The Obligations ceasing or the assertion in writing by any Loan Party that the Obligations cease to constitute senior indebtedness under the subordination provisions of any document or instrument evidencing any Restricted Debt that is required to be subordinated pursuant to the terms of this Agreement or any such subordination provision being invalidated by a court of competent jurisdiction in a final non-appealable order, or otherwise ceasing, for any reason, to be valid, binding and enforceable obligations of the parties thereto;</w:t>
      </w:r>
    </w:p>
    <w:p>
      <w:pPr>
        <w:spacing w:after="0" w:line="157"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 xml:space="preserve">then, and in every such event (other than an event described in </w:t>
      </w:r>
      <w:r>
        <w:rPr>
          <w:rFonts w:ascii="Arial" w:cs="Arial" w:eastAsia="Arial" w:hAnsi="Arial"/>
          <w:sz w:val="17"/>
          <w:szCs w:val="17"/>
          <w:u w:val="single" w:color="auto"/>
          <w:color w:val="auto"/>
        </w:rPr>
        <w:t>Section 7.01(f)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7.01(g)</w:t>
      </w:r>
      <w:r>
        <w:rPr>
          <w:rFonts w:ascii="Arial" w:cs="Arial" w:eastAsia="Arial" w:hAnsi="Arial"/>
          <w:sz w:val="17"/>
          <w:szCs w:val="17"/>
          <w:color w:val="auto"/>
        </w:rPr>
        <w:t>) at any time thereafter during the continuance of such event, the Administrative Agent may and at the request of the Required Lenders, shall by notice to the Borrower, take any of the following actions, at the same or different times: (i) terminate the Revolving Credit Commitments, and thereupon such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(iii) require that the Borrower deposit in the LC Collateral Account an additional amount in Cash as reasonably requested by the Issuing Banks (not to exceed 100% of the relevant face amount) of the then outstanding LC Exposure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amount then on deposit in the LC Collateral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 occurrence of an event described in </w:t>
      </w:r>
      <w:r>
        <w:rPr>
          <w:rFonts w:ascii="Arial" w:cs="Arial" w:eastAsia="Arial" w:hAnsi="Arial"/>
          <w:sz w:val="17"/>
          <w:szCs w:val="17"/>
          <w:u w:val="single" w:color="auto"/>
          <w:color w:val="auto"/>
        </w:rPr>
        <w:t>Section 7.01(f)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7.01(g)</w:t>
      </w:r>
      <w:r>
        <w:rPr>
          <w:rFonts w:ascii="Arial" w:cs="Arial" w:eastAsia="Arial" w:hAnsi="Arial"/>
          <w:sz w:val="17"/>
          <w:szCs w:val="17"/>
          <w:color w:val="auto"/>
        </w:rPr>
        <w:t>, any such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and the obligation of the Borrower to Cash collateralize the outstanding Letters of Credit as aforesaid shall automatically become effective, in each case, without further action of the Administrative Agent or any Lender.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24"/>
          </w:cols>
          <w:pgMar w:left="436" w:top="274" w:right="43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8</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ADMINISTRATIVE AGENT</w:t>
      </w:r>
    </w:p>
    <w:p>
      <w:pPr>
        <w:spacing w:after="0" w:line="225"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Appointment and Authorization of Administrative Agent</w:t>
      </w:r>
      <w:r>
        <w:rPr>
          <w:rFonts w:ascii="Arial" w:cs="Arial" w:eastAsia="Arial" w:hAnsi="Arial"/>
          <w:sz w:val="16"/>
          <w:szCs w:val="16"/>
          <w:color w:val="auto"/>
        </w:rPr>
        <w:t>. Each of the Lenders and the Issuing Banks, on behalf of itself and its applicable Affiliates in their respective capacities as such and as counterparties under Hedge Agreements and/or providers of Banking Services, as applicable, hereby irrevocably appoint Bank of America (or any successor appointed pursuant hereto) as Administrative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w:t>
      </w:r>
    </w:p>
    <w:p>
      <w:pPr>
        <w:spacing w:after="0" w:line="16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Rights as a Lender</w:t>
      </w:r>
      <w:r>
        <w:rPr>
          <w:rFonts w:ascii="Arial" w:cs="Arial" w:eastAsia="Arial" w:hAnsi="Arial"/>
          <w:sz w:val="17"/>
          <w:szCs w:val="17"/>
          <w:color w:val="auto"/>
        </w:rPr>
        <w:t>. Any Person serving as Administrative Agent hereunder shall have the same rights and powers in its capacity as a Lender as any other Lender and may exercise the same as though it were not the Administrative Agent, and the term “Lender” or “Lenders” shall, unless otherwise expressly indicated, unless the context otherwise requires or unless such Person is in fact not a Lender, include each Person serving as Administrative Agent hereunder in its individual capacity. Such Person and its Affiliates may accept deposits from, lend money to, act as the financial advisor or in any other advisory capacity for and generally engage in any kind of business with any Loan Party or any subsidiary of any Loan Party or other Affiliate thereof as if it were not the Administrative Agent hereunder. The Lenders acknowledge that, pursuant to such activities, the Administrative Agent or its Affiliates may receive information regarding any Loan Party or any of its Affiliates (including information that may be subject to confidentiality obligations in favor of such Loan Party or such Affiliate) and acknowledge that the Administrative Agent shall not be under any obligation to provide such information to them.</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The Administrative Agent shall not have any duties or obligations except those expressly set forth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 Documents. Without limiting the generality of the foregoing:</w:t>
      </w:r>
    </w:p>
    <w:p>
      <w:pPr>
        <w:spacing w:after="0" w:line="103" w:lineRule="exact"/>
        <w:rPr>
          <w:sz w:val="20"/>
          <w:szCs w:val="20"/>
          <w:color w:val="auto"/>
        </w:rPr>
      </w:pPr>
    </w:p>
    <w:p>
      <w:pPr>
        <w:ind w:right="220" w:firstLine="436"/>
        <w:spacing w:after="0" w:line="257" w:lineRule="auto"/>
        <w:tabs>
          <w:tab w:leader="none" w:pos="68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Administrative Agent shall not be subject to any fiduciary or other implied duties, regardless of whether a Default or Event of Default exists, and the use of the term “agent” herein and in the other Loan Documents with reference to the Administrative Agent is not intended to connote any fiduciary or other implied (or express) obligations arising under agency doctrine of any applicable Requirements of Law; it being understood that such term is used merely as a matter of market custom, and is intended to create or reflect only an administrative relationship between independent contracting parties;</w:t>
      </w:r>
    </w:p>
    <w:p>
      <w:pPr>
        <w:spacing w:after="0" w:line="79" w:lineRule="exact"/>
        <w:rPr>
          <w:rFonts w:ascii="Arial" w:cs="Arial" w:eastAsia="Arial" w:hAnsi="Arial"/>
          <w:sz w:val="18"/>
          <w:szCs w:val="18"/>
          <w:color w:val="auto"/>
        </w:rPr>
      </w:pPr>
    </w:p>
    <w:p>
      <w:pPr>
        <w:ind w:right="260" w:firstLine="436"/>
        <w:spacing w:after="0" w:line="255" w:lineRule="auto"/>
        <w:tabs>
          <w:tab w:leader="none" w:pos="69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 have any duty to take any discretionary action or exercise any discretionary power, except discretionary rights and powers that are expressly contemplated by the Loan Documents and which the Administrative Agent is required to exercise in writing as directed by the Required Lenders or Required Revolving Lenders (or such other number or percentage of the Lenders as shall be necessary under the relevant circumstances as provided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Administrative Agent shall not be required to take any such action that, in its opinion or the opinion of its counsel, may expose the Administrative Agent to liability or that is contrary to any Loan Document or applicable Requirements of Law;</w:t>
      </w:r>
    </w:p>
    <w:p>
      <w:pPr>
        <w:spacing w:after="0" w:line="84" w:lineRule="exact"/>
        <w:rPr>
          <w:rFonts w:ascii="Arial" w:cs="Arial" w:eastAsia="Arial" w:hAnsi="Arial"/>
          <w:sz w:val="18"/>
          <w:szCs w:val="18"/>
          <w:color w:val="auto"/>
        </w:rPr>
      </w:pPr>
    </w:p>
    <w:p>
      <w:pPr>
        <w:ind w:right="140" w:firstLine="436"/>
        <w:spacing w:after="0" w:line="257" w:lineRule="auto"/>
        <w:tabs>
          <w:tab w:leader="none" w:pos="68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except as expressly set forth in the Loan Documents, the Administrative Agent shall not have any duty or responsibility to disclose, and shall not be liable for the failure to disclose to any Lender or Issuing Bank, any credit or other information concerning the business, prospects, operations, property, financial and other condition or creditworthiness of any of the Loan Parties or any of their Affiliates or relating to Holdings, the Borrower or any of its Restricted Subsidiaries that is communicated to or obtained by or in the possession of any Person serving as Administrative Agent, an Arranger or any of their respective Affiliates and Related Parties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980"/>
          </w:cols>
          <w:pgMar w:left="440" w:top="266" w:right="479" w:bottom="1440" w:gutter="0" w:footer="0" w:header="0"/>
        </w:sectPr>
      </w:pPr>
    </w:p>
    <w:bookmarkStart w:id="168" w:name="page169"/>
    <w:bookmarkEnd w:id="168"/>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any capacity, except for notices, reports and other documents expressly required to be furnished to the Lenders by the Administrative Agent herein; it being understood that the Administrative Agent shall not be liable to the Lenders or any other Secured Party for any action taken or not taken by it with the consent or at the request of the Required Lenders or Required Revolving Lenders (or such other number or percentage of the Lenders as is necessary, or as the Administrative Agent believes in good faith shall be necessary, under the relevant circumstances as provided in </w:t>
      </w:r>
      <w:r>
        <w:rPr>
          <w:rFonts w:ascii="Arial" w:cs="Arial" w:eastAsia="Arial" w:hAnsi="Arial"/>
          <w:sz w:val="18"/>
          <w:szCs w:val="18"/>
          <w:u w:val="single" w:color="auto"/>
          <w:color w:val="auto"/>
        </w:rPr>
        <w:t>Section 9.02</w:t>
      </w:r>
      <w:r>
        <w:rPr>
          <w:rFonts w:ascii="Arial" w:cs="Arial" w:eastAsia="Arial" w:hAnsi="Arial"/>
          <w:sz w:val="18"/>
          <w:szCs w:val="18"/>
          <w:color w:val="auto"/>
        </w:rPr>
        <w:t>) or in the absence of its own gross negligence or willful misconduct, as determined by the final judgment of a court of competent jurisdiction, in connection with its duties expressly set forth herein; and</w:t>
      </w:r>
    </w:p>
    <w:p>
      <w:pPr>
        <w:spacing w:after="0" w:line="84" w:lineRule="exact"/>
        <w:rPr>
          <w:sz w:val="20"/>
          <w:szCs w:val="20"/>
          <w:color w:val="auto"/>
        </w:rPr>
      </w:pPr>
    </w:p>
    <w:p>
      <w:pPr>
        <w:ind w:left="4" w:right="20" w:firstLine="436"/>
        <w:spacing w:after="0" w:line="269" w:lineRule="auto"/>
        <w:tabs>
          <w:tab w:leader="none" w:pos="699"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the Administrative Agent shall not be deemed to have knowledge of any Default or Event of Default unless and until written notice thereof is given to the Administrative Agent by the Borrower or any Lender and such written notice is clearly identified as a “notice of default”,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covenant, agreement or other term or condition set forth in any Loan Document or the occurrence of any Default or Event of Default, (iv) the validity, enforceability, effectiveness or genuineness of any Loan Document or any other agreement, instrument or document, (v) the creation, perfection or priority of any Lien on the Collateral or the existence, value or sufficiency of the Collateral or to assure that the Liens granted to the Administrative Agent pursuant to any Loan Document have been or will continue to be properly or sufficiently or lawfully created, perfected or enforced or are entitled to any particular priority, (vi) the satisfaction of any condition set forth in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or elsewhere in any Loan Document, other than to confirm receipt of items expressly required to be delivered to the Administrative Agent or (vii) any property, book or record of any Loan Party or any Affiliate thereof.</w:t>
      </w:r>
    </w:p>
    <w:p>
      <w:pPr>
        <w:spacing w:after="0" w:line="18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Exclusive Right to Enforce Rights and Remedies</w:t>
      </w:r>
      <w:r>
        <w:rPr>
          <w:rFonts w:ascii="Arial" w:cs="Arial" w:eastAsia="Arial" w:hAnsi="Arial"/>
          <w:sz w:val="16"/>
          <w:szCs w:val="16"/>
          <w:color w:val="auto"/>
        </w:rPr>
        <w:t>. Notwithstanding anything to the contrary contained herein or in any of the other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Loan Documents, the Borrower, the Administrative Agent and each Secured Party agree that:</w:t>
      </w:r>
    </w:p>
    <w:p>
      <w:pPr>
        <w:spacing w:after="0" w:line="103" w:lineRule="exact"/>
        <w:rPr>
          <w:sz w:val="20"/>
          <w:szCs w:val="20"/>
          <w:color w:val="auto"/>
        </w:rPr>
      </w:pPr>
    </w:p>
    <w:p>
      <w:pPr>
        <w:ind w:left="4" w:right="40" w:firstLine="436"/>
        <w:spacing w:after="0" w:line="283" w:lineRule="auto"/>
        <w:tabs>
          <w:tab w:leader="none" w:pos="689" w:val="left"/>
        </w:tabs>
        <w:numPr>
          <w:ilvl w:val="1"/>
          <w:numId w:val="265"/>
        </w:numPr>
        <w:rPr>
          <w:rFonts w:ascii="Arial" w:cs="Arial" w:eastAsia="Arial" w:hAnsi="Arial"/>
          <w:sz w:val="16"/>
          <w:szCs w:val="16"/>
          <w:color w:val="auto"/>
        </w:rPr>
      </w:pPr>
      <w:r>
        <w:rPr>
          <w:rFonts w:ascii="Arial" w:cs="Arial" w:eastAsia="Arial" w:hAnsi="Arial"/>
          <w:sz w:val="16"/>
          <w:szCs w:val="16"/>
          <w:color w:val="auto"/>
        </w:rPr>
        <w:t>(i) no Secured Party shall have any right individually to realize upon any of the Collateral or to enforce the provisions of any Loan Document, including this Agreement, the Security Agreement and/or the Loan Guaranty; it being understood that any right to enforce any such provision (including to realize upon the Collateral or enforce any Loan Guaranty) against any Loan Party pursuant hereto or pursuant to any other Loan Document may be exercised solely by the Administrative Agent on behalf of the Secured Parties in accordance with the terms hereof or thereof, (ii) each Lender, each Issuing Bank, the Swingline Lender and/or each counterparty to a Hedge Agreement and/or any agreement governing any Banking Services Obligation that is a Secured Party, in each case in their respective capacities as such, waives its right to commence any action, suit or litigation against any Loan Party in connection with the Loan Documents without the consent of the Required Lenders and (iii) in the event of a foreclosure by the Administrative Agent on any of the Collateral pursuant to a public or private sale or in the event of any other Disposition (including pursuant to Section 363 of the Bankruptcy Code), (A) the Administrative Agent, as agent for and representative of the Secured Parties, shall be entitled, for the purpose of bidding and making settlement or payment of the purchase price for all or any portion of the Collateral sold at any such sale, to use and apply all or any portion of the Obligations as a credit on account of the purchase price for any Collateral payable by the Administrative Agent at such sale or other Disposition and</w:t>
      </w:r>
    </w:p>
    <w:p>
      <w:pPr>
        <w:spacing w:after="0" w:line="3" w:lineRule="exact"/>
        <w:rPr>
          <w:rFonts w:ascii="Arial" w:cs="Arial" w:eastAsia="Arial" w:hAnsi="Arial"/>
          <w:sz w:val="16"/>
          <w:szCs w:val="16"/>
          <w:color w:val="auto"/>
        </w:rPr>
      </w:pPr>
    </w:p>
    <w:p>
      <w:pPr>
        <w:ind w:left="284" w:hanging="284"/>
        <w:spacing w:after="0"/>
        <w:tabs>
          <w:tab w:leader="none" w:pos="284"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Administrative Agent or any Lender may be the purchaser or licensor of all or any portion of such Collateral at any such Disposition;</w:t>
      </w:r>
    </w:p>
    <w:p>
      <w:pPr>
        <w:spacing w:after="0" w:line="114" w:lineRule="exact"/>
        <w:rPr>
          <w:rFonts w:ascii="Arial" w:cs="Arial" w:eastAsia="Arial" w:hAnsi="Arial"/>
          <w:sz w:val="17"/>
          <w:szCs w:val="17"/>
          <w:color w:val="auto"/>
        </w:rPr>
      </w:pPr>
    </w:p>
    <w:p>
      <w:pPr>
        <w:ind w:left="4" w:right="600" w:firstLine="436"/>
        <w:spacing w:after="0" w:line="308" w:lineRule="auto"/>
        <w:tabs>
          <w:tab w:leader="none" w:pos="699" w:val="left"/>
        </w:tabs>
        <w:numPr>
          <w:ilvl w:val="1"/>
          <w:numId w:val="266"/>
        </w:numPr>
        <w:rPr>
          <w:rFonts w:ascii="Arial" w:cs="Arial" w:eastAsia="Arial" w:hAnsi="Arial"/>
          <w:sz w:val="17"/>
          <w:szCs w:val="17"/>
          <w:color w:val="auto"/>
        </w:rPr>
      </w:pPr>
      <w:r>
        <w:rPr>
          <w:rFonts w:ascii="Arial" w:cs="Arial" w:eastAsia="Arial" w:hAnsi="Arial"/>
          <w:sz w:val="17"/>
          <w:szCs w:val="17"/>
          <w:color w:val="auto"/>
        </w:rPr>
        <w:t>no holder of any Secured Hedging Obligation or Banking Services Obligation in its respective capacity as such shall have any rights in connection with the management or release of any Collateral or of the obligations of any Loan Party under this Agreement; and</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04"/>
          </w:cols>
          <w:pgMar w:left="436" w:top="274" w:right="459" w:bottom="1440" w:gutter="0" w:footer="0" w:header="0"/>
        </w:sectPr>
      </w:pPr>
    </w:p>
    <w:bookmarkStart w:id="169" w:name="page170"/>
    <w:bookmarkEnd w:id="169"/>
    <w:p>
      <w:pPr>
        <w:ind w:right="380" w:firstLine="436"/>
        <w:spacing w:after="0" w:line="277" w:lineRule="auto"/>
        <w:tabs>
          <w:tab w:leader="none" w:pos="685" w:val="left"/>
        </w:tabs>
        <w:numPr>
          <w:ilvl w:val="0"/>
          <w:numId w:val="2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Secured Party agrees that the Administrative Agent may in its sole discretion, but is under no obligation to credit bid any part of the Secured Obligations or to purchase or retain or acquire any portion of the Collateral.</w:t>
      </w:r>
    </w:p>
    <w:p>
      <w:pPr>
        <w:spacing w:after="0" w:line="170"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Reliance by Administrative Agent</w:t>
      </w:r>
      <w:r>
        <w:rPr>
          <w:rFonts w:ascii="Arial" w:cs="Arial" w:eastAsia="Arial" w:hAnsi="Arial"/>
          <w:sz w:val="16"/>
          <w:szCs w:val="16"/>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that it believes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applicable Issuing Bank, the Administrative Agent may presume that such condition is satisfactory to such Lender unless the Administrative Agent has received notice to the contrary from such Lender or Issuing Bank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68"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The Administrative Agent may perform any and all of its duties and exercise its rights and powers by or through any one or more sub-agents appointed by it, or any of its Affiliates (in each case, other than any Disqualified Institution). The Administrative Agent and any such sub-agent or Affiliate may perform any and all of their respective duties and exercise their respective rights and powers through their respective Related Parties. The exculpatory provisions of this Article shall apply to any such sub-agent, Affiliate and to the Related Parties of the Administrative Agent and any such sub-agent or Affiliate and shall apply to their respective activities in connection with the syndication of the credit facilities provided for herein as well as activities as the Administrative Agent.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3" w:lineRule="auto"/>
        <w:tabs>
          <w:tab w:leader="none" w:pos="685"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The Administrative Agent may resign at any time by giving 30 days’ prior written notice to the Lenders, the Issuing Banks and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successor agent is appointed in accordance with the terms set forth below within such 30-day period, the Administrative Agent’s resignation shall not be effective until the earlier to occur of (i) the date of the appointment of the successor agent (and acceptance thereof by such successor Administrative Agent) or (ii) the date that is specified in such notice (which shall be no earlier than 30 days after the date thereof) (or such later date as the resigning Administrative Agent may agree). The retiring Agent shall be automatically and unconditionally discharged from its duties and obligations hereunder and under the other Loan Documents (other than any duty or obligation under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in its capacity as Issuing Bank and Swingline Lender. If the Administrative Agent is a Defaulting Lender or an Affiliate of a Defaulting Lender, either the Required Lenders or the Borrower may, upon ten days’ notice, remove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successor agent is appointed in accordance with the terms set forth below within such 30-day period, the Administrative Agent’s removal shall, at the option of the Borrower, not be effective until the earlier to occur of (A) the date of the appointment of the successor agent or (B) the last day of such 30-day period (or such later date as the Borrower may agree). Upon receipt of any such notice of resignation or delivery of any such notice of removal, the Required Lenders shall have the right, with the consent of the Borrower (not to be unreasonably withheld or delayed), to appoint a successor Administrative Agent which shall be a commercial bank, trust company or other Person acceptable to the Borrower, in each case, with offices in the US having combined capital and surplus in excess of $1,000,000,000;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during the existence of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with respect to the Borrower, </w:t>
      </w:r>
      <w:r>
        <w:rPr>
          <w:rFonts w:ascii="Arial" w:cs="Arial" w:eastAsia="Arial" w:hAnsi="Arial"/>
          <w:sz w:val="16"/>
          <w:szCs w:val="16"/>
          <w:u w:val="single" w:color="auto"/>
          <w:color w:val="auto"/>
        </w:rPr>
        <w:t>Sections 7.01(f)</w:t>
      </w:r>
      <w:r>
        <w:rPr>
          <w:rFonts w:ascii="Arial" w:cs="Arial" w:eastAsia="Arial" w:hAnsi="Arial"/>
          <w:sz w:val="16"/>
          <w:szCs w:val="16"/>
          <w:color w:val="auto"/>
        </w:rPr>
        <w:t xml:space="preserve"> or</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(g)</w:t>
      </w:r>
      <w:r>
        <w:rPr>
          <w:rFonts w:ascii="Arial" w:cs="Arial" w:eastAsia="Arial" w:hAnsi="Arial"/>
          <w:sz w:val="18"/>
          <w:szCs w:val="18"/>
          <w:color w:val="auto"/>
        </w:rPr>
        <w:t>, no consent of the Borrower shall be required.</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0920"/>
          </w:cols>
          <w:pgMar w:left="440" w:top="274" w:right="539" w:bottom="1440" w:gutter="0" w:footer="0" w:header="0"/>
        </w:sectPr>
      </w:pPr>
    </w:p>
    <w:bookmarkStart w:id="170" w:name="page171"/>
    <w:bookmarkEnd w:id="170"/>
    <w:p>
      <w:pPr>
        <w:ind w:firstLine="436"/>
        <w:spacing w:after="0" w:line="285" w:lineRule="auto"/>
        <w:tabs>
          <w:tab w:leader="none" w:pos="695" w:val="left"/>
        </w:tabs>
        <w:numPr>
          <w:ilvl w:val="0"/>
          <w:numId w:val="2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no successor has been appointed as provided above and accepted such appointment within 30 days after the resigning Administrative Agent gives notice of its resignation or the Administrative Agent receives notice of removal (or such later date as the resigning Administrative Agent may agree), then (i) in the case of a resignation, the resigning Administrative Agent may (but shall not be obligated to), on behalf of the Lenders and the Issuing Banks, appoint a successor Administrative Agent meeting the qualifications set forth above (including, for the avoidance of doubt, the consent of the Borrower) or (ii) in the case of a removal, the Borrower may, after consulting with the Required Lenders, appoint a successor Administrative Agent meeting the 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a resignation, if the Administrative Agent notifies the Borrower, the Lenders and the Issuing Banks that no qualifying Person has accepted such appointment or (B) in the case of a removal, the Borrower notifies the Required Lenders that no qualifying Person has accepted such appointment, then, in each case, such resignation or removal shall nonetheless become effective in accordance with the provisos to the first two sentences in </w:t>
      </w:r>
      <w:r>
        <w:rPr>
          <w:rFonts w:ascii="Arial" w:cs="Arial" w:eastAsia="Arial" w:hAnsi="Arial"/>
          <w:sz w:val="16"/>
          <w:szCs w:val="16"/>
          <w:u w:val="single" w:color="auto"/>
          <w:color w:val="auto"/>
        </w:rPr>
        <w:t>Section 8.07(a)</w:t>
      </w:r>
      <w:r>
        <w:rPr>
          <w:rFonts w:ascii="Arial" w:cs="Arial" w:eastAsia="Arial" w:hAnsi="Arial"/>
          <w:sz w:val="16"/>
          <w:szCs w:val="16"/>
          <w:color w:val="auto"/>
        </w:rPr>
        <w:t xml:space="preserve">, as applicable (unless the resigning Administrative Agent has agreed in its sole discretion to extend the effectiveness of its resignation) and (1) the resigning or removed Administrative Agent shall be discharged from its duties and obligations hereunder and under the other Loan Documents (except that in the case of any collateral security held by the Administrative Agent in its capacity as collateral agent for the Secured Parties for purposes of maintaining the perfection of the Lien on the Collateral securing the Secured Obligations, the resigning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required to be made by, to or through the Administrative Agent shall instead be made by or to each Lender and each Issuing Bank directly (and each Lender and each Issuing Bank will cooperate with the Borrower to enable the Borrower to take such actions), until such time as the Required Lenders or the Borrower, as applicable, appoint a successor Administrative Agent, as provided above in this </w:t>
      </w:r>
      <w:r>
        <w:rPr>
          <w:rFonts w:ascii="Arial" w:cs="Arial" w:eastAsia="Arial" w:hAnsi="Arial"/>
          <w:sz w:val="16"/>
          <w:szCs w:val="16"/>
          <w:u w:val="single" w:color="auto"/>
          <w:color w:val="auto"/>
        </w:rPr>
        <w:t>Article 8</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firstLine="436"/>
        <w:spacing w:after="0" w:line="257" w:lineRule="auto"/>
        <w:tabs>
          <w:tab w:leader="none" w:pos="68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Upon the acceptance of its appointment as Administrative Agent hereunder as a successor Administrative Agent, the successor Administrative Agent shall succeed to and become vested with all the rights, powers, privileges and duties of the resigning or removed Administrative Agent (other than any rights to indemnity payments owed to the resigning Administrative Agent), and the resigning or removed Administrative Agent shall be discharged from its duties and obligations hereunder (if not already discharged therefrom as expressly provided above in this </w:t>
      </w:r>
      <w:r>
        <w:rPr>
          <w:rFonts w:ascii="Arial" w:cs="Arial" w:eastAsia="Arial" w:hAnsi="Arial"/>
          <w:sz w:val="18"/>
          <w:szCs w:val="18"/>
          <w:u w:val="single" w:color="auto"/>
          <w:color w:val="auto"/>
        </w:rPr>
        <w:t>Section 8.07</w:t>
      </w:r>
      <w:r>
        <w:rPr>
          <w:rFonts w:ascii="Arial" w:cs="Arial" w:eastAsia="Arial" w:hAnsi="Arial"/>
          <w:sz w:val="18"/>
          <w:szCs w:val="18"/>
          <w:color w:val="auto"/>
        </w:rPr>
        <w:t xml:space="preserve">) (other than its obligations under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hereof).</w:t>
      </w:r>
    </w:p>
    <w:p>
      <w:pPr>
        <w:spacing w:after="0" w:line="79" w:lineRule="exact"/>
        <w:rPr>
          <w:rFonts w:ascii="Arial" w:cs="Arial" w:eastAsia="Arial" w:hAnsi="Arial"/>
          <w:sz w:val="18"/>
          <w:szCs w:val="18"/>
          <w:color w:val="auto"/>
        </w:rPr>
      </w:pPr>
    </w:p>
    <w:p>
      <w:pPr>
        <w:ind w:right="440" w:firstLine="436"/>
        <w:spacing w:after="0" w:line="277" w:lineRule="auto"/>
        <w:tabs>
          <w:tab w:leader="none" w:pos="69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fees payable by the Borrower to any successor Administrative Agent shall not be greater than those payable to its predecessor unless otherwise expressly agreed in writing between the Borrower and such successor Administrative Agent.</w:t>
      </w:r>
    </w:p>
    <w:p>
      <w:pPr>
        <w:spacing w:after="0" w:line="62" w:lineRule="exact"/>
        <w:rPr>
          <w:rFonts w:ascii="Arial" w:cs="Arial" w:eastAsia="Arial" w:hAnsi="Arial"/>
          <w:sz w:val="18"/>
          <w:szCs w:val="18"/>
          <w:color w:val="auto"/>
        </w:rPr>
      </w:pPr>
    </w:p>
    <w:p>
      <w:pPr>
        <w:ind w:firstLine="436"/>
        <w:spacing w:after="0" w:line="273" w:lineRule="auto"/>
        <w:tabs>
          <w:tab w:leader="none" w:pos="685" w:val="left"/>
        </w:tabs>
        <w:numPr>
          <w:ilvl w:val="0"/>
          <w:numId w:val="269"/>
        </w:numPr>
        <w:rPr>
          <w:rFonts w:ascii="Arial" w:cs="Arial" w:eastAsia="Arial" w:hAnsi="Arial"/>
          <w:sz w:val="17"/>
          <w:szCs w:val="17"/>
          <w:color w:val="auto"/>
        </w:rPr>
      </w:pPr>
      <w:r>
        <w:rPr>
          <w:rFonts w:ascii="Arial" w:cs="Arial" w:eastAsia="Arial" w:hAnsi="Arial"/>
          <w:sz w:val="17"/>
          <w:szCs w:val="17"/>
          <w:color w:val="auto"/>
        </w:rPr>
        <w:t xml:space="preserve">After the Administrative Agent’s resignation or removal hereunder, the provisions of this Article and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shall continue in effect for the benefit of such resigning or removed Administrative Agent, its sub-agents and their respective Related Parties in respect of any action taken or omitted to be taken by any of them (i) while the relevant Person was acting as Administrative Agent (including for this purpose holding any collateral security following the resignation or removal of the Administrative Agent) and (ii) after such resignation or removal, solely to the extent that such outgoing Administrative Agent (x) continues to act as collateral agent or otherwise holds any collateral security on behalf of the Lenders or (y) takes any actions in connection with transferring the agency to any successor Administrative Agent.</w:t>
      </w:r>
    </w:p>
    <w:p>
      <w:pPr>
        <w:spacing w:after="0" w:line="69" w:lineRule="exact"/>
        <w:rPr>
          <w:rFonts w:ascii="Arial" w:cs="Arial" w:eastAsia="Arial" w:hAnsi="Arial"/>
          <w:sz w:val="17"/>
          <w:szCs w:val="17"/>
          <w:color w:val="auto"/>
        </w:rPr>
      </w:pPr>
    </w:p>
    <w:p>
      <w:pPr>
        <w:ind w:right="600" w:firstLine="436"/>
        <w:spacing w:after="0" w:line="277" w:lineRule="auto"/>
        <w:tabs>
          <w:tab w:leader="none" w:pos="66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Notwithstanding anything to the contrary herein, no Disqualified Institution (nor any Affiliate thereof) may be appointed as a successor Administrative Agent.</w:t>
      </w:r>
    </w:p>
    <w:p>
      <w:pPr>
        <w:spacing w:after="0" w:line="170"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Non-Reliance on Administrative Agent, the Arrangers or the Other Lenders</w:t>
      </w:r>
      <w:r>
        <w:rPr>
          <w:rFonts w:ascii="Arial" w:cs="Arial" w:eastAsia="Arial" w:hAnsi="Arial"/>
          <w:sz w:val="16"/>
          <w:szCs w:val="16"/>
          <w:color w:val="auto"/>
        </w:rPr>
        <w:t>. Each of each Lender and each Issuing Bank represents and warrants and acknowledges that it has, independently and without reliance upon the Administrative Agent, the Arrangers or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extend credit to the Borrower hereunder. Each of each Lender and each Issuing Bank expressly acknowledges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00"/>
          </w:cols>
          <w:pgMar w:left="440" w:top="274" w:right="459" w:bottom="1440" w:gutter="0" w:footer="0" w:header="0"/>
        </w:sectPr>
      </w:pPr>
    </w:p>
    <w:bookmarkStart w:id="171" w:name="page172"/>
    <w:bookmarkEnd w:id="171"/>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none of the Administrative Agent nor the Arrangers has made any representation or warranty to it, and that no act by the Administrative Agent or the Arrangers hereafter taken, including any consent to, and acceptance of any assignment or review of the affairs of any Loan Party of any Affiliate thereof, shall be deemed to constitute any representation or warranty by the Administrative Agent or any Arranger to any Lender or each Issuing Bank as to any matter, including whether the Administrative Agent or the Arrangers have disclosed material information in their (or their Related Parties’) possession Each of each Lender and each Issuing Bank also acknowledges that it will, independently and without reliance upon the Administrative Agent, the Arrangers or any other Lender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related agreement or any document furnished hereunder or thereunder. Except for notices, reports and other documents expressly required to be furnished to the Lenders and the Issuing Banks by the Administrative Agent herein, the Administrative Agent shall not have any duty or responsibility to provide any Lender or any Issuing Bank with any credit or other information concerning the business, prospects, operations, property, financial and other condition or creditworthiness of any of the Loan Parties or any of their respective Affiliates which may come into the possession of the Administrative Agent or any of its Related Parties.</w:t>
      </w:r>
    </w:p>
    <w:p>
      <w:pPr>
        <w:spacing w:after="0" w:line="17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Each Lender and each Issuing Bank represents and warrants that (i) the Loan Documents set forth the terms of a commercial lending facility and</w:t>
      </w:r>
    </w:p>
    <w:p>
      <w:pPr>
        <w:spacing w:after="0" w:line="46" w:lineRule="exact"/>
        <w:rPr>
          <w:sz w:val="20"/>
          <w:szCs w:val="20"/>
          <w:color w:val="auto"/>
        </w:rPr>
      </w:pPr>
    </w:p>
    <w:p>
      <w:pPr>
        <w:ind w:left="4" w:hanging="4"/>
        <w:spacing w:after="0" w:line="269" w:lineRule="auto"/>
        <w:tabs>
          <w:tab w:leader="none" w:pos="269" w:val="left"/>
        </w:tabs>
        <w:numPr>
          <w:ilvl w:val="0"/>
          <w:numId w:val="270"/>
        </w:numPr>
        <w:rPr>
          <w:rFonts w:ascii="Arial" w:cs="Arial" w:eastAsia="Arial" w:hAnsi="Arial"/>
          <w:sz w:val="17"/>
          <w:szCs w:val="17"/>
          <w:color w:val="auto"/>
        </w:rPr>
      </w:pPr>
      <w:r>
        <w:rPr>
          <w:rFonts w:ascii="Arial" w:cs="Arial" w:eastAsia="Arial" w:hAnsi="Arial"/>
          <w:sz w:val="17"/>
          <w:szCs w:val="17"/>
          <w:color w:val="auto"/>
        </w:rPr>
        <w:t>it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0" w:lineRule="exact"/>
        <w:rPr>
          <w:sz w:val="20"/>
          <w:szCs w:val="20"/>
          <w:color w:val="auto"/>
        </w:rPr>
      </w:pPr>
    </w:p>
    <w:p>
      <w:pPr>
        <w:ind w:left="4" w:right="220" w:firstLine="440"/>
        <w:spacing w:after="0" w:line="308" w:lineRule="auto"/>
        <w:rPr>
          <w:sz w:val="20"/>
          <w:szCs w:val="20"/>
          <w:color w:val="auto"/>
        </w:rPr>
      </w:pPr>
      <w:r>
        <w:rPr>
          <w:rFonts w:ascii="Arial" w:cs="Arial" w:eastAsia="Arial" w:hAnsi="Arial"/>
          <w:sz w:val="17"/>
          <w:szCs w:val="17"/>
          <w:color w:val="auto"/>
        </w:rPr>
        <w:t>Notwithstanding anything to the contrary herein, the Arrangers shall not have any right, power, obligation, liability, responsibility or duty under this Agreement, except in their respective capacities as the Administrative Agent, an Issuing Bank or a Lender hereunder, as applicable.</w:t>
      </w:r>
    </w:p>
    <w:p>
      <w:pPr>
        <w:spacing w:after="0" w:line="146"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Collateral and Guaranty Matters</w:t>
      </w:r>
      <w:r>
        <w:rPr>
          <w:rFonts w:ascii="Arial" w:cs="Arial" w:eastAsia="Arial" w:hAnsi="Arial"/>
          <w:sz w:val="18"/>
          <w:szCs w:val="18"/>
          <w:color w:val="auto"/>
        </w:rPr>
        <w:t>. Each Lender and each other Secured Party irrevocably authorizes and instructs the Administrative Agent to, and the Administrative Agent shall:</w:t>
      </w:r>
    </w:p>
    <w:p>
      <w:pPr>
        <w:spacing w:after="0" w:line="62" w:lineRule="exact"/>
        <w:rPr>
          <w:sz w:val="20"/>
          <w:szCs w:val="20"/>
          <w:color w:val="auto"/>
        </w:rPr>
      </w:pPr>
    </w:p>
    <w:p>
      <w:pPr>
        <w:ind w:left="684" w:hanging="244"/>
        <w:spacing w:after="0"/>
        <w:tabs>
          <w:tab w:leader="none" w:pos="684" w:val="left"/>
        </w:tabs>
        <w:numPr>
          <w:ilvl w:val="1"/>
          <w:numId w:val="271"/>
        </w:numPr>
        <w:rPr>
          <w:rFonts w:ascii="Arial" w:cs="Arial" w:eastAsia="Arial" w:hAnsi="Arial"/>
          <w:sz w:val="17"/>
          <w:szCs w:val="17"/>
          <w:color w:val="auto"/>
        </w:rPr>
      </w:pPr>
      <w:r>
        <w:rPr>
          <w:rFonts w:ascii="Arial" w:cs="Arial" w:eastAsia="Arial" w:hAnsi="Arial"/>
          <w:sz w:val="17"/>
          <w:szCs w:val="17"/>
          <w:color w:val="auto"/>
        </w:rPr>
        <w:t>release (or evidence the release of) any Lien on any property granted to or held by the Administrative Agent under any Loan Document</w:t>
      </w:r>
    </w:p>
    <w:p>
      <w:pPr>
        <w:spacing w:after="0" w:line="34" w:lineRule="exact"/>
        <w:rPr>
          <w:rFonts w:ascii="Arial" w:cs="Arial" w:eastAsia="Arial" w:hAnsi="Arial"/>
          <w:sz w:val="17"/>
          <w:szCs w:val="17"/>
          <w:color w:val="auto"/>
        </w:rPr>
      </w:pPr>
    </w:p>
    <w:p>
      <w:pPr>
        <w:ind w:left="4" w:right="40" w:hanging="4"/>
        <w:spacing w:after="0" w:line="252" w:lineRule="auto"/>
        <w:tabs>
          <w:tab w:leader="none" w:pos="21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upon the occurrence of the Termination Date, (ii) that is sold or otherwise Disposed of (or to be sold or otherwise Disposed of) as part of or in connection with any Disposition permitted under (or not restricted by) the Loan Documents (subject to the last paragraph of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(iii) that does not constitute (or ceases to constitute) Collateral (and/or otherwise becomes an Excluded Asset), (iv) if the property subject to such Lien is owned by a Subsidiary Guarantor, upon the release of such Subsidiary Guarantor from its Loan Guaranty otherwise in accordance with the Loan Documents, (v) as required under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below, (vi) pursuant to the provisions of any applicable Loan Document or (vii) if approved, authorized or ratified in writing by the Required Lenders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4" w:right="140" w:firstLine="436"/>
        <w:spacing w:after="0" w:line="255" w:lineRule="auto"/>
        <w:tabs>
          <w:tab w:leader="none" w:pos="699" w:val="left"/>
        </w:tabs>
        <w:numPr>
          <w:ilvl w:val="1"/>
          <w:numId w:val="27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release (or evidence the release of) any Subsidiary Guarantor from its obligations under the Loan Guaranty (i) if such Person ceases to be a Restricted Subsidiary (or is or becomes an Excluded Subsidiary as a result of a single transaction or series of related transactions not prohibited hereunder), (ii) on the Termination Date and/or (iii) in the case of any Discretionary Guarantor, at the election of the Borrower, upon notice from the Borrower to the Administrative Agent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Subsidiary Guarantor ceases to constitute a Wholly-Owned Subsidiary, such Subsidiary Guarantor shall not be released from its Loan Guaranty unless (A) such Subsidiary Guarantor is no longer a direct or indirect subsidiary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04"/>
          </w:cols>
          <w:pgMar w:left="436" w:top="274" w:right="459" w:bottom="1440" w:gutter="0" w:footer="0" w:header="0"/>
        </w:sectPr>
      </w:pPr>
    </w:p>
    <w:bookmarkStart w:id="172" w:name="page173"/>
    <w:bookmarkEnd w:id="172"/>
    <w:p>
      <w:pPr>
        <w:ind w:left="4" w:right="3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Borrower, (B) after giving pro forma effect to such release and the consummation of the relevant transaction, the Borrower is deemed to have made a new Investment in such Person (as if such Person was then newly acquired) and such Investment is permitted by the Loan Documents or</w:t>
      </w:r>
    </w:p>
    <w:p>
      <w:pPr>
        <w:ind w:left="4" w:right="140" w:hanging="4"/>
        <w:spacing w:after="0" w:line="253" w:lineRule="auto"/>
        <w:tabs>
          <w:tab w:leader="none" w:pos="289"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such Dispositions of Capital Stock is a good faith Disposition to a bona fide unaffiliated third party (as determined by the Borrower in good faith) for fair market value and for a bona fide business purpose (as determined by the Borrower in good faith); it being understood that this proviso shall not limit the release of any Subsidiary Guarantor that otherwise constitutes an Excluded Subsidiary for any reason other than not constituting a Wholly-Owned Subsidiary of the Borrower (this proviso, the “</w:t>
      </w:r>
      <w:r>
        <w:rPr>
          <w:rFonts w:ascii="Arial" w:cs="Arial" w:eastAsia="Arial" w:hAnsi="Arial"/>
          <w:sz w:val="18"/>
          <w:szCs w:val="18"/>
          <w:u w:val="single" w:color="auto"/>
          <w:color w:val="auto"/>
        </w:rPr>
        <w:t>Specified Guarantor Release Provision</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 w:right="100" w:firstLine="436"/>
        <w:spacing w:after="0" w:line="289" w:lineRule="auto"/>
        <w:tabs>
          <w:tab w:leader="none" w:pos="689" w:val="left"/>
        </w:tabs>
        <w:numPr>
          <w:ilvl w:val="1"/>
          <w:numId w:val="273"/>
        </w:numPr>
        <w:rPr>
          <w:rFonts w:ascii="Arial" w:cs="Arial" w:eastAsia="Arial" w:hAnsi="Arial"/>
          <w:sz w:val="16"/>
          <w:szCs w:val="16"/>
          <w:color w:val="auto"/>
        </w:rPr>
      </w:pPr>
      <w:r>
        <w:rPr>
          <w:rFonts w:ascii="Arial" w:cs="Arial" w:eastAsia="Arial" w:hAnsi="Arial"/>
          <w:sz w:val="16"/>
          <w:szCs w:val="16"/>
          <w:color w:val="auto"/>
        </w:rPr>
        <w:t xml:space="preserve">subordinate any Lien on any property granted to or held by the Administrative Agent under any Loan Document to the holder of any Lien on such property that is permitted by </w:t>
      </w:r>
      <w:r>
        <w:rPr>
          <w:rFonts w:ascii="Arial" w:cs="Arial" w:eastAsia="Arial" w:hAnsi="Arial"/>
          <w:sz w:val="16"/>
          <w:szCs w:val="16"/>
          <w:u w:val="single" w:color="auto"/>
          <w:color w:val="auto"/>
        </w:rPr>
        <w:t>Sections 6.02(d)</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6.02(e)</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6.02(g)(i)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6.02(l)</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6.02(m)</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6.02(o)</w:t>
      </w:r>
      <w:r>
        <w:rPr>
          <w:rFonts w:ascii="Arial" w:cs="Arial" w:eastAsia="Arial" w:hAnsi="Arial"/>
          <w:sz w:val="16"/>
          <w:szCs w:val="16"/>
          <w:color w:val="auto"/>
        </w:rPr>
        <w:t xml:space="preserve"> (other than any Lien on the Capital Stock of any Subsidiary Guarantor), </w:t>
      </w:r>
      <w:r>
        <w:rPr>
          <w:rFonts w:ascii="Arial" w:cs="Arial" w:eastAsia="Arial" w:hAnsi="Arial"/>
          <w:sz w:val="16"/>
          <w:szCs w:val="16"/>
          <w:u w:val="single" w:color="auto"/>
          <w:color w:val="auto"/>
        </w:rPr>
        <w:t>6.02(q)</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6.02(r)</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6.02(s)</w:t>
      </w:r>
      <w:r>
        <w:rPr>
          <w:rFonts w:ascii="Arial" w:cs="Arial" w:eastAsia="Arial" w:hAnsi="Arial"/>
          <w:sz w:val="16"/>
          <w:szCs w:val="16"/>
          <w:color w:val="auto"/>
        </w:rPr>
        <w:t xml:space="preserve"> (to the extent the relevant Lien is of the type to which the Lien of the Administrative Agent is otherwise required to be subordinated under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pursuant to any of the other exceptions to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that are expressly included in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6.02(u)</w:t>
      </w:r>
      <w:r>
        <w:rPr>
          <w:rFonts w:ascii="Arial" w:cs="Arial" w:eastAsia="Arial" w:hAnsi="Arial"/>
          <w:sz w:val="16"/>
          <w:szCs w:val="16"/>
          <w:color w:val="auto"/>
        </w:rPr>
        <w:t xml:space="preserve"> (to the extent the relevant Lien is of the type to which the Lien of the Administrative Agent is otherwise required to be subordinated under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pursuant to any of the other exceptions to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that are expressly included in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6.02(x)</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6.02(y)</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6.02(z)(i)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6.02(bb)</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6.02(cc)</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6.02(dd)</w:t>
      </w:r>
      <w:r>
        <w:rPr>
          <w:rFonts w:ascii="Arial" w:cs="Arial" w:eastAsia="Arial" w:hAnsi="Arial"/>
          <w:sz w:val="16"/>
          <w:szCs w:val="16"/>
          <w:color w:val="auto"/>
        </w:rPr>
        <w:t xml:space="preserve">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thereof, to the extent the relevant Lien covers cash collateral posted to secure the relevant obligation), </w:t>
      </w:r>
      <w:r>
        <w:rPr>
          <w:rFonts w:ascii="Arial" w:cs="Arial" w:eastAsia="Arial" w:hAnsi="Arial"/>
          <w:sz w:val="16"/>
          <w:szCs w:val="16"/>
          <w:u w:val="single" w:color="auto"/>
          <w:color w:val="auto"/>
        </w:rPr>
        <w:t>6.02(ee)</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6.02(ff)</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6.02(gg), 6.02(ii),</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6.02(mm)</w:t>
      </w:r>
      <w:r>
        <w:rPr>
          <w:rFonts w:ascii="Arial" w:cs="Arial" w:eastAsia="Arial" w:hAnsi="Arial"/>
          <w:sz w:val="16"/>
          <w:szCs w:val="16"/>
          <w:color w:val="auto"/>
        </w:rPr>
        <w:t xml:space="preserve"> (and, in each case, any Lien securing any Refinancing Indebtedness in respect of any thereof to the extent such Refinancing Indebtedness is permitted to be secured under </w:t>
      </w:r>
      <w:r>
        <w:rPr>
          <w:rFonts w:ascii="Arial" w:cs="Arial" w:eastAsia="Arial" w:hAnsi="Arial"/>
          <w:sz w:val="16"/>
          <w:szCs w:val="16"/>
          <w:u w:val="single" w:color="auto"/>
          <w:color w:val="auto"/>
        </w:rPr>
        <w:t>Section 6.02(k)</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4" w:firstLine="436"/>
        <w:spacing w:after="0" w:line="296" w:lineRule="auto"/>
        <w:tabs>
          <w:tab w:leader="none" w:pos="699" w:val="left"/>
        </w:tabs>
        <w:numPr>
          <w:ilvl w:val="1"/>
          <w:numId w:val="273"/>
        </w:numPr>
        <w:rPr>
          <w:rFonts w:ascii="Arial" w:cs="Arial" w:eastAsia="Arial" w:hAnsi="Arial"/>
          <w:sz w:val="16"/>
          <w:szCs w:val="16"/>
          <w:color w:val="auto"/>
        </w:rPr>
      </w:pPr>
      <w:r>
        <w:rPr>
          <w:rFonts w:ascii="Arial" w:cs="Arial" w:eastAsia="Arial" w:hAnsi="Arial"/>
          <w:sz w:val="16"/>
          <w:szCs w:val="16"/>
          <w:color w:val="auto"/>
        </w:rPr>
        <w:t>enter into subordination, intercreditor, collateral trust and/or similar agreements (including any Intercreditor Agreement and/or any amendment to any Intercreditor Agreement) with respect to any Indebtedness that is (i) required or permitted to be subordinated hereunder and/or (ii) secured by Liens, and with respect to which Indebtedness, this Agreement contemplates an intercreditor, subordination, collateral trust or similar agreement, with each of the Lenders and the other Secured Parties irrevocably agreeing to the treatment of the Lien on the Collateral securing the Secured Obligations as set forth in any such agreement and that it will be bound by and will take no action contrary to the provisions of any such agreement; and</w:t>
      </w:r>
    </w:p>
    <w:p>
      <w:pPr>
        <w:spacing w:after="0" w:line="53" w:lineRule="exact"/>
        <w:rPr>
          <w:rFonts w:ascii="Arial" w:cs="Arial" w:eastAsia="Arial" w:hAnsi="Arial"/>
          <w:sz w:val="16"/>
          <w:szCs w:val="16"/>
          <w:color w:val="auto"/>
        </w:rPr>
      </w:pPr>
    </w:p>
    <w:p>
      <w:pPr>
        <w:ind w:left="4" w:right="20" w:firstLine="436"/>
        <w:spacing w:after="0" w:line="263" w:lineRule="auto"/>
        <w:tabs>
          <w:tab w:leader="none" w:pos="689" w:val="left"/>
        </w:tabs>
        <w:numPr>
          <w:ilvl w:val="1"/>
          <w:numId w:val="273"/>
        </w:numPr>
        <w:rPr>
          <w:rFonts w:ascii="Arial" w:cs="Arial" w:eastAsia="Arial" w:hAnsi="Arial"/>
          <w:sz w:val="18"/>
          <w:szCs w:val="18"/>
          <w:color w:val="auto"/>
        </w:rPr>
      </w:pPr>
      <w:r>
        <w:rPr>
          <w:rFonts w:ascii="Arial" w:cs="Arial" w:eastAsia="Arial" w:hAnsi="Arial"/>
          <w:sz w:val="18"/>
          <w:szCs w:val="18"/>
          <w:color w:val="auto"/>
        </w:rPr>
        <w:t>execute and/or deliver, as applicable, any amendment to any UCC financing statement and/or any other document evidencing the security interest granted pursuant to the Collateral Documents to indicate that Excluded Assets and/or other assets that do not constitute Collateral are not subject to the security interest granted pursuant to the Collateral Documents.</w:t>
      </w:r>
    </w:p>
    <w:p>
      <w:pPr>
        <w:spacing w:after="0" w:line="184"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 xml:space="preserve">Upon the request of the Administrative Agent at any time, the Required Lenders will confirm in writing the Administrative Agent’s authority to release or subordinate its interest in particular types or items of property, or to release any Loan Party from its obligations under the Loan Guaranty or its Lien on any Collateral pursuant to this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In each case as specified in this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the Administrative Agent will (and each Lender, and each Issuing Bank hereby authorizes the Administrative Agent to), without recourse or warranty (other than as to the Administrative Agent’s authority to execute and deliver the same) and at the Borrower’s expense, execute and deliver to the applicable Loan Party such documents as such Loan Party may reasonably request to evidence the release of such item of Collateral from the assignment and security interest granted under the Collateral Documents, to subordinate its interest therein, or to release such Loan Party from its obligations under the Loan Guaranty, in each case in accordance with the terms of the Loan Documents and this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upon the request of the Administrative Agent, the Borrower shall deliver a certificate of a Responsible Officer certifying that the relevant transaction has been consummated in compliance with the terms of this Agreement.</w:t>
      </w:r>
    </w:p>
    <w:p>
      <w:pPr>
        <w:spacing w:after="0" w:line="166" w:lineRule="exact"/>
        <w:rPr>
          <w:sz w:val="20"/>
          <w:szCs w:val="20"/>
          <w:color w:val="auto"/>
        </w:rPr>
      </w:pPr>
    </w:p>
    <w:p>
      <w:pPr>
        <w:ind w:left="4" w:right="420" w:firstLine="440"/>
        <w:spacing w:after="0" w:line="259"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8.09</w:t>
      </w:r>
      <w:r>
        <w:rPr>
          <w:rFonts w:ascii="Arial" w:cs="Arial" w:eastAsia="Arial" w:hAnsi="Arial"/>
          <w:sz w:val="18"/>
          <w:szCs w:val="18"/>
          <w:color w:val="auto"/>
        </w:rPr>
        <w:t xml:space="preserve"> or in any other provision of any Loan Document, each Lender and each other Secured Party hereby authorizes the Administrative Agent to, and the Administrative Agent shall, execute and deliver any instruments, documents, consents, acknowledgments, and agreements necessary or desirable to evidence, effectuate or confirm the release of any Subsidiary Guarantor or Collateral or the subordination of any Lien pursuant to the provisions of this </w:t>
      </w:r>
      <w:r>
        <w:rPr>
          <w:rFonts w:ascii="Arial" w:cs="Arial" w:eastAsia="Arial" w:hAnsi="Arial"/>
          <w:sz w:val="18"/>
          <w:szCs w:val="18"/>
          <w:u w:val="single" w:color="auto"/>
          <w:color w:val="auto"/>
        </w:rPr>
        <w:t>Section 8.09</w:t>
      </w:r>
      <w:r>
        <w:rPr>
          <w:rFonts w:ascii="Arial" w:cs="Arial" w:eastAsia="Arial" w:hAnsi="Arial"/>
          <w:sz w:val="18"/>
          <w:szCs w:val="18"/>
          <w:color w:val="auto"/>
        </w:rPr>
        <w: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04"/>
          </w:cols>
          <w:pgMar w:left="436" w:top="274" w:right="459" w:bottom="1440" w:gutter="0" w:footer="0" w:header="0"/>
        </w:sectPr>
      </w:pPr>
    </w:p>
    <w:bookmarkStart w:id="173" w:name="page174"/>
    <w:bookmarkEnd w:id="173"/>
    <w:p>
      <w:pPr>
        <w:ind w:right="8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understood and agreed that, notwithstanding anything to the contrary herein, in any other Loan Document and/or in the documentation governing any Hedge Agreement and/or any agreement governing Banking Services, (a) unless otherwise agreed to by the Borrower and any applicable counterparty to any agreement governing any Secured Hedging Obligation and/or any Banking Service, the obligations of Holdings, the Borrower or any subsidiary under any such agreement shall be secured and guaranteed pursuant to the Collateral Documents and the Loan Guaranty only to the extent that, and for so long as, the Obligations are so secured and guaranteed and (b) any release of any Lien on any Collateral and/or any Loan Guarantor effected in a manner permitted by this Agreement and/or any other Loan Document shall not require the consent of any such counterparty.</w:t>
      </w:r>
    </w:p>
    <w:p>
      <w:pPr>
        <w:spacing w:after="0" w:line="164"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u w:val="single" w:color="auto"/>
          <w:color w:val="auto"/>
        </w:rPr>
        <w:t>Intercreditor Agreements</w:t>
      </w:r>
      <w:r>
        <w:rPr>
          <w:rFonts w:ascii="Arial" w:cs="Arial" w:eastAsia="Arial" w:hAnsi="Arial"/>
          <w:sz w:val="17"/>
          <w:szCs w:val="17"/>
          <w:color w:val="auto"/>
        </w:rPr>
        <w:t>. The Administrative Agent is authorized by the Lenders and each other Secured Party to, and shall, enter into any Intercreditor Agreement and any other intercreditor, subordination, collateral trust or similar agreement contemplated hereby with respect to any (a) Indebtedness (i) that is (A) required or permitted hereunder to be subordinated in right of payment or with respect to security and/or (B) secured by any Lien and (ii) which contemplates an intercreditor, subordination, collateral trust or similar agreement and/or (b) Secured Hedging Obligations and/or Banking Services Obligations, whether or not constituting Indebtedness (any such other intercreditor, subordination, collateral trust and/or similar agreement an “</w:t>
      </w:r>
      <w:r>
        <w:rPr>
          <w:rFonts w:ascii="Arial" w:cs="Arial" w:eastAsia="Arial" w:hAnsi="Arial"/>
          <w:sz w:val="17"/>
          <w:szCs w:val="17"/>
          <w:u w:val="single" w:color="auto"/>
          <w:color w:val="auto"/>
        </w:rPr>
        <w:t>Additional Agreement</w:t>
      </w:r>
      <w:r>
        <w:rPr>
          <w:rFonts w:ascii="Arial" w:cs="Arial" w:eastAsia="Arial" w:hAnsi="Arial"/>
          <w:sz w:val="17"/>
          <w:szCs w:val="17"/>
          <w:color w:val="auto"/>
        </w:rPr>
        <w:t>”), and the Secured Parties party hereto acknowledge that any Intercreditor Agreement and any other Additional Agreement is binding upon them. Each Lender and each other Secured Party hereto hereby (a) agrees that it will be bound by, and will not take any action contrary to, the provisions of any Intercreditor Agreement or any other Additional Agreement and (b) authorizes and instructs the Administrative Agent to enter into any Intercreditor Agreement and/or any other Additional Agreement and to subject the Liens on the Collateral securing the Secured Obligations to the provisions thereof. The foregoing provisions are intended as an inducement to the Lenders and the other Secured Parties to extend credit to the Borrower, and the Lenders and the other Secured Parties are intended third-party beneficiaries of such provisions and the provisions of any Intercreditor Agreement and/or any other Additional Agreement.</w:t>
      </w:r>
    </w:p>
    <w:p>
      <w:pPr>
        <w:spacing w:after="0" w:line="17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Indemnification of Administrative Agent</w:t>
      </w:r>
      <w:r>
        <w:rPr>
          <w:rFonts w:ascii="Arial" w:cs="Arial" w:eastAsia="Arial" w:hAnsi="Arial"/>
          <w:sz w:val="17"/>
          <w:szCs w:val="17"/>
          <w:color w:val="auto"/>
        </w:rPr>
        <w:t xml:space="preserve">. To the extent that the Administrative Agent (or any Affiliate thereof) is not reimbursed and indemnified by the Borrower in accordance with and to the extent required by </w:t>
      </w:r>
      <w:r>
        <w:rPr>
          <w:rFonts w:ascii="Arial" w:cs="Arial" w:eastAsia="Arial" w:hAnsi="Arial"/>
          <w:sz w:val="17"/>
          <w:szCs w:val="17"/>
          <w:u w:val="single" w:color="auto"/>
          <w:color w:val="auto"/>
        </w:rPr>
        <w:t>Section 9.03(b)</w:t>
      </w:r>
      <w:r>
        <w:rPr>
          <w:rFonts w:ascii="Arial" w:cs="Arial" w:eastAsia="Arial" w:hAnsi="Arial"/>
          <w:sz w:val="17"/>
          <w:szCs w:val="17"/>
          <w:color w:val="auto"/>
        </w:rPr>
        <w:t xml:space="preserve"> hereof, the Lenders will reimburse and indemnify the Administrative Agent (and any Affiliate thereof) in proportion to their respective Applicable Percentages (determined as if there were no Defaulting Lenders) for and against any and all liabilities, obligations, losses, damages, penalties, claims, actions, judgments, costs, expenses or disbursements of whatsoever kind or nature, including reasonable attorneys’ fees, which may be imposed on, asserted against or incurred by the Administrative Agent (or any Affiliate thereof) in (i) performing its duties hereunder or under any other Loan Document or in any way relating to or arising out of this Agreement or any other Loan Document and/or (ii) any actual or prospective claim, litigation, investigation or proceeding relating to any of the foregoing, whether based on contract, tort or any other theory and regardless of whether any Indemnitee is a party thereto (and regardless of whether such matter is initiated by or against the Administrative Agent, a third party or a Lender or any Related Party of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liable for any portion of such liabilities, obligations, losses, damages, penalties, claims, actions, judgments, suits, costs, expenses or disbursements resulting from the Administrative Agent’s (or such affiliate’s) gross negligence or willful misconduct (as determined by a court of competent jurisdiction in a final and non-appealable decision).</w:t>
      </w:r>
    </w:p>
    <w:p>
      <w:pPr>
        <w:spacing w:after="0" w:line="179"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Withholding Taxes</w:t>
      </w:r>
      <w:r>
        <w:rPr>
          <w:rFonts w:ascii="Arial" w:cs="Arial" w:eastAsia="Arial" w:hAnsi="Arial"/>
          <w:sz w:val="17"/>
          <w:szCs w:val="17"/>
          <w:color w:val="auto"/>
        </w:rPr>
        <w:t xml:space="preserve">. To the extent required by any applicable Requirements of Law (as determined in good faith by the Administrative Agent), the Administrative Agent may withhold from any payment to any Lender under any Loan Document an amount equivalent to any applicable withholding Tax. Without limiting or expanding the provisions of </w:t>
      </w:r>
      <w:r>
        <w:rPr>
          <w:rFonts w:ascii="Arial" w:cs="Arial" w:eastAsia="Arial" w:hAnsi="Arial"/>
          <w:sz w:val="17"/>
          <w:szCs w:val="17"/>
          <w:u w:val="single" w:color="auto"/>
          <w:color w:val="auto"/>
        </w:rPr>
        <w:t>Section 2.17</w:t>
      </w:r>
      <w:r>
        <w:rPr>
          <w:rFonts w:ascii="Arial" w:cs="Arial" w:eastAsia="Arial" w:hAnsi="Arial"/>
          <w:sz w:val="17"/>
          <w:szCs w:val="17"/>
          <w:color w:val="auto"/>
        </w:rPr>
        <w:t>, each Lender shall severally indemnify and hold harmless the Administrative Agent against, and shall make payable in respect thereof within ten days after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such Lender for 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20"/>
          </w:cols>
          <w:pgMar w:left="440" w:top="274" w:right="439" w:bottom="1440" w:gutter="0" w:footer="0" w:header="0"/>
        </w:sectPr>
      </w:pPr>
    </w:p>
    <w:bookmarkStart w:id="174" w:name="page175"/>
    <w:bookmarkEnd w:id="174"/>
    <w:p>
      <w:pPr>
        <w:ind w:right="1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reason (including because the appropriate form was not delivered or not properly executed, because such Lender failed to notify the Administrative Agent of a change in circumstance that rendered the exemption from, or reduction of withholding Tax ineffective or because such Lender failed to maintain a Participant/SPC Register in the manner required by </w:t>
      </w:r>
      <w:r>
        <w:rPr>
          <w:rFonts w:ascii="Arial" w:cs="Arial" w:eastAsia="Arial" w:hAnsi="Arial"/>
          <w:sz w:val="17"/>
          <w:szCs w:val="17"/>
          <w:u w:val="single" w:color="auto"/>
          <w:color w:val="auto"/>
        </w:rPr>
        <w:t>Section 9.05(c)</w:t>
      </w:r>
      <w:r>
        <w:rPr>
          <w:rFonts w:ascii="Arial" w:cs="Arial" w:eastAsia="Arial" w:hAnsi="Arial"/>
          <w:sz w:val="17"/>
          <w:szCs w:val="17"/>
          <w:color w:val="auto"/>
        </w:rPr>
        <w:t>).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paragraph. The agreements in this paragraph shall survive the resignation or replacement of the Administrative Agent or any assignment of rights by, or the replacement of, any Lender, the termination of the Commitments and the repayment, satisfaction or discharge of all obligations under any Loan Document. For the avoidance of doubt, the term “Lender” shall, for all purposes of this paragraph, include any Issuing Bank and the Swingline Lender.</w:t>
      </w:r>
    </w:p>
    <w:p>
      <w:pPr>
        <w:spacing w:after="0" w:line="18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In case of the pendency of any receivership, insolvency, liquidation, bankruptcy, reorganization, arrangement, adjustment, composition or other judicial proceeding relative to any Loan Party, the Administrative Agent (irrespective of whether the principal of any Loans shall then be due and payable as herein expressed or by declaration or otherwise and irrespective of whether the Administrative Agent shall have made any demand on the Loan Parties) shall be entitled and empowered, by intervention in such proceeding or otherwise:</w:t>
      </w:r>
    </w:p>
    <w:p>
      <w:pPr>
        <w:spacing w:after="0" w:line="80" w:lineRule="exact"/>
        <w:rPr>
          <w:sz w:val="20"/>
          <w:szCs w:val="20"/>
          <w:color w:val="auto"/>
        </w:rPr>
      </w:pPr>
    </w:p>
    <w:p>
      <w:pPr>
        <w:ind w:right="80" w:firstLine="436"/>
        <w:spacing w:after="0" w:line="257" w:lineRule="auto"/>
        <w:tabs>
          <w:tab w:leader="none" w:pos="68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Secured Parties and the Administrative Agent (including any claim for the reasonable compensation, expenses, disbursements and advances of the Secured Parties and the Administrative Agent and their respective agents and counsel and all other amounts due the Secured Parties and the Administrative Agent under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9.03</w:t>
      </w:r>
      <w:r>
        <w:rPr>
          <w:rFonts w:ascii="Arial" w:cs="Arial" w:eastAsia="Arial" w:hAnsi="Arial"/>
          <w:sz w:val="18"/>
          <w:szCs w:val="18"/>
          <w:color w:val="auto"/>
        </w:rPr>
        <w:t>) allowed in such judicial proceeding; and</w:t>
      </w:r>
    </w:p>
    <w:p>
      <w:pPr>
        <w:spacing w:after="0" w:line="79" w:lineRule="exact"/>
        <w:rPr>
          <w:rFonts w:ascii="Arial" w:cs="Arial" w:eastAsia="Arial" w:hAnsi="Arial"/>
          <w:sz w:val="18"/>
          <w:szCs w:val="18"/>
          <w:color w:val="auto"/>
        </w:rPr>
      </w:pPr>
    </w:p>
    <w:p>
      <w:pPr>
        <w:ind w:left="700" w:hanging="264"/>
        <w:spacing w:after="0"/>
        <w:tabs>
          <w:tab w:leader="none" w:pos="7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Secured Party to make such payments to the Administrative Agent and, in the event that the Administrative Agent shall consent to the making of such payments directly to the Secured Parties,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9.03</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Erroneous Payments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69" w:lineRule="auto"/>
        <w:tabs>
          <w:tab w:leader="none" w:pos="685" w:val="left"/>
        </w:tabs>
        <w:numPr>
          <w:ilvl w:val="0"/>
          <w:numId w:val="275"/>
        </w:numPr>
        <w:rPr>
          <w:rFonts w:ascii="Arial" w:cs="Arial" w:eastAsia="Arial" w:hAnsi="Arial"/>
          <w:sz w:val="17"/>
          <w:szCs w:val="17"/>
          <w:color w:val="auto"/>
        </w:rPr>
      </w:pPr>
      <w:r>
        <w:rPr>
          <w:rFonts w:ascii="Arial" w:cs="Arial" w:eastAsia="Arial" w:hAnsi="Arial"/>
          <w:sz w:val="17"/>
          <w:szCs w:val="17"/>
          <w:color w:val="auto"/>
        </w:rPr>
        <w:t>If the Administrative Agent notifies a Lender, Issuing Bank or Secured Party, or any Person who has received funds on behalf of a Lender, Issuing Bank or Secured Party (any such Lender, Issuing Bank, Secured Party or other recipient, a “</w:t>
      </w:r>
      <w:r>
        <w:rPr>
          <w:rFonts w:ascii="Arial" w:cs="Arial" w:eastAsia="Arial" w:hAnsi="Arial"/>
          <w:sz w:val="17"/>
          <w:szCs w:val="17"/>
          <w:u w:val="single" w:color="auto"/>
          <w:color w:val="auto"/>
        </w:rPr>
        <w:t>Payment Recipient</w:t>
      </w:r>
      <w:r>
        <w:rPr>
          <w:rFonts w:ascii="Arial" w:cs="Arial" w:eastAsia="Arial" w:hAnsi="Arial"/>
          <w:sz w:val="17"/>
          <w:szCs w:val="17"/>
          <w:color w:val="auto"/>
        </w:rPr>
        <w:t>”) that the Administrative Agent has determined in its sole discretion that any funds received by such Payment Recipient from the Administrative Agent or any of its Affiliates were erroneously transmitted to, or otherwise erroneously or mistakenly received by, such Payment Recipient (whether or not known to such Lender, Issuing Bank, Secured Party or other Payment Recipient on its behalf) (any such funds, whether received as a payment, prepayment or repayment of principal, interest, fees, distribution or otherwise, individually and collectively, an “</w:t>
      </w:r>
      <w:r>
        <w:rPr>
          <w:rFonts w:ascii="Arial" w:cs="Arial" w:eastAsia="Arial" w:hAnsi="Arial"/>
          <w:sz w:val="17"/>
          <w:szCs w:val="17"/>
          <w:u w:val="single" w:color="auto"/>
          <w:color w:val="auto"/>
        </w:rPr>
        <w:t>Erroneous Payment</w:t>
      </w:r>
      <w:r>
        <w:rPr>
          <w:rFonts w:ascii="Arial" w:cs="Arial" w:eastAsia="Arial" w:hAnsi="Arial"/>
          <w:sz w:val="17"/>
          <w:szCs w:val="17"/>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return to the Administrative Agent the amount of any such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0980"/>
          </w:cols>
          <w:pgMar w:left="440" w:top="274" w:right="479" w:bottom="1440" w:gutter="0" w:footer="0" w:header="0"/>
        </w:sectPr>
      </w:pPr>
    </w:p>
    <w:bookmarkStart w:id="175" w:name="page176"/>
    <w:bookmarkEnd w:id="175"/>
    <w:p>
      <w:pPr>
        <w:ind w:left="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shall be conclusive, absent manifest error. If a Payment Recipient receives any payment, prepayment or repayment of principal, interest, fees, distribution or otherwise and does not receive a corresponding payment notice or payment advice from the Administrative Agent, such payment, prepayment or repayment shall be presumed to be in error absent written confirmation from the Administrative Agent to the contrary.</w:t>
      </w:r>
    </w:p>
    <w:p>
      <w:pPr>
        <w:spacing w:after="0" w:line="70" w:lineRule="exact"/>
        <w:rPr>
          <w:sz w:val="20"/>
          <w:szCs w:val="20"/>
          <w:color w:val="auto"/>
        </w:rPr>
      </w:pPr>
    </w:p>
    <w:p>
      <w:pPr>
        <w:ind w:left="4" w:firstLine="436"/>
        <w:spacing w:after="0" w:line="259" w:lineRule="auto"/>
        <w:tabs>
          <w:tab w:leader="none" w:pos="699" w:val="left"/>
        </w:tabs>
        <w:numPr>
          <w:ilvl w:val="1"/>
          <w:numId w:val="276"/>
        </w:numPr>
        <w:rPr>
          <w:rFonts w:ascii="Arial" w:cs="Arial" w:eastAsia="Arial" w:hAnsi="Arial"/>
          <w:sz w:val="18"/>
          <w:szCs w:val="18"/>
          <w:color w:val="auto"/>
        </w:rPr>
      </w:pPr>
      <w:r>
        <w:rPr>
          <w:rFonts w:ascii="Arial" w:cs="Arial" w:eastAsia="Arial" w:hAnsi="Arial"/>
          <w:sz w:val="18"/>
          <w:szCs w:val="18"/>
          <w:color w:val="auto"/>
        </w:rPr>
        <w:t xml:space="preserve">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from any source, against any amount due to the Administrative Agent under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under the indemnification provisions of this </w:t>
      </w:r>
      <w:r>
        <w:rPr>
          <w:rFonts w:ascii="Arial" w:cs="Arial" w:eastAsia="Arial" w:hAnsi="Arial"/>
          <w:sz w:val="18"/>
          <w:szCs w:val="18"/>
          <w:u w:val="single" w:color="auto"/>
          <w:color w:val="auto"/>
        </w:rPr>
        <w:t>Article 8</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 w:right="20" w:firstLine="436"/>
        <w:spacing w:after="0" w:line="284" w:lineRule="auto"/>
        <w:tabs>
          <w:tab w:leader="none" w:pos="689" w:val="left"/>
        </w:tabs>
        <w:numPr>
          <w:ilvl w:val="1"/>
          <w:numId w:val="276"/>
        </w:numPr>
        <w:rPr>
          <w:rFonts w:ascii="Arial" w:cs="Arial" w:eastAsia="Arial" w:hAnsi="Arial"/>
          <w:sz w:val="16"/>
          <w:szCs w:val="16"/>
          <w:color w:val="auto"/>
        </w:rPr>
      </w:pPr>
      <w:r>
        <w:rPr>
          <w:rFonts w:ascii="Arial" w:cs="Arial" w:eastAsia="Arial" w:hAnsi="Arial"/>
          <w:sz w:val="16"/>
          <w:szCs w:val="16"/>
          <w:color w:val="auto"/>
        </w:rPr>
        <w:t>For so long as an Erroneous Payment (or portion thereof) has not been returned by any Payment Recipient who received such Erroneous Payment (or portion thereof) (such unrecovered amount, an “</w:t>
      </w:r>
      <w:r>
        <w:rPr>
          <w:rFonts w:ascii="Arial" w:cs="Arial" w:eastAsia="Arial" w:hAnsi="Arial"/>
          <w:sz w:val="16"/>
          <w:szCs w:val="16"/>
          <w:u w:val="single" w:color="auto"/>
          <w:color w:val="auto"/>
        </w:rPr>
        <w:t>Erroneous Payment Return Deficiency</w:t>
      </w:r>
      <w:r>
        <w:rPr>
          <w:rFonts w:ascii="Arial" w:cs="Arial" w:eastAsia="Arial" w:hAnsi="Arial"/>
          <w:sz w:val="16"/>
          <w:szCs w:val="16"/>
          <w:color w:val="auto"/>
        </w:rPr>
        <w:t xml:space="preserve">”) to the Administrative Agent after demand therefor in accordance with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(i) the Administrative Agent may elect, in its sole discretion upon written notice to the relevant Lender, Issuing Bank or Secured Party, that all rights and claims of such Lender, Issuing Bank or Secured Party with respect to the Loans or other Obligations owed to such Person up to the amount of the corresponding Erroneous Payment Return Deficiency in respect of such Erroneous Payment (the “</w:t>
      </w:r>
      <w:r>
        <w:rPr>
          <w:rFonts w:ascii="Arial" w:cs="Arial" w:eastAsia="Arial" w:hAnsi="Arial"/>
          <w:sz w:val="16"/>
          <w:szCs w:val="16"/>
          <w:u w:val="single" w:color="auto"/>
          <w:color w:val="auto"/>
        </w:rPr>
        <w:t>Corresponding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shall immediately vest in the Administrative Agent upon such election; after such election, with respect to Loans, the Administrative Agent</w:t>
      </w:r>
    </w:p>
    <w:p>
      <w:pPr>
        <w:spacing w:after="0" w:line="4" w:lineRule="exact"/>
        <w:rPr>
          <w:rFonts w:ascii="Arial" w:cs="Arial" w:eastAsia="Arial" w:hAnsi="Arial"/>
          <w:sz w:val="16"/>
          <w:szCs w:val="16"/>
          <w:color w:val="auto"/>
        </w:rPr>
      </w:pPr>
    </w:p>
    <w:p>
      <w:pPr>
        <w:ind w:left="4" w:right="60" w:hanging="4"/>
        <w:spacing w:after="0" w:line="285" w:lineRule="auto"/>
        <w:tabs>
          <w:tab w:leader="none" w:pos="259"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may reflect its ownership interest in the relevant Loans in a principal amount equal to the Corresponding Amount in the Register, and (y) upon five Business Days’ written notice to such Lender may sell such Loan (or portion thereof) to an Eligible Assignee in accordance with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in respect of the Corresponding Amount, and upon receipt of the proceeds of such sale, the Erroneous Payment Return Deficiency owing by such Lender shall be reduced by the net proceeds of the sale of such Loan (or portion thereof), and the Administrative Agent shall retain all other rights, remedies and claims against such Lender (and/or against any Payment Recipient that receives funds on its behalf), and (ii) each party hereto agrees that, except to the extent that the Administrative Agent has sold such Loans, and irrespective of whether the Administrative Agent may be equitably subrogated, the Administrative Agent shall be contractually subrogated to all the rights and interests of such Lender, Issuing Bank or Secured Party with respect to the relevant Erroneous Payment Return Deficiency (determined after any reductions as a result of any such vesting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(it being understood and agreed that aggregate Obligations of the Loan Parties shall not be increased as a result of the application of this </w:t>
      </w:r>
      <w:r>
        <w:rPr>
          <w:rFonts w:ascii="Arial" w:cs="Arial" w:eastAsia="Arial" w:hAnsi="Arial"/>
          <w:sz w:val="16"/>
          <w:szCs w:val="16"/>
          <w:u w:val="single" w:color="auto"/>
          <w:color w:val="auto"/>
        </w:rPr>
        <w:t>clause (ii)</w:t>
      </w:r>
      <w:r>
        <w:rPr>
          <w:rFonts w:ascii="Arial" w:cs="Arial" w:eastAsia="Arial" w:hAnsi="Arial"/>
          <w:sz w:val="16"/>
          <w:szCs w:val="16"/>
          <w:color w:val="auto"/>
        </w:rPr>
        <w:t>). For the avoidance of doubt, no vesting or sale pursuant to this clause (c) will reduce the Commitments of any Lender or the Letter of Credit Commitments of any Issuing Bank and such Commitments and Letter of Credit Commitments shall remain available in accordance with the terms of this Agreement.</w:t>
      </w:r>
    </w:p>
    <w:p>
      <w:pPr>
        <w:spacing w:after="0" w:line="66" w:lineRule="exact"/>
        <w:rPr>
          <w:rFonts w:ascii="Arial" w:cs="Arial" w:eastAsia="Arial" w:hAnsi="Arial"/>
          <w:sz w:val="16"/>
          <w:szCs w:val="16"/>
          <w:color w:val="auto"/>
        </w:rPr>
      </w:pPr>
    </w:p>
    <w:p>
      <w:pPr>
        <w:ind w:left="4" w:right="240" w:firstLine="436"/>
        <w:spacing w:after="0" w:line="259" w:lineRule="auto"/>
        <w:tabs>
          <w:tab w:leader="none" w:pos="699"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78" w:lineRule="exact"/>
        <w:rPr>
          <w:rFonts w:ascii="Arial" w:cs="Arial" w:eastAsia="Arial" w:hAnsi="Arial"/>
          <w:sz w:val="18"/>
          <w:szCs w:val="18"/>
          <w:color w:val="auto"/>
        </w:rPr>
      </w:pPr>
    </w:p>
    <w:p>
      <w:pPr>
        <w:ind w:left="4" w:right="80" w:firstLine="436"/>
        <w:spacing w:after="0" w:line="311" w:lineRule="auto"/>
        <w:tabs>
          <w:tab w:leader="none" w:pos="689" w:val="left"/>
        </w:tabs>
        <w:numPr>
          <w:ilvl w:val="1"/>
          <w:numId w:val="277"/>
        </w:numPr>
        <w:rPr>
          <w:rFonts w:ascii="Arial" w:cs="Arial" w:eastAsia="Arial" w:hAnsi="Arial"/>
          <w:sz w:val="16"/>
          <w:szCs w:val="16"/>
          <w:color w:val="auto"/>
        </w:rPr>
      </w:pPr>
      <w:r>
        <w:rPr>
          <w:rFonts w:ascii="Arial" w:cs="Arial" w:eastAsia="Arial" w:hAnsi="Arial"/>
          <w:sz w:val="16"/>
          <w:szCs w:val="16"/>
          <w:color w:val="auto"/>
        </w:rPr>
        <w:t>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04"/>
          </w:cols>
          <w:pgMar w:left="436" w:top="274" w:right="459" w:bottom="1440" w:gutter="0" w:footer="0" w:header="0"/>
        </w:sectPr>
      </w:pPr>
    </w:p>
    <w:bookmarkStart w:id="176" w:name="page177"/>
    <w:bookmarkEnd w:id="176"/>
    <w:p>
      <w:pPr>
        <w:ind w:right="280" w:firstLine="436"/>
        <w:spacing w:after="0" w:line="342" w:lineRule="auto"/>
        <w:tabs>
          <w:tab w:leader="none" w:pos="665" w:val="left"/>
        </w:tabs>
        <w:numPr>
          <w:ilvl w:val="0"/>
          <w:numId w:val="2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party’s obligations, agreements and waivers under this </w:t>
      </w:r>
      <w:r>
        <w:rPr>
          <w:rFonts w:ascii="Arial" w:cs="Arial" w:eastAsia="Arial" w:hAnsi="Arial"/>
          <w:sz w:val="16"/>
          <w:szCs w:val="16"/>
          <w:u w:val="single" w:color="auto"/>
          <w:color w:val="auto"/>
        </w:rPr>
        <w:t>Section 8.14</w:t>
      </w:r>
      <w:r>
        <w:rPr>
          <w:rFonts w:ascii="Arial" w:cs="Arial" w:eastAsia="Arial" w:hAnsi="Arial"/>
          <w:sz w:val="16"/>
          <w:szCs w:val="16"/>
          <w:color w:val="auto"/>
        </w:rPr>
        <w:t xml:space="preserve"> shall survive the resignation or replacement of the Administrative Agent, any transfer of rights or obligations by, or the replacement of, a Lender or Issuing Bank, and the occurrence of the Termination Date.</w:t>
      </w:r>
    </w:p>
    <w:p>
      <w:pPr>
        <w:spacing w:after="0" w:line="15" w:lineRule="exact"/>
        <w:rPr>
          <w:rFonts w:ascii="Arial" w:cs="Arial" w:eastAsia="Arial" w:hAnsi="Arial"/>
          <w:sz w:val="16"/>
          <w:szCs w:val="16"/>
          <w:color w:val="auto"/>
        </w:rPr>
      </w:pPr>
    </w:p>
    <w:p>
      <w:pPr>
        <w:ind w:right="20" w:firstLine="436"/>
        <w:spacing w:after="0" w:line="277" w:lineRule="auto"/>
        <w:tabs>
          <w:tab w:leader="none" w:pos="69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shall not apply to the disbursement of any proceeds of a Loan to or at the express direction of the Borrower unless otherwise expressly agreed to in writing by the Borrower.</w:t>
      </w:r>
    </w:p>
    <w:p>
      <w:pPr>
        <w:spacing w:after="0" w:line="62" w:lineRule="exact"/>
        <w:rPr>
          <w:rFonts w:ascii="Arial" w:cs="Arial" w:eastAsia="Arial" w:hAnsi="Arial"/>
          <w:sz w:val="18"/>
          <w:szCs w:val="18"/>
          <w:color w:val="auto"/>
        </w:rPr>
      </w:pPr>
    </w:p>
    <w:p>
      <w:pPr>
        <w:ind w:firstLine="436"/>
        <w:spacing w:after="0" w:line="259" w:lineRule="auto"/>
        <w:tabs>
          <w:tab w:leader="none" w:pos="69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or in any other Loan Document, the Borrower and the Loan Parties shall have no obligations or liabilities for any actions, consequences or remediation (including the repayment of any amounts) contemplated by this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under no circumstances shall this </w:t>
      </w:r>
      <w:r>
        <w:rPr>
          <w:rFonts w:ascii="Arial" w:cs="Arial" w:eastAsia="Arial" w:hAnsi="Arial"/>
          <w:sz w:val="18"/>
          <w:szCs w:val="18"/>
          <w:u w:val="single" w:color="auto"/>
          <w:color w:val="auto"/>
        </w:rPr>
        <w:t>Section 8.14(h)</w:t>
      </w:r>
      <w:r>
        <w:rPr>
          <w:rFonts w:ascii="Arial" w:cs="Arial" w:eastAsia="Arial" w:hAnsi="Arial"/>
          <w:sz w:val="18"/>
          <w:szCs w:val="18"/>
          <w:color w:val="auto"/>
        </w:rPr>
        <w:t xml:space="preserve"> affect the Borrower’s or any Loan Parties’ obligations or liabilities with respect to any Obligations that remain outstanding.</w:t>
      </w:r>
    </w:p>
    <w:p>
      <w:pPr>
        <w:spacing w:after="0" w:line="78" w:lineRule="exact"/>
        <w:rPr>
          <w:rFonts w:ascii="Arial" w:cs="Arial" w:eastAsia="Arial" w:hAnsi="Arial"/>
          <w:sz w:val="18"/>
          <w:szCs w:val="18"/>
          <w:color w:val="auto"/>
        </w:rPr>
      </w:pPr>
    </w:p>
    <w:p>
      <w:pPr>
        <w:ind w:right="60" w:firstLine="436"/>
        <w:spacing w:after="0" w:line="311" w:lineRule="auto"/>
        <w:tabs>
          <w:tab w:leader="none" w:pos="655" w:val="left"/>
        </w:tabs>
        <w:numPr>
          <w:ilvl w:val="0"/>
          <w:numId w:val="278"/>
        </w:numPr>
        <w:rPr>
          <w:rFonts w:ascii="Arial" w:cs="Arial" w:eastAsia="Arial" w:hAnsi="Arial"/>
          <w:sz w:val="16"/>
          <w:szCs w:val="16"/>
          <w:color w:val="auto"/>
        </w:rPr>
      </w:pPr>
      <w:r>
        <w:rPr>
          <w:rFonts w:ascii="Arial" w:cs="Arial" w:eastAsia="Arial" w:hAnsi="Arial"/>
          <w:sz w:val="16"/>
          <w:szCs w:val="16"/>
          <w:color w:val="auto"/>
        </w:rPr>
        <w:t>Notwithstanding anything to the contrary, to the extent the Administrative Agent receives a payment or other amount after the date such payment or other amount is due, the Administrative Agent, in its sole discretion, may distribute such payment or other amount to the relevant Lender of record (or other Person of record entitled to such payment) as of the date such payment or other amount is received by the Administrative Agent.</w:t>
      </w:r>
    </w:p>
    <w:p>
      <w:pPr>
        <w:spacing w:after="0" w:line="149"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8.15. </w:t>
      </w:r>
      <w:r>
        <w:rPr>
          <w:rFonts w:ascii="Arial" w:cs="Arial" w:eastAsia="Arial" w:hAnsi="Arial"/>
          <w:sz w:val="17"/>
          <w:szCs w:val="17"/>
          <w:u w:val="single" w:color="auto"/>
          <w:color w:val="auto"/>
        </w:rPr>
        <w:t>Banking Services Obligations and Secured Hedging Obligations</w:t>
      </w:r>
      <w:r>
        <w:rPr>
          <w:rFonts w:ascii="Arial" w:cs="Arial" w:eastAsia="Arial" w:hAnsi="Arial"/>
          <w:sz w:val="17"/>
          <w:szCs w:val="17"/>
          <w:color w:val="auto"/>
        </w:rPr>
        <w:t xml:space="preserve">. Except as otherwise expressly set forth herein or in the Loan Guaranty or any Collateral Document, no counterparty to a Hedge Agreement or agreement governing any Banking Services Obligation that obtains the benefits of </w:t>
      </w:r>
      <w:r>
        <w:rPr>
          <w:rFonts w:ascii="Arial" w:cs="Arial" w:eastAsia="Arial" w:hAnsi="Arial"/>
          <w:sz w:val="17"/>
          <w:szCs w:val="17"/>
          <w:u w:val="single" w:color="auto"/>
          <w:color w:val="auto"/>
        </w:rPr>
        <w:t>Section 2.18(b)</w:t>
      </w:r>
      <w:r>
        <w:rPr>
          <w:rFonts w:ascii="Arial" w:cs="Arial" w:eastAsia="Arial" w:hAnsi="Arial"/>
          <w:sz w:val="17"/>
          <w:szCs w:val="17"/>
          <w:color w:val="auto"/>
        </w:rPr>
        <w:t xml:space="preserve">, any Loan Guaranty or any Collateral by virtue of the provisions hereof or of the Loan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if applicable, in its capacity as a Lender and, in such case, only to the extent expressly provided in the Loan Documents. Notwithstanding any other provision of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to the contrary, the Administrative Agent shall not be required to verify the payment of, or that other satisfactory arrangements have been made with respect to, any obligation arising under a Hedge Agreement or any agreement governing any Banking Services Obligation.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ARTICLE 9</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63" w:lineRule="auto"/>
        <w:tabs>
          <w:tab w:leader="none" w:pos="68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Except in the case of notices and other communications expressly permitted to be given by telephone (and subject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email, as follows:</w:t>
      </w:r>
    </w:p>
    <w:p>
      <w:pPr>
        <w:spacing w:after="0" w:line="75" w:lineRule="exact"/>
        <w:rPr>
          <w:rFonts w:ascii="Arial" w:cs="Arial" w:eastAsia="Arial" w:hAnsi="Arial"/>
          <w:sz w:val="18"/>
          <w:szCs w:val="18"/>
          <w:color w:val="auto"/>
        </w:rPr>
      </w:pPr>
    </w:p>
    <w:p>
      <w:pPr>
        <w:ind w:left="1080" w:hanging="221"/>
        <w:spacing w:after="0"/>
        <w:tabs>
          <w:tab w:leader="none" w:pos="108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if to any Loan Party, to such Loan Party in the care of the Borrower at: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Definitive Healthcare Holdings, LLC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550 Cochituate Road, Framingham, MA 01701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Rick Booth</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on file with the Administrative Agent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0980"/>
          </w:cols>
          <w:pgMar w:left="440" w:top="274" w:right="479" w:bottom="1440" w:gutter="0" w:footer="0" w:header="0"/>
        </w:sectPr>
      </w:pPr>
    </w:p>
    <w:bookmarkStart w:id="177" w:name="page178"/>
    <w:bookmarkEnd w:id="177"/>
    <w:p>
      <w:pPr>
        <w:ind w:left="56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copies to (which shall not constitute notice to any Loan Party):</w:t>
      </w:r>
    </w:p>
    <w:p>
      <w:pPr>
        <w:spacing w:after="0" w:line="117" w:lineRule="exact"/>
        <w:rPr>
          <w:sz w:val="20"/>
          <w:szCs w:val="20"/>
          <w:color w:val="auto"/>
        </w:rPr>
      </w:pPr>
    </w:p>
    <w:p>
      <w:pPr>
        <w:ind w:left="561"/>
        <w:spacing w:after="0"/>
        <w:rPr>
          <w:sz w:val="20"/>
          <w:szCs w:val="20"/>
          <w:color w:val="auto"/>
        </w:rPr>
      </w:pPr>
      <w:r>
        <w:rPr>
          <w:rFonts w:ascii="Arial" w:cs="Arial" w:eastAsia="Arial" w:hAnsi="Arial"/>
          <w:sz w:val="18"/>
          <w:szCs w:val="18"/>
          <w:color w:val="auto"/>
        </w:rPr>
        <w:t>Advent International Corporation</w:t>
      </w:r>
    </w:p>
    <w:p>
      <w:pPr>
        <w:spacing w:after="0" w:line="23" w:lineRule="exact"/>
        <w:rPr>
          <w:sz w:val="20"/>
          <w:szCs w:val="20"/>
          <w:color w:val="auto"/>
        </w:rPr>
      </w:pPr>
    </w:p>
    <w:p>
      <w:pPr>
        <w:ind w:left="561"/>
        <w:spacing w:after="0"/>
        <w:rPr>
          <w:sz w:val="20"/>
          <w:szCs w:val="20"/>
          <w:color w:val="auto"/>
        </w:rPr>
      </w:pPr>
      <w:r>
        <w:rPr>
          <w:rFonts w:ascii="Arial" w:cs="Arial" w:eastAsia="Arial" w:hAnsi="Arial"/>
          <w:sz w:val="18"/>
          <w:szCs w:val="18"/>
          <w:color w:val="auto"/>
        </w:rPr>
        <w:t>12 E. 49th Street, 45th Floor</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Attention: Ken Prince</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Email: on file with the Administrative Agent</w:t>
      </w:r>
    </w:p>
    <w:p>
      <w:pPr>
        <w:spacing w:after="0" w:line="211" w:lineRule="exact"/>
        <w:rPr>
          <w:sz w:val="20"/>
          <w:szCs w:val="20"/>
          <w:color w:val="auto"/>
        </w:rPr>
      </w:pPr>
    </w:p>
    <w:p>
      <w:pPr>
        <w:ind w:left="561"/>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561"/>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ind w:left="561"/>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New York, New York 10153</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Attention: Allison Liff</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Email: allison.liff@weil.com</w:t>
      </w:r>
    </w:p>
    <w:p>
      <w:pPr>
        <w:spacing w:after="0" w:line="211" w:lineRule="exact"/>
        <w:rPr>
          <w:sz w:val="20"/>
          <w:szCs w:val="20"/>
          <w:color w:val="auto"/>
        </w:rPr>
      </w:pPr>
    </w:p>
    <w:p>
      <w:pPr>
        <w:ind w:left="561" w:right="4980" w:hanging="561"/>
        <w:spacing w:after="0" w:line="397" w:lineRule="auto"/>
        <w:tabs>
          <w:tab w:leader="none" w:pos="257" w:val="left"/>
        </w:tabs>
        <w:numPr>
          <w:ilvl w:val="0"/>
          <w:numId w:val="280"/>
        </w:numPr>
        <w:rPr>
          <w:rFonts w:ascii="Arial" w:cs="Arial" w:eastAsia="Arial" w:hAnsi="Arial"/>
          <w:sz w:val="17"/>
          <w:szCs w:val="17"/>
          <w:color w:val="auto"/>
        </w:rPr>
      </w:pPr>
      <w:r>
        <w:rPr>
          <w:rFonts w:ascii="Arial" w:cs="Arial" w:eastAsia="Arial" w:hAnsi="Arial"/>
          <w:sz w:val="17"/>
          <w:szCs w:val="17"/>
          <w:color w:val="auto"/>
        </w:rPr>
        <w:t>if to the Administrative Agent or the Swingline Lender, at: For notices regarding Borrowing activity:</w:t>
      </w:r>
    </w:p>
    <w:p>
      <w:pPr>
        <w:spacing w:after="0" w:line="1" w:lineRule="exact"/>
        <w:rPr>
          <w:sz w:val="20"/>
          <w:szCs w:val="20"/>
          <w:color w:val="auto"/>
        </w:rPr>
      </w:pPr>
    </w:p>
    <w:p>
      <w:pPr>
        <w:ind w:left="561"/>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561"/>
        <w:spacing w:after="0"/>
        <w:rPr>
          <w:sz w:val="20"/>
          <w:szCs w:val="20"/>
          <w:color w:val="auto"/>
        </w:rPr>
      </w:pPr>
      <w:r>
        <w:rPr>
          <w:rFonts w:ascii="Arial" w:cs="Arial" w:eastAsia="Arial" w:hAnsi="Arial"/>
          <w:sz w:val="18"/>
          <w:szCs w:val="18"/>
          <w:color w:val="auto"/>
        </w:rPr>
        <w:t>Gateway Village-900 Building</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900 W Trade Street</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Mail Code: NC1-026-06-04</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Charlotte, NC, 28255</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Phone: 980.387.3614</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Fax: 704.208.3045</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Attention: Smith Bagley</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Email: smith.bagley@bofa.com</w:t>
      </w:r>
    </w:p>
    <w:p>
      <w:pPr>
        <w:spacing w:after="0" w:line="211" w:lineRule="exact"/>
        <w:rPr>
          <w:sz w:val="20"/>
          <w:szCs w:val="20"/>
          <w:color w:val="auto"/>
        </w:rPr>
      </w:pPr>
    </w:p>
    <w:p>
      <w:pPr>
        <w:ind w:left="561"/>
        <w:spacing w:after="0"/>
        <w:rPr>
          <w:sz w:val="20"/>
          <w:szCs w:val="20"/>
          <w:color w:val="auto"/>
        </w:rPr>
      </w:pPr>
      <w:r>
        <w:rPr>
          <w:rFonts w:ascii="Arial" w:cs="Arial" w:eastAsia="Arial" w:hAnsi="Arial"/>
          <w:sz w:val="18"/>
          <w:szCs w:val="18"/>
          <w:color w:val="auto"/>
        </w:rPr>
        <w:t>For other notices to Administrative Agent:</w:t>
      </w:r>
    </w:p>
    <w:p>
      <w:pPr>
        <w:spacing w:after="0" w:line="117" w:lineRule="exact"/>
        <w:rPr>
          <w:sz w:val="20"/>
          <w:szCs w:val="20"/>
          <w:color w:val="auto"/>
        </w:rPr>
      </w:pPr>
    </w:p>
    <w:p>
      <w:pPr>
        <w:ind w:left="561"/>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561"/>
        <w:spacing w:after="0"/>
        <w:rPr>
          <w:sz w:val="20"/>
          <w:szCs w:val="20"/>
          <w:color w:val="auto"/>
        </w:rPr>
      </w:pPr>
      <w:r>
        <w:rPr>
          <w:rFonts w:ascii="Arial" w:cs="Arial" w:eastAsia="Arial" w:hAnsi="Arial"/>
          <w:sz w:val="18"/>
          <w:szCs w:val="18"/>
          <w:color w:val="auto"/>
        </w:rPr>
        <w:t>555 California, Street, 6th Floor</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Mail Code: CA5-705-04-09</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Phone: 415 436-3102</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Fax: 415-503-5009</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Attention: Linda Mackey</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Email: linda.z.mackey@bofa.com</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8"/>
          <w:szCs w:val="18"/>
          <w:color w:val="auto"/>
        </w:rPr>
        <w:t>(iii) if to any Issuing Bank, at:</w:t>
      </w:r>
    </w:p>
    <w:p>
      <w:pPr>
        <w:spacing w:after="0" w:line="117" w:lineRule="exact"/>
        <w:rPr>
          <w:sz w:val="20"/>
          <w:szCs w:val="20"/>
          <w:color w:val="auto"/>
        </w:rPr>
      </w:pPr>
    </w:p>
    <w:p>
      <w:pPr>
        <w:ind w:left="561" w:right="220"/>
        <w:spacing w:after="0" w:line="375" w:lineRule="auto"/>
        <w:rPr>
          <w:sz w:val="20"/>
          <w:szCs w:val="20"/>
          <w:color w:val="auto"/>
        </w:rPr>
      </w:pPr>
      <w:r>
        <w:rPr>
          <w:rFonts w:ascii="Arial" w:cs="Arial" w:eastAsia="Arial" w:hAnsi="Arial"/>
          <w:sz w:val="18"/>
          <w:szCs w:val="18"/>
          <w:color w:val="auto"/>
        </w:rPr>
        <w:t xml:space="preserve">if to any other Issuing Bank that is an Issuing Bank on the Closing Date, the relevant address specified in </w:t>
      </w:r>
      <w:r>
        <w:rPr>
          <w:rFonts w:ascii="Arial" w:cs="Arial" w:eastAsia="Arial" w:hAnsi="Arial"/>
          <w:sz w:val="18"/>
          <w:szCs w:val="18"/>
          <w:u w:val="single" w:color="auto"/>
          <w:color w:val="auto"/>
        </w:rPr>
        <w:t>Schedule 9.01</w:t>
      </w:r>
      <w:r>
        <w:rPr>
          <w:rFonts w:ascii="Arial" w:cs="Arial" w:eastAsia="Arial" w:hAnsi="Arial"/>
          <w:sz w:val="18"/>
          <w:szCs w:val="18"/>
          <w:color w:val="auto"/>
        </w:rPr>
        <w:t>; or</w:t>
      </w:r>
    </w:p>
    <w:p>
      <w:pPr>
        <w:spacing w:after="0" w:line="1" w:lineRule="exact"/>
        <w:rPr>
          <w:sz w:val="20"/>
          <w:szCs w:val="20"/>
          <w:color w:val="auto"/>
        </w:rPr>
      </w:pPr>
    </w:p>
    <w:p>
      <w:pPr>
        <w:ind w:left="561"/>
        <w:spacing w:after="0" w:line="277" w:lineRule="auto"/>
        <w:rPr>
          <w:sz w:val="20"/>
          <w:szCs w:val="20"/>
          <w:color w:val="auto"/>
        </w:rPr>
      </w:pPr>
      <w:r>
        <w:rPr>
          <w:rFonts w:ascii="Arial" w:cs="Arial" w:eastAsia="Arial" w:hAnsi="Arial"/>
          <w:sz w:val="18"/>
          <w:szCs w:val="18"/>
          <w:color w:val="auto"/>
        </w:rPr>
        <w:t>if to any other Issuing Bank, such address as may be specified in the documentation pursuant to which such Issuing Bank is appointed in its capacity as such; and</w:t>
      </w:r>
    </w:p>
    <w:p>
      <w:pPr>
        <w:spacing w:after="0" w:line="170" w:lineRule="exact"/>
        <w:rPr>
          <w:sz w:val="20"/>
          <w:szCs w:val="20"/>
          <w:color w:val="auto"/>
        </w:rPr>
      </w:pPr>
    </w:p>
    <w:p>
      <w:pPr>
        <w:ind w:left="4501" w:right="1520" w:hanging="4501"/>
        <w:spacing w:after="0" w:line="731" w:lineRule="auto"/>
        <w:tabs>
          <w:tab w:leader="none" w:pos="29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if to any Lender, to it at its physical address or email address set forth in its Administrative Questionnaire. 168</w:t>
      </w:r>
    </w:p>
    <w:p>
      <w:pPr>
        <w:sectPr>
          <w:pgSz w:w="11900" w:h="16838" w:orient="portrait"/>
          <w:cols w:equalWidth="0" w:num="1">
            <w:col w:w="9461"/>
          </w:cols>
          <w:pgMar w:left="1299" w:top="274" w:right="1139" w:bottom="1440" w:gutter="0" w:footer="0" w:header="0"/>
        </w:sectPr>
      </w:pPr>
    </w:p>
    <w:bookmarkStart w:id="178" w:name="page179"/>
    <w:bookmarkEnd w:id="178"/>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such notices and other communications (A) sent by hand or overnight courier service, or mailed by certified or registered mail, shall be deemed to have been given when delivered in person or by courier service and signed for against receipt thereof or three Business Days after dispatch if sent by certified or registered mail, in each case, delivered, sent or mailed (properly addressed) to the relevant party as provided in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or in accordance with the latest unrevoked direction from such party given in accordance with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or (B) sent by facsimile shall be deemed to have been given when sent and when receipt has been confirmed by telephone;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notices and other communications sent by telecopier shall be deemed to have been given when sent (except that, if not given during normal business hours for the recipient, such notices or other communications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below shall be effective as provided in such </w:t>
      </w:r>
      <w:r>
        <w:rPr>
          <w:rFonts w:ascii="Arial" w:cs="Arial" w:eastAsia="Arial" w:hAnsi="Arial"/>
          <w:sz w:val="16"/>
          <w:szCs w:val="16"/>
          <w:u w:val="single" w:color="auto"/>
          <w:color w:val="auto"/>
        </w:rPr>
        <w:t>clause (b)</w:t>
      </w:r>
      <w:r>
        <w:rPr>
          <w:rFonts w:ascii="Arial" w:cs="Arial" w:eastAsia="Arial" w:hAnsi="Arial"/>
          <w:sz w:val="16"/>
          <w:szCs w:val="16"/>
          <w:color w:val="auto"/>
        </w:rPr>
        <w:t>.</w:t>
      </w:r>
    </w:p>
    <w:p>
      <w:pPr>
        <w:spacing w:after="0" w:line="57" w:lineRule="exact"/>
        <w:rPr>
          <w:sz w:val="20"/>
          <w:szCs w:val="20"/>
          <w:color w:val="auto"/>
        </w:rPr>
      </w:pPr>
    </w:p>
    <w:p>
      <w:pPr>
        <w:ind w:right="60" w:firstLine="436"/>
        <w:spacing w:after="0" w:line="288" w:lineRule="auto"/>
        <w:tabs>
          <w:tab w:leader="none" w:pos="69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to the Lenders hereunder may be delivered or furnished by electronic communications (including e-mail and Internet or intranet websites) pursuant to procedures set forth herein or otherwise approved by the Administrative Agent. The Administrative Agent or the Borrower (on behalf of any Loan Party) may, in its discretion, agree to accept notices and other communications to it hereunder by electronic communications pursuant to procedures set forth herein or otherwise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or communication not given during the normal business hours of the recipient shall be deemed to have been given at the opening of business on the next Business Day for the recipient or (ii)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 (b)(i)</w:t>
      </w:r>
      <w:r>
        <w:rPr>
          <w:rFonts w:ascii="Arial" w:cs="Arial" w:eastAsia="Arial" w:hAnsi="Arial"/>
          <w:sz w:val="16"/>
          <w:szCs w:val="16"/>
          <w:color w:val="auto"/>
        </w:rPr>
        <w:t xml:space="preserve"> of notification that such notice or communication is available and identifying the website address therefor.</w:t>
      </w:r>
    </w:p>
    <w:p>
      <w:pPr>
        <w:spacing w:after="0" w:line="60" w:lineRule="exact"/>
        <w:rPr>
          <w:rFonts w:ascii="Arial" w:cs="Arial" w:eastAsia="Arial" w:hAnsi="Arial"/>
          <w:sz w:val="16"/>
          <w:szCs w:val="16"/>
          <w:color w:val="auto"/>
        </w:rPr>
      </w:pPr>
    </w:p>
    <w:p>
      <w:pPr>
        <w:ind w:right="160" w:firstLine="436"/>
        <w:spacing w:after="0" w:line="263" w:lineRule="auto"/>
        <w:tabs>
          <w:tab w:leader="none" w:pos="68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Any party hereto may change its address or facsimile number or other notice information hereunder by notice to the other parties hereto; it being understood and agreed that the Borrower may provide any such notice to the Administrative Agent as recipient on behalf of itself, the Swingline Lender, each Issuing Bank and each Lender.</w:t>
      </w:r>
    </w:p>
    <w:p>
      <w:pPr>
        <w:spacing w:after="0" w:line="75" w:lineRule="exact"/>
        <w:rPr>
          <w:rFonts w:ascii="Arial" w:cs="Arial" w:eastAsia="Arial" w:hAnsi="Arial"/>
          <w:sz w:val="18"/>
          <w:szCs w:val="18"/>
          <w:color w:val="auto"/>
        </w:rPr>
      </w:pPr>
    </w:p>
    <w:p>
      <w:pPr>
        <w:ind w:right="140" w:firstLine="436"/>
        <w:spacing w:after="0" w:line="286" w:lineRule="auto"/>
        <w:tabs>
          <w:tab w:leader="none" w:pos="69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Borrower hereby acknowledges that (a) the Administrative Agent will make available to the Lenders and the Issuing Banks materials and/or information provided by, or on behalf of, Holdings or the Borrower hereunder (collectively, the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the Platform and (b) certain of the Lenders may be “public-side” Lenders (</w:t>
      </w:r>
      <w:r>
        <w:rPr>
          <w:rFonts w:ascii="Arial" w:cs="Arial" w:eastAsia="Arial" w:hAnsi="Arial"/>
          <w:sz w:val="16"/>
          <w:szCs w:val="16"/>
          <w:i w:val="1"/>
          <w:iCs w:val="1"/>
          <w:color w:val="auto"/>
        </w:rPr>
        <w:t>i.e.</w:t>
      </w:r>
      <w:r>
        <w:rPr>
          <w:rFonts w:ascii="Arial" w:cs="Arial" w:eastAsia="Arial" w:hAnsi="Arial"/>
          <w:sz w:val="16"/>
          <w:szCs w:val="16"/>
          <w:color w:val="auto"/>
        </w:rPr>
        <w:t>, Lenders that do not wish to receive material nonpublic information within the meaning of the US federal securities laws with respect to Holdings, the Borrower or their respective securities) (each, a “</w:t>
      </w:r>
      <w:r>
        <w:rPr>
          <w:rFonts w:ascii="Arial" w:cs="Arial" w:eastAsia="Arial" w:hAnsi="Arial"/>
          <w:sz w:val="16"/>
          <w:szCs w:val="16"/>
          <w:u w:val="single" w:color="auto"/>
          <w:color w:val="auto"/>
        </w:rPr>
        <w:t>Public</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At the reasonable request of the Administrative Agent, the Borrower hereby agrees that (i) all Borrower Materials that are to be made available to Public Lenders shall be clearly and conspicuously marked “PUBLIC”, (ii) by marking Borrower Materials “PUBLIC,” the Borrower shall be deemed to have authorized the Administrative Agent and the Lenders to treat such Borrower Materials as information of a type that (A) is publicly available or (B) would not be material with respect to Holdings, the Borrower, their respective subsidiaries, any of their respective securities or the Transactions, as determined in good faith by the Borrower, for purposes of the US federal securities laws and (iii) the Administrative Agent shall be required to treat Borrower Materials that are not marked “PUBLIC” as being suitable only for posting on a portion of the Platform not marked as “Public Investor.” Notwithstanding the foregoing, the Loan Documents shall be deemed to be marked “PUBLIC,” unless the Borrower notifies the Administrative Agent promptly that any such document contains material nonpublic information (it being understood that the Borrower shall have a reasonable opportunity to review the same prior to distribution and comply with SEC or other applicable disclosure obligations).</w:t>
      </w:r>
    </w:p>
    <w:p>
      <w:pPr>
        <w:spacing w:after="0" w:line="17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US federal and state securities laws, to make reference to communications that are not made available through the “Public Side Information” portion of the Platform and that may contain material non-public information with respect to the Borrower or its securities for purposes of US Federal or state securities laws.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980"/>
          </w:cols>
          <w:pgMar w:left="440" w:top="274" w:right="479" w:bottom="1440" w:gutter="0" w:footer="0" w:header="0"/>
        </w:sectPr>
      </w:pPr>
    </w:p>
    <w:bookmarkStart w:id="179" w:name="page180"/>
    <w:bookmarkEnd w:id="179"/>
    <w:p>
      <w:pPr>
        <w:ind w:right="10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PLATFORM IS PROVIDED “AS IS” AND “AS AVAILABLE.” NEITHER THE ADMINISTRATIVE AGENT NOR ANY OF ITS RELATED PARTIES WARRANTS THE ACCURACY OR COMPLETENESS OF THE COMMUNICATIONS ON, OR THE ADEQUACY OF, THE PLATFORM, AND EACH EXPRESSLY DISCLAIMS LIABILITY FOR ERRORS OR OMISSIONS IN ANY SUCH COMMUNICATION. NO WARRANTY OF ANY KIND, EXPRESS, IMPLIED OR STATUTORY, INCLUDING ANY WARRANTY OF MERCHANTABILITY, FITNESS FOR A PARTICULAR PURPOSE, NONINFRINGEMENT OF THIRD-PARTY RIGHTS OR FREEDOM FROM VIRUSES OR OTHER CODE DEFECTS IS MADE BY THE ADMINISTRATIVE AGENT OR ANY OF ITS RELATED PARTIES IN CONNECTION WITH THE COMMUNICATIONS OR THE PLATFORM. IN NO EVENT SHALL ANY PARTY HERETO OR ANY OF ITS RELATED PARTIES HAVE ANY LIABILITY TO ANY OTHER PARTY HERETO OR ANY OTHER PERSON FOR DAMAGES OF ANY KIND, WHETHER OR NOT BASED ON STRICT LIABILITY AND INCLUDING DIRECT OR INDIRECT, SPECIAL, INCIDENTAL OR CONSEQUENTIAL DAMAGES, LOSSES OR EXPENSES (WHETHER IN TORT, CONTRACT OR OTHERWISE) ARISING OUT OF ANY LOAN PARTY’S OR THE ADMINISTRATIVE AGENT’S TRANSMISSION OF COMMUNICATIONS THROUGH THE INTERNET, EXCEPT TO THE EXTENT THE LIABILITY OF ANY SUCH PERSON IS FOUND IN A FINAL RULING BY A COURT OF COMPETENT JURISDICTION TO HAVE RESULTED FROM SUCH PERSON’S GROSS NEGLIGENCE OR WILLFUL MISCONDUCT OR MATERIAL BREACH OF THIS AGREEMENT.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Waivers; Amendments</w:t>
      </w:r>
      <w:r>
        <w:rPr>
          <w:rFonts w:ascii="Arial" w:cs="Arial" w:eastAsia="Arial" w:hAnsi="Arial"/>
          <w:sz w:val="18"/>
          <w:szCs w:val="18"/>
          <w:color w:val="auto"/>
        </w:rPr>
        <w:t>.</w:t>
      </w:r>
    </w:p>
    <w:p>
      <w:pPr>
        <w:spacing w:after="0" w:line="117" w:lineRule="exact"/>
        <w:rPr>
          <w:sz w:val="20"/>
          <w:szCs w:val="20"/>
          <w:color w:val="auto"/>
        </w:rPr>
      </w:pPr>
    </w:p>
    <w:p>
      <w:pPr>
        <w:ind w:right="140" w:firstLine="436"/>
        <w:spacing w:after="0" w:line="269" w:lineRule="auto"/>
        <w:tabs>
          <w:tab w:leader="none" w:pos="685" w:val="left"/>
        </w:tabs>
        <w:numPr>
          <w:ilvl w:val="0"/>
          <w:numId w:val="283"/>
        </w:numPr>
        <w:rPr>
          <w:rFonts w:ascii="Arial" w:cs="Arial" w:eastAsia="Arial" w:hAnsi="Arial"/>
          <w:sz w:val="17"/>
          <w:szCs w:val="17"/>
          <w:color w:val="auto"/>
        </w:rPr>
      </w:pPr>
      <w:r>
        <w:rPr>
          <w:rFonts w:ascii="Arial" w:cs="Arial" w:eastAsia="Arial" w:hAnsi="Arial"/>
          <w:sz w:val="17"/>
          <w:szCs w:val="17"/>
          <w:color w:val="auto"/>
        </w:rPr>
        <w:t xml:space="preserve">No failure or delay by the Administrative Agent, any Issuing Bank or any Lender in exercising any right or power hereunder or under any other Loan Document shall operate as a waiver thereof except as provided herein or in any Loan Document,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hereunder and under any other Loan Document are cumulative and are not exclusive of any rights or remedies that they would otherwise have. No waiver of any provision of any Loan Document or consent to any departure by any party hereto therefrom shall in any event be effective unless the same is permitted by this </w:t>
      </w:r>
      <w:r>
        <w:rPr>
          <w:rFonts w:ascii="Arial" w:cs="Arial" w:eastAsia="Arial" w:hAnsi="Arial"/>
          <w:sz w:val="17"/>
          <w:szCs w:val="17"/>
          <w:u w:val="single" w:color="auto"/>
          <w:color w:val="auto"/>
        </w:rPr>
        <w:t>Section 9.02</w:t>
      </w:r>
      <w:r>
        <w:rPr>
          <w:rFonts w:ascii="Arial" w:cs="Arial" w:eastAsia="Arial" w:hAnsi="Arial"/>
          <w:sz w:val="17"/>
          <w:szCs w:val="17"/>
          <w:color w:val="auto"/>
        </w:rPr>
        <w:t>, and then such waiver or consent shall be effective only in the specific instance and for the purpose for which it is given. Without limiting the generality of the foregoing, to the extent permitted by applicable Requirements of Law, neither the making of any Loan nor the issuance of any Letter of Credit shall be construed as a waiver of any Default or Event of Default, regardless of whether the Administrative Agent, any Lender or any Issuing Bank may have had notice or knowledge of such Default or Event of Default at the time.</w:t>
      </w:r>
    </w:p>
    <w:p>
      <w:pPr>
        <w:spacing w:after="0" w:line="185" w:lineRule="exact"/>
        <w:rPr>
          <w:rFonts w:ascii="Arial" w:cs="Arial" w:eastAsia="Arial" w:hAnsi="Arial"/>
          <w:sz w:val="17"/>
          <w:szCs w:val="17"/>
          <w:color w:val="auto"/>
        </w:rPr>
      </w:pPr>
    </w:p>
    <w:p>
      <w:pPr>
        <w:ind w:firstLine="436"/>
        <w:spacing w:after="0" w:line="254" w:lineRule="auto"/>
        <w:tabs>
          <w:tab w:leader="none" w:pos="69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Except as expressly provided in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(or otherwise in this Agreement or the applicable Loan Document), neither this Agreement nor any other Loan Document nor any provision hereof or thereof may be waived, amended or modified, except (i) in the case of this Agreement, pursuant to an agreement or agreements in writing entered into by the Borrower and the Required Lenders (or the Administrative Agent with the consent of the Required Lenders) or (ii) in the case of any other Loan Document (other than any waiver, amendment or modification to effectuate any modification thereto expressly contemplated by the terms of such other Loan Document), pursuant to an agreement or agreements in writing entered into by the Administrative Agent and each Loan Party that is party thereto,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the foregoing:</w:t>
      </w:r>
    </w:p>
    <w:p>
      <w:pPr>
        <w:spacing w:after="0" w:line="86" w:lineRule="exact"/>
        <w:rPr>
          <w:rFonts w:ascii="Arial" w:cs="Arial" w:eastAsia="Arial" w:hAnsi="Arial"/>
          <w:sz w:val="18"/>
          <w:szCs w:val="18"/>
          <w:color w:val="auto"/>
        </w:rPr>
      </w:pPr>
    </w:p>
    <w:p>
      <w:pPr>
        <w:ind w:left="980" w:right="620" w:firstLine="408"/>
        <w:spacing w:after="0" w:line="277" w:lineRule="auto"/>
        <w:tabs>
          <w:tab w:leader="none" w:pos="1676"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consent of each Lender directly and adversely affected thereby (but not the consent of the Required Lenders) shall be required for any waiver, amendment or modification that: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00"/>
          </w:cols>
          <w:pgMar w:left="440" w:top="274" w:right="459" w:bottom="1440" w:gutter="0" w:footer="0" w:header="0"/>
        </w:sectPr>
      </w:pPr>
    </w:p>
    <w:bookmarkStart w:id="180" w:name="page181"/>
    <w:bookmarkEnd w:id="180"/>
    <w:p>
      <w:pPr>
        <w:ind w:left="420" w:firstLine="391"/>
        <w:spacing w:after="0" w:line="301" w:lineRule="auto"/>
        <w:tabs>
          <w:tab w:leader="none" w:pos="1058" w:val="left"/>
        </w:tabs>
        <w:numPr>
          <w:ilvl w:val="1"/>
          <w:numId w:val="2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increases the Commitment of such Lender (other than with respect to any Incremental Facility pursuant 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in respect of which such Lender has agreed to be an Incremental Lender); it being understood that no amendment, modification or waiver of, or consent to departure from, any condition precedent, representation, warranty, covenant, Default, Event of Default, mandatory prepayment or mandatory reduction of the Commitments shall constitute an increase of any Commitment of such Lender;</w:t>
      </w:r>
    </w:p>
    <w:p>
      <w:pPr>
        <w:spacing w:after="0" w:line="49" w:lineRule="exact"/>
        <w:rPr>
          <w:rFonts w:ascii="Arial" w:cs="Arial" w:eastAsia="Arial" w:hAnsi="Arial"/>
          <w:sz w:val="16"/>
          <w:szCs w:val="16"/>
          <w:color w:val="auto"/>
        </w:rPr>
      </w:pPr>
    </w:p>
    <w:p>
      <w:pPr>
        <w:ind w:left="1060" w:hanging="249"/>
        <w:spacing w:after="0"/>
        <w:tabs>
          <w:tab w:leader="none" w:pos="106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reduces the principal amount of any Loan owed to such Lender or any amount due to such Lender on any Loan Installment</w:t>
      </w:r>
    </w:p>
    <w:p>
      <w:pPr>
        <w:spacing w:after="0" w:line="4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02" w:lineRule="exact"/>
        <w:rPr>
          <w:rFonts w:ascii="Arial" w:cs="Arial" w:eastAsia="Arial" w:hAnsi="Arial"/>
          <w:sz w:val="16"/>
          <w:szCs w:val="16"/>
          <w:color w:val="auto"/>
        </w:rPr>
      </w:pPr>
    </w:p>
    <w:p>
      <w:pPr>
        <w:ind w:left="420" w:right="220" w:firstLine="391"/>
        <w:spacing w:after="0" w:line="311" w:lineRule="auto"/>
        <w:tabs>
          <w:tab w:leader="none" w:pos="1058" w:val="left"/>
        </w:tabs>
        <w:numPr>
          <w:ilvl w:val="1"/>
          <w:numId w:val="284"/>
        </w:numPr>
        <w:rPr>
          <w:rFonts w:ascii="Arial" w:cs="Arial" w:eastAsia="Arial" w:hAnsi="Arial"/>
          <w:sz w:val="16"/>
          <w:szCs w:val="16"/>
          <w:color w:val="auto"/>
        </w:rPr>
      </w:pPr>
      <w:r>
        <w:rPr>
          <w:rFonts w:ascii="Arial" w:cs="Arial" w:eastAsia="Arial" w:hAnsi="Arial"/>
          <w:sz w:val="16"/>
          <w:szCs w:val="16"/>
          <w:color w:val="auto"/>
        </w:rPr>
        <w:t>(x) extends the scheduled final maturity of any Loan or (y) postpones any Loan Installment Date or any Interest Payment Date with respect to any Loan held by such Lender or the date of any scheduled payment of any fee or premium payable to such Lender hereunder (in each case, other than any extension for administrative reasons agreed by the Administrative Agent);</w:t>
      </w:r>
    </w:p>
    <w:p>
      <w:pPr>
        <w:spacing w:after="0" w:line="40" w:lineRule="exact"/>
        <w:rPr>
          <w:rFonts w:ascii="Arial" w:cs="Arial" w:eastAsia="Arial" w:hAnsi="Arial"/>
          <w:sz w:val="16"/>
          <w:szCs w:val="16"/>
          <w:color w:val="auto"/>
        </w:rPr>
      </w:pPr>
    </w:p>
    <w:p>
      <w:pPr>
        <w:ind w:left="420" w:right="220" w:firstLine="391"/>
        <w:spacing w:after="0" w:line="273" w:lineRule="auto"/>
        <w:tabs>
          <w:tab w:leader="none" w:pos="1058" w:val="left"/>
        </w:tabs>
        <w:numPr>
          <w:ilvl w:val="1"/>
          <w:numId w:val="284"/>
        </w:numPr>
        <w:rPr>
          <w:rFonts w:ascii="Arial" w:cs="Arial" w:eastAsia="Arial" w:hAnsi="Arial"/>
          <w:sz w:val="17"/>
          <w:szCs w:val="17"/>
          <w:u w:val="single" w:color="auto"/>
          <w:color w:val="auto"/>
        </w:rPr>
      </w:pPr>
      <w:r>
        <w:rPr>
          <w:rFonts w:ascii="Arial" w:cs="Arial" w:eastAsia="Arial" w:hAnsi="Arial"/>
          <w:sz w:val="17"/>
          <w:szCs w:val="17"/>
          <w:color w:val="auto"/>
        </w:rPr>
        <w:t xml:space="preserve">reduces the rate of interest (other than to waive any Default or Event of Default or any obligation of the Borrower to pay interest to such Lender at the default rate of interest under </w:t>
      </w:r>
      <w:r>
        <w:rPr>
          <w:rFonts w:ascii="Arial" w:cs="Arial" w:eastAsia="Arial" w:hAnsi="Arial"/>
          <w:sz w:val="17"/>
          <w:szCs w:val="17"/>
          <w:u w:val="single" w:color="auto"/>
          <w:color w:val="auto"/>
        </w:rPr>
        <w:t>Section 2.13(d)</w:t>
      </w:r>
      <w:r>
        <w:rPr>
          <w:rFonts w:ascii="Arial" w:cs="Arial" w:eastAsia="Arial" w:hAnsi="Arial"/>
          <w:sz w:val="17"/>
          <w:szCs w:val="17"/>
          <w:color w:val="auto"/>
        </w:rPr>
        <w:t>, which shall only require the consent of the Required Lenders) or the amount of any fee or premium owed to such Lender; it being understood that no change in the definition of “Total Net Leverage Ratio” or any other ratio used in the calculation of the Applicable Rate or the Commitment Fee Rate, or in the calculation of any other interest, fee or premium due hereunder (including any component definition thereof) shall constitute a reduction in any rate of interest or fee hereunder;</w:t>
      </w:r>
    </w:p>
    <w:p>
      <w:pPr>
        <w:spacing w:after="0" w:line="69" w:lineRule="exact"/>
        <w:rPr>
          <w:rFonts w:ascii="Arial" w:cs="Arial" w:eastAsia="Arial" w:hAnsi="Arial"/>
          <w:sz w:val="17"/>
          <w:szCs w:val="17"/>
          <w:u w:val="single" w:color="auto"/>
          <w:color w:val="auto"/>
        </w:rPr>
      </w:pPr>
    </w:p>
    <w:p>
      <w:pPr>
        <w:ind w:left="420" w:right="140" w:firstLine="391"/>
        <w:spacing w:after="0" w:line="311" w:lineRule="auto"/>
        <w:tabs>
          <w:tab w:leader="none" w:pos="1058" w:val="left"/>
        </w:tabs>
        <w:numPr>
          <w:ilvl w:val="1"/>
          <w:numId w:val="284"/>
        </w:numPr>
        <w:rPr>
          <w:rFonts w:ascii="Arial" w:cs="Arial" w:eastAsia="Arial" w:hAnsi="Arial"/>
          <w:sz w:val="16"/>
          <w:szCs w:val="16"/>
          <w:color w:val="auto"/>
        </w:rPr>
      </w:pPr>
      <w:r>
        <w:rPr>
          <w:rFonts w:ascii="Arial" w:cs="Arial" w:eastAsia="Arial" w:hAnsi="Arial"/>
          <w:sz w:val="16"/>
          <w:szCs w:val="16"/>
          <w:color w:val="auto"/>
        </w:rPr>
        <w:t>extends the expiry date of such Lender’s Commitment; it being understood that no amendment, modification or waiver of, or consent to departure from, any condition precedent, representation, warranty, covenant, Default, Event of Default, mandatory prepayment or mandatory reduction of any Commitment shall constitute an extension of any Commitment of any Lender; and</w:t>
      </w:r>
    </w:p>
    <w:p>
      <w:pPr>
        <w:spacing w:after="0" w:line="40" w:lineRule="exact"/>
        <w:rPr>
          <w:rFonts w:ascii="Arial" w:cs="Arial" w:eastAsia="Arial" w:hAnsi="Arial"/>
          <w:sz w:val="16"/>
          <w:szCs w:val="16"/>
          <w:color w:val="auto"/>
        </w:rPr>
      </w:pPr>
    </w:p>
    <w:p>
      <w:pPr>
        <w:ind w:left="420" w:right="80" w:firstLine="391"/>
        <w:spacing w:after="0" w:line="286" w:lineRule="auto"/>
        <w:tabs>
          <w:tab w:leader="none" w:pos="1058" w:val="left"/>
        </w:tabs>
        <w:numPr>
          <w:ilvl w:val="1"/>
          <w:numId w:val="284"/>
        </w:numPr>
        <w:rPr>
          <w:rFonts w:ascii="Arial" w:cs="Arial" w:eastAsia="Arial" w:hAnsi="Arial"/>
          <w:sz w:val="17"/>
          <w:szCs w:val="17"/>
          <w:color w:val="auto"/>
        </w:rPr>
      </w:pPr>
      <w:r>
        <w:rPr>
          <w:rFonts w:ascii="Arial" w:cs="Arial" w:eastAsia="Arial" w:hAnsi="Arial"/>
          <w:sz w:val="17"/>
          <w:szCs w:val="17"/>
          <w:color w:val="auto"/>
        </w:rPr>
        <w:t xml:space="preserve">waives, amends or modifies the provisions of </w:t>
      </w:r>
      <w:r>
        <w:rPr>
          <w:rFonts w:ascii="Arial" w:cs="Arial" w:eastAsia="Arial" w:hAnsi="Arial"/>
          <w:sz w:val="17"/>
          <w:szCs w:val="17"/>
          <w:u w:val="single" w:color="auto"/>
          <w:color w:val="auto"/>
        </w:rPr>
        <w:t>Sections 2.18(b)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this Agreement in a manner that would by its terms alter the pro rata sharing of payments required thereby (except in connection with any transaction permitted under </w:t>
      </w:r>
      <w:r>
        <w:rPr>
          <w:rFonts w:ascii="Arial" w:cs="Arial" w:eastAsia="Arial" w:hAnsi="Arial"/>
          <w:sz w:val="17"/>
          <w:szCs w:val="17"/>
          <w:u w:val="single" w:color="auto"/>
          <w:color w:val="auto"/>
        </w:rPr>
        <w:t>Sections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w:t>
      </w:r>
      <w:r>
        <w:rPr>
          <w:rFonts w:ascii="Arial" w:cs="Arial" w:eastAsia="Arial" w:hAnsi="Arial"/>
          <w:sz w:val="17"/>
          <w:szCs w:val="17"/>
          <w:u w:val="single" w:color="auto"/>
          <w:color w:val="auto"/>
        </w:rPr>
        <w:t>9.02(c)</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9.05(g)</w:t>
      </w:r>
      <w:r>
        <w:rPr>
          <w:rFonts w:ascii="Arial" w:cs="Arial" w:eastAsia="Arial" w:hAnsi="Arial"/>
          <w:sz w:val="17"/>
          <w:szCs w:val="17"/>
          <w:color w:val="auto"/>
        </w:rPr>
        <w:t xml:space="preserve"> or as otherwise provided in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or otherwise in this Agreement);</w:t>
      </w:r>
    </w:p>
    <w:p>
      <w:pPr>
        <w:spacing w:after="0" w:line="57" w:lineRule="exact"/>
        <w:rPr>
          <w:rFonts w:ascii="Arial" w:cs="Arial" w:eastAsia="Arial" w:hAnsi="Arial"/>
          <w:sz w:val="17"/>
          <w:szCs w:val="17"/>
          <w:color w:val="auto"/>
        </w:rPr>
      </w:pPr>
    </w:p>
    <w:p>
      <w:pPr>
        <w:ind w:left="680" w:hanging="292"/>
        <w:spacing w:after="0"/>
        <w:tabs>
          <w:tab w:leader="none" w:pos="6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no such agreement shall:</w:t>
      </w:r>
    </w:p>
    <w:p>
      <w:pPr>
        <w:spacing w:after="0" w:line="117" w:lineRule="exact"/>
        <w:rPr>
          <w:rFonts w:ascii="Arial" w:cs="Arial" w:eastAsia="Arial" w:hAnsi="Arial"/>
          <w:sz w:val="18"/>
          <w:szCs w:val="18"/>
          <w:color w:val="auto"/>
        </w:rPr>
      </w:pPr>
    </w:p>
    <w:p>
      <w:pPr>
        <w:ind w:left="420" w:right="60" w:firstLine="391"/>
        <w:spacing w:after="0" w:line="254" w:lineRule="auto"/>
        <w:tabs>
          <w:tab w:leader="none" w:pos="1058" w:val="left"/>
        </w:tabs>
        <w:numPr>
          <w:ilvl w:val="1"/>
          <w:numId w:val="285"/>
        </w:numPr>
        <w:rPr>
          <w:rFonts w:ascii="Arial" w:cs="Arial" w:eastAsia="Arial" w:hAnsi="Arial"/>
          <w:sz w:val="18"/>
          <w:szCs w:val="18"/>
          <w:color w:val="auto"/>
        </w:rPr>
      </w:pPr>
      <w:r>
        <w:rPr>
          <w:rFonts w:ascii="Arial" w:cs="Arial" w:eastAsia="Arial" w:hAnsi="Arial"/>
          <w:sz w:val="18"/>
          <w:szCs w:val="18"/>
          <w:color w:val="auto"/>
        </w:rPr>
        <w:t xml:space="preserve">change (x) any of the provisions of </w:t>
      </w:r>
      <w:r>
        <w:rPr>
          <w:rFonts w:ascii="Arial" w:cs="Arial" w:eastAsia="Arial" w:hAnsi="Arial"/>
          <w:sz w:val="18"/>
          <w:szCs w:val="18"/>
          <w:u w:val="single" w:color="auto"/>
          <w:color w:val="auto"/>
        </w:rPr>
        <w:t>Section 9.02(a)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the definition of “Required Lenders”, in each case to reduce any voting percentage required to waive, amend or modify any right thereunder or make any determination or grant any consent thereunder, without the prior written consent of each Lender or (y) the definition of “Required Revolving Lenders” to reduce any voting percentage required to waive, amend or modify any right thereunder or make any determination or grant any consent thereunder, without the prior written consent of each Revolving Lender (it being understood that neither the consent of the Required Lenders nor the consent of any other Lender shall be required in connection with any change to the definition of “Required Revolving Lenders”);</w:t>
      </w:r>
    </w:p>
    <w:p>
      <w:pPr>
        <w:spacing w:after="0" w:line="1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0000"/>
          </w:cols>
          <w:pgMar w:left="1440" w:top="274" w:right="459" w:bottom="1440" w:gutter="0" w:footer="0" w:header="0"/>
        </w:sectPr>
      </w:pPr>
    </w:p>
    <w:bookmarkStart w:id="181" w:name="page182"/>
    <w:bookmarkEnd w:id="181"/>
    <w:p>
      <w:pPr>
        <w:ind w:left="984" w:right="60" w:firstLine="391"/>
        <w:spacing w:after="0" w:line="284" w:lineRule="auto"/>
        <w:tabs>
          <w:tab w:leader="none" w:pos="1622" w:val="left"/>
        </w:tabs>
        <w:numPr>
          <w:ilvl w:val="4"/>
          <w:numId w:val="2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release all or substantially all of the Collateral from the Lien granted pursuant to the Collateral Documents (except as otherwise permitted herein or in the other Loan Documents, including pursuant to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9.22</w:t>
      </w:r>
      <w:r>
        <w:rPr>
          <w:rFonts w:ascii="Arial" w:cs="Arial" w:eastAsia="Arial" w:hAnsi="Arial"/>
          <w:sz w:val="16"/>
          <w:szCs w:val="16"/>
          <w:color w:val="auto"/>
        </w:rPr>
        <w:t>), without the prior written consent of each Lender or (B) subordinate the Lien on a material portion of the Collateral, taken as a whole (as determined by the Borrower in good faith), securing the Secured Obligations or subordinate the Obligations in right of payment, in either case, to any other Indebtedness for borrowed money (in each case, other than in connection with (I) any Acceptable Debtor-In-Possession Financing, (II) the implementation of an “asset-based” revolving credit facility, Receivables Facility or similar financing and/or</w:t>
      </w:r>
    </w:p>
    <w:p>
      <w:pPr>
        <w:spacing w:after="0" w:line="4" w:lineRule="exact"/>
        <w:rPr>
          <w:rFonts w:ascii="Arial" w:cs="Arial" w:eastAsia="Arial" w:hAnsi="Arial"/>
          <w:sz w:val="16"/>
          <w:szCs w:val="16"/>
          <w:color w:val="auto"/>
        </w:rPr>
      </w:pPr>
    </w:p>
    <w:p>
      <w:pPr>
        <w:ind w:left="984" w:right="140" w:firstLine="8"/>
        <w:spacing w:after="0" w:line="260" w:lineRule="auto"/>
        <w:tabs>
          <w:tab w:leader="none" w:pos="1328" w:val="left"/>
        </w:tabs>
        <w:numPr>
          <w:ilvl w:val="3"/>
          <w:numId w:val="287"/>
        </w:numPr>
        <w:rPr>
          <w:rFonts w:ascii="Arial" w:cs="Arial" w:eastAsia="Arial" w:hAnsi="Arial"/>
          <w:sz w:val="18"/>
          <w:szCs w:val="18"/>
          <w:color w:val="auto"/>
        </w:rPr>
      </w:pPr>
      <w:r>
        <w:rPr>
          <w:rFonts w:ascii="Arial" w:cs="Arial" w:eastAsia="Arial" w:hAnsi="Arial"/>
          <w:sz w:val="18"/>
          <w:szCs w:val="18"/>
          <w:color w:val="auto"/>
        </w:rPr>
        <w:t>any other financing with respect to which each relevant Lender has been offered the opportunity to provide such financing), in each case, without the prior written consent of each Lender; or</w:t>
      </w:r>
    </w:p>
    <w:p>
      <w:pPr>
        <w:spacing w:after="0" w:line="77" w:lineRule="exact"/>
        <w:rPr>
          <w:rFonts w:ascii="Arial" w:cs="Arial" w:eastAsia="Arial" w:hAnsi="Arial"/>
          <w:sz w:val="18"/>
          <w:szCs w:val="18"/>
          <w:color w:val="auto"/>
        </w:rPr>
      </w:pPr>
    </w:p>
    <w:p>
      <w:pPr>
        <w:ind w:left="984" w:right="40" w:firstLine="391"/>
        <w:spacing w:after="0" w:line="342" w:lineRule="auto"/>
        <w:tabs>
          <w:tab w:leader="none" w:pos="1622" w:val="left"/>
        </w:tabs>
        <w:numPr>
          <w:ilvl w:val="4"/>
          <w:numId w:val="287"/>
        </w:numPr>
        <w:rPr>
          <w:rFonts w:ascii="Arial" w:cs="Arial" w:eastAsia="Arial" w:hAnsi="Arial"/>
          <w:sz w:val="16"/>
          <w:szCs w:val="16"/>
          <w:color w:val="auto"/>
        </w:rPr>
      </w:pPr>
      <w:r>
        <w:rPr>
          <w:rFonts w:ascii="Arial" w:cs="Arial" w:eastAsia="Arial" w:hAnsi="Arial"/>
          <w:sz w:val="16"/>
          <w:szCs w:val="16"/>
          <w:color w:val="auto"/>
        </w:rPr>
        <w:t xml:space="preserve">release all or substantially all of the value of the Guarantees under the Loan Guaranty (except as otherwise permitted herein or in the other Loan Documents, including pursuant to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9.22</w:t>
      </w:r>
      <w:r>
        <w:rPr>
          <w:rFonts w:ascii="Arial" w:cs="Arial" w:eastAsia="Arial" w:hAnsi="Arial"/>
          <w:sz w:val="16"/>
          <w:szCs w:val="16"/>
          <w:color w:val="auto"/>
        </w:rPr>
        <w:t>), without the prior written consent of each Lender;</w:t>
      </w:r>
    </w:p>
    <w:p>
      <w:pPr>
        <w:spacing w:after="0" w:line="15" w:lineRule="exact"/>
        <w:rPr>
          <w:rFonts w:ascii="Arial" w:cs="Arial" w:eastAsia="Arial" w:hAnsi="Arial"/>
          <w:sz w:val="16"/>
          <w:szCs w:val="16"/>
          <w:color w:val="auto"/>
        </w:rPr>
      </w:pPr>
    </w:p>
    <w:p>
      <w:pPr>
        <w:ind w:left="544" w:right="600" w:firstLine="408"/>
        <w:spacing w:after="0" w:line="263" w:lineRule="auto"/>
        <w:tabs>
          <w:tab w:leader="none" w:pos="1229" w:val="left"/>
        </w:tabs>
        <w:numPr>
          <w:ilvl w:val="2"/>
          <w:numId w:val="288"/>
        </w:numPr>
        <w:rPr>
          <w:rFonts w:ascii="Arial" w:cs="Arial" w:eastAsia="Arial" w:hAnsi="Arial"/>
          <w:sz w:val="18"/>
          <w:szCs w:val="18"/>
          <w:color w:val="auto"/>
        </w:rPr>
      </w:pPr>
      <w:r>
        <w:rPr>
          <w:rFonts w:ascii="Arial" w:cs="Arial" w:eastAsia="Arial" w:hAnsi="Arial"/>
          <w:sz w:val="18"/>
          <w:szCs w:val="18"/>
          <w:color w:val="auto"/>
        </w:rPr>
        <w:t xml:space="preserve">solely with the consent of the Required Revolving Lenders (but without the consent of the Required Lenders or any other Lender), any such agreement may waive, amend or modify any condition precedent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as it pertains to any Revolving Loan and/or Letter of Credit; and</w:t>
      </w:r>
    </w:p>
    <w:p>
      <w:pPr>
        <w:spacing w:after="0" w:line="75" w:lineRule="exact"/>
        <w:rPr>
          <w:rFonts w:ascii="Arial" w:cs="Arial" w:eastAsia="Arial" w:hAnsi="Arial"/>
          <w:sz w:val="18"/>
          <w:szCs w:val="18"/>
          <w:color w:val="auto"/>
        </w:rPr>
      </w:pPr>
    </w:p>
    <w:p>
      <w:pPr>
        <w:ind w:left="544" w:right="20" w:firstLine="408"/>
        <w:spacing w:after="0" w:line="257" w:lineRule="auto"/>
        <w:tabs>
          <w:tab w:leader="none" w:pos="1239" w:val="left"/>
        </w:tabs>
        <w:numPr>
          <w:ilvl w:val="2"/>
          <w:numId w:val="288"/>
        </w:numPr>
        <w:rPr>
          <w:rFonts w:ascii="Arial" w:cs="Arial" w:eastAsia="Arial" w:hAnsi="Arial"/>
          <w:sz w:val="18"/>
          <w:szCs w:val="18"/>
          <w:color w:val="auto"/>
        </w:rPr>
      </w:pPr>
      <w:r>
        <w:rPr>
          <w:rFonts w:ascii="Arial" w:cs="Arial" w:eastAsia="Arial" w:hAnsi="Arial"/>
          <w:sz w:val="18"/>
          <w:szCs w:val="18"/>
          <w:color w:val="auto"/>
        </w:rPr>
        <w:t xml:space="preserve">solely with the consent of the relevant Issuing Bank, any such agreement may (x) increase or decrease the Letter of Credit Sublimit, (y) waive, amend or modify any condition precedent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as it pertains to the issuance of any Letter of Credit or (z) amend or modify the provisions of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or any letter of credit application and any bilateral agreement between the Borrower and any Issuing Bank regarding such Issuing Bank’s LC Exposure or the respective rights and obligations between the Borrower and such Issuing Bank in connection with the issuance of Letters of Credit;</w:t>
      </w:r>
    </w:p>
    <w:p>
      <w:pPr>
        <w:spacing w:after="0" w:line="79" w:lineRule="exact"/>
        <w:rPr>
          <w:rFonts w:ascii="Arial" w:cs="Arial" w:eastAsia="Arial" w:hAnsi="Arial"/>
          <w:sz w:val="18"/>
          <w:szCs w:val="18"/>
          <w:color w:val="auto"/>
        </w:rPr>
      </w:pPr>
    </w:p>
    <w:p>
      <w:pPr>
        <w:ind w:left="544" w:right="240" w:firstLine="408"/>
        <w:spacing w:after="0" w:line="277" w:lineRule="auto"/>
        <w:tabs>
          <w:tab w:leader="none" w:pos="1219" w:val="left"/>
        </w:tabs>
        <w:numPr>
          <w:ilvl w:val="2"/>
          <w:numId w:val="288"/>
        </w:numPr>
        <w:rPr>
          <w:rFonts w:ascii="Arial" w:cs="Arial" w:eastAsia="Arial" w:hAnsi="Arial"/>
          <w:sz w:val="18"/>
          <w:szCs w:val="18"/>
          <w:color w:val="auto"/>
        </w:rPr>
      </w:pPr>
      <w:r>
        <w:rPr>
          <w:rFonts w:ascii="Arial" w:cs="Arial" w:eastAsia="Arial" w:hAnsi="Arial"/>
          <w:sz w:val="18"/>
          <w:szCs w:val="18"/>
          <w:color w:val="auto"/>
        </w:rPr>
        <w:t xml:space="preserve">solely with the consent of the Swingline Lender, any such agreement may increase or decrease the amount of Swingline Loans available under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544" w:firstLine="408"/>
        <w:spacing w:after="0" w:line="263" w:lineRule="auto"/>
        <w:tabs>
          <w:tab w:leader="none" w:pos="1209" w:val="left"/>
        </w:tabs>
        <w:numPr>
          <w:ilvl w:val="2"/>
          <w:numId w:val="288"/>
        </w:numPr>
        <w:rPr>
          <w:rFonts w:ascii="Arial" w:cs="Arial" w:eastAsia="Arial" w:hAnsi="Arial"/>
          <w:sz w:val="18"/>
          <w:szCs w:val="18"/>
          <w:color w:val="auto"/>
        </w:rPr>
      </w:pPr>
      <w:r>
        <w:rPr>
          <w:rFonts w:ascii="Arial" w:cs="Arial" w:eastAsia="Arial" w:hAnsi="Arial"/>
          <w:sz w:val="18"/>
          <w:szCs w:val="18"/>
          <w:color w:val="auto"/>
        </w:rPr>
        <w:t>no such agreement shall amend, modify or otherwise affect the rights or duties of the Administrative Agent, any Issuing Bank or the Swingline Lender hereunder without the prior written consent of the Administrative Agent, such Issuing Bank or the Swingline Lender, as the case may be.</w:t>
      </w:r>
    </w:p>
    <w:p>
      <w:pPr>
        <w:spacing w:after="0" w:line="75" w:lineRule="exact"/>
        <w:rPr>
          <w:rFonts w:ascii="Arial" w:cs="Arial" w:eastAsia="Arial" w:hAnsi="Arial"/>
          <w:sz w:val="18"/>
          <w:szCs w:val="18"/>
          <w:color w:val="auto"/>
        </w:rPr>
      </w:pPr>
    </w:p>
    <w:p>
      <w:pPr>
        <w:ind w:left="244" w:hanging="244"/>
        <w:spacing w:after="0"/>
        <w:tabs>
          <w:tab w:leader="none" w:pos="24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Notwithstanding the foregoing, this Agreement may be amended:</w:t>
      </w:r>
    </w:p>
    <w:p>
      <w:pPr>
        <w:spacing w:after="0" w:line="117" w:lineRule="exact"/>
        <w:rPr>
          <w:rFonts w:ascii="Arial" w:cs="Arial" w:eastAsia="Arial" w:hAnsi="Arial"/>
          <w:sz w:val="18"/>
          <w:szCs w:val="18"/>
          <w:color w:val="auto"/>
        </w:rPr>
      </w:pPr>
    </w:p>
    <w:p>
      <w:pPr>
        <w:ind w:left="4" w:right="60" w:firstLine="419"/>
        <w:spacing w:after="0" w:line="259" w:lineRule="auto"/>
        <w:tabs>
          <w:tab w:leader="none" w:pos="64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with the written consent of the Borrower and the Lenders providing the relevant Replacement Term Loans to permit the refinancing or replacement of all or any portion of the outstanding Term Loans under any Class (any such loans being refinanced or replaced, the “</w:t>
      </w:r>
      <w:r>
        <w:rPr>
          <w:rFonts w:ascii="Arial" w:cs="Arial" w:eastAsia="Arial" w:hAnsi="Arial"/>
          <w:sz w:val="18"/>
          <w:szCs w:val="18"/>
          <w:u w:val="single" w:color="auto"/>
          <w:color w:val="auto"/>
        </w:rPr>
        <w:t>Replaced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 Loans</w:t>
      </w:r>
      <w:r>
        <w:rPr>
          <w:rFonts w:ascii="Arial" w:cs="Arial" w:eastAsia="Arial" w:hAnsi="Arial"/>
          <w:sz w:val="18"/>
          <w:szCs w:val="18"/>
          <w:color w:val="auto"/>
        </w:rPr>
        <w:t>”) with one or more replacement term loans hereunder (“</w:t>
      </w:r>
      <w:r>
        <w:rPr>
          <w:rFonts w:ascii="Arial" w:cs="Arial" w:eastAsia="Arial" w:hAnsi="Arial"/>
          <w:sz w:val="18"/>
          <w:szCs w:val="18"/>
          <w:u w:val="single" w:color="auto"/>
          <w:color w:val="auto"/>
        </w:rPr>
        <w:t>Replacement Term Loans</w:t>
      </w:r>
      <w:r>
        <w:rPr>
          <w:rFonts w:ascii="Arial" w:cs="Arial" w:eastAsia="Arial" w:hAnsi="Arial"/>
          <w:sz w:val="18"/>
          <w:szCs w:val="18"/>
          <w:color w:val="auto"/>
        </w:rPr>
        <w:t xml:space="preserve">”) pursuant to a Refinancing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8" w:lineRule="exact"/>
        <w:rPr>
          <w:rFonts w:ascii="Arial" w:cs="Arial" w:eastAsia="Arial" w:hAnsi="Arial"/>
          <w:sz w:val="18"/>
          <w:szCs w:val="18"/>
          <w:color w:val="auto"/>
        </w:rPr>
      </w:pPr>
    </w:p>
    <w:p>
      <w:pPr>
        <w:ind w:left="544" w:firstLine="408"/>
        <w:spacing w:after="0" w:line="301" w:lineRule="auto"/>
        <w:tabs>
          <w:tab w:leader="none" w:pos="1239" w:val="left"/>
        </w:tabs>
        <w:numPr>
          <w:ilvl w:val="2"/>
          <w:numId w:val="289"/>
        </w:numPr>
        <w:rPr>
          <w:rFonts w:ascii="Arial" w:cs="Arial" w:eastAsia="Arial" w:hAnsi="Arial"/>
          <w:sz w:val="16"/>
          <w:szCs w:val="16"/>
          <w:color w:val="auto"/>
        </w:rPr>
      </w:pPr>
      <w:r>
        <w:rPr>
          <w:rFonts w:ascii="Arial" w:cs="Arial" w:eastAsia="Arial" w:hAnsi="Arial"/>
          <w:sz w:val="16"/>
          <w:szCs w:val="16"/>
          <w:color w:val="auto"/>
        </w:rPr>
        <w:t xml:space="preserve">the aggregate principal amount of any Class of Replacement Term Loans shall not exceed the aggregate principal amount of the relevant Replaced Term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 any additional amount permitted to be incurred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to the extent any such additional amount is secured, the related Lien is permitted under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the amount of any accrued interest, fee, expense, penalty and/or premium (including any tender premium) on the relevant Replaced Term Loans and/or any committed but undrawn amount,</w:t>
      </w:r>
    </w:p>
    <w:p>
      <w:pPr>
        <w:spacing w:after="0" w:line="9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0564"/>
          </w:cols>
          <w:pgMar w:left="876" w:top="274" w:right="459" w:bottom="1440" w:gutter="0" w:footer="0" w:header="0"/>
        </w:sectPr>
      </w:pPr>
    </w:p>
    <w:bookmarkStart w:id="182" w:name="page183"/>
    <w:bookmarkEnd w:id="182"/>
    <w:p>
      <w:pPr>
        <w:ind w:right="20"/>
        <w:spacing w:after="0" w:line="308"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plus</w:t>
      </w:r>
      <w:r>
        <w:rPr>
          <w:rFonts w:ascii="Arial" w:cs="Arial" w:eastAsia="Arial" w:hAnsi="Arial"/>
          <w:sz w:val="17"/>
          <w:szCs w:val="17"/>
          <w:color w:val="auto"/>
        </w:rPr>
        <w:t xml:space="preserve"> (3) any underwriting discount, fee and/or initial yield payment associated therewith (including any upfront fee, original issue discount and/or initial yield payment, commission and/or expense) associated with the relevant Replacement Term Loan;</w:t>
      </w:r>
    </w:p>
    <w:p>
      <w:pPr>
        <w:spacing w:after="0" w:line="38" w:lineRule="exact"/>
        <w:rPr>
          <w:sz w:val="20"/>
          <w:szCs w:val="20"/>
          <w:color w:val="auto"/>
        </w:rPr>
      </w:pPr>
    </w:p>
    <w:p>
      <w:pPr>
        <w:jc w:val="both"/>
        <w:ind w:right="200" w:firstLine="408"/>
        <w:spacing w:after="0" w:line="263" w:lineRule="auto"/>
        <w:tabs>
          <w:tab w:leader="none" w:pos="68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Class of Replacement Term Loans (other than Customary Bridge Loans) must have a final maturity date that is equal to or later than the final maturity date of, and have a Weighted Average Life to Maturity equal to or greater than the Weighted Average Life to Maturity of, the applicable Replaced Term Loans at the time of the relevant refinancing;</w:t>
      </w:r>
    </w:p>
    <w:p>
      <w:pPr>
        <w:spacing w:after="0" w:line="75" w:lineRule="exact"/>
        <w:rPr>
          <w:rFonts w:ascii="Arial" w:cs="Arial" w:eastAsia="Arial" w:hAnsi="Arial"/>
          <w:sz w:val="18"/>
          <w:szCs w:val="18"/>
          <w:color w:val="auto"/>
        </w:rPr>
      </w:pPr>
    </w:p>
    <w:p>
      <w:pPr>
        <w:ind w:right="60" w:firstLine="408"/>
        <w:spacing w:after="0" w:line="259" w:lineRule="auto"/>
        <w:tabs>
          <w:tab w:leader="none" w:pos="68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any Class of Replacement Term Loans may be pari passu with or junior to any then-existing Class of Term Loans in right of payment and may be pari passu with or junior to such Class of Term Loans with respect to the Collateral or unsecured;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Class of Replacement Term Loans that is junior to any then-existing Class of Term Loan in right of payment or security shall be subject to an Intercreditor Agreement;</w:t>
      </w:r>
    </w:p>
    <w:p>
      <w:pPr>
        <w:spacing w:after="0" w:line="78" w:lineRule="exact"/>
        <w:rPr>
          <w:rFonts w:ascii="Arial" w:cs="Arial" w:eastAsia="Arial" w:hAnsi="Arial"/>
          <w:sz w:val="18"/>
          <w:szCs w:val="18"/>
          <w:color w:val="auto"/>
        </w:rPr>
      </w:pPr>
    </w:p>
    <w:p>
      <w:pPr>
        <w:ind w:left="700" w:hanging="292"/>
        <w:spacing w:after="0"/>
        <w:tabs>
          <w:tab w:leader="none" w:pos="7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Class of Replacement Term Loans that is secured may not be secured by any asset other than the Collateral;</w:t>
      </w:r>
    </w:p>
    <w:p>
      <w:pPr>
        <w:spacing w:after="0" w:line="117" w:lineRule="exact"/>
        <w:rPr>
          <w:rFonts w:ascii="Arial" w:cs="Arial" w:eastAsia="Arial" w:hAnsi="Arial"/>
          <w:sz w:val="18"/>
          <w:szCs w:val="18"/>
          <w:color w:val="auto"/>
        </w:rPr>
      </w:pPr>
    </w:p>
    <w:p>
      <w:pPr>
        <w:ind w:right="280" w:firstLine="408"/>
        <w:spacing w:after="0" w:line="277" w:lineRule="auto"/>
        <w:tabs>
          <w:tab w:leader="none" w:pos="67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Class of Replacement Term Loans that is guaranteed may not be guaranteed by any subsidiary of the Borrower other than one or more Loan Parties;</w:t>
      </w:r>
    </w:p>
    <w:p>
      <w:pPr>
        <w:spacing w:after="0" w:line="62" w:lineRule="exact"/>
        <w:rPr>
          <w:rFonts w:ascii="Arial" w:cs="Arial" w:eastAsia="Arial" w:hAnsi="Arial"/>
          <w:sz w:val="18"/>
          <w:szCs w:val="18"/>
          <w:color w:val="auto"/>
        </w:rPr>
      </w:pPr>
    </w:p>
    <w:p>
      <w:pPr>
        <w:ind w:firstLine="408"/>
        <w:spacing w:after="0" w:line="263" w:lineRule="auto"/>
        <w:tabs>
          <w:tab w:leader="none" w:pos="66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any Class of Replacement Term Loans that is pari passu with the Initial Term Loans in right of payment and security may participate (A) in any voluntary prepayment of Term Loans as set forth in </w:t>
      </w:r>
      <w:r>
        <w:rPr>
          <w:rFonts w:ascii="Arial" w:cs="Arial" w:eastAsia="Arial" w:hAnsi="Arial"/>
          <w:sz w:val="18"/>
          <w:szCs w:val="18"/>
          <w:u w:val="single" w:color="auto"/>
          <w:color w:val="auto"/>
        </w:rPr>
        <w:t>Section 2.11(a)(i)</w:t>
      </w:r>
      <w:r>
        <w:rPr>
          <w:rFonts w:ascii="Arial" w:cs="Arial" w:eastAsia="Arial" w:hAnsi="Arial"/>
          <w:sz w:val="18"/>
          <w:szCs w:val="18"/>
          <w:color w:val="auto"/>
        </w:rPr>
        <w:t xml:space="preserve"> and (B) in any mandatory prepayment of Term Loans as set forth in </w:t>
      </w:r>
      <w:r>
        <w:rPr>
          <w:rFonts w:ascii="Arial" w:cs="Arial" w:eastAsia="Arial" w:hAnsi="Arial"/>
          <w:sz w:val="18"/>
          <w:szCs w:val="18"/>
          <w:u w:val="single" w:color="auto"/>
          <w:color w:val="auto"/>
        </w:rPr>
        <w:t>Section 2.11(b)(vi)</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120" w:firstLine="408"/>
        <w:spacing w:after="0" w:line="259" w:lineRule="auto"/>
        <w:tabs>
          <w:tab w:leader="none" w:pos="69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any Class of Replacement Term Loans may have pricing (including “MFN” or other pricing terms), interest, fees, rate margins, rate floors, premiums (including prepayment premiums), funding discounts, subject to preceding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optional prepayment and redemption terms and, subject to preceding </w:t>
      </w:r>
      <w:r>
        <w:rPr>
          <w:rFonts w:ascii="Arial" w:cs="Arial" w:eastAsia="Arial" w:hAnsi="Arial"/>
          <w:sz w:val="18"/>
          <w:szCs w:val="18"/>
          <w:u w:val="single" w:color="auto"/>
          <w:color w:val="auto"/>
        </w:rPr>
        <w:t>clause (B)</w:t>
      </w:r>
      <w:r>
        <w:rPr>
          <w:rFonts w:ascii="Arial" w:cs="Arial" w:eastAsia="Arial" w:hAnsi="Arial"/>
          <w:sz w:val="18"/>
          <w:szCs w:val="18"/>
          <w:color w:val="auto"/>
        </w:rPr>
        <w:t>, an amortization schedule, as the Borrower and the lenders providing such Class of Replacement Term Loans may agree;</w:t>
      </w:r>
    </w:p>
    <w:p>
      <w:pPr>
        <w:spacing w:after="0" w:line="78" w:lineRule="exact"/>
        <w:rPr>
          <w:rFonts w:ascii="Arial" w:cs="Arial" w:eastAsia="Arial" w:hAnsi="Arial"/>
          <w:sz w:val="18"/>
          <w:szCs w:val="18"/>
          <w:color w:val="auto"/>
        </w:rPr>
      </w:pPr>
    </w:p>
    <w:p>
      <w:pPr>
        <w:ind w:firstLine="408"/>
        <w:spacing w:after="0" w:line="269" w:lineRule="auto"/>
        <w:tabs>
          <w:tab w:leader="none" w:pos="696"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the other terms and conditions of any Class of Replacement Term Loans (except as set forth above) shall be substantially consistent with the Replaced Term Loans (or any other then-existing Term Loans) or shall be reasonably satisfactory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terms and conditions shall be deemed to be satisfactory to the Administrative Agent so long as any such terms and conditions (1) that are not substantially consistent with those applicable to the relevant Replaced Term Loans are applicable after the latest Maturity Date of such Class of Replaced Term Loans (in each case, as of the date of incurrence of such Class of Replacement Term Loans), (2) are substantially identical to, or (taken as a whole) not more favorable (as determined by the Borrower in good faith) to the lenders providing such Class of Replacement Term Loans than those applicable to the relevant Replaced Term Loans (other than such terms to which </w:t>
      </w:r>
      <w:r>
        <w:rPr>
          <w:rFonts w:ascii="Arial" w:cs="Arial" w:eastAsia="Arial" w:hAnsi="Arial"/>
          <w:sz w:val="17"/>
          <w:szCs w:val="17"/>
          <w:u w:val="single" w:color="auto"/>
          <w:color w:val="auto"/>
        </w:rPr>
        <w:t>clause (1)</w:t>
      </w:r>
      <w:r>
        <w:rPr>
          <w:rFonts w:ascii="Arial" w:cs="Arial" w:eastAsia="Arial" w:hAnsi="Arial"/>
          <w:sz w:val="17"/>
          <w:szCs w:val="17"/>
          <w:color w:val="auto"/>
        </w:rPr>
        <w:t xml:space="preserve"> is applicable), (3) reflect then-current market terms and conditions (as determined by the Borrower in good faith) for the applicable type of Indebtedness or (4) if more favorable to the lenders or the agent of such Replacement Term Loans than those contained in the Loan Documents, are then conformed (or added) to the Loan Documents pursuant to the applicable Refinancing Amendment;</w:t>
      </w:r>
    </w:p>
    <w:p>
      <w:pPr>
        <w:spacing w:after="0" w:line="73" w:lineRule="exact"/>
        <w:rPr>
          <w:rFonts w:ascii="Arial" w:cs="Arial" w:eastAsia="Arial" w:hAnsi="Arial"/>
          <w:sz w:val="17"/>
          <w:szCs w:val="17"/>
          <w:color w:val="auto"/>
        </w:rPr>
      </w:pPr>
    </w:p>
    <w:p>
      <w:pPr>
        <w:ind w:right="140" w:firstLine="408"/>
        <w:spacing w:after="0" w:line="259" w:lineRule="auto"/>
        <w:tabs>
          <w:tab w:leader="none" w:pos="62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Replacement Term Loans may be provided by any existing Lender or by any other Eligible Assignee;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have a right to consent (such consent not to be unreasonably withheld, conditioned or delayed) to the relevant Person’s provision of Replacement Term Loans if such consent would be required under </w:t>
      </w:r>
      <w:r>
        <w:rPr>
          <w:rFonts w:ascii="Arial" w:cs="Arial" w:eastAsia="Arial" w:hAnsi="Arial"/>
          <w:sz w:val="18"/>
          <w:szCs w:val="18"/>
          <w:u w:val="single" w:color="auto"/>
          <w:color w:val="auto"/>
        </w:rPr>
        <w:t>Section 9.05(b)</w:t>
      </w:r>
      <w:r>
        <w:rPr>
          <w:rFonts w:ascii="Arial" w:cs="Arial" w:eastAsia="Arial" w:hAnsi="Arial"/>
          <w:sz w:val="18"/>
          <w:szCs w:val="18"/>
          <w:color w:val="auto"/>
        </w:rPr>
        <w:t xml:space="preserve"> for an assignment of Loans to such Person; and</w:t>
      </w:r>
    </w:p>
    <w:p>
      <w:pPr>
        <w:spacing w:after="0" w:line="11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0020"/>
          </w:cols>
          <w:pgMar w:left="1420" w:top="274" w:right="459" w:bottom="1440" w:gutter="0" w:footer="0" w:header="0"/>
        </w:sectPr>
      </w:pPr>
    </w:p>
    <w:bookmarkStart w:id="183" w:name="page184"/>
    <w:bookmarkEnd w:id="183"/>
    <w:p>
      <w:pPr>
        <w:ind w:left="540" w:right="280" w:firstLine="408"/>
        <w:spacing w:after="0" w:line="308" w:lineRule="auto"/>
        <w:tabs>
          <w:tab w:leader="none" w:pos="1176" w:val="left"/>
        </w:tabs>
        <w:numPr>
          <w:ilvl w:val="1"/>
          <w:numId w:val="2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relevant outstanding Replaced Term Loans and all accrued but unpaid interest and fees then due and payable in connection therewith shall be paid in full, in each case on the date the applicable Replacement Term Loan is implemented; and</w:t>
      </w:r>
    </w:p>
    <w:p>
      <w:pPr>
        <w:spacing w:after="0" w:line="38" w:lineRule="exact"/>
        <w:rPr>
          <w:rFonts w:ascii="Arial" w:cs="Arial" w:eastAsia="Arial" w:hAnsi="Arial"/>
          <w:sz w:val="17"/>
          <w:szCs w:val="17"/>
          <w:color w:val="auto"/>
        </w:rPr>
      </w:pPr>
    </w:p>
    <w:p>
      <w:pPr>
        <w:jc w:val="both"/>
        <w:ind w:firstLine="419"/>
        <w:spacing w:after="0" w:line="259" w:lineRule="auto"/>
        <w:tabs>
          <w:tab w:leader="none" w:pos="688" w:val="left"/>
        </w:tabs>
        <w:numPr>
          <w:ilvl w:val="0"/>
          <w:numId w:val="292"/>
        </w:numPr>
        <w:rPr>
          <w:rFonts w:ascii="Arial" w:cs="Arial" w:eastAsia="Arial" w:hAnsi="Arial"/>
          <w:sz w:val="18"/>
          <w:szCs w:val="18"/>
          <w:u w:val="single" w:color="auto"/>
          <w:color w:val="auto"/>
        </w:rPr>
      </w:pPr>
      <w:r>
        <w:rPr>
          <w:rFonts w:ascii="Arial" w:cs="Arial" w:eastAsia="Arial" w:hAnsi="Arial"/>
          <w:sz w:val="18"/>
          <w:szCs w:val="18"/>
          <w:color w:val="auto"/>
        </w:rPr>
        <w:t>with the written consent of the Borrower and the Lenders providing the relevant Revolver Replacement Facility to permit the refinancing or replacement of all or any portion of any Revolving Credit Commitment of any Class (any such Revolving Credit Commitment being refinanced or replaced, a “</w:t>
      </w:r>
      <w:r>
        <w:rPr>
          <w:rFonts w:ascii="Arial" w:cs="Arial" w:eastAsia="Arial" w:hAnsi="Arial"/>
          <w:sz w:val="18"/>
          <w:szCs w:val="18"/>
          <w:u w:val="single" w:color="auto"/>
          <w:color w:val="auto"/>
        </w:rPr>
        <w:t>Replaced Revolving Facility</w:t>
      </w:r>
      <w:r>
        <w:rPr>
          <w:rFonts w:ascii="Arial" w:cs="Arial" w:eastAsia="Arial" w:hAnsi="Arial"/>
          <w:sz w:val="18"/>
          <w:szCs w:val="18"/>
          <w:color w:val="auto"/>
        </w:rPr>
        <w:t>”) with a replacement revolving facility and/or replacement term loans hereunder (a “</w:t>
      </w:r>
      <w:r>
        <w:rPr>
          <w:rFonts w:ascii="Arial" w:cs="Arial" w:eastAsia="Arial" w:hAnsi="Arial"/>
          <w:sz w:val="18"/>
          <w:szCs w:val="18"/>
          <w:u w:val="single" w:color="auto"/>
          <w:color w:val="auto"/>
        </w:rPr>
        <w:t>Revolver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Replacement Facility</w:t>
      </w:r>
      <w:r>
        <w:rPr>
          <w:rFonts w:ascii="Arial" w:cs="Arial" w:eastAsia="Arial" w:hAnsi="Arial"/>
          <w:sz w:val="18"/>
          <w:szCs w:val="18"/>
          <w:color w:val="auto"/>
        </w:rPr>
        <w:t xml:space="preserve">”) pursuant to a Refinancing Amendment; </w:t>
      </w:r>
      <w:r>
        <w:rPr>
          <w:rFonts w:ascii="Arial" w:cs="Arial" w:eastAsia="Arial" w:hAnsi="Arial"/>
          <w:sz w:val="18"/>
          <w:szCs w:val="18"/>
          <w:u w:val="single" w:color="auto"/>
          <w:color w:val="auto"/>
        </w:rPr>
        <w:t>provided that</w:t>
      </w:r>
      <w:r>
        <w:rPr>
          <w:rFonts w:ascii="Arial" w:cs="Arial" w:eastAsia="Arial" w:hAnsi="Arial"/>
          <w:sz w:val="18"/>
          <w:szCs w:val="18"/>
          <w:color w:val="auto"/>
        </w:rPr>
        <w:t>:</w:t>
      </w:r>
    </w:p>
    <w:p>
      <w:pPr>
        <w:spacing w:after="0" w:line="78" w:lineRule="exact"/>
        <w:rPr>
          <w:rFonts w:ascii="Arial" w:cs="Arial" w:eastAsia="Arial" w:hAnsi="Arial"/>
          <w:sz w:val="18"/>
          <w:szCs w:val="18"/>
          <w:u w:val="single" w:color="auto"/>
          <w:color w:val="auto"/>
        </w:rPr>
      </w:pPr>
    </w:p>
    <w:p>
      <w:pPr>
        <w:ind w:left="540" w:right="120" w:firstLine="408"/>
        <w:spacing w:after="0" w:line="293" w:lineRule="auto"/>
        <w:tabs>
          <w:tab w:leader="none" w:pos="1236" w:val="left"/>
        </w:tabs>
        <w:numPr>
          <w:ilvl w:val="1"/>
          <w:numId w:val="292"/>
        </w:numPr>
        <w:rPr>
          <w:rFonts w:ascii="Arial" w:cs="Arial" w:eastAsia="Arial" w:hAnsi="Arial"/>
          <w:sz w:val="16"/>
          <w:szCs w:val="16"/>
          <w:color w:val="auto"/>
        </w:rPr>
      </w:pPr>
      <w:r>
        <w:rPr>
          <w:rFonts w:ascii="Arial" w:cs="Arial" w:eastAsia="Arial" w:hAnsi="Arial"/>
          <w:sz w:val="16"/>
          <w:szCs w:val="16"/>
          <w:color w:val="auto"/>
        </w:rPr>
        <w:t xml:space="preserve">the aggregate maximum amount of any Revolver Replacement Facility shall not exceed the aggregate maximum amount of the commitments in respect of the relevant Replaced Revolving Facility plus (x) any additional amount permitted to be incurred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to the extent any such additional amount is secured, the related Lien is permitted under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and (y) the amount of accrued interest, penalties and premium thereon, any committed but undrawn amounts and underwriting discounts, fees (including upfront fees, original issue discount or initial yield payments, commissions and expenses associated therewith and/or any underwriting discount, fees and/or initial yield payment associated with the applicable Revolver Replacement Facility);</w:t>
      </w:r>
    </w:p>
    <w:p>
      <w:pPr>
        <w:spacing w:after="0" w:line="56" w:lineRule="exact"/>
        <w:rPr>
          <w:rFonts w:ascii="Arial" w:cs="Arial" w:eastAsia="Arial" w:hAnsi="Arial"/>
          <w:sz w:val="16"/>
          <w:szCs w:val="16"/>
          <w:color w:val="auto"/>
        </w:rPr>
      </w:pPr>
    </w:p>
    <w:p>
      <w:pPr>
        <w:ind w:left="540" w:right="140" w:firstLine="408"/>
        <w:spacing w:after="0" w:line="277" w:lineRule="auto"/>
        <w:tabs>
          <w:tab w:leader="none" w:pos="1226" w:val="left"/>
        </w:tabs>
        <w:numPr>
          <w:ilvl w:val="1"/>
          <w:numId w:val="292"/>
        </w:numPr>
        <w:rPr>
          <w:rFonts w:ascii="Arial" w:cs="Arial" w:eastAsia="Arial" w:hAnsi="Arial"/>
          <w:sz w:val="18"/>
          <w:szCs w:val="18"/>
          <w:color w:val="auto"/>
        </w:rPr>
      </w:pPr>
      <w:r>
        <w:rPr>
          <w:rFonts w:ascii="Arial" w:cs="Arial" w:eastAsia="Arial" w:hAnsi="Arial"/>
          <w:sz w:val="18"/>
          <w:szCs w:val="18"/>
          <w:color w:val="auto"/>
        </w:rPr>
        <w:t>no Revolver Replacement Facility may have a final maturity date (or require commitment reductions) prior to the final maturity date of the relevant Replaced Revolving Facility at the time of such refinancing;</w:t>
      </w:r>
    </w:p>
    <w:p>
      <w:pPr>
        <w:spacing w:after="0" w:line="62" w:lineRule="exact"/>
        <w:rPr>
          <w:rFonts w:ascii="Arial" w:cs="Arial" w:eastAsia="Arial" w:hAnsi="Arial"/>
          <w:sz w:val="18"/>
          <w:szCs w:val="18"/>
          <w:color w:val="auto"/>
        </w:rPr>
      </w:pPr>
    </w:p>
    <w:p>
      <w:pPr>
        <w:ind w:left="540" w:firstLine="408"/>
        <w:spacing w:after="0" w:line="255" w:lineRule="auto"/>
        <w:tabs>
          <w:tab w:leader="none" w:pos="1226" w:val="left"/>
        </w:tabs>
        <w:numPr>
          <w:ilvl w:val="1"/>
          <w:numId w:val="292"/>
        </w:numPr>
        <w:rPr>
          <w:rFonts w:ascii="Arial" w:cs="Arial" w:eastAsia="Arial" w:hAnsi="Arial"/>
          <w:sz w:val="18"/>
          <w:szCs w:val="18"/>
          <w:color w:val="auto"/>
        </w:rPr>
      </w:pPr>
      <w:r>
        <w:rPr>
          <w:rFonts w:ascii="Arial" w:cs="Arial" w:eastAsia="Arial" w:hAnsi="Arial"/>
          <w:sz w:val="18"/>
          <w:szCs w:val="18"/>
          <w:color w:val="auto"/>
        </w:rPr>
        <w:t xml:space="preserve">any Revolver Replacement Facility may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junior to any then-existing Revolving Commitment in right of payment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junior to any then-existing Revolving Commitment with respect to the Collateral or may be unsecured;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Revolver Replacement Facility that is (x) junior to the then-existing Revolving Credit Commitments in right of payment or security shall be subject to an Intercreditor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any Revolver Replacement Facility is not in the form of a loan constituting First Lien Debt, such Revolver Replacement Facility will be documented pursuant to separate documentation from the Loan Documents;</w:t>
      </w:r>
    </w:p>
    <w:p>
      <w:pPr>
        <w:spacing w:after="0" w:line="84" w:lineRule="exact"/>
        <w:rPr>
          <w:rFonts w:ascii="Arial" w:cs="Arial" w:eastAsia="Arial" w:hAnsi="Arial"/>
          <w:sz w:val="18"/>
          <w:szCs w:val="18"/>
          <w:color w:val="auto"/>
        </w:rPr>
      </w:pPr>
    </w:p>
    <w:p>
      <w:pPr>
        <w:ind w:left="1240" w:hanging="292"/>
        <w:spacing w:after="0"/>
        <w:tabs>
          <w:tab w:leader="none" w:pos="124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any Revolver Replacement Facility that is secured may not be secured by any asset other than Collateral;</w:t>
      </w:r>
    </w:p>
    <w:p>
      <w:pPr>
        <w:spacing w:after="0" w:line="117" w:lineRule="exact"/>
        <w:rPr>
          <w:rFonts w:ascii="Arial" w:cs="Arial" w:eastAsia="Arial" w:hAnsi="Arial"/>
          <w:sz w:val="18"/>
          <w:szCs w:val="18"/>
          <w:color w:val="auto"/>
        </w:rPr>
      </w:pPr>
    </w:p>
    <w:p>
      <w:pPr>
        <w:ind w:left="540" w:right="20" w:firstLine="408"/>
        <w:spacing w:after="0" w:line="277" w:lineRule="auto"/>
        <w:tabs>
          <w:tab w:leader="none" w:pos="1216"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any Revolver Replacement Facility that is guaranteed may not be guaranteed by any subsidiary of the Borrower other than one or more Loan Parties;</w:t>
      </w:r>
    </w:p>
    <w:p>
      <w:pPr>
        <w:spacing w:after="0" w:line="62" w:lineRule="exact"/>
        <w:rPr>
          <w:rFonts w:ascii="Arial" w:cs="Arial" w:eastAsia="Arial" w:hAnsi="Arial"/>
          <w:sz w:val="18"/>
          <w:szCs w:val="18"/>
          <w:color w:val="auto"/>
        </w:rPr>
      </w:pPr>
    </w:p>
    <w:p>
      <w:pPr>
        <w:ind w:left="540" w:firstLine="408"/>
        <w:spacing w:after="0" w:line="289" w:lineRule="auto"/>
        <w:tabs>
          <w:tab w:leader="none" w:pos="1206" w:val="left"/>
        </w:tabs>
        <w:numPr>
          <w:ilvl w:val="1"/>
          <w:numId w:val="292"/>
        </w:numPr>
        <w:rPr>
          <w:rFonts w:ascii="Arial" w:cs="Arial" w:eastAsia="Arial" w:hAnsi="Arial"/>
          <w:sz w:val="16"/>
          <w:szCs w:val="16"/>
          <w:color w:val="auto"/>
        </w:rPr>
      </w:pPr>
      <w:r>
        <w:rPr>
          <w:rFonts w:ascii="Arial" w:cs="Arial" w:eastAsia="Arial" w:hAnsi="Arial"/>
          <w:sz w:val="16"/>
          <w:szCs w:val="16"/>
          <w:color w:val="auto"/>
        </w:rPr>
        <w:t>(1) if the relevant Revolver Replacement Facility is a revolving facility, such Revolver Replacement Facility may provide for the borrowing and repayment of Revolving Loans with respect to any Revolving Facility after the effective date of such Revolver Replacement Facility on a pro rata basis or a non-pro rata basis with all other Revolving Facilities (it being understood that any Revolver Replacement Facility that participates in borrowings on a pro rata basis with other Revolving Facilities shall participate in repayments on a pro rata basis with such Revolving Facilities and that in the event of any Revolver Replacement Facility that must participate in borrowings on a less than pro rata basis as compared to other Revolving Facilities, such Revolver Replacement Facility shall participate in repayments on a less than pro rata basis as compared to such other Revolving Facilities (in each case, except, in any case, for (1) payments of interest and fees at different rates on the Revolving Facilities (and related outstandings), (2) repayments required on the Maturity Date of any Revolving Facility and (3) repayments made in connection with a permanent repayment</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0560"/>
          </w:cols>
          <w:pgMar w:left="880" w:top="274" w:right="459" w:bottom="1440" w:gutter="0" w:footer="0" w:header="0"/>
        </w:sectPr>
      </w:pPr>
    </w:p>
    <w:bookmarkStart w:id="184" w:name="page185"/>
    <w:bookmarkEnd w:id="184"/>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termination of the Revolving Credit Commitments under any Revolving Facility (subject to </w:t>
      </w:r>
      <w:r>
        <w:rPr>
          <w:rFonts w:ascii="Arial" w:cs="Arial" w:eastAsia="Arial" w:hAnsi="Arial"/>
          <w:sz w:val="16"/>
          <w:szCs w:val="16"/>
          <w:u w:val="single" w:color="auto"/>
          <w:color w:val="auto"/>
        </w:rPr>
        <w:t>clause (3)</w:t>
      </w:r>
      <w:r>
        <w:rPr>
          <w:rFonts w:ascii="Arial" w:cs="Arial" w:eastAsia="Arial" w:hAnsi="Arial"/>
          <w:sz w:val="16"/>
          <w:szCs w:val="16"/>
          <w:color w:val="auto"/>
        </w:rPr>
        <w:t xml:space="preserve"> below))), (2) if the relevant Revolver Replacement Facility is a revolving facility, all Letters of Credit and Swingline Loans shall be participated on a pro rata basis by all Revolving Lenders, (3) if the relevant Revolver Replacement Facility is a revolving facility, any permanent repayment of Revolving Loans with respect to, and reduction and termination of Revolving Credit Commitments under, any Revolver Replacement Facility after the effective date of such Revolver Replacement Facility shall be made on a pro rata basis or a non-pro rata basis with all other Revolving Facilities (it being understood that a Revolver Replacement Facility that participates in borrowings on a pro rata basis with other Revolving Facilities shall participate in permanent repayments of Revolving Loans with respect to, and reduction and termination of Revolving Credit Commitments under, such Revolving Facility on a pro rata basis with such other Revolving Facilities and that in the event of any Revolver Replacement Facility that must participate in borrowings on a less than pro rata basis with other Revolving Facilities, such Revolver Replacement Facility shall participate in permanent repayments of Revolving Loans with respect to, and reduction and termination of Revolving Credit Commitments under, such other Revolving Facility on a less than pro rata basis as compared to such other Revolving Facilities;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notwithstanding the foregoing, to the extent any such Revolving Commitments are terminated in full and refinanced or replaced with another Revolver Replacement Facility or Replacement Debt, such Revolving Commitments may be terminated on a greater than pro rata basis) and (4) if the relevant Revolver Replacement Facility is a term loan, it shall be subject to the “ratability” provisions applicable to Replacement Term Loans, consistent with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of</w:t>
      </w:r>
    </w:p>
    <w:p>
      <w:pPr>
        <w:spacing w:after="0"/>
        <w:rPr>
          <w:sz w:val="20"/>
          <w:szCs w:val="20"/>
          <w:color w:val="auto"/>
        </w:rPr>
      </w:pPr>
      <w:r>
        <w:rPr>
          <w:rFonts w:ascii="Arial" w:cs="Arial" w:eastAsia="Arial" w:hAnsi="Arial"/>
          <w:sz w:val="18"/>
          <w:szCs w:val="18"/>
          <w:u w:val="single" w:color="auto"/>
          <w:color w:val="auto"/>
        </w:rPr>
        <w:t>Section 9.02(c)(i)</w:t>
      </w:r>
      <w:r>
        <w:rPr>
          <w:rFonts w:ascii="Arial" w:cs="Arial" w:eastAsia="Arial" w:hAnsi="Arial"/>
          <w:sz w:val="18"/>
          <w:szCs w:val="18"/>
          <w:color w:val="auto"/>
        </w:rPr>
        <w:t>;</w:t>
      </w:r>
    </w:p>
    <w:p>
      <w:pPr>
        <w:spacing w:after="0" w:line="103" w:lineRule="exact"/>
        <w:rPr>
          <w:sz w:val="20"/>
          <w:szCs w:val="20"/>
          <w:color w:val="auto"/>
        </w:rPr>
      </w:pPr>
    </w:p>
    <w:p>
      <w:pPr>
        <w:ind w:right="60" w:firstLine="408"/>
        <w:spacing w:after="0" w:line="286" w:lineRule="auto"/>
        <w:tabs>
          <w:tab w:leader="none" w:pos="696"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any Revolver Replacement Facility may have pricing (including “MFN” or other pricing terms), interest, fees, rate margins, rate floors, premiums (including prepayment premiums), funding discounts, and, subject to preceding </w:t>
      </w:r>
      <w:r>
        <w:rPr>
          <w:rFonts w:ascii="Arial" w:cs="Arial" w:eastAsia="Arial" w:hAnsi="Arial"/>
          <w:sz w:val="17"/>
          <w:szCs w:val="17"/>
          <w:u w:val="single" w:color="auto"/>
          <w:color w:val="auto"/>
        </w:rPr>
        <w:t>clause (F</w:t>
      </w:r>
      <w:r>
        <w:rPr>
          <w:rFonts w:ascii="Arial" w:cs="Arial" w:eastAsia="Arial" w:hAnsi="Arial"/>
          <w:sz w:val="17"/>
          <w:szCs w:val="17"/>
          <w:color w:val="auto"/>
        </w:rPr>
        <w:t>), optional prepayment and redemption terms as the Borrower and the lenders providing such Revolver Replacement Facility may agree;</w:t>
      </w:r>
    </w:p>
    <w:p>
      <w:pPr>
        <w:spacing w:after="0" w:line="57" w:lineRule="exact"/>
        <w:rPr>
          <w:rFonts w:ascii="Arial" w:cs="Arial" w:eastAsia="Arial" w:hAnsi="Arial"/>
          <w:sz w:val="17"/>
          <w:szCs w:val="17"/>
          <w:color w:val="auto"/>
        </w:rPr>
      </w:pPr>
    </w:p>
    <w:p>
      <w:pPr>
        <w:ind w:firstLine="408"/>
        <w:spacing w:after="0" w:line="287" w:lineRule="auto"/>
        <w:tabs>
          <w:tab w:leader="none" w:pos="696"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the other terms of any Revolver Replacement Facility (excluding as set forth above) shall be substantially consistent with the Replaced Revolving Facility (or any other then-existing Revolving Facility) or be reasonably satisfactory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terms and conditions shall be deemed to be satisfactory to the Administrative Agent so long as any such terms and conditions (i) (1) that are not substantially consistent with those applicable to the relevant Replaced Revolving Facility are applicable only to periods after the latest Maturity Date of such Replaced Revolving Facility (in each case, as of the date of implementation of such Revolver Replacement Facility), (2) are substantially identical to, or (taken as a whole) no more favorable (as determined by the Borrower in good faith) to the lenders providing such Revolver Replacement Facility than those applicable to the relevant Replaced Revolving Facility (other than such terms to which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is applicable), (3) reflect then-current market terms and conditions (as determined by the Borrower in good faith) for the applicable type of Indebtedness or are reasonably acceptable to the Administrative Agent or (4) are more favorable to the lenders or the agent of such Revolver Replacement Facility than those contained in the Loan Documents and are then conformed (or added) to the Loan Documents pursuant to the applicable Refinancing Amendment) or (ii) in the case of a Revolver Replacement Facility that consists of replacement term loans, consistent with the provisions of </w:t>
      </w:r>
      <w:r>
        <w:rPr>
          <w:rFonts w:ascii="Arial" w:cs="Arial" w:eastAsia="Arial" w:hAnsi="Arial"/>
          <w:sz w:val="16"/>
          <w:szCs w:val="16"/>
          <w:u w:val="single" w:color="auto"/>
          <w:color w:val="auto"/>
        </w:rPr>
        <w:t>Section 9.02(c)(i)(H)</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right="80" w:firstLine="408"/>
        <w:spacing w:after="0" w:line="311" w:lineRule="auto"/>
        <w:tabs>
          <w:tab w:leader="none" w:pos="626"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commitments in respect of the relevant Replaced Revolving Facility (or the relevant portion thereof) shall be terminated, and all loans outstanding in respect of such Replaced Revolving Facility and all accrued but unpaid interest and fees then due and payable in connection therewith shall be paid in full, in each case on the date any Revolver Replacement Facility is implemented; and</w:t>
      </w:r>
    </w:p>
    <w:p>
      <w:pPr>
        <w:spacing w:after="0" w:line="8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9980"/>
          </w:cols>
          <w:pgMar w:left="1420" w:top="274" w:right="499" w:bottom="1440" w:gutter="0" w:footer="0" w:header="0"/>
        </w:sectPr>
      </w:pPr>
    </w:p>
    <w:bookmarkStart w:id="185" w:name="page186"/>
    <w:bookmarkEnd w:id="185"/>
    <w:p>
      <w:pPr>
        <w:jc w:val="both"/>
        <w:ind w:left="984" w:right="20" w:firstLine="408"/>
        <w:spacing w:after="0" w:line="301" w:lineRule="auto"/>
        <w:tabs>
          <w:tab w:leader="none" w:pos="1620" w:val="left"/>
        </w:tabs>
        <w:numPr>
          <w:ilvl w:val="0"/>
          <w:numId w:val="2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Revolver Replacement Facility may be provided by any existing Lender and/or any other Eligible Assignee;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(and, in the case of any Revolver Replacement Facility that constitutes a revolving facility, any Issuing Bank) shall have a right to consent (such consent not to be unreasonably withheld, conditioned or delayed) to the relevant Person’s provision of a Revolver Replacement Facility if such consent would be required under </w:t>
      </w:r>
      <w:r>
        <w:rPr>
          <w:rFonts w:ascii="Arial" w:cs="Arial" w:eastAsia="Arial" w:hAnsi="Arial"/>
          <w:sz w:val="16"/>
          <w:szCs w:val="16"/>
          <w:u w:val="single" w:color="auto"/>
          <w:color w:val="auto"/>
        </w:rPr>
        <w:t>Section 9.05(b)</w:t>
      </w:r>
      <w:r>
        <w:rPr>
          <w:rFonts w:ascii="Arial" w:cs="Arial" w:eastAsia="Arial" w:hAnsi="Arial"/>
          <w:sz w:val="16"/>
          <w:szCs w:val="16"/>
          <w:color w:val="auto"/>
        </w:rPr>
        <w:t xml:space="preserve"> for an assignment of Loans to the relevant Person;</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respect of each of </w:t>
      </w:r>
      <w:r>
        <w:rPr>
          <w:rFonts w:ascii="Arial" w:cs="Arial" w:eastAsia="Arial" w:hAnsi="Arial"/>
          <w:sz w:val="16"/>
          <w:szCs w:val="16"/>
          <w:u w:val="single" w:color="auto"/>
          <w:color w:val="auto"/>
        </w:rPr>
        <w:t>sub-clauses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(c)</w:t>
      </w:r>
      <w:r>
        <w:rPr>
          <w:rFonts w:ascii="Arial" w:cs="Arial" w:eastAsia="Arial" w:hAnsi="Arial"/>
          <w:sz w:val="16"/>
          <w:szCs w:val="16"/>
          <w:color w:val="auto"/>
        </w:rPr>
        <w:t>, any Non-Debt Fund Affiliate and/or any Debt Fund Affiliate shall</w:t>
      </w:r>
    </w:p>
    <w:p>
      <w:pPr>
        <w:spacing w:after="0" w:line="46" w:lineRule="exact"/>
        <w:rPr>
          <w:sz w:val="20"/>
          <w:szCs w:val="20"/>
          <w:color w:val="auto"/>
        </w:rPr>
      </w:pPr>
    </w:p>
    <w:p>
      <w:pPr>
        <w:ind w:left="4" w:right="220" w:hanging="4"/>
        <w:spacing w:after="0" w:line="253" w:lineRule="auto"/>
        <w:tabs>
          <w:tab w:leader="none" w:pos="25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be permitted without the consent of the Administrative Agent to provide any Class of Replacement Term Loans and/or any Revolver Replacement Facility in the form of a term loan, it being understood that in connection therewith, the relevant Non-Debt Fund Affiliate or Debt Fund Affiliate, as applicable, shall be subject to the restrictions applicable to such Person under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and (y) no Non-Debt Fund Affiliate may provide any Revolver Replacement Facility in the form of revolving facility.</w:t>
      </w:r>
    </w:p>
    <w:p>
      <w:pPr>
        <w:spacing w:after="0" w:line="193"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Each party hereto hereby agrees that this Agreement may be amended by the Borrower, the Administrative Agent and the lenders providing the relevant Class of Replacement Term Loans or the relevant Revolver Replacement Facility, as applicable, to the extent (but only to the extent) necessary to reflect the existence and terms of such Class of Replacement Term Loans or Revolver Replacement Facility, incurred or implemented pursuant thereto (including any amendment necessary to treat the loans and commitments subject thereto as a separate “tranche” and “Class” of Loans and/or commitments hereunder). It is understood that any Lender approached to provide all or a portion of any Class of Replacement Term Loans or any Revolver Replacement Facility, may elect or decline, in its sole discretion, to provide such Class of Replacement Term Loans or such Revolver Replacement Facility.</w:t>
      </w:r>
    </w:p>
    <w:p>
      <w:pPr>
        <w:spacing w:after="0" w:line="87" w:lineRule="exact"/>
        <w:rPr>
          <w:sz w:val="20"/>
          <w:szCs w:val="20"/>
          <w:color w:val="auto"/>
        </w:rPr>
      </w:pPr>
    </w:p>
    <w:p>
      <w:pPr>
        <w:ind w:left="4" w:right="40" w:firstLine="436"/>
        <w:spacing w:after="0" w:line="277" w:lineRule="auto"/>
        <w:tabs>
          <w:tab w:leader="none" w:pos="699"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or any other provision of this Agreement or any provision of any other Loan Document:</w:t>
      </w:r>
    </w:p>
    <w:p>
      <w:pPr>
        <w:spacing w:after="0" w:line="62" w:lineRule="exact"/>
        <w:rPr>
          <w:rFonts w:ascii="Arial" w:cs="Arial" w:eastAsia="Arial" w:hAnsi="Arial"/>
          <w:sz w:val="18"/>
          <w:szCs w:val="18"/>
          <w:color w:val="auto"/>
        </w:rPr>
      </w:pPr>
    </w:p>
    <w:p>
      <w:pPr>
        <w:ind w:left="444" w:right="20" w:firstLine="419"/>
        <w:spacing w:after="0" w:line="279" w:lineRule="auto"/>
        <w:tabs>
          <w:tab w:leader="none" w:pos="1082" w:val="left"/>
        </w:tabs>
        <w:numPr>
          <w:ilvl w:val="1"/>
          <w:numId w:val="296"/>
        </w:numPr>
        <w:rPr>
          <w:rFonts w:ascii="Arial" w:cs="Arial" w:eastAsia="Arial" w:hAnsi="Arial"/>
          <w:sz w:val="17"/>
          <w:szCs w:val="17"/>
          <w:color w:val="auto"/>
        </w:rPr>
      </w:pPr>
      <w:r>
        <w:rPr>
          <w:rFonts w:ascii="Arial" w:cs="Arial" w:eastAsia="Arial" w:hAnsi="Arial"/>
          <w:sz w:val="17"/>
          <w:szCs w:val="17"/>
          <w:color w:val="auto"/>
        </w:rPr>
        <w:t>the Borrower and the Administrative Agent may, without the input or consent of any Lender, amend, supplement and/or waive this Agreement and/or any guaranty, collateral security agreement, pledge agreement and/or related document (if any) executed in connection with this Agreement to (A) comply with any Requirement of Law or the advice of counsel or (B) cause any such guaranty, collateral security agreement, pledge agreement or other document to be consistent with this Agreement and/or the relevant other Loan Documents,</w:t>
      </w:r>
    </w:p>
    <w:p>
      <w:pPr>
        <w:spacing w:after="0" w:line="63" w:lineRule="exact"/>
        <w:rPr>
          <w:rFonts w:ascii="Arial" w:cs="Arial" w:eastAsia="Arial" w:hAnsi="Arial"/>
          <w:sz w:val="17"/>
          <w:szCs w:val="17"/>
          <w:color w:val="auto"/>
        </w:rPr>
      </w:pPr>
    </w:p>
    <w:p>
      <w:pPr>
        <w:ind w:left="444" w:firstLine="419"/>
        <w:spacing w:after="0" w:line="271" w:lineRule="auto"/>
        <w:tabs>
          <w:tab w:leader="none" w:pos="1132" w:val="left"/>
        </w:tabs>
        <w:numPr>
          <w:ilvl w:val="1"/>
          <w:numId w:val="296"/>
        </w:numPr>
        <w:rPr>
          <w:rFonts w:ascii="Arial" w:cs="Arial" w:eastAsia="Arial" w:hAnsi="Arial"/>
          <w:sz w:val="17"/>
          <w:szCs w:val="17"/>
          <w:color w:val="auto"/>
        </w:rPr>
      </w:pPr>
      <w:r>
        <w:rPr>
          <w:rFonts w:ascii="Arial" w:cs="Arial" w:eastAsia="Arial" w:hAnsi="Arial"/>
          <w:sz w:val="17"/>
          <w:szCs w:val="17"/>
          <w:color w:val="auto"/>
        </w:rPr>
        <w:t xml:space="preserve">the Borrower and the Administrative Agent may, without the input or consent of any other Lender (other than the relevant Lenders providing Loans under such Sections), effect amendments to this Agreement and the other Loan Documents as may be necessary or advisable in the reasonable opinion of the Borrower and the Administrative Agent to (A) effect the provisions of </w:t>
      </w:r>
      <w:r>
        <w:rPr>
          <w:rFonts w:ascii="Arial" w:cs="Arial" w:eastAsia="Arial" w:hAnsi="Arial"/>
          <w:sz w:val="17"/>
          <w:szCs w:val="17"/>
          <w:u w:val="single" w:color="auto"/>
          <w:color w:val="auto"/>
        </w:rPr>
        <w:t>Sections 1.10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w:t>
      </w:r>
      <w:r>
        <w:rPr>
          <w:rFonts w:ascii="Arial" w:cs="Arial" w:eastAsia="Arial" w:hAnsi="Arial"/>
          <w:sz w:val="17"/>
          <w:szCs w:val="17"/>
          <w:u w:val="single" w:color="auto"/>
          <w:color w:val="auto"/>
        </w:rPr>
        <w:t>5.12</w:t>
      </w:r>
      <w:r>
        <w:rPr>
          <w:rFonts w:ascii="Arial" w:cs="Arial" w:eastAsia="Arial" w:hAnsi="Arial"/>
          <w:sz w:val="17"/>
          <w:szCs w:val="17"/>
          <w:color w:val="auto"/>
        </w:rPr>
        <w:t xml:space="preserve">, </w:t>
      </w:r>
      <w:r>
        <w:rPr>
          <w:rFonts w:ascii="Arial" w:cs="Arial" w:eastAsia="Arial" w:hAnsi="Arial"/>
          <w:sz w:val="17"/>
          <w:szCs w:val="17"/>
          <w:u w:val="single" w:color="auto"/>
          <w:color w:val="auto"/>
        </w:rPr>
        <w:t>5.17</w:t>
      </w:r>
      <w:r>
        <w:rPr>
          <w:rFonts w:ascii="Arial" w:cs="Arial" w:eastAsia="Arial" w:hAnsi="Arial"/>
          <w:sz w:val="17"/>
          <w:szCs w:val="17"/>
          <w:color w:val="auto"/>
        </w:rPr>
        <w:t xml:space="preserve">, </w:t>
      </w:r>
      <w:r>
        <w:rPr>
          <w:rFonts w:ascii="Arial" w:cs="Arial" w:eastAsia="Arial" w:hAnsi="Arial"/>
          <w:sz w:val="17"/>
          <w:szCs w:val="17"/>
          <w:u w:val="single" w:color="auto"/>
          <w:color w:val="auto"/>
        </w:rPr>
        <w:t>5.18</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9.02(c)</w:t>
      </w:r>
      <w:r>
        <w:rPr>
          <w:rFonts w:ascii="Arial" w:cs="Arial" w:eastAsia="Arial" w:hAnsi="Arial"/>
          <w:sz w:val="17"/>
          <w:szCs w:val="17"/>
          <w:color w:val="auto"/>
        </w:rPr>
        <w:t>, or any other provision of this Agreement or any other Loan Document specifying that any waiver, amendment or modification may be made with the consent or approval of the Administrative Agent and/or (B) add terms (including representations and warranties, conditions, prepayments, covenants or events of default) that are favorable to the then-existing Lenders, as reasonably determined by the Administrative Agent (it being understood that, where applicable, any such amendment may be effectuated as part of an Incremental Facility Amendment, an Extension Amendment and/or a Refinancing Amendment),</w:t>
      </w:r>
    </w:p>
    <w:p>
      <w:pPr>
        <w:spacing w:after="0" w:line="70" w:lineRule="exact"/>
        <w:rPr>
          <w:rFonts w:ascii="Arial" w:cs="Arial" w:eastAsia="Arial" w:hAnsi="Arial"/>
          <w:sz w:val="17"/>
          <w:szCs w:val="17"/>
          <w:color w:val="auto"/>
        </w:rPr>
      </w:pPr>
    </w:p>
    <w:p>
      <w:pPr>
        <w:ind w:left="444" w:right="40" w:firstLine="419"/>
        <w:spacing w:after="0" w:line="259" w:lineRule="auto"/>
        <w:tabs>
          <w:tab w:leader="none" w:pos="1182" w:val="left"/>
        </w:tabs>
        <w:numPr>
          <w:ilvl w:val="1"/>
          <w:numId w:val="296"/>
        </w:numPr>
        <w:rPr>
          <w:rFonts w:ascii="Arial" w:cs="Arial" w:eastAsia="Arial" w:hAnsi="Arial"/>
          <w:sz w:val="18"/>
          <w:szCs w:val="18"/>
          <w:color w:val="auto"/>
        </w:rPr>
      </w:pPr>
      <w:r>
        <w:rPr>
          <w:rFonts w:ascii="Arial" w:cs="Arial" w:eastAsia="Arial" w:hAnsi="Arial"/>
          <w:sz w:val="18"/>
          <w:szCs w:val="18"/>
          <w:color w:val="auto"/>
        </w:rPr>
        <w:t>if the Administrative Agent and the Borrower have jointly identified any ambiguity, mistake, defect, inconsistency, obvious error or any error or omission of a technical nature or any necessary or desirable technical change, in each case, in any provision of any Loan Document, then the Administrative Agent and the Borrower shall be permitted to amend such provision solely to address such matter as reasonably determined by them,</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04"/>
          </w:cols>
          <w:pgMar w:left="436" w:top="274" w:right="459" w:bottom="1440" w:gutter="0" w:footer="0" w:header="0"/>
        </w:sectPr>
      </w:pPr>
    </w:p>
    <w:bookmarkStart w:id="186" w:name="page187"/>
    <w:bookmarkEnd w:id="186"/>
    <w:p>
      <w:pPr>
        <w:ind w:left="4" w:right="280" w:firstLine="419"/>
        <w:spacing w:after="0" w:line="277" w:lineRule="auto"/>
        <w:tabs>
          <w:tab w:leader="none" w:pos="731" w:val="left"/>
        </w:tabs>
        <w:numPr>
          <w:ilvl w:val="1"/>
          <w:numId w:val="2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and the Borrower may amend, restate, amend and restate or otherwise modify any Intercreditor Agreement and/or any other Additional Agreement as provided therein,</w:t>
      </w:r>
    </w:p>
    <w:p>
      <w:pPr>
        <w:spacing w:after="0" w:line="62" w:lineRule="exact"/>
        <w:rPr>
          <w:rFonts w:ascii="Arial" w:cs="Arial" w:eastAsia="Arial" w:hAnsi="Arial"/>
          <w:sz w:val="18"/>
          <w:szCs w:val="18"/>
          <w:color w:val="auto"/>
        </w:rPr>
      </w:pPr>
    </w:p>
    <w:p>
      <w:pPr>
        <w:ind w:left="4" w:right="440" w:firstLine="419"/>
        <w:spacing w:after="0" w:line="311" w:lineRule="auto"/>
        <w:tabs>
          <w:tab w:leader="none" w:pos="681" w:val="left"/>
        </w:tabs>
        <w:numPr>
          <w:ilvl w:val="1"/>
          <w:numId w:val="297"/>
        </w:numPr>
        <w:rPr>
          <w:rFonts w:ascii="Arial" w:cs="Arial" w:eastAsia="Arial" w:hAnsi="Arial"/>
          <w:sz w:val="16"/>
          <w:szCs w:val="16"/>
          <w:color w:val="auto"/>
        </w:rPr>
      </w:pPr>
      <w:r>
        <w:rPr>
          <w:rFonts w:ascii="Arial" w:cs="Arial" w:eastAsia="Arial" w:hAnsi="Arial"/>
          <w:sz w:val="16"/>
          <w:szCs w:val="16"/>
          <w:color w:val="auto"/>
        </w:rPr>
        <w:t xml:space="preserve">the Administrative Agent may amend the Commitment Schedule to reflect assignments entered into pursuant to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Commitment reductions or terminations pursuant to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implementations of Additional Commitments or incurrences of Additional Loans pursuant to </w:t>
      </w:r>
      <w:r>
        <w:rPr>
          <w:rFonts w:ascii="Arial" w:cs="Arial" w:eastAsia="Arial" w:hAnsi="Arial"/>
          <w:sz w:val="16"/>
          <w:szCs w:val="16"/>
          <w:u w:val="single" w:color="auto"/>
          <w:color w:val="auto"/>
        </w:rPr>
        <w:t>Sections 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9.02(c)</w:t>
      </w:r>
      <w:r>
        <w:rPr>
          <w:rFonts w:ascii="Arial" w:cs="Arial" w:eastAsia="Arial" w:hAnsi="Arial"/>
          <w:sz w:val="16"/>
          <w:szCs w:val="16"/>
          <w:color w:val="auto"/>
        </w:rPr>
        <w:t xml:space="preserve"> and reductions or terminations of any such Additional Commitments or Additional Loans,</w:t>
      </w:r>
    </w:p>
    <w:p>
      <w:pPr>
        <w:spacing w:after="0" w:line="40" w:lineRule="exact"/>
        <w:rPr>
          <w:rFonts w:ascii="Arial" w:cs="Arial" w:eastAsia="Arial" w:hAnsi="Arial"/>
          <w:sz w:val="16"/>
          <w:szCs w:val="16"/>
          <w:color w:val="auto"/>
        </w:rPr>
      </w:pPr>
    </w:p>
    <w:p>
      <w:pPr>
        <w:ind w:left="4" w:right="180" w:firstLine="419"/>
        <w:spacing w:after="0" w:line="277" w:lineRule="auto"/>
        <w:tabs>
          <w:tab w:leader="none" w:pos="731" w:val="left"/>
        </w:tabs>
        <w:numPr>
          <w:ilvl w:val="1"/>
          <w:numId w:val="297"/>
        </w:numPr>
        <w:rPr>
          <w:rFonts w:ascii="Arial" w:cs="Arial" w:eastAsia="Arial" w:hAnsi="Arial"/>
          <w:sz w:val="18"/>
          <w:szCs w:val="18"/>
          <w:color w:val="auto"/>
        </w:rPr>
      </w:pPr>
      <w:r>
        <w:rPr>
          <w:rFonts w:ascii="Arial" w:cs="Arial" w:eastAsia="Arial" w:hAnsi="Arial"/>
          <w:sz w:val="18"/>
          <w:szCs w:val="18"/>
          <w:color w:val="auto"/>
        </w:rPr>
        <w:t xml:space="preserve">no Defaulting Lender shall have any right to approve or disapprove any amendment, waiver or consent hereunder, except as permitted pursuant to </w:t>
      </w:r>
      <w:r>
        <w:rPr>
          <w:rFonts w:ascii="Arial" w:cs="Arial" w:eastAsia="Arial" w:hAnsi="Arial"/>
          <w:sz w:val="18"/>
          <w:szCs w:val="18"/>
          <w:u w:val="single" w:color="auto"/>
          <w:color w:val="auto"/>
        </w:rPr>
        <w:t>Section 2.21(b)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 w:right="20" w:firstLine="419"/>
        <w:spacing w:after="0" w:line="257" w:lineRule="auto"/>
        <w:tabs>
          <w:tab w:leader="none" w:pos="781"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this Agreement may be amended (or amended and restated) with the written consent of the Required Lenders, the Administrative Agent and the Borrower (i) to add one or more additional credit facilities to this Agreement and to permit any extension of credit from time to time outstanding thereunder and the accrued interest and fees in respect thereof to share ratably in the relevant benefits of this Agreement and the other Loan Documents and (ii) to include appropriately the Lenders holding such credit facilities in any determination of the Required Lenders on substantially the same basis as the Lenders prior to such inclusion,</w:t>
      </w:r>
    </w:p>
    <w:p>
      <w:pPr>
        <w:spacing w:after="0" w:line="79" w:lineRule="exact"/>
        <w:rPr>
          <w:rFonts w:ascii="Arial" w:cs="Arial" w:eastAsia="Arial" w:hAnsi="Arial"/>
          <w:sz w:val="18"/>
          <w:szCs w:val="18"/>
          <w:color w:val="auto"/>
        </w:rPr>
      </w:pPr>
    </w:p>
    <w:p>
      <w:pPr>
        <w:ind w:left="4" w:right="40" w:firstLine="419"/>
        <w:spacing w:after="0" w:line="296" w:lineRule="auto"/>
        <w:tabs>
          <w:tab w:leader="none" w:pos="831" w:val="left"/>
        </w:tabs>
        <w:numPr>
          <w:ilvl w:val="1"/>
          <w:numId w:val="297"/>
        </w:numPr>
        <w:rPr>
          <w:rFonts w:ascii="Arial" w:cs="Arial" w:eastAsia="Arial" w:hAnsi="Arial"/>
          <w:sz w:val="16"/>
          <w:szCs w:val="16"/>
          <w:color w:val="auto"/>
        </w:rPr>
      </w:pPr>
      <w:r>
        <w:rPr>
          <w:rFonts w:ascii="Arial" w:cs="Arial" w:eastAsia="Arial" w:hAnsi="Arial"/>
          <w:sz w:val="16"/>
          <w:szCs w:val="16"/>
          <w:color w:val="auto"/>
        </w:rPr>
        <w:t>any amendment, waiver or modification of any term or provision that solely affects Lenders under one or more Classes and does not directly and adversely affect Lenders under one or more other Classes (including any waiver or modification of any condition to any extension of credit under any Class of Commitments, pricing or other modification) may be effected with the consent of Lenders owning more than 50% of the aggregate commitments or Loans of such directly affected Class in lieu of the consent of the Required Lenders, so long as such amendment, waiver or modification is not of the type that would require the consent each Lender directly and adversely affected thereby or each Lender,</w:t>
      </w:r>
    </w:p>
    <w:p>
      <w:pPr>
        <w:spacing w:after="0" w:line="53" w:lineRule="exact"/>
        <w:rPr>
          <w:rFonts w:ascii="Arial" w:cs="Arial" w:eastAsia="Arial" w:hAnsi="Arial"/>
          <w:sz w:val="16"/>
          <w:szCs w:val="16"/>
          <w:color w:val="auto"/>
        </w:rPr>
      </w:pPr>
    </w:p>
    <w:p>
      <w:pPr>
        <w:ind w:left="724" w:hanging="301"/>
        <w:spacing w:after="0"/>
        <w:tabs>
          <w:tab w:leader="none" w:pos="724" w:val="left"/>
        </w:tabs>
        <w:numPr>
          <w:ilvl w:val="1"/>
          <w:numId w:val="297"/>
        </w:numPr>
        <w:rPr>
          <w:rFonts w:ascii="Arial" w:cs="Arial" w:eastAsia="Arial" w:hAnsi="Arial"/>
          <w:sz w:val="18"/>
          <w:szCs w:val="18"/>
          <w:u w:val="single" w:color="auto"/>
          <w:color w:val="auto"/>
        </w:rPr>
      </w:pPr>
      <w:r>
        <w:rPr>
          <w:rFonts w:ascii="Arial" w:cs="Arial" w:eastAsia="Arial" w:hAnsi="Arial"/>
          <w:sz w:val="18"/>
          <w:szCs w:val="18"/>
          <w:color w:val="auto"/>
        </w:rPr>
        <w:t xml:space="preserve">this Agreement may be amended in the manner prescribed in </w:t>
      </w:r>
      <w:r>
        <w:rPr>
          <w:rFonts w:ascii="Arial" w:cs="Arial" w:eastAsia="Arial" w:hAnsi="Arial"/>
          <w:sz w:val="18"/>
          <w:szCs w:val="18"/>
          <w:u w:val="single" w:color="auto"/>
          <w:color w:val="auto"/>
        </w:rPr>
        <w:t>Sections 1.13</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2.05(h)</w:t>
      </w:r>
      <w:r>
        <w:rPr>
          <w:rFonts w:ascii="Arial" w:cs="Arial" w:eastAsia="Arial" w:hAnsi="Arial"/>
          <w:sz w:val="18"/>
          <w:szCs w:val="18"/>
          <w:color w:val="auto"/>
        </w:rPr>
        <w:t>,</w:t>
      </w:r>
    </w:p>
    <w:p>
      <w:pPr>
        <w:spacing w:after="0" w:line="117" w:lineRule="exact"/>
        <w:rPr>
          <w:rFonts w:ascii="Arial" w:cs="Arial" w:eastAsia="Arial" w:hAnsi="Arial"/>
          <w:sz w:val="18"/>
          <w:szCs w:val="18"/>
          <w:u w:val="single" w:color="auto"/>
          <w:color w:val="auto"/>
        </w:rPr>
      </w:pPr>
    </w:p>
    <w:p>
      <w:pPr>
        <w:ind w:left="4" w:right="140" w:firstLine="419"/>
        <w:spacing w:after="0" w:line="291" w:lineRule="auto"/>
        <w:tabs>
          <w:tab w:leader="none" w:pos="681" w:val="left"/>
        </w:tabs>
        <w:numPr>
          <w:ilvl w:val="1"/>
          <w:numId w:val="297"/>
        </w:numPr>
        <w:rPr>
          <w:rFonts w:ascii="Arial" w:cs="Arial" w:eastAsia="Arial" w:hAnsi="Arial"/>
          <w:sz w:val="16"/>
          <w:szCs w:val="16"/>
          <w:color w:val="auto"/>
        </w:rPr>
      </w:pPr>
      <w:r>
        <w:rPr>
          <w:rFonts w:ascii="Arial" w:cs="Arial" w:eastAsia="Arial" w:hAnsi="Arial"/>
          <w:sz w:val="16"/>
          <w:szCs w:val="16"/>
          <w:color w:val="auto"/>
        </w:rPr>
        <w:t xml:space="preserve">this Agreement may be amended in the manner prescribed in </w:t>
      </w:r>
      <w:r>
        <w:rPr>
          <w:rFonts w:ascii="Arial" w:cs="Arial" w:eastAsia="Arial" w:hAnsi="Arial"/>
          <w:sz w:val="16"/>
          <w:szCs w:val="16"/>
          <w:u w:val="single" w:color="auto"/>
          <w:color w:val="auto"/>
        </w:rPr>
        <w:t>Sections 2.22(i)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2.23(c)</w:t>
      </w:r>
      <w:r>
        <w:rPr>
          <w:rFonts w:ascii="Arial" w:cs="Arial" w:eastAsia="Arial" w:hAnsi="Arial"/>
          <w:sz w:val="16"/>
          <w:szCs w:val="16"/>
          <w:color w:val="auto"/>
        </w:rPr>
        <w:t>; it being understood and agreed that any such amendment may provide that with respect to any Class of Loans and/or Commitments that is structured as a “delayed draw” or similar facility,</w:t>
      </w:r>
    </w:p>
    <w:p>
      <w:pPr>
        <w:ind w:left="4" w:hanging="4"/>
        <w:spacing w:after="0" w:line="253" w:lineRule="auto"/>
        <w:tabs>
          <w:tab w:leader="none" w:pos="21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any condition precedent to the funding of any Loan thereunder and/or (ii) any Event of Default arising as a result of any inaccuracy of any representation and/or warranty (including any certification) made in connection with the satisfaction of any such condition precedent, in each case, may be waived, amended or modified solely with the consent of a majority of the holders of such Loans and/or Commitments (or such other percentage of such holders as may be required in the amendment implementing such Class of Loans and/or Commitments (and without the consent of the Required Lenders or any other Lenders),</w:t>
      </w:r>
    </w:p>
    <w:p>
      <w:pPr>
        <w:spacing w:after="0" w:line="82" w:lineRule="exact"/>
        <w:rPr>
          <w:rFonts w:ascii="Arial" w:cs="Arial" w:eastAsia="Arial" w:hAnsi="Arial"/>
          <w:sz w:val="18"/>
          <w:szCs w:val="18"/>
          <w:color w:val="auto"/>
        </w:rPr>
      </w:pPr>
    </w:p>
    <w:p>
      <w:pPr>
        <w:ind w:left="724" w:hanging="301"/>
        <w:spacing w:after="0"/>
        <w:tabs>
          <w:tab w:leader="none" w:pos="724" w:val="left"/>
        </w:tabs>
        <w:numPr>
          <w:ilvl w:val="1"/>
          <w:numId w:val="298"/>
        </w:numPr>
        <w:rPr>
          <w:rFonts w:ascii="Arial" w:cs="Arial" w:eastAsia="Arial" w:hAnsi="Arial"/>
          <w:sz w:val="16"/>
          <w:szCs w:val="16"/>
          <w:color w:val="auto"/>
        </w:rPr>
      </w:pPr>
      <w:r>
        <w:rPr>
          <w:rFonts w:ascii="Arial" w:cs="Arial" w:eastAsia="Arial" w:hAnsi="Arial"/>
          <w:sz w:val="16"/>
          <w:szCs w:val="16"/>
          <w:color w:val="auto"/>
        </w:rPr>
        <w:t>for the avoidance of doubt, any “MFN” provision may be amended solely with the consent of the Borrower and the Required Lenders,</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 w:right="200" w:firstLine="419"/>
        <w:spacing w:after="0" w:line="263" w:lineRule="auto"/>
        <w:tabs>
          <w:tab w:leader="none" w:pos="781" w:val="left"/>
        </w:tabs>
        <w:numPr>
          <w:ilvl w:val="1"/>
          <w:numId w:val="298"/>
        </w:numPr>
        <w:rPr>
          <w:rFonts w:ascii="Arial" w:cs="Arial" w:eastAsia="Arial" w:hAnsi="Arial"/>
          <w:sz w:val="18"/>
          <w:szCs w:val="18"/>
          <w:color w:val="auto"/>
        </w:rPr>
      </w:pPr>
      <w:r>
        <w:rPr>
          <w:rFonts w:ascii="Arial" w:cs="Arial" w:eastAsia="Arial" w:hAnsi="Arial"/>
          <w:sz w:val="18"/>
          <w:szCs w:val="18"/>
          <w:color w:val="auto"/>
        </w:rPr>
        <w:t xml:space="preserve">the Required Lenders, without the consent of any other Lender, may (A) rescind any acceleration of the Loans and/or any other Obligation pursuant to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hereof and/or (B) agree that the Administrative Agent and the Lenders will forbear from exercising any remedy provided under any Loan Document with respect to any Event of Default.</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0564"/>
          </w:cols>
          <w:pgMar w:left="876" w:top="274" w:right="459" w:bottom="1440" w:gutter="0" w:footer="0" w:header="0"/>
        </w:sectPr>
      </w:pPr>
    </w:p>
    <w:bookmarkStart w:id="187" w:name="page188"/>
    <w:bookmarkEnd w:id="187"/>
    <w:p>
      <w:pPr>
        <w:ind w:left="244" w:hanging="244"/>
        <w:spacing w:after="0"/>
        <w:tabs>
          <w:tab w:leader="none" w:pos="244" w:val="left"/>
        </w:tabs>
        <w:numPr>
          <w:ilvl w:val="0"/>
          <w:numId w:val="2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understood that:</w:t>
      </w:r>
    </w:p>
    <w:p>
      <w:pPr>
        <w:spacing w:after="0" w:line="117" w:lineRule="exact"/>
        <w:rPr>
          <w:rFonts w:ascii="Arial" w:cs="Arial" w:eastAsia="Arial" w:hAnsi="Arial"/>
          <w:sz w:val="18"/>
          <w:szCs w:val="18"/>
          <w:color w:val="auto"/>
        </w:rPr>
      </w:pPr>
    </w:p>
    <w:p>
      <w:pPr>
        <w:ind w:left="4" w:right="180" w:firstLine="419"/>
        <w:spacing w:after="0" w:line="287" w:lineRule="auto"/>
        <w:tabs>
          <w:tab w:leader="none" w:pos="641" w:val="left"/>
        </w:tabs>
        <w:numPr>
          <w:ilvl w:val="1"/>
          <w:numId w:val="299"/>
        </w:numPr>
        <w:rPr>
          <w:rFonts w:ascii="Arial" w:cs="Arial" w:eastAsia="Arial" w:hAnsi="Arial"/>
          <w:sz w:val="16"/>
          <w:szCs w:val="16"/>
          <w:color w:val="auto"/>
        </w:rPr>
      </w:pPr>
      <w:r>
        <w:rPr>
          <w:rFonts w:ascii="Arial" w:cs="Arial" w:eastAsia="Arial" w:hAnsi="Arial"/>
          <w:sz w:val="16"/>
          <w:szCs w:val="16"/>
          <w:color w:val="auto"/>
        </w:rPr>
        <w:t>notwithstanding anything to the contrary herein, in connection with any determination as to whether the Required Lenders or Required Revolving Lenders, as applicable, have (A) consented (or not consented) to any amendment or waiver of any provision of this Agreement or any other Loan Document or any departure by any Loan Party therefrom, (B) otherwise acted on any matter related to any Loan Document, or</w:t>
      </w:r>
    </w:p>
    <w:p>
      <w:pPr>
        <w:spacing w:after="0" w:line="2" w:lineRule="exact"/>
        <w:rPr>
          <w:rFonts w:ascii="Arial" w:cs="Arial" w:eastAsia="Arial" w:hAnsi="Arial"/>
          <w:sz w:val="16"/>
          <w:szCs w:val="16"/>
          <w:color w:val="auto"/>
        </w:rPr>
      </w:pPr>
    </w:p>
    <w:p>
      <w:pPr>
        <w:ind w:left="4"/>
        <w:spacing w:after="0" w:line="268" w:lineRule="auto"/>
        <w:rPr>
          <w:rFonts w:ascii="Arial" w:cs="Arial" w:eastAsia="Arial" w:hAnsi="Arial"/>
          <w:sz w:val="16"/>
          <w:szCs w:val="16"/>
          <w:color w:val="auto"/>
        </w:rPr>
      </w:pPr>
      <w:r>
        <w:rPr>
          <w:rFonts w:ascii="Arial" w:cs="Arial" w:eastAsia="Arial" w:hAnsi="Arial"/>
          <w:sz w:val="17"/>
          <w:szCs w:val="17"/>
          <w:color w:val="auto"/>
        </w:rPr>
        <w:t>(C) directed or required the Administrative Agent or any Lender to undertake any action (or refrain from taking any action) with respect to or under any Loan Document, any Lender (other than any Arranger, Revolving Lender or Lender that is a Regulated Bank or an affiliate of any such Arranger, Revolving Lender or Lender)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Arial" w:cs="Arial" w:eastAsia="Arial" w:hAnsi="Arial"/>
          <w:sz w:val="17"/>
          <w:szCs w:val="17"/>
          <w:u w:val="single" w:color="auto"/>
          <w:color w:val="auto"/>
        </w:rPr>
        <w:t>Net Short</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w:t>
      </w:r>
      <w:r>
        <w:rPr>
          <w:rFonts w:ascii="Arial" w:cs="Arial" w:eastAsia="Arial" w:hAnsi="Arial"/>
          <w:sz w:val="17"/>
          <w:szCs w:val="17"/>
          <w:color w:val="auto"/>
        </w:rPr>
        <w:t>”) shall, unless the Borrower otherwise elects (in its sole discretion), have no right to vote any of its Loans and Commitments and shall be deemed to have voted its interest as a Lender without discretion in the same proportion as the allocation of voting with respect to such matter by Lenders who are not Net Short Lenders;</w:t>
      </w:r>
    </w:p>
    <w:p>
      <w:pPr>
        <w:spacing w:after="0" w:line="75" w:lineRule="exact"/>
        <w:rPr>
          <w:rFonts w:ascii="Arial" w:cs="Arial" w:eastAsia="Arial" w:hAnsi="Arial"/>
          <w:sz w:val="16"/>
          <w:szCs w:val="16"/>
          <w:color w:val="auto"/>
        </w:rPr>
      </w:pPr>
    </w:p>
    <w:p>
      <w:pPr>
        <w:ind w:left="4" w:right="20" w:firstLine="419"/>
        <w:spacing w:after="0" w:line="283" w:lineRule="auto"/>
        <w:tabs>
          <w:tab w:leader="none" w:pos="691" w:val="left"/>
        </w:tabs>
        <w:numPr>
          <w:ilvl w:val="1"/>
          <w:numId w:val="299"/>
        </w:numPr>
        <w:rPr>
          <w:rFonts w:ascii="Arial" w:cs="Arial" w:eastAsia="Arial" w:hAnsi="Arial"/>
          <w:sz w:val="16"/>
          <w:szCs w:val="16"/>
          <w:color w:val="auto"/>
        </w:rPr>
      </w:pPr>
      <w:r>
        <w:rPr>
          <w:rFonts w:ascii="Arial" w:cs="Arial" w:eastAsia="Arial" w:hAnsi="Arial"/>
          <w:sz w:val="16"/>
          <w:szCs w:val="16"/>
          <w:color w:val="auto"/>
        </w:rPr>
        <w:t>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the Borrower and/or any other Loan Party or any instrument issued or guaranteed by the Borrower and/or any other Loan Party shall not be deemed to create a short position with respect to the Loans and/or Commitments, so long as (x) such index is not created, designed, administered or requested by such Lender and (y) the Borrower and/or any other Loan Party and any instrument issued or guaranteed by the Borrower and/or any other Loan Party, collectively, represent less than 5% of the components of such index, (iv) derivative transactions that are documented using either the 2014 ISDA Credit Derivatives Definitions or the 2003 ISDA Credit Derivatives Definitions (collectively, the “</w:t>
      </w:r>
      <w:r>
        <w:rPr>
          <w:rFonts w:ascii="Arial" w:cs="Arial" w:eastAsia="Arial" w:hAnsi="Arial"/>
          <w:sz w:val="16"/>
          <w:szCs w:val="16"/>
          <w:u w:val="single" w:color="auto"/>
          <w:color w:val="auto"/>
        </w:rPr>
        <w:t>ISDA CDS Definitions</w:t>
      </w:r>
      <w:r>
        <w:rPr>
          <w:rFonts w:ascii="Arial" w:cs="Arial" w:eastAsia="Arial" w:hAnsi="Arial"/>
          <w:sz w:val="16"/>
          <w:szCs w:val="16"/>
          <w:color w:val="auto"/>
        </w:rPr>
        <w:t>”) shall be deemed to create a short position with respect to the Loans and/or Commitments if such Lender is a protection buyer or the equivalent thereof for such derivative transaction and</w:t>
      </w:r>
    </w:p>
    <w:p>
      <w:pPr>
        <w:spacing w:after="0" w:line="3" w:lineRule="exact"/>
        <w:rPr>
          <w:rFonts w:ascii="Arial" w:cs="Arial" w:eastAsia="Arial" w:hAnsi="Arial"/>
          <w:sz w:val="16"/>
          <w:szCs w:val="16"/>
          <w:color w:val="auto"/>
        </w:rPr>
      </w:pPr>
    </w:p>
    <w:p>
      <w:pPr>
        <w:ind w:left="4" w:right="40"/>
        <w:spacing w:after="0" w:line="286" w:lineRule="auto"/>
        <w:rPr>
          <w:rFonts w:ascii="Arial" w:cs="Arial" w:eastAsia="Arial" w:hAnsi="Arial"/>
          <w:sz w:val="16"/>
          <w:szCs w:val="16"/>
          <w:color w:val="auto"/>
        </w:rPr>
      </w:pPr>
      <w:r>
        <w:rPr>
          <w:rFonts w:ascii="Arial" w:cs="Arial" w:eastAsia="Arial" w:hAnsi="Arial"/>
          <w:sz w:val="16"/>
          <w:szCs w:val="16"/>
          <w:color w:val="auto"/>
        </w:rPr>
        <w:t>(1)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(2) the Loans or the Commitments would be a “Deliverable Obligation” under the terms of such derivative transaction or (3) the Borrower and/or any other Loan Party is designated as a “Reference Entity” under the terms of such derivative transactions, and (v) credit derivative transactions or other derivative transactions not documented using the ISDA CDS Definitions shall be deemed to create a short position with respect to the Loans and/or Commitments if such transactions are functionally equivalent to a transaction that offers the Lender protection in respect of the Loans or the Commitments, or as to the credit quality of the Borrower and/or any other Loan Party other than, in each case, as part of an index so long as (x) such index is not created, designed, administered or requested by such Lender and (y) the Borrower and/or any other Loan Party and any instrument issued or guaranteed by the Borrower and/or any other Loan Party, collectively, represent less than 5% of the components of such index;</w:t>
      </w:r>
    </w:p>
    <w:p>
      <w:pPr>
        <w:spacing w:after="0" w:line="61" w:lineRule="exact"/>
        <w:rPr>
          <w:rFonts w:ascii="Arial" w:cs="Arial" w:eastAsia="Arial" w:hAnsi="Arial"/>
          <w:sz w:val="16"/>
          <w:szCs w:val="16"/>
          <w:color w:val="auto"/>
        </w:rPr>
      </w:pPr>
    </w:p>
    <w:p>
      <w:pPr>
        <w:ind w:left="4" w:right="140" w:firstLine="419"/>
        <w:spacing w:after="0" w:line="259" w:lineRule="auto"/>
        <w:tabs>
          <w:tab w:leader="none" w:pos="741" w:val="left"/>
        </w:tabs>
        <w:numPr>
          <w:ilvl w:val="1"/>
          <w:numId w:val="299"/>
        </w:numPr>
        <w:rPr>
          <w:rFonts w:ascii="Arial" w:cs="Arial" w:eastAsia="Arial" w:hAnsi="Arial"/>
          <w:sz w:val="18"/>
          <w:szCs w:val="18"/>
          <w:color w:val="auto"/>
        </w:rPr>
      </w:pPr>
      <w:r>
        <w:rPr>
          <w:rFonts w:ascii="Arial" w:cs="Arial" w:eastAsia="Arial" w:hAnsi="Arial"/>
          <w:sz w:val="18"/>
          <w:szCs w:val="18"/>
          <w:color w:val="auto"/>
        </w:rPr>
        <w:t>in connection with any such determination, each Lender shall promptly notify the Administrative Agent in writing that it is a Net Short Lender, or shall otherwise be deemed to have represented and warranted to the Borrower and the Administrative Agent that it is not a Net Short Lender (it being understood and agreed that the Borrower and the Administrative Agent shall be entitled to rely on each such representation and deemed representation); and</w:t>
      </w:r>
    </w:p>
    <w:p>
      <w:pPr>
        <w:spacing w:after="0" w:line="241"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0584"/>
          </w:cols>
          <w:pgMar w:left="876" w:top="274" w:right="439" w:bottom="1440" w:gutter="0" w:footer="0" w:header="0"/>
        </w:sectPr>
      </w:pPr>
    </w:p>
    <w:bookmarkStart w:id="188" w:name="page189"/>
    <w:bookmarkEnd w:id="188"/>
    <w:p>
      <w:pPr>
        <w:ind w:left="444" w:right="140" w:firstLine="419"/>
        <w:spacing w:after="0" w:line="263" w:lineRule="auto"/>
        <w:tabs>
          <w:tab w:leader="none" w:pos="1172" w:val="left"/>
        </w:tabs>
        <w:numPr>
          <w:ilvl w:val="0"/>
          <w:numId w:val="3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once deemed effective, no amendment or waiver of any provision of this Agreement or any other Loan Document or any departure by any Loan Party therefrom shall be deemed to be invalid on the basis that a consenting Lender is determined to be a Net Short Lender after the effective date of such amendment or waiver.</w:t>
      </w:r>
    </w:p>
    <w:p>
      <w:pPr>
        <w:spacing w:after="0" w:line="76" w:lineRule="exact"/>
        <w:rPr>
          <w:sz w:val="20"/>
          <w:szCs w:val="20"/>
          <w:color w:val="auto"/>
        </w:rPr>
      </w:pPr>
    </w:p>
    <w:p>
      <w:pPr>
        <w:ind w:left="444" w:right="40" w:firstLine="423"/>
        <w:spacing w:after="0" w:line="301" w:lineRule="auto"/>
        <w:rPr>
          <w:sz w:val="20"/>
          <w:szCs w:val="20"/>
          <w:color w:val="auto"/>
        </w:rPr>
      </w:pPr>
      <w:r>
        <w:rPr>
          <w:rFonts w:ascii="Arial" w:cs="Arial" w:eastAsia="Arial" w:hAnsi="Arial"/>
          <w:sz w:val="16"/>
          <w:szCs w:val="16"/>
          <w:color w:val="auto"/>
        </w:rPr>
        <w:t xml:space="preserve">The Administrative Agent shall not be responsible or have any liability for, or have any duty to ascertain, inquire into, monitor or enforce, compliance with the provisions of this </w:t>
      </w:r>
      <w:r>
        <w:rPr>
          <w:rFonts w:ascii="Arial" w:cs="Arial" w:eastAsia="Arial" w:hAnsi="Arial"/>
          <w:sz w:val="16"/>
          <w:szCs w:val="16"/>
          <w:u w:val="single" w:color="auto"/>
          <w:color w:val="auto"/>
        </w:rPr>
        <w:t>Section 9.02(e)</w:t>
      </w:r>
      <w:r>
        <w:rPr>
          <w:rFonts w:ascii="Arial" w:cs="Arial" w:eastAsia="Arial" w:hAnsi="Arial"/>
          <w:sz w:val="16"/>
          <w:szCs w:val="16"/>
          <w:color w:val="auto"/>
        </w:rPr>
        <w:t>. Without limiting the generality of the foregoing, the Administrative Agent shall not (x) be obligated to ascertain, monitor or inquire as to whether any Lender or participant or prospective Lender or participant is a Net Short Lender or (y) have any liability with respect to or arising out of the voting in any amendment or waiver to any Loan Document by any Net Short Lender.</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 Indemnity</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84" w:lineRule="auto"/>
        <w:tabs>
          <w:tab w:leader="none" w:pos="689" w:val="left"/>
        </w:tabs>
        <w:numPr>
          <w:ilvl w:val="1"/>
          <w:numId w:val="301"/>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9.05(f)</w:t>
      </w:r>
      <w:r>
        <w:rPr>
          <w:rFonts w:ascii="Arial" w:cs="Arial" w:eastAsia="Arial" w:hAnsi="Arial"/>
          <w:sz w:val="16"/>
          <w:szCs w:val="16"/>
          <w:color w:val="auto"/>
        </w:rPr>
        <w:t xml:space="preserve">, the Borrower shall pay (i) all reasonable and documented out-of-pocket expenses incurred by each Arranger, the Administrative Agent and their respective Affiliates (but limited, in the case of legal fees and expenses, to the actual reasonable and documented out-of-pocket fees, disbursements and other charges of one firm of outside counsel to all such Persons taken as a whole and, if necessary, of one local counsel in any relevant material jurisdiction to all such Persons, taken as a whole) in connection with the syndication and distribution (including via the Internet or through a service such as Intralinks) of the Credit Facilities, the preparation, execution, delivery and administration of the Loan Documents and any related documentation, including in connection with any amendment, modification or waiver of any provision of any Loan Document (whether or not the transactions contemplated thereby are consummated, but only to the extent the preparation of any such amendment, modification or waiver was requested by the Borrower and except as otherwise provided in a separate writing between the Borrower, the relevant Arranger and/or the Administrative Agent) and (ii) without duplication of the obligation set forth in </w:t>
      </w:r>
      <w:r>
        <w:rPr>
          <w:rFonts w:ascii="Arial" w:cs="Arial" w:eastAsia="Arial" w:hAnsi="Arial"/>
          <w:sz w:val="16"/>
          <w:szCs w:val="16"/>
          <w:u w:val="single" w:color="auto"/>
          <w:color w:val="auto"/>
        </w:rPr>
        <w:t>Section 9.03(b)</w:t>
      </w:r>
      <w:r>
        <w:rPr>
          <w:rFonts w:ascii="Arial" w:cs="Arial" w:eastAsia="Arial" w:hAnsi="Arial"/>
          <w:sz w:val="16"/>
          <w:szCs w:val="16"/>
          <w:color w:val="auto"/>
        </w:rPr>
        <w:t xml:space="preserve">, all reasonable and documented out-of-pocket expenses incurred by the Administrative Agent, the Arrangers, the Issuing Banks or the Lenders or any of their respective Affiliates (but limited (x) in the case of legal fees and expenses, to the actual reasonable and documented out-of-pocket fees, disbursements and other charges of one firm of outside counsel to all such Persons taken as a whole and, if necessary, of one local counsel in any relevant material jurisdiction to all such Persons, taken as a whole (and solely in the case of a conflict of interest, (A) one additional counsel to all affected Persons, taken as a whole, and (B) one additional local counsel in any such jurisdiction to all affected Persons, taken as a whole), and (y) in the case of other third party advisors, to the actual reasonable and documented out-of-pocket fees, disbursements and other charges of only third party advisors the engagement of whom has been approved by the Borrower (such approval not to be unreasonably withheld, delayed or conditioned) in writing) in connection with the enforcement, collection or protection of their respective rights in connection with the Loan Documents, including their respective rights under this Section, or in connection with the Loans made and/or Letters of Credit issued hereunder. Except to the extent required to be paid on the Closing Date, all amounts due under this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shall be payable by the Borrower within 30 days of receipt by the Borrower of an invoice setting forth such expenses in reasonable detail, together with backup documentation supporting the relevant reimbursement request.</w:t>
      </w:r>
    </w:p>
    <w:p>
      <w:pPr>
        <w:spacing w:after="0" w:line="73" w:lineRule="exact"/>
        <w:rPr>
          <w:rFonts w:ascii="Arial" w:cs="Arial" w:eastAsia="Arial" w:hAnsi="Arial"/>
          <w:sz w:val="16"/>
          <w:szCs w:val="16"/>
          <w:color w:val="auto"/>
        </w:rPr>
      </w:pPr>
    </w:p>
    <w:p>
      <w:pPr>
        <w:ind w:left="4" w:right="20" w:firstLine="436"/>
        <w:spacing w:after="0" w:line="285" w:lineRule="auto"/>
        <w:tabs>
          <w:tab w:leader="none" w:pos="699" w:val="left"/>
        </w:tabs>
        <w:numPr>
          <w:ilvl w:val="1"/>
          <w:numId w:val="301"/>
        </w:numPr>
        <w:rPr>
          <w:rFonts w:ascii="Arial" w:cs="Arial" w:eastAsia="Arial" w:hAnsi="Arial"/>
          <w:sz w:val="16"/>
          <w:szCs w:val="16"/>
          <w:color w:val="auto"/>
        </w:rPr>
      </w:pPr>
      <w:r>
        <w:rPr>
          <w:rFonts w:ascii="Arial" w:cs="Arial" w:eastAsia="Arial" w:hAnsi="Arial"/>
          <w:sz w:val="16"/>
          <w:szCs w:val="16"/>
          <w:color w:val="auto"/>
        </w:rPr>
        <w:t>The Borrower shall indemnify each Arranger, the Administrative Agent, each Issuing Bank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and liabilities (but limited, in the case of any such loss, claim, damage and/or liability constituting legal fees and expenses to the actual reasonable and documented out-of-pocket fees, disbursements and other charges of one counsel to all Indemnitees taken as a whole and, if reasonably necessary, one local counsel in any relevant material jurisdiction to all Indemnitees, taken as a whole and solely in the case of a conflict of interest,</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one additional counsel to all affected Indemnitees, taken as a whole, and (y) one additional local counsel to all</w:t>
      </w:r>
    </w:p>
    <w:p>
      <w:pPr>
        <w:spacing w:after="0" w:line="14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0944"/>
          </w:cols>
          <w:pgMar w:left="436" w:top="274" w:right="519" w:bottom="1440" w:gutter="0" w:footer="0" w:header="0"/>
        </w:sectPr>
      </w:pPr>
    </w:p>
    <w:bookmarkStart w:id="189" w:name="page190"/>
    <w:bookmarkEnd w:id="189"/>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affected Indemnitees, taken as a whole),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or thereby and/or the enforcement of the Loan Documents, (ii) the use of the proceeds of the Loans or any Letter of Credit, (iii) any actual or alleged Release or presence of Hazardous Materials on, at, under or from any property currently or formerly owned, leased or operated by the Borrower, any of its Restricted Subsidiaries or any other Loan Party or any Environmental Liability related to the Borrower, any of its Restricted Subsidiaries or any other Loan Party and/or (iv) any actual or prospective claim, litigation, investigation or proceeding relating to any of the foregoing, whether based on contract, tort or any other theory and regardless of whether any Indemnitee is a party thereto (and regardless of whether such matter is initiated by or against a third party or by or against the Borrower, any other Loan Party or any of their respective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any such loss, claim, damage, or liability (i) is determined by a final and non-appealable judgment of a court of competent jurisdiction (or documented in any settlement agreement referred to below) to have resulted from the gross negligence, bad faith or willful misconduct of such Indemnitee or, to the extent such judgment finds (or any such settlement agreement acknowledges) that any such loss, claim, damage, or liability has resulted from such Person’s (or such Person’s Related Party’s) material breach of the Loan Documents (other than, with the written consent of the Borrower in its sole discretion, the Administrative Agent, in its capacity as such, in respect of obligations not owed to the Loan Parties) or (ii) arises out of any claim, litigation, investigation or proceeding brought by such Indemnitee against another Indemnitee (other than any claim, litigation, investigation or proceeding that is brought by or against the Administrative Agent, any Issuing Bank or any Arranger, acting in its capacity as the Administrative Agent, as an Issuing Bank or as an Arranger) that does not involve any act or omission of Holdings, the Borrower or any of its subsidiaries. Each Indemnitee shall be obligated to refund or return any and all amounts paid by the Borrower pursuant to this </w:t>
      </w:r>
      <w:r>
        <w:rPr>
          <w:rFonts w:ascii="Arial" w:cs="Arial" w:eastAsia="Arial" w:hAnsi="Arial"/>
          <w:sz w:val="17"/>
          <w:szCs w:val="17"/>
          <w:u w:val="single" w:color="auto"/>
          <w:color w:val="auto"/>
        </w:rPr>
        <w:t>Section 9.03(b)</w:t>
      </w:r>
      <w:r>
        <w:rPr>
          <w:rFonts w:ascii="Arial" w:cs="Arial" w:eastAsia="Arial" w:hAnsi="Arial"/>
          <w:sz w:val="17"/>
          <w:szCs w:val="17"/>
          <w:color w:val="auto"/>
        </w:rPr>
        <w:t xml:space="preserve"> to such Indemnitee for any fees, expenses, or damages to the extent such Indemnitee is not entitled to payment thereof in accordance with the terms hereof. Any amount due under this </w:t>
      </w:r>
      <w:r>
        <w:rPr>
          <w:rFonts w:ascii="Arial" w:cs="Arial" w:eastAsia="Arial" w:hAnsi="Arial"/>
          <w:sz w:val="17"/>
          <w:szCs w:val="17"/>
          <w:u w:val="single" w:color="auto"/>
          <w:color w:val="auto"/>
        </w:rPr>
        <w:t>Section 9.03(b)</w:t>
      </w:r>
      <w:r>
        <w:rPr>
          <w:rFonts w:ascii="Arial" w:cs="Arial" w:eastAsia="Arial" w:hAnsi="Arial"/>
          <w:sz w:val="17"/>
          <w:szCs w:val="17"/>
          <w:color w:val="auto"/>
        </w:rPr>
        <w:t xml:space="preserve"> shall be payable by the Borrower within 30 days (x) after receipt by the Borrower of a written demand therefor, in the case of any indemnification obligations and (y) in the case of reimbursement of costs and expenses, after receipt by the Borrower of an invoice setting forth such costs and expenses in reasonable detail, together with reasonable backup documentation supporting the relevant reimbursement request. This </w:t>
      </w:r>
      <w:r>
        <w:rPr>
          <w:rFonts w:ascii="Arial" w:cs="Arial" w:eastAsia="Arial" w:hAnsi="Arial"/>
          <w:sz w:val="17"/>
          <w:szCs w:val="17"/>
          <w:u w:val="single" w:color="auto"/>
          <w:color w:val="auto"/>
        </w:rPr>
        <w:t>Section 9.03(b)</w:t>
      </w:r>
      <w:r>
        <w:rPr>
          <w:rFonts w:ascii="Arial" w:cs="Arial" w:eastAsia="Arial" w:hAnsi="Arial"/>
          <w:sz w:val="17"/>
          <w:szCs w:val="17"/>
          <w:color w:val="auto"/>
        </w:rPr>
        <w:t xml:space="preserve"> shall not apply to Taxes other than any Taxes that represent losses, claims, damages or liabilities in respect of a non-Tax claim.</w:t>
      </w:r>
    </w:p>
    <w:p>
      <w:pPr>
        <w:spacing w:after="0" w:line="73" w:lineRule="exact"/>
        <w:rPr>
          <w:sz w:val="20"/>
          <w:szCs w:val="20"/>
          <w:color w:val="auto"/>
        </w:rPr>
      </w:pPr>
    </w:p>
    <w:p>
      <w:pPr>
        <w:ind w:firstLine="436"/>
        <w:spacing w:after="0" w:line="271" w:lineRule="auto"/>
        <w:tabs>
          <w:tab w:leader="none" w:pos="685"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Borrower shall not be liable for any settlement of any proceeding effected without its written consent (which consent shall not be unreasonably withheld, delayed or conditioned) or any other losses, claims, damages, liabilities and/or expenses incurred in connection therewith, but if any proceeding is settled with the written consent of the Borrower, or if there is a final judgment against any Indemnitee in any such proceeding, the Borrower agrees to indemnify and hold harmless each Indemnitee to the extent and in the manner set forth above. The Borrower shall not, without the prior written consent of the affected Indemnitee (which consent shall not be unreasonably withheld, conditioned or delayed), effect any settlement of any pending or threatened proceeding in respect of which indemnity could have been sought hereunder by such Indemnitee unless (i) such settlement includes an unconditional release of such Indemnitee from all liability or claims that are the subject matter of such proceeding and (ii) such settlement does not include any statement as to any admission of fault or culpability.</w:t>
      </w:r>
    </w:p>
    <w:p>
      <w:pPr>
        <w:spacing w:after="0" w:line="178"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Waiver of Claim</w:t>
      </w:r>
      <w:r>
        <w:rPr>
          <w:rFonts w:ascii="Arial" w:cs="Arial" w:eastAsia="Arial" w:hAnsi="Arial"/>
          <w:sz w:val="16"/>
          <w:szCs w:val="16"/>
          <w:color w:val="auto"/>
        </w:rPr>
        <w:t xml:space="preserve">. To the extent permitted by applicable Requirements of Law, no party to this Agreement nor any Secured Party shall assert, and each hereby waives on behalf of itself and its Related Parties, any claim against any other party hereto, any Loan Party and/or any Related Party of any thereof, on any theory of liability, for special, indirect, consequential or punitive damages (as opposed to direct or actual damages) arising out of, in connection with, or as a result of, this Agreement or any agreement or instrument contemplated hereby, the Transactions, any Loan or any Letter of Credit or the use of the proceeds thereof, except, in the case of any claim by any Indemnitee against the Borrower, to the extent such damages would otherwise be subject to indemnification pursuant to, and in accordance with, the terms of </w:t>
      </w:r>
      <w:r>
        <w:rPr>
          <w:rFonts w:ascii="Arial" w:cs="Arial" w:eastAsia="Arial" w:hAnsi="Arial"/>
          <w:sz w:val="16"/>
          <w:szCs w:val="16"/>
          <w:u w:val="single" w:color="auto"/>
          <w:color w:val="auto"/>
        </w:rPr>
        <w:t>Section 9.03</w:t>
      </w:r>
      <w:r>
        <w:rPr>
          <w:rFonts w:ascii="Arial" w:cs="Arial" w:eastAsia="Arial" w:hAnsi="Arial"/>
          <w:sz w:val="16"/>
          <w:szCs w:val="16"/>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00"/>
          </w:cols>
          <w:pgMar w:left="440" w:top="274" w:right="459" w:bottom="1440" w:gutter="0" w:footer="0" w:header="0"/>
        </w:sectPr>
      </w:pPr>
    </w:p>
    <w:bookmarkStart w:id="190" w:name="page191"/>
    <w:bookmarkEnd w:id="19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70" w:lineRule="auto"/>
        <w:tabs>
          <w:tab w:leader="none" w:pos="685" w:val="left"/>
        </w:tabs>
        <w:numPr>
          <w:ilvl w:val="0"/>
          <w:numId w:val="304"/>
        </w:numPr>
        <w:rPr>
          <w:rFonts w:ascii="Arial" w:cs="Arial" w:eastAsia="Arial" w:hAnsi="Arial"/>
          <w:sz w:val="17"/>
          <w:szCs w:val="17"/>
          <w:color w:val="auto"/>
        </w:rPr>
      </w:pPr>
      <w:r>
        <w:rPr>
          <w:rFonts w:ascii="Arial" w:cs="Arial" w:eastAsia="Arial" w:hAnsi="Arial"/>
          <w:sz w:val="17"/>
          <w:szCs w:val="17"/>
          <w:color w:val="auto"/>
        </w:rPr>
        <w:t xml:space="preserve">The provisions of this Agreement shall be binding upon and inure to the benefit of the parties hereto and their respective successors and permitted assigns;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except as permitted under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the terms of this Section (any attempted assignment or transfer not complying with the terms of this Section shall be null and void (other than an assignment or transfer to a Disqualified Institution, which shall be subject to </w:t>
      </w:r>
      <w:r>
        <w:rPr>
          <w:rFonts w:ascii="Arial" w:cs="Arial" w:eastAsia="Arial" w:hAnsi="Arial"/>
          <w:sz w:val="17"/>
          <w:szCs w:val="17"/>
          <w:u w:val="single" w:color="auto"/>
          <w:color w:val="auto"/>
        </w:rPr>
        <w:t>Section 9.05(f)</w:t>
      </w:r>
      <w:r>
        <w:rPr>
          <w:rFonts w:ascii="Arial" w:cs="Arial" w:eastAsia="Arial" w:hAnsi="Arial"/>
          <w:sz w:val="17"/>
          <w:szCs w:val="17"/>
          <w:color w:val="auto"/>
        </w:rPr>
        <w:t xml:space="preserve">). Nothing in this Agreement, expressed or implied, shall be construed to confer upon any Person (other than the parties hereto, their respective successors and permitted assigns, to the extent provided in </w:t>
      </w:r>
      <w:r>
        <w:rPr>
          <w:rFonts w:ascii="Arial" w:cs="Arial" w:eastAsia="Arial" w:hAnsi="Arial"/>
          <w:sz w:val="17"/>
          <w:szCs w:val="17"/>
          <w:u w:val="single" w:color="auto"/>
          <w:color w:val="auto"/>
        </w:rPr>
        <w:t>Section 9.05(c)</w:t>
      </w:r>
      <w:r>
        <w:rPr>
          <w:rFonts w:ascii="Arial" w:cs="Arial" w:eastAsia="Arial" w:hAnsi="Arial"/>
          <w:sz w:val="17"/>
          <w:szCs w:val="17"/>
          <w:color w:val="auto"/>
        </w:rPr>
        <w:t>), Participants and, to the extent expressly contemplated hereby, the Related Parties of each of the Arrangers, the Administrative Agent, the Issuing Banks and the Lenders) any legal or equitable right, remedy or claim under or by reason of this Agreement.</w:t>
      </w:r>
    </w:p>
    <w:p>
      <w:pPr>
        <w:spacing w:after="0" w:line="72" w:lineRule="exact"/>
        <w:rPr>
          <w:rFonts w:ascii="Arial" w:cs="Arial" w:eastAsia="Arial" w:hAnsi="Arial"/>
          <w:sz w:val="17"/>
          <w:szCs w:val="17"/>
          <w:color w:val="auto"/>
        </w:rPr>
      </w:pPr>
    </w:p>
    <w:p>
      <w:pPr>
        <w:ind w:firstLine="436"/>
        <w:spacing w:after="0" w:line="291" w:lineRule="auto"/>
        <w:tabs>
          <w:tab w:leader="none" w:pos="695"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(i) Subject to the conditions set forth in </w:t>
      </w:r>
      <w:r>
        <w:rPr>
          <w:rFonts w:ascii="Arial" w:cs="Arial" w:eastAsia="Arial" w:hAnsi="Arial"/>
          <w:sz w:val="16"/>
          <w:szCs w:val="16"/>
          <w:u w:val="single" w:color="auto"/>
          <w:color w:val="auto"/>
        </w:rPr>
        <w:t>paragraph (b)(ii)</w:t>
      </w:r>
      <w:r>
        <w:rPr>
          <w:rFonts w:ascii="Arial" w:cs="Arial" w:eastAsia="Arial" w:hAnsi="Arial"/>
          <w:sz w:val="16"/>
          <w:szCs w:val="16"/>
          <w:color w:val="auto"/>
        </w:rPr>
        <w:t xml:space="preserve"> below, any Lender may assign to one or more Eligible Assignees all or a portion of its rights and obligations under this Agreement (including all or a portion of any Loan or Additional Commitment added pursuant to </w:t>
      </w:r>
      <w:r>
        <w:rPr>
          <w:rFonts w:ascii="Arial" w:cs="Arial" w:eastAsia="Arial" w:hAnsi="Arial"/>
          <w:sz w:val="16"/>
          <w:szCs w:val="16"/>
          <w:u w:val="single" w:color="auto"/>
          <w:color w:val="auto"/>
        </w:rPr>
        <w:t>Sections 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or</w:t>
      </w:r>
    </w:p>
    <w:p>
      <w:pPr>
        <w:spacing w:after="0"/>
        <w:rPr>
          <w:rFonts w:ascii="Arial" w:cs="Arial" w:eastAsia="Arial" w:hAnsi="Arial"/>
          <w:sz w:val="16"/>
          <w:szCs w:val="16"/>
          <w:color w:val="auto"/>
        </w:rPr>
      </w:pPr>
      <w:r>
        <w:rPr>
          <w:rFonts w:ascii="Arial" w:cs="Arial" w:eastAsia="Arial" w:hAnsi="Arial"/>
          <w:sz w:val="18"/>
          <w:szCs w:val="18"/>
          <w:u w:val="single" w:color="auto"/>
          <w:color w:val="auto"/>
        </w:rPr>
        <w:t>9.02(c)</w:t>
      </w:r>
      <w:r>
        <w:rPr>
          <w:rFonts w:ascii="Arial" w:cs="Arial" w:eastAsia="Arial" w:hAnsi="Arial"/>
          <w:sz w:val="18"/>
          <w:szCs w:val="18"/>
          <w:color w:val="auto"/>
        </w:rPr>
        <w:t xml:space="preserve"> at the time owing to it) with the prior written consent of:</w:t>
      </w:r>
    </w:p>
    <w:p>
      <w:pPr>
        <w:spacing w:after="0" w:line="102" w:lineRule="exact"/>
        <w:rPr>
          <w:rFonts w:ascii="Arial" w:cs="Arial" w:eastAsia="Arial" w:hAnsi="Arial"/>
          <w:sz w:val="16"/>
          <w:szCs w:val="16"/>
          <w:color w:val="auto"/>
        </w:rPr>
      </w:pPr>
    </w:p>
    <w:p>
      <w:pPr>
        <w:ind w:left="980" w:firstLine="408"/>
        <w:spacing w:after="0" w:line="288" w:lineRule="auto"/>
        <w:tabs>
          <w:tab w:leader="none" w:pos="1676" w:val="left"/>
        </w:tabs>
        <w:numPr>
          <w:ilvl w:val="2"/>
          <w:numId w:val="304"/>
        </w:numPr>
        <w:rPr>
          <w:rFonts w:ascii="Arial" w:cs="Arial" w:eastAsia="Arial" w:hAnsi="Arial"/>
          <w:sz w:val="16"/>
          <w:szCs w:val="16"/>
          <w:color w:val="auto"/>
        </w:rPr>
      </w:pPr>
      <w:r>
        <w:rPr>
          <w:rFonts w:ascii="Arial" w:cs="Arial" w:eastAsia="Arial" w:hAnsi="Arial"/>
          <w:sz w:val="16"/>
          <w:szCs w:val="16"/>
          <w:color w:val="auto"/>
        </w:rPr>
        <w:t xml:space="preserve">the Borrower (such consent not to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Borrower shall be deemed to have consented to any assignment of Term Loans (other than any assignment to any Disqualified Institution or any natural person (or any holding company, investment vehicle or trust for, or owned and operated by, or for the primary benefit of, one or more natural persons)) unless it has objected thereto by written notice to the Administrative Agent within 10 Business Days after receipt by the Borrower of a written notice for consent thereto and (y) the consent of the Borrower shall not be required for any assignment of (1) Term Loans or Term Commitments to any Term Lender or any Affiliate of any Term Lender or an Approved Fund, (2) at any time when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or (3) of Revolving Loans or Revolving Credit Commitments to any other Revolving Lender; it being understood and agreed that the Borrower may withhold its consent (in its sole discretion) to any assignment to any Person that is known by it to be an Affiliate of a Disqualified Institution and/or an Affiliate of a Competitor (other than a Competitor Debt Fund Affiliate, unless the Borrower has other reasonable grounds on which to withhold its consent);</w:t>
      </w:r>
    </w:p>
    <w:p>
      <w:pPr>
        <w:spacing w:after="0" w:line="60" w:lineRule="exact"/>
        <w:rPr>
          <w:rFonts w:ascii="Arial" w:cs="Arial" w:eastAsia="Arial" w:hAnsi="Arial"/>
          <w:sz w:val="16"/>
          <w:szCs w:val="16"/>
          <w:color w:val="auto"/>
        </w:rPr>
      </w:pPr>
    </w:p>
    <w:p>
      <w:pPr>
        <w:ind w:left="980" w:right="180" w:firstLine="408"/>
        <w:spacing w:after="0" w:line="342" w:lineRule="auto"/>
        <w:tabs>
          <w:tab w:leader="none" w:pos="1666" w:val="left"/>
        </w:tabs>
        <w:numPr>
          <w:ilvl w:val="2"/>
          <w:numId w:val="304"/>
        </w:numPr>
        <w:rPr>
          <w:rFonts w:ascii="Arial" w:cs="Arial" w:eastAsia="Arial" w:hAnsi="Arial"/>
          <w:sz w:val="16"/>
          <w:szCs w:val="16"/>
          <w:color w:val="auto"/>
        </w:rPr>
      </w:pPr>
      <w:r>
        <w:rPr>
          <w:rFonts w:ascii="Arial" w:cs="Arial" w:eastAsia="Arial" w:hAnsi="Arial"/>
          <w:sz w:val="16"/>
          <w:szCs w:val="16"/>
          <w:color w:val="auto"/>
        </w:rPr>
        <w:t xml:space="preserve">the Administrative Agent (such consent not to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that no consent of the Administrative Agent shall be required for any assignment to another Lender, any Affiliate of a Lender or any Approved Fund; and</w:t>
      </w:r>
    </w:p>
    <w:p>
      <w:pPr>
        <w:spacing w:after="0" w:line="15" w:lineRule="exact"/>
        <w:rPr>
          <w:rFonts w:ascii="Arial" w:cs="Arial" w:eastAsia="Arial" w:hAnsi="Arial"/>
          <w:sz w:val="16"/>
          <w:szCs w:val="16"/>
          <w:color w:val="auto"/>
        </w:rPr>
      </w:pPr>
    </w:p>
    <w:p>
      <w:pPr>
        <w:ind w:left="980" w:right="560" w:firstLine="408"/>
        <w:spacing w:after="0" w:line="263" w:lineRule="auto"/>
        <w:tabs>
          <w:tab w:leader="none" w:pos="1666" w:val="left"/>
        </w:tabs>
        <w:numPr>
          <w:ilvl w:val="2"/>
          <w:numId w:val="304"/>
        </w:numPr>
        <w:rPr>
          <w:rFonts w:ascii="Arial" w:cs="Arial" w:eastAsia="Arial" w:hAnsi="Arial"/>
          <w:sz w:val="18"/>
          <w:szCs w:val="18"/>
          <w:color w:val="auto"/>
        </w:rPr>
      </w:pPr>
      <w:r>
        <w:rPr>
          <w:rFonts w:ascii="Arial" w:cs="Arial" w:eastAsia="Arial" w:hAnsi="Arial"/>
          <w:sz w:val="18"/>
          <w:szCs w:val="18"/>
          <w:color w:val="auto"/>
        </w:rPr>
        <w:t xml:space="preserve">in the case of any Revolving Facility, each Issuing Bank and the Swingline Lender (such consent not to be unreasonably withheld, conditioned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that no consent of any Issuing Bank or the Swingline Lender shall be required for any assignment to a Revolving Lender or an Affiliate of a Revolving Lender.</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7" w:lineRule="exact"/>
        <w:rPr>
          <w:rFonts w:ascii="Arial" w:cs="Arial" w:eastAsia="Arial" w:hAnsi="Arial"/>
          <w:sz w:val="18"/>
          <w:szCs w:val="18"/>
          <w:color w:val="auto"/>
        </w:rPr>
      </w:pPr>
    </w:p>
    <w:p>
      <w:pPr>
        <w:ind w:left="980" w:right="60" w:firstLine="408"/>
        <w:spacing w:after="0" w:line="259" w:lineRule="auto"/>
        <w:tabs>
          <w:tab w:leader="none" w:pos="1676" w:val="left"/>
        </w:tabs>
        <w:numPr>
          <w:ilvl w:val="2"/>
          <w:numId w:val="304"/>
        </w:numPr>
        <w:rPr>
          <w:rFonts w:ascii="Arial" w:cs="Arial" w:eastAsia="Arial" w:hAnsi="Arial"/>
          <w:sz w:val="18"/>
          <w:szCs w:val="18"/>
          <w:color w:val="auto"/>
        </w:rPr>
      </w:pPr>
      <w:r>
        <w:rPr>
          <w:rFonts w:ascii="Arial" w:cs="Arial" w:eastAsia="Arial" w:hAnsi="Arial"/>
          <w:sz w:val="18"/>
          <w:szCs w:val="18"/>
          <w:color w:val="auto"/>
        </w:rPr>
        <w:t>except in the case of any assignment to another Lender, any Affiliate of any Lender or any Approved Fund or any assignment of the entire remaining amount of the relevant assigning Lender’s Loans or Commitments of any Class, the principal amount of Loans or Commitments of the assigning Lender subject to the relevant assignment (determined as of the date on which the Assignment Agreement with respect to such assignment is delivered to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0980"/>
          </w:cols>
          <w:pgMar w:left="440" w:top="274" w:right="479" w:bottom="1440" w:gutter="0" w:footer="0" w:header="0"/>
        </w:sectPr>
      </w:pPr>
    </w:p>
    <w:bookmarkStart w:id="191" w:name="page192"/>
    <w:bookmarkEnd w:id="191"/>
    <w:p>
      <w:pPr>
        <w:jc w:val="both"/>
        <w:ind w:left="540" w:right="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and determined on an aggregate basis in the event of concurrent assignments to Related Funds or by Related Funds) shall not be less than (x) $1,000,000 in the case of Term Loans and Term Commitments or (y) $5,000,000 in the case of Revolving Loans and Revolving Credit Commitments, in each case unless the Borrower and the Administrative Agent otherwise consent;</w:t>
      </w:r>
    </w:p>
    <w:p>
      <w:pPr>
        <w:spacing w:after="0" w:line="41" w:lineRule="exact"/>
        <w:rPr>
          <w:sz w:val="20"/>
          <w:szCs w:val="20"/>
          <w:color w:val="auto"/>
        </w:rPr>
      </w:pPr>
    </w:p>
    <w:p>
      <w:pPr>
        <w:ind w:left="540" w:right="280" w:firstLine="408"/>
        <w:spacing w:after="0" w:line="277" w:lineRule="auto"/>
        <w:tabs>
          <w:tab w:leader="none" w:pos="1226"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any partial assignment shall be made as an assignment of a proportionate part of all the relevant assigning Lender’s rights and obligations under this Agreement;</w:t>
      </w:r>
    </w:p>
    <w:p>
      <w:pPr>
        <w:spacing w:after="0" w:line="62" w:lineRule="exact"/>
        <w:rPr>
          <w:rFonts w:ascii="Arial" w:cs="Arial" w:eastAsia="Arial" w:hAnsi="Arial"/>
          <w:sz w:val="18"/>
          <w:szCs w:val="18"/>
          <w:color w:val="auto"/>
        </w:rPr>
      </w:pPr>
    </w:p>
    <w:p>
      <w:pPr>
        <w:ind w:left="540" w:firstLine="408"/>
        <w:spacing w:after="0" w:line="259" w:lineRule="auto"/>
        <w:tabs>
          <w:tab w:leader="none" w:pos="1226"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Agreement via an electronic settlement system acceptable to the Administrative Agent (or, if previously agreed with the Administrative Agent, manually), and shall pay to the Administrative Agent a processing and recordation fee of $3,500 (which fee may be waived or reduced in the sole discretion of the Administrative Agent); and</w:t>
      </w:r>
    </w:p>
    <w:p>
      <w:pPr>
        <w:spacing w:after="0" w:line="78" w:lineRule="exact"/>
        <w:rPr>
          <w:rFonts w:ascii="Arial" w:cs="Arial" w:eastAsia="Arial" w:hAnsi="Arial"/>
          <w:sz w:val="18"/>
          <w:szCs w:val="18"/>
          <w:color w:val="auto"/>
        </w:rPr>
      </w:pPr>
    </w:p>
    <w:p>
      <w:pPr>
        <w:ind w:left="540" w:right="520" w:firstLine="408"/>
        <w:spacing w:after="0" w:line="308" w:lineRule="auto"/>
        <w:tabs>
          <w:tab w:leader="none" w:pos="1236" w:val="left"/>
        </w:tabs>
        <w:numPr>
          <w:ilvl w:val="1"/>
          <w:numId w:val="305"/>
        </w:numPr>
        <w:rPr>
          <w:rFonts w:ascii="Arial" w:cs="Arial" w:eastAsia="Arial" w:hAnsi="Arial"/>
          <w:sz w:val="17"/>
          <w:szCs w:val="17"/>
          <w:color w:val="auto"/>
        </w:rPr>
      </w:pPr>
      <w:r>
        <w:rPr>
          <w:rFonts w:ascii="Arial" w:cs="Arial" w:eastAsia="Arial" w:hAnsi="Arial"/>
          <w:sz w:val="17"/>
          <w:szCs w:val="17"/>
          <w:color w:val="auto"/>
        </w:rPr>
        <w:t xml:space="preserve">the relevant Eligible Assignee, if it is not a Lender, shall deliver on or prior to the effective date of such assignment, to the Administrative Agent (1) an Administrative Questionnaire and (2) any IRS form required under </w:t>
      </w:r>
      <w:r>
        <w:rPr>
          <w:rFonts w:ascii="Arial" w:cs="Arial" w:eastAsia="Arial" w:hAnsi="Arial"/>
          <w:sz w:val="17"/>
          <w:szCs w:val="17"/>
          <w:u w:val="single" w:color="auto"/>
          <w:color w:val="auto"/>
        </w:rPr>
        <w:t>Section 2.17</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right="20" w:firstLine="419"/>
        <w:spacing w:after="0" w:line="269" w:lineRule="auto"/>
        <w:tabs>
          <w:tab w:leader="none" w:pos="738" w:val="left"/>
        </w:tabs>
        <w:numPr>
          <w:ilvl w:val="0"/>
          <w:numId w:val="306"/>
        </w:numPr>
        <w:rPr>
          <w:rFonts w:ascii="Arial" w:cs="Arial" w:eastAsia="Arial" w:hAnsi="Arial"/>
          <w:sz w:val="17"/>
          <w:szCs w:val="17"/>
          <w:color w:val="auto"/>
        </w:rPr>
      </w:pPr>
      <w:r>
        <w:rPr>
          <w:rFonts w:ascii="Arial" w:cs="Arial" w:eastAsia="Arial" w:hAnsi="Arial"/>
          <w:sz w:val="17"/>
          <w:szCs w:val="17"/>
          <w:color w:val="auto"/>
        </w:rPr>
        <w:t xml:space="preserve">Subject to the acceptance and recording thereof pursuant to </w:t>
      </w:r>
      <w:r>
        <w:rPr>
          <w:rFonts w:ascii="Arial" w:cs="Arial" w:eastAsia="Arial" w:hAnsi="Arial"/>
          <w:sz w:val="17"/>
          <w:szCs w:val="17"/>
          <w:u w:val="single" w:color="auto"/>
          <w:color w:val="auto"/>
        </w:rPr>
        <w:t>paragraph (b)(iv)</w:t>
      </w:r>
      <w:r>
        <w:rPr>
          <w:rFonts w:ascii="Arial" w:cs="Arial" w:eastAsia="Arial" w:hAnsi="Arial"/>
          <w:sz w:val="17"/>
          <w:szCs w:val="17"/>
          <w:color w:val="auto"/>
        </w:rPr>
        <w:t xml:space="preserve"> of this Section, from and after the effective date specified in any Assignment Agreement, the Eligible Assignee thereunder shall be a party hereto and, to the extent of the interest assigned pursuant to such Assignment Agreement, have the rights and obligations of a Lender under this Agreement, and the assigning Lender thereunder shall, to the extent of the interest assigned by such Assignment Agreement, be released from its obligations under this Agreement (and, in the case of an Assignment Agreement covering all of the assigning Lender’s rights and obligations under this Agreement, such Lender shall cease to be a party hereto but shall continue to be (A) entitled to the benefits of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with respect to facts and circumstances occurring on or prior to the effective date of such assignment and (B) subject to its obligations thereunder and under </w:t>
      </w:r>
      <w:r>
        <w:rPr>
          <w:rFonts w:ascii="Arial" w:cs="Arial" w:eastAsia="Arial" w:hAnsi="Arial"/>
          <w:sz w:val="17"/>
          <w:szCs w:val="17"/>
          <w:u w:val="single" w:color="auto"/>
          <w:color w:val="auto"/>
        </w:rPr>
        <w:t>Section 9.13</w:t>
      </w:r>
      <w:r>
        <w:rPr>
          <w:rFonts w:ascii="Arial" w:cs="Arial" w:eastAsia="Arial" w:hAnsi="Arial"/>
          <w:sz w:val="17"/>
          <w:szCs w:val="17"/>
          <w:color w:val="auto"/>
        </w:rPr>
        <w:t>). If any assignment by any Lender holding any Promissory Note is made after the issuance of such Promissory Note, the assigning Lender shall, upon the effectiveness of such assignment or as promptly thereafter as practicable, surrender such Promissory Note to the Administrative Agent for cancellation, and, following such cancellation, if requested by either the assignee or the assigning Lender, the Borrower shall issue and deliver a new Promissory Note to such assignee and/or to such assigning Lender, with appropriate insertions, to reflect the new commitments and/or outstanding Loans of the assignee and/or the assigning Lender.</w:t>
      </w:r>
    </w:p>
    <w:p>
      <w:pPr>
        <w:spacing w:after="0" w:line="70" w:lineRule="exact"/>
        <w:rPr>
          <w:rFonts w:ascii="Arial" w:cs="Arial" w:eastAsia="Arial" w:hAnsi="Arial"/>
          <w:sz w:val="17"/>
          <w:szCs w:val="17"/>
          <w:color w:val="auto"/>
        </w:rPr>
      </w:pPr>
    </w:p>
    <w:p>
      <w:pPr>
        <w:ind w:right="20" w:firstLine="419"/>
        <w:spacing w:after="0" w:line="270" w:lineRule="auto"/>
        <w:tabs>
          <w:tab w:leader="none" w:pos="728"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The Administrative Agent, acting for this purpose as a non-fiduciary agent of the Borrower, shall maintain at one of its offices in the US a copy of each Assignment Agreement delivered to it and a register for the recordation of the names and addresses of the Lenders and their respective successors and assigns, and the commitment of, and principal amount of and interest on the Loans and LC Disbursements owing to, each Lender or Issuing Bank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Failure to make any such recordation, or any error in such recordation, shall not affect the Borrower’s obligations in respect of such Loans and LC Disbursements.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each Issuing Bank and each Lender (but only as to its own holdings), at any reasonable time and from time to time upon reasonable prior notice.</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0560"/>
          </w:cols>
          <w:pgMar w:left="880" w:top="274" w:right="459" w:bottom="1440" w:gutter="0" w:footer="0" w:header="0"/>
        </w:sectPr>
      </w:pPr>
    </w:p>
    <w:bookmarkStart w:id="192" w:name="page193"/>
    <w:bookmarkEnd w:id="192"/>
    <w:p>
      <w:pPr>
        <w:ind w:left="440" w:right="100" w:firstLine="419"/>
        <w:spacing w:after="0" w:line="273" w:lineRule="auto"/>
        <w:tabs>
          <w:tab w:leader="none" w:pos="1118" w:val="left"/>
        </w:tabs>
        <w:numPr>
          <w:ilvl w:val="1"/>
          <w:numId w:val="3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its receipt of a duly completed Assignment Agreement executed by an assigning Lender and an Eligible Assignee, the Eligible Assignee’s completed Administrative Questionnaire and any tax certification required by </w:t>
      </w:r>
      <w:r>
        <w:rPr>
          <w:rFonts w:ascii="Arial" w:cs="Arial" w:eastAsia="Arial" w:hAnsi="Arial"/>
          <w:sz w:val="17"/>
          <w:szCs w:val="17"/>
          <w:u w:val="single" w:color="auto"/>
          <w:color w:val="auto"/>
        </w:rPr>
        <w:t>Section 9.05(b)(ii)(D)(2)</w:t>
      </w:r>
      <w:r>
        <w:rPr>
          <w:rFonts w:ascii="Arial" w:cs="Arial" w:eastAsia="Arial" w:hAnsi="Arial"/>
          <w:sz w:val="17"/>
          <w:szCs w:val="17"/>
          <w:color w:val="auto"/>
        </w:rPr>
        <w:t xml:space="preserve"> (unless the assignee is already a Lender hereunder), the processing and recordation fee referred to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if applicable, and any written consent to the relevant assignment required by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the Administrative Agent shall promptly accept such Assignment Agreement and record the information contained therein in the Register. No assignment shall be effective for purposes of this Agreement unless it has been recorded in the Register as provided in this paragraph.</w:t>
      </w:r>
    </w:p>
    <w:p>
      <w:pPr>
        <w:spacing w:after="0" w:line="69" w:lineRule="exact"/>
        <w:rPr>
          <w:rFonts w:ascii="Arial" w:cs="Arial" w:eastAsia="Arial" w:hAnsi="Arial"/>
          <w:sz w:val="17"/>
          <w:szCs w:val="17"/>
          <w:color w:val="auto"/>
        </w:rPr>
      </w:pPr>
    </w:p>
    <w:p>
      <w:pPr>
        <w:ind w:left="440" w:firstLine="419"/>
        <w:spacing w:after="0" w:line="267" w:lineRule="auto"/>
        <w:tabs>
          <w:tab w:leader="none" w:pos="1168" w:val="left"/>
        </w:tabs>
        <w:numPr>
          <w:ilvl w:val="1"/>
          <w:numId w:val="307"/>
        </w:numPr>
        <w:rPr>
          <w:rFonts w:ascii="Arial" w:cs="Arial" w:eastAsia="Arial" w:hAnsi="Arial"/>
          <w:sz w:val="17"/>
          <w:szCs w:val="17"/>
          <w:color w:val="auto"/>
        </w:rPr>
      </w:pPr>
      <w:r>
        <w:rPr>
          <w:rFonts w:ascii="Arial" w:cs="Arial" w:eastAsia="Arial" w:hAnsi="Arial"/>
          <w:sz w:val="17"/>
          <w:szCs w:val="17"/>
          <w:color w:val="auto"/>
        </w:rPr>
        <w:t xml:space="preserve">By executing and delivering an Assignment Agreement, the assigning Lender and the Eligible Assignee thereunder shall be deemed to confirm and agree with each other and the other parties hereto as follows: (A) the assigning Lender warrants that it is the legal and beneficial owner of the interest being assigned thereby free and clear of any adverse claim and that the amount of its commitments, and the outstanding balances of its Loans, in each case without giving effect to any assignment thereof which has not become effective, are as set forth in such Assignment Agreement, (B) except as set forth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the assigning Lender makes no representation or warranty and assumes no responsibility with respect to any statement, warranty or representation made in or in connection with this Agreement, or the execution, legality, validity, enforceability, genuineness, sufficiency or value of this Agreement, any other Loan Document or any other instrument or document furnished pursuant hereto, or the financial condition of the Borrower or any Restricted Subsidiary or the performance or observance by the Borrower or any Restricted Subsidiary of any of its obligations under this Agreement, any other Loan Document or any other instrument or document furnished pursuant hereto; (C) the assignee represents and warrants that it is (1) an Eligible Assignee and (2) not a Disqualified Institution or an Affiliate of any Disqualified Institution, legally authorized to enter into such Assignment Agreement; (D) the assignee confirms that it has received a copy of this Agreement and each applicable Intercreditor Agreement, together with copies of the financial statements referred to in </w:t>
      </w:r>
      <w:r>
        <w:rPr>
          <w:rFonts w:ascii="Arial" w:cs="Arial" w:eastAsia="Arial" w:hAnsi="Arial"/>
          <w:sz w:val="17"/>
          <w:szCs w:val="17"/>
          <w:u w:val="single" w:color="auto"/>
          <w:color w:val="auto"/>
        </w:rPr>
        <w:t>Section 4.01(c)</w:t>
      </w:r>
      <w:r>
        <w:rPr>
          <w:rFonts w:ascii="Arial" w:cs="Arial" w:eastAsia="Arial" w:hAnsi="Arial"/>
          <w:sz w:val="17"/>
          <w:szCs w:val="17"/>
          <w:color w:val="auto"/>
        </w:rPr>
        <w:t xml:space="preserve"> or the most recent financial statements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and such other documents and information as it has deemed appropriate to make its own credit analysis and decision to enter into such Assignment Agreement; (E) the assignee will independently and without reliance upon the Administrative Agent, the assigning Lender or any other Lender and based on such documents and information as it deems appropriate at the time, continue to make its own credit decisions in taking or not taking action under this Agreement; (F) the assignee appoints and authorizes the Administrative Agent to take such action as agent on its behalf and to exercise such powers under this Agreement as are delegated to the Administrative Agent, by the terms hereof, together with such powers as are reasonably incidental thereto; and (G) the assignee agrees that it will perform in accordance with their terms all the obligations which by the terms of this Agreement are required to be performed by it as a Lender.</w:t>
      </w:r>
    </w:p>
    <w:p>
      <w:pPr>
        <w:spacing w:after="0" w:line="78" w:lineRule="exact"/>
        <w:rPr>
          <w:rFonts w:ascii="Arial" w:cs="Arial" w:eastAsia="Arial" w:hAnsi="Arial"/>
          <w:sz w:val="17"/>
          <w:szCs w:val="17"/>
          <w:color w:val="auto"/>
        </w:rPr>
      </w:pPr>
    </w:p>
    <w:p>
      <w:pPr>
        <w:ind w:right="20" w:firstLine="436"/>
        <w:spacing w:after="0" w:line="268" w:lineRule="auto"/>
        <w:tabs>
          <w:tab w:leader="none" w:pos="685" w:val="left"/>
        </w:tabs>
        <w:numPr>
          <w:ilvl w:val="0"/>
          <w:numId w:val="308"/>
        </w:numPr>
        <w:rPr>
          <w:rFonts w:ascii="Arial" w:cs="Arial" w:eastAsia="Arial" w:hAnsi="Arial"/>
          <w:sz w:val="17"/>
          <w:szCs w:val="17"/>
          <w:color w:val="auto"/>
        </w:rPr>
      </w:pPr>
      <w:r>
        <w:rPr>
          <w:rFonts w:ascii="Arial" w:cs="Arial" w:eastAsia="Arial" w:hAnsi="Arial"/>
          <w:sz w:val="17"/>
          <w:szCs w:val="17"/>
          <w:color w:val="auto"/>
        </w:rPr>
        <w:t xml:space="preserve">(i) Any Lender may, without the consent of the Borrower (solely in the case of any participation in any Lender’s rights and obligations with respect to any Term Loan), the Administrative Agent, any Issuing Bank or any other Lender, sell participations to any bank or other entity (other than to any Disqualified Institution, any natural person (or any holding company, investment vehicle or trust for, or owned and operated by, or for the primary benefit of, one or more natural persons) or, other than with respect to any participation to any Debt Fund Affiliate (any such participations to a Debt Fund Affiliate being subject to the limitation set forth in the first proviso of the final paragraph set forth in </w:t>
      </w:r>
      <w:r>
        <w:rPr>
          <w:rFonts w:ascii="Arial" w:cs="Arial" w:eastAsia="Arial" w:hAnsi="Arial"/>
          <w:sz w:val="17"/>
          <w:szCs w:val="17"/>
          <w:u w:val="single" w:color="auto"/>
          <w:color w:val="auto"/>
        </w:rPr>
        <w:t>Section 9.05(g)</w:t>
      </w:r>
      <w:r>
        <w:rPr>
          <w:rFonts w:ascii="Arial" w:cs="Arial" w:eastAsia="Arial" w:hAnsi="Arial"/>
          <w:sz w:val="17"/>
          <w:szCs w:val="17"/>
          <w:color w:val="auto"/>
        </w:rPr>
        <w:t>, as if the limitation applied to such participations), the Borrower or any of its Affiliates)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 obligations under this Agreement (including all or a portion of its commitments and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it is understood and agreed that the consent of the Borrower will be required for any participation of any rights or obligations (including any Loan or Commitment) of any Lender under or in respect of the Revolving Facility; </w:t>
      </w:r>
      <w:r>
        <w:rPr>
          <w:rFonts w:ascii="Arial" w:cs="Arial" w:eastAsia="Arial" w:hAnsi="Arial"/>
          <w:sz w:val="17"/>
          <w:szCs w:val="17"/>
          <w:u w:val="single" w:color="auto"/>
          <w:color w:val="auto"/>
        </w:rPr>
        <w:t>provide</w:t>
      </w:r>
      <w:r>
        <w:rPr>
          <w:rFonts w:ascii="Arial" w:cs="Arial" w:eastAsia="Arial" w:hAnsi="Arial"/>
          <w:sz w:val="17"/>
          <w:szCs w:val="17"/>
          <w:color w:val="auto"/>
        </w:rPr>
        <w:t xml:space="preserve">d,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any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agreement or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00"/>
          </w:cols>
          <w:pgMar w:left="440" w:top="274" w:right="459" w:bottom="1440" w:gutter="0" w:footer="0" w:header="0"/>
        </w:sectPr>
      </w:pPr>
    </w:p>
    <w:bookmarkStart w:id="193" w:name="page194"/>
    <w:bookmarkEnd w:id="19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instrument may provide that such Lender will not, without the consent of the relevant Participant, agree to any amendment, modification or waiver described in (x)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first proviso to </w:t>
      </w:r>
      <w:r>
        <w:rPr>
          <w:rFonts w:ascii="Arial" w:cs="Arial" w:eastAsia="Arial" w:hAnsi="Arial"/>
          <w:sz w:val="17"/>
          <w:szCs w:val="17"/>
          <w:u w:val="single" w:color="auto"/>
          <w:color w:val="auto"/>
        </w:rPr>
        <w:t>Section 9.02(b)</w:t>
      </w:r>
      <w:r>
        <w:rPr>
          <w:rFonts w:ascii="Arial" w:cs="Arial" w:eastAsia="Arial" w:hAnsi="Arial"/>
          <w:sz w:val="17"/>
          <w:szCs w:val="17"/>
          <w:color w:val="auto"/>
        </w:rPr>
        <w:t xml:space="preserve"> that directly and adversely affects the Loans or commitments in which such Participant has an interest and (y) </w:t>
      </w:r>
      <w:r>
        <w:rPr>
          <w:rFonts w:ascii="Arial" w:cs="Arial" w:eastAsia="Arial" w:hAnsi="Arial"/>
          <w:sz w:val="17"/>
          <w:szCs w:val="17"/>
          <w:u w:val="single" w:color="auto"/>
          <w:color w:val="auto"/>
        </w:rPr>
        <w:t>clauses (B)(1)</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w:t>
      </w:r>
      <w:r>
        <w:rPr>
          <w:rFonts w:ascii="Arial" w:cs="Arial" w:eastAsia="Arial" w:hAnsi="Arial"/>
          <w:sz w:val="17"/>
          <w:szCs w:val="17"/>
          <w:color w:val="auto"/>
        </w:rPr>
        <w:t xml:space="preserve"> of the first proviso to </w:t>
      </w:r>
      <w:r>
        <w:rPr>
          <w:rFonts w:ascii="Arial" w:cs="Arial" w:eastAsia="Arial" w:hAnsi="Arial"/>
          <w:sz w:val="17"/>
          <w:szCs w:val="17"/>
          <w:u w:val="single" w:color="auto"/>
          <w:color w:val="auto"/>
        </w:rPr>
        <w:t>Section 9.02(b)</w:t>
      </w:r>
      <w:r>
        <w:rPr>
          <w:rFonts w:ascii="Arial" w:cs="Arial" w:eastAsia="Arial" w:hAnsi="Arial"/>
          <w:sz w:val="17"/>
          <w:szCs w:val="17"/>
          <w:color w:val="auto"/>
        </w:rPr>
        <w:t xml:space="preserve">; it being understood and agreed that no Lender may enter into any agreement or other arrangement with any Participant that provides such Participant with the right to agree to or approve (or direct such Lender to agree, approve, consent or not to agree, approve or consent) any other amendment, modification or waiver in respect of any Loan Document, and any such agreement or arrangement shall be deemed to be null and void and of no force or effect. Subject to </w:t>
      </w:r>
      <w:r>
        <w:rPr>
          <w:rFonts w:ascii="Arial" w:cs="Arial" w:eastAsia="Arial" w:hAnsi="Arial"/>
          <w:sz w:val="17"/>
          <w:szCs w:val="17"/>
          <w:u w:val="single" w:color="auto"/>
          <w:color w:val="auto"/>
        </w:rPr>
        <w:t>paragraph (c)(ii)</w:t>
      </w:r>
      <w:r>
        <w:rPr>
          <w:rFonts w:ascii="Arial" w:cs="Arial" w:eastAsia="Arial" w:hAnsi="Arial"/>
          <w:sz w:val="17"/>
          <w:szCs w:val="17"/>
          <w:color w:val="auto"/>
        </w:rPr>
        <w:t xml:space="preserve"> of this Section, the Borrower agrees that each Participant shall be entitled to the benefits of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(subject to the limitations and requirements of such Sections and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to the same extent as if it were a Lender and had acquired its interest by assignment pursuant to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and it being understood that the documentation required under </w:t>
      </w:r>
      <w:r>
        <w:rPr>
          <w:rFonts w:ascii="Arial" w:cs="Arial" w:eastAsia="Arial" w:hAnsi="Arial"/>
          <w:sz w:val="17"/>
          <w:szCs w:val="17"/>
          <w:u w:val="single" w:color="auto"/>
          <w:color w:val="auto"/>
        </w:rPr>
        <w:t>Section 2.17(f)</w:t>
      </w:r>
      <w:r>
        <w:rPr>
          <w:rFonts w:ascii="Arial" w:cs="Arial" w:eastAsia="Arial" w:hAnsi="Arial"/>
          <w:sz w:val="17"/>
          <w:szCs w:val="17"/>
          <w:color w:val="auto"/>
        </w:rPr>
        <w:t xml:space="preserve"> shall be delivered to the participating Lender, and if additional amounts are required to be paid pursuant to </w:t>
      </w:r>
      <w:r>
        <w:rPr>
          <w:rFonts w:ascii="Arial" w:cs="Arial" w:eastAsia="Arial" w:hAnsi="Arial"/>
          <w:sz w:val="17"/>
          <w:szCs w:val="17"/>
          <w:u w:val="single" w:color="auto"/>
          <w:color w:val="auto"/>
        </w:rPr>
        <w:t>Section 2.17(a)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2.17(c)</w:t>
      </w:r>
      <w:r>
        <w:rPr>
          <w:rFonts w:ascii="Arial" w:cs="Arial" w:eastAsia="Arial" w:hAnsi="Arial"/>
          <w:sz w:val="17"/>
          <w:szCs w:val="17"/>
          <w:color w:val="auto"/>
        </w:rPr>
        <w:t xml:space="preserve">, to the Borrower and the Administrative Agent). To the extent permitted by applicable Requirements of Law, each Participant also shall be entitled to the benefits of </w:t>
      </w:r>
      <w:r>
        <w:rPr>
          <w:rFonts w:ascii="Arial" w:cs="Arial" w:eastAsia="Arial" w:hAnsi="Arial"/>
          <w:sz w:val="17"/>
          <w:szCs w:val="17"/>
          <w:u w:val="single" w:color="auto"/>
          <w:color w:val="auto"/>
        </w:rPr>
        <w:t>Section 9.09</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shall be subject to </w:t>
      </w:r>
      <w:r>
        <w:rPr>
          <w:rFonts w:ascii="Arial" w:cs="Arial" w:eastAsia="Arial" w:hAnsi="Arial"/>
          <w:sz w:val="17"/>
          <w:szCs w:val="17"/>
          <w:u w:val="single" w:color="auto"/>
          <w:color w:val="auto"/>
        </w:rPr>
        <w:t>Section 2.18(c)</w:t>
      </w:r>
      <w:r>
        <w:rPr>
          <w:rFonts w:ascii="Arial" w:cs="Arial" w:eastAsia="Arial" w:hAnsi="Arial"/>
          <w:sz w:val="17"/>
          <w:szCs w:val="17"/>
          <w:color w:val="auto"/>
        </w:rPr>
        <w:t xml:space="preserve"> as though it were a Lender.</w:t>
      </w:r>
    </w:p>
    <w:p>
      <w:pPr>
        <w:spacing w:after="0" w:line="71" w:lineRule="exact"/>
        <w:rPr>
          <w:sz w:val="20"/>
          <w:szCs w:val="20"/>
          <w:color w:val="auto"/>
        </w:rPr>
      </w:pPr>
    </w:p>
    <w:p>
      <w:pPr>
        <w:ind w:left="440" w:right="20" w:firstLine="419"/>
        <w:spacing w:after="0" w:line="301" w:lineRule="auto"/>
        <w:tabs>
          <w:tab w:leader="none" w:pos="1128"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No Participant shall be entitled to receive any greater payment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than the participating Lender would have been entitled to receive with respect to the participation sold to such Participant unless the participation is made with the prior written consent of the Borrower (in its sole discretion), expressly acknowledging that such Participant’s entitlement to benefits under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is not limited to what the participating Lender would have been entitled to receive absent the grant to such Participant.</w:t>
      </w:r>
    </w:p>
    <w:p>
      <w:pPr>
        <w:spacing w:after="0" w:line="15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Each Lender that sells a participation or makes a grant to an SPC (as defined in </w:t>
      </w:r>
      <w:r>
        <w:rPr>
          <w:rFonts w:ascii="Arial" w:cs="Arial" w:eastAsia="Arial" w:hAnsi="Arial"/>
          <w:sz w:val="16"/>
          <w:szCs w:val="16"/>
          <w:u w:val="single" w:color="auto"/>
          <w:color w:val="auto"/>
        </w:rPr>
        <w:t>Section 9.05(e)</w:t>
      </w:r>
      <w:r>
        <w:rPr>
          <w:rFonts w:ascii="Arial" w:cs="Arial" w:eastAsia="Arial" w:hAnsi="Arial"/>
          <w:sz w:val="16"/>
          <w:szCs w:val="16"/>
          <w:color w:val="auto"/>
        </w:rPr>
        <w:t>) shall, acting solely for this purpose as a non-fiduciary agent of the Borrower, maintain a register on which it enters the name and address of each Participant and each SPC and their respective successors and registered assigns, and the principal of and interest amounts on each Participant’s and each SPC’s interest in the Loans or other obligations under the Loan Documents (a “</w:t>
      </w:r>
      <w:r>
        <w:rPr>
          <w:rFonts w:ascii="Arial" w:cs="Arial" w:eastAsia="Arial" w:hAnsi="Arial"/>
          <w:sz w:val="16"/>
          <w:szCs w:val="16"/>
          <w:u w:val="single" w:color="auto"/>
          <w:color w:val="auto"/>
        </w:rPr>
        <w:t>Participant/SPC Register</w:t>
      </w:r>
      <w:r>
        <w:rPr>
          <w:rFonts w:ascii="Arial" w:cs="Arial" w:eastAsia="Arial" w:hAnsi="Arial"/>
          <w:sz w:val="16"/>
          <w:szCs w:val="16"/>
          <w:color w:val="auto"/>
        </w:rPr>
        <w:t>”); provided that no Lender shall have any obligation to disclose all or any portion of any Participant/SPC Register (including the identity of any Participant or SPC or any information relating to any Participant’s or SPC’s interest in any Commitment, Loan, Letter of Credit or any other obligation under any Loan Document) to any Person except to the extent that such disclosure is necessary to establish that such Commitment, Loan, Letter of Credit or other obligation is in registered form under Section 5f.103-1(c) or Proposed Section 1.163-5(b) of the Treasury Regulations (or any amended or successor version). The entries in the Participant/SPC Register shall be conclusive absent manifest error, and each Lender shall treat each Person whose name is recorded in the Participant/SPC Register as the owner of such participation for all purposes of this Agreement notwithstanding any notice to the contrary. For the avoidance of doubt, the Administrative Agent (in its capacity as Administrative Agent) shall have no responsibility for maintaining a Participant/SPC Register.</w:t>
      </w:r>
    </w:p>
    <w:p>
      <w:pPr>
        <w:spacing w:after="0" w:line="64" w:lineRule="exact"/>
        <w:rPr>
          <w:sz w:val="20"/>
          <w:szCs w:val="20"/>
          <w:color w:val="auto"/>
        </w:rPr>
      </w:pPr>
    </w:p>
    <w:p>
      <w:pPr>
        <w:ind w:right="240" w:firstLine="436"/>
        <w:spacing w:after="0" w:line="273" w:lineRule="auto"/>
        <w:tabs>
          <w:tab w:leader="none" w:pos="695" w:val="left"/>
        </w:tabs>
        <w:numPr>
          <w:ilvl w:val="0"/>
          <w:numId w:val="310"/>
        </w:numPr>
        <w:rPr>
          <w:rFonts w:ascii="Arial" w:cs="Arial" w:eastAsia="Arial" w:hAnsi="Arial"/>
          <w:sz w:val="17"/>
          <w:szCs w:val="17"/>
          <w:color w:val="auto"/>
        </w:rPr>
      </w:pPr>
      <w:r>
        <w:rPr>
          <w:rFonts w:ascii="Arial" w:cs="Arial" w:eastAsia="Arial" w:hAnsi="Arial"/>
          <w:sz w:val="17"/>
          <w:szCs w:val="17"/>
          <w:color w:val="auto"/>
        </w:rPr>
        <w:t xml:space="preserve">(i) Any Lender may at any time pledge or assign a security interest in all or any portion of its rights under this Agreement (other than to any Disqualified Institution or any natural person (or any holding company, investment vehicle or trust for, or owned and operated by, or for the primary benefit of, one or more natural persons)) to secure obligations of such Lender, including without limitation any pledge or assignment to secure obligations to any Federal Reserve Bank or other central bank having jurisdiction over such Lender, and this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of a security interest shall release any Lender from any of its obligations hereunder or substitute any such pledgee or assignee for such Lender as a party hereto.</w:t>
      </w:r>
    </w:p>
    <w:p>
      <w:pPr>
        <w:spacing w:after="0" w:line="69" w:lineRule="exact"/>
        <w:rPr>
          <w:rFonts w:ascii="Arial" w:cs="Arial" w:eastAsia="Arial" w:hAnsi="Arial"/>
          <w:sz w:val="17"/>
          <w:szCs w:val="17"/>
          <w:color w:val="auto"/>
        </w:rPr>
      </w:pPr>
    </w:p>
    <w:p>
      <w:pPr>
        <w:ind w:left="440" w:right="340" w:firstLine="419"/>
        <w:spacing w:after="0" w:line="263" w:lineRule="auto"/>
        <w:tabs>
          <w:tab w:leader="none" w:pos="1128" w:val="left"/>
        </w:tabs>
        <w:numPr>
          <w:ilvl w:val="1"/>
          <w:numId w:val="310"/>
        </w:numPr>
        <w:rPr>
          <w:rFonts w:ascii="Arial" w:cs="Arial" w:eastAsia="Arial" w:hAnsi="Arial"/>
          <w:sz w:val="18"/>
          <w:szCs w:val="18"/>
          <w:color w:val="auto"/>
        </w:rPr>
      </w:pPr>
      <w:r>
        <w:rPr>
          <w:rFonts w:ascii="Arial" w:cs="Arial" w:eastAsia="Arial" w:hAnsi="Arial"/>
          <w:sz w:val="18"/>
          <w:szCs w:val="18"/>
          <w:color w:val="auto"/>
        </w:rPr>
        <w:t>No Lender may at any time enter into a total return swap, total rate of return swap, credit default swap or other derivative instrument under which any Secured Obligation is a reference obligation (any such swap or other derivative instrument, an “</w:t>
      </w:r>
      <w:r>
        <w:rPr>
          <w:rFonts w:ascii="Arial" w:cs="Arial" w:eastAsia="Arial" w:hAnsi="Arial"/>
          <w:sz w:val="18"/>
          <w:szCs w:val="18"/>
          <w:u w:val="single" w:color="auto"/>
          <w:color w:val="auto"/>
        </w:rPr>
        <w:t>Obligations Derivative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Instrument</w:t>
      </w:r>
      <w:r>
        <w:rPr>
          <w:rFonts w:ascii="Arial" w:cs="Arial" w:eastAsia="Arial" w:hAnsi="Arial"/>
          <w:sz w:val="18"/>
          <w:szCs w:val="18"/>
          <w:color w:val="auto"/>
        </w:rPr>
        <w:t>”) with any counterparty that is a Disqualified Institution.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00"/>
          </w:cols>
          <w:pgMar w:left="440" w:top="274" w:right="459" w:bottom="1440" w:gutter="0" w:footer="0" w:header="0"/>
        </w:sectPr>
      </w:pPr>
    </w:p>
    <w:bookmarkStart w:id="194" w:name="page195"/>
    <w:bookmarkEnd w:id="194"/>
    <w:p>
      <w:pPr>
        <w:ind w:right="40" w:firstLine="436"/>
        <w:spacing w:after="0" w:line="284" w:lineRule="auto"/>
        <w:tabs>
          <w:tab w:leader="none" w:pos="685" w:val="left"/>
        </w:tabs>
        <w:numPr>
          <w:ilvl w:val="0"/>
          <w:numId w:val="3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contained herein, any Lender (a “</w:t>
      </w:r>
      <w:r>
        <w:rPr>
          <w:rFonts w:ascii="Arial" w:cs="Arial" w:eastAsia="Arial" w:hAnsi="Arial"/>
          <w:sz w:val="16"/>
          <w:szCs w:val="16"/>
          <w:u w:val="single" w:color="auto"/>
          <w:color w:val="auto"/>
        </w:rPr>
        <w:t>Granting Lender</w:t>
      </w:r>
      <w:r>
        <w:rPr>
          <w:rFonts w:ascii="Arial" w:cs="Arial" w:eastAsia="Arial" w:hAnsi="Arial"/>
          <w:sz w:val="16"/>
          <w:szCs w:val="16"/>
          <w:color w:val="auto"/>
        </w:rPr>
        <w:t>”) may grant to a special purpose funding vehicle (an “</w:t>
      </w:r>
      <w:r>
        <w:rPr>
          <w:rFonts w:ascii="Arial" w:cs="Arial" w:eastAsia="Arial" w:hAnsi="Arial"/>
          <w:sz w:val="16"/>
          <w:szCs w:val="16"/>
          <w:u w:val="single" w:color="auto"/>
          <w:color w:val="auto"/>
        </w:rPr>
        <w:t>SPC</w:t>
      </w:r>
      <w:r>
        <w:rPr>
          <w:rFonts w:ascii="Arial" w:cs="Arial" w:eastAsia="Arial" w:hAnsi="Arial"/>
          <w:sz w:val="16"/>
          <w:szCs w:val="16"/>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any Loan by an SPC hereunder shall utilize the Commitment of the Granting Lender to the same extent, and as if, such Loan were made by such Granting Lender. Each party hereto hereby agrees that (i) neither the grant to any SPC nor the exercise by any SPC of such option shall increase the costs or expenses or otherwise increase or change the obligations of the Borrower under this Agreement (including its obligations under</w:t>
      </w:r>
    </w:p>
    <w:p>
      <w:pPr>
        <w:ind w:right="20"/>
        <w:spacing w:after="0" w:line="284" w:lineRule="auto"/>
        <w:rPr>
          <w:rFonts w:ascii="Arial" w:cs="Arial" w:eastAsia="Arial" w:hAnsi="Arial"/>
          <w:sz w:val="16"/>
          <w:szCs w:val="16"/>
          <w:color w:val="auto"/>
        </w:rPr>
      </w:pP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no SPC shall be entitled to any greater amount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or any other provision of this Agreement or any other Loan Document that the Granting Lender would have been entitled to receive, unless the grant to such SPC is made with the prior written consent of the Borrower (in its sole discretion), expressly acknowledging that such SPC’s entitlement to benefits under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is not limited to what the Granting Lender would have been entitled to receive absent the grant to the SPC, (ii) no SPC shall be liable for any indemnity or similar payment obligation under this Agreement (all liability for which shall remain with the Granting Lender) and (iii) the Granting Lender shall for all purposes including approval of any amendment, waiver or other modification of any provision of the Loan Documents, remain the Lender of record hereunder.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Requirements of Law of the US or any State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SPC’s Granting Lender is in compliance in all material respects with its obligations to the Borrower hereunder and (ii) each Lender designating any SPC hereby agrees to indemnify, save and hold harmless each other party hereto for any loss, cost, damage or expense arising out of its inability to institute such a proceeding against such SPC during such period of forbearance. In addition, notwithstanding anything to the contrary contained in this </w:t>
      </w:r>
      <w:r>
        <w:rPr>
          <w:rFonts w:ascii="Arial" w:cs="Arial" w:eastAsia="Arial" w:hAnsi="Arial"/>
          <w:sz w:val="16"/>
          <w:szCs w:val="16"/>
          <w:u w:val="single" w:color="auto"/>
          <w:color w:val="auto"/>
        </w:rPr>
        <w:t>Section 9.05</w:t>
      </w:r>
      <w:r>
        <w:rPr>
          <w:rFonts w:ascii="Arial" w:cs="Arial" w:eastAsia="Arial" w:hAnsi="Arial"/>
          <w:sz w:val="16"/>
          <w:szCs w:val="16"/>
          <w:color w:val="auto"/>
        </w:rPr>
        <w:t>, any SPC may (i) with notice to, but without the prior written consent of, the Borrower or the Administrative Agent and without paying any processing fee therefor, assign all or a portion of its interests in any Loan to the Granting Lender and (ii) disclose on a confidential basis any non-public information relating to its Loans to any rating agency, commercial paper dealer or provider of any surety, guaranty or credit or liquidity enhancement to such SPC.</w:t>
      </w:r>
    </w:p>
    <w:p>
      <w:pPr>
        <w:spacing w:after="0" w:line="66" w:lineRule="exact"/>
        <w:rPr>
          <w:rFonts w:ascii="Arial" w:cs="Arial" w:eastAsia="Arial" w:hAnsi="Arial"/>
          <w:sz w:val="16"/>
          <w:szCs w:val="16"/>
          <w:color w:val="auto"/>
        </w:rPr>
      </w:pPr>
    </w:p>
    <w:p>
      <w:pPr>
        <w:ind w:firstLine="436"/>
        <w:spacing w:after="0" w:line="286" w:lineRule="auto"/>
        <w:tabs>
          <w:tab w:leader="none" w:pos="665"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(i) Any assignment, participation, entry into an Obligations Derivative Instrument or pledge by a Lender (A) to or with any Disqualified Institution or (B) in the case of any assignment and/or participation, without the Borrower’s consent to the extent the Borrower’s consent is required under this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(and, if applicable, not deemed to have been given pursuant to </w:t>
      </w:r>
      <w:r>
        <w:rPr>
          <w:rFonts w:ascii="Arial" w:cs="Arial" w:eastAsia="Arial" w:hAnsi="Arial"/>
          <w:sz w:val="16"/>
          <w:szCs w:val="16"/>
          <w:u w:val="single" w:color="auto"/>
          <w:color w:val="auto"/>
        </w:rPr>
        <w:t>Section 9.05(b)(i)(A)</w:t>
      </w:r>
      <w:r>
        <w:rPr>
          <w:rFonts w:ascii="Arial" w:cs="Arial" w:eastAsia="Arial" w:hAnsi="Arial"/>
          <w:sz w:val="16"/>
          <w:szCs w:val="16"/>
          <w:color w:val="auto"/>
        </w:rPr>
        <w:t xml:space="preserve">), in each case, to any Person shall be null and void unless, solely in the case of any assignment, solely to the extent that there has been any subsequent assignment by a Disqualified Institution or any such other Person to an Eligible Assignee that complies with the requirements of </w:t>
      </w:r>
      <w:r>
        <w:rPr>
          <w:rFonts w:ascii="Arial" w:cs="Arial" w:eastAsia="Arial" w:hAnsi="Arial"/>
          <w:sz w:val="16"/>
          <w:szCs w:val="16"/>
          <w:u w:val="single" w:color="auto"/>
          <w:color w:val="auto"/>
        </w:rPr>
        <w:t>Section 9.05(b)</w:t>
      </w:r>
      <w:r>
        <w:rPr>
          <w:rFonts w:ascii="Arial" w:cs="Arial" w:eastAsia="Arial" w:hAnsi="Arial"/>
          <w:sz w:val="16"/>
          <w:szCs w:val="16"/>
          <w:color w:val="auto"/>
        </w:rPr>
        <w:t xml:space="preserve">, in which case such subsequent assignment will be deemed to be a valid and enforceable assignment for the purposes hereof; and Holdings and the Borrower shall each be entitled to seek specific performance to unwind any such assignment, participation, Obligations Derivative Instrument or pledge and/or specifically enforce this </w:t>
      </w:r>
      <w:r>
        <w:rPr>
          <w:rFonts w:ascii="Arial" w:cs="Arial" w:eastAsia="Arial" w:hAnsi="Arial"/>
          <w:sz w:val="16"/>
          <w:szCs w:val="16"/>
          <w:u w:val="single" w:color="auto"/>
          <w:color w:val="auto"/>
        </w:rPr>
        <w:t>Section 9.05(f)</w:t>
      </w:r>
      <w:r>
        <w:rPr>
          <w:rFonts w:ascii="Arial" w:cs="Arial" w:eastAsia="Arial" w:hAnsi="Arial"/>
          <w:sz w:val="16"/>
          <w:szCs w:val="16"/>
          <w:color w:val="auto"/>
        </w:rPr>
        <w:t xml:space="preserve"> in addition to injunctive relief (without posting a bond or presenting evidence of irreparable harm) or any other remedy available to the Borrower at law or in equity; it being understood and agreed that the Borrower, Holdings and its subsidiaries will suffer irreparable harm if any Lender breaches any obligation under this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as it relates to any assignment or participation to a Disqualified Person, any entry into any Obligations Derivative Instrument with any Disqualified Person, the pledge or assignment of any security interest in any Loan or Commitment to a Disqualified Person and/or any assignment or participation of, or pledge or assignment of a security interest in, any Loan or Commitment to any Person to whom the Borrower’s consent is required but not obtained. Nothing in this </w:t>
      </w:r>
      <w:r>
        <w:rPr>
          <w:rFonts w:ascii="Arial" w:cs="Arial" w:eastAsia="Arial" w:hAnsi="Arial"/>
          <w:sz w:val="16"/>
          <w:szCs w:val="16"/>
          <w:u w:val="single" w:color="auto"/>
          <w:color w:val="auto"/>
        </w:rPr>
        <w:t>Section 9.05(f)</w:t>
      </w:r>
      <w:r>
        <w:rPr>
          <w:rFonts w:ascii="Arial" w:cs="Arial" w:eastAsia="Arial" w:hAnsi="Arial"/>
          <w:sz w:val="16"/>
          <w:szCs w:val="16"/>
          <w:color w:val="auto"/>
        </w:rPr>
        <w:t xml:space="preserve"> shall be deemed to prejudice any right or remedy that Holdings or the Borrower may otherwise have at law or equity. The Administrative Agent may make the list of Disqualified Institutions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00"/>
          </w:cols>
          <w:pgMar w:left="440" w:top="274" w:right="459" w:bottom="1440" w:gutter="0" w:footer="0" w:header="0"/>
        </w:sectPr>
      </w:pPr>
    </w:p>
    <w:bookmarkStart w:id="195" w:name="page196"/>
    <w:bookmarkEnd w:id="19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available on a confidential basis in accordance with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to any Lender who specifically requests a copy thereof, and such Lender may provide such list of Disqualified Institutions to any potential assignee or participant or counterparty to any Obligations Derivative Instrument who agrees to keep such list confidential in accordance with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solely for the purpose of permitting such Person to verify whether such Person (or any Affiliate thereof) constitutes a Disqualified Institution.</w:t>
      </w:r>
    </w:p>
    <w:p>
      <w:pPr>
        <w:spacing w:after="0" w:line="79" w:lineRule="exact"/>
        <w:rPr>
          <w:sz w:val="20"/>
          <w:szCs w:val="20"/>
          <w:color w:val="auto"/>
        </w:rPr>
      </w:pPr>
    </w:p>
    <w:p>
      <w:pPr>
        <w:ind w:left="440" w:firstLine="419"/>
        <w:spacing w:after="0" w:line="282" w:lineRule="auto"/>
        <w:tabs>
          <w:tab w:leader="none" w:pos="1128" w:val="left"/>
        </w:tabs>
        <w:numPr>
          <w:ilvl w:val="1"/>
          <w:numId w:val="312"/>
        </w:numPr>
        <w:rPr>
          <w:rFonts w:ascii="Arial" w:cs="Arial" w:eastAsia="Arial" w:hAnsi="Arial"/>
          <w:sz w:val="16"/>
          <w:szCs w:val="16"/>
          <w:color w:val="auto"/>
        </w:rPr>
      </w:pPr>
      <w:r>
        <w:rPr>
          <w:rFonts w:ascii="Arial" w:cs="Arial" w:eastAsia="Arial" w:hAnsi="Arial"/>
          <w:sz w:val="16"/>
          <w:szCs w:val="16"/>
          <w:color w:val="auto"/>
        </w:rPr>
        <w:t xml:space="preserve">If any assignment or participation under this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is made to any Disqualified Institution and/or any Affiliate of any Disqualified Institution (other than any Competitor Debt Fund Affiliate) and/or any other Person to whom the Borrower’s consent is required but not obtained, in each case, without the Borrower’s prior written consent (any such person, a “</w:t>
      </w:r>
      <w:r>
        <w:rPr>
          <w:rFonts w:ascii="Arial" w:cs="Arial" w:eastAsia="Arial" w:hAnsi="Arial"/>
          <w:sz w:val="16"/>
          <w:szCs w:val="16"/>
          <w:u w:val="single" w:color="auto"/>
          <w:color w:val="auto"/>
        </w:rPr>
        <w:t>Disqualified Person</w:t>
      </w:r>
      <w:r>
        <w:rPr>
          <w:rFonts w:ascii="Arial" w:cs="Arial" w:eastAsia="Arial" w:hAnsi="Arial"/>
          <w:sz w:val="16"/>
          <w:szCs w:val="16"/>
          <w:color w:val="auto"/>
        </w:rPr>
        <w:t xml:space="preserve">”), then the Borrower may, at its sole expense and effort, upon notice to the applicable Disqualified Person and the Administrative Agent, (A) terminate any Commitment of such Disqualified Person and repay all obligations of the Borrower owing to such Disqualified Person, (B) in the case of any outstanding Term Loan, held by such Disqualified Person, purchase such Term Loan by paying the lesser of (x) par and (y) the amount that such Disqualified Person paid to acquire such Term Loan,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accrued interest thereon, accrued fees and all other amounts payable to it hereunder and/or (C) require such Disqualified Person to assign, without recourse (in accordance with and subject to the restrictions contained in this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all of its interests, rights and obligations under this Agreement to one or more Eligible Assignees;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the applicable Disqualified Person has received payment of an amount equal to the lesser of (1) par and (2) the amount that such Disqualified Person paid for the applicable Loans and participations in Letters of Credit and Swingline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accrued interest thereon, accrued fees and all other amounts payable to it hereunder, from the Borrower, (II) 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the Borrower shall not be liable to the relevant Disqualified Person under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if any LIBO Rate Loan owing to such Disqualified Person is repaid or purchased other than on the last day of the Interest Period relating thereto, (III) in the case of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the relevant assignment shall otherwise comply with this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(except that (x) no registration and processing fee required under this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shall be required with any assignment pursuant to this paragraph and (y) any Term Loan acquired by any Affiliated Lender pursuant to this paragraph will not be included in calculating compliance with the Affiliated Lender Cap for a period of 90 days following such transfer;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the aggregate principal amount of Term Loans held by Affiliated Lenders exceeds the Affiliated Lender Cap on the 91st day following such transfer, then such excess amount shall either be (x) contributed to the Borrower or any of its subsidiaries and retired and cancelled immediately upon such contribution or (y) automatically cancelled)) and (IV) in no event shall such Disqualified Person be entitled to receive amounts to which it would otherwise be entitled under </w:t>
      </w:r>
      <w:r>
        <w:rPr>
          <w:rFonts w:ascii="Arial" w:cs="Arial" w:eastAsia="Arial" w:hAnsi="Arial"/>
          <w:sz w:val="16"/>
          <w:szCs w:val="16"/>
          <w:u w:val="single" w:color="auto"/>
          <w:color w:val="auto"/>
        </w:rPr>
        <w:t>Section 2.13(d)</w:t>
      </w:r>
      <w:r>
        <w:rPr>
          <w:rFonts w:ascii="Arial" w:cs="Arial" w:eastAsia="Arial" w:hAnsi="Arial"/>
          <w:sz w:val="16"/>
          <w:szCs w:val="16"/>
          <w:color w:val="auto"/>
        </w:rPr>
        <w:t>. Further, whether or not the Borrower has taken any action described in the preceding sentence, (A) no Disqualified Person identified by the Borrower to the Administrative Agent shall be permitted to (x) receive information (including financial statements) provided by any Loan Party, the Administrative Agent or any Lender and/or (y) attend and/or participate in conference calls or meetings attended solely by the Lenders and the Administrative Agent, (B) (x) for purposes of determining whether the Required Lenders or the majority Lenders under any Class have</w:t>
      </w:r>
    </w:p>
    <w:p>
      <w:pPr>
        <w:spacing w:after="0" w:line="9" w:lineRule="exact"/>
        <w:rPr>
          <w:rFonts w:ascii="Arial" w:cs="Arial" w:eastAsia="Arial" w:hAnsi="Arial"/>
          <w:sz w:val="16"/>
          <w:szCs w:val="16"/>
          <w:color w:val="auto"/>
        </w:rPr>
      </w:pPr>
    </w:p>
    <w:p>
      <w:pPr>
        <w:ind w:left="440" w:right="20" w:hanging="4"/>
        <w:spacing w:after="0" w:line="267" w:lineRule="auto"/>
        <w:tabs>
          <w:tab w:leader="none" w:pos="655" w:val="left"/>
        </w:tabs>
        <w:numPr>
          <w:ilvl w:val="0"/>
          <w:numId w:val="313"/>
        </w:numPr>
        <w:rPr>
          <w:rFonts w:ascii="Arial" w:cs="Arial" w:eastAsia="Arial" w:hAnsi="Arial"/>
          <w:sz w:val="17"/>
          <w:szCs w:val="17"/>
          <w:color w:val="auto"/>
        </w:rPr>
      </w:pPr>
      <w:r>
        <w:rPr>
          <w:rFonts w:ascii="Arial" w:cs="Arial" w:eastAsia="Arial" w:hAnsi="Arial"/>
          <w:sz w:val="17"/>
          <w:szCs w:val="17"/>
          <w:color w:val="auto"/>
        </w:rPr>
        <w:t xml:space="preserve">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 have a right to consent (or not consent), otherwise act or direct or require the Administrative Agent or any Lender to take (or refrain from taking) any such action; it being understood that all Loans held by any Disqualified Person shall be deemed to be not outstanding for all purposes of calculating whether the Required Lenders, majority Lenders under any Class, all Lenders or all affected Lenders, as the case may be, have taken any action, and (y) shall be deemed to vote in the same proportion as Lenders that are not Disqualified Persons (1) in any proceeding under any Debtor Relief Law commenced by or against the Borrower or any other Loan Party and/or (2) for purposes of any matter requiring the consent of each Lender or each affected Lender and (C) shall not be entitled to receive the benefits of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For the sake of clarity, the provisions in this </w:t>
      </w:r>
      <w:r>
        <w:rPr>
          <w:rFonts w:ascii="Arial" w:cs="Arial" w:eastAsia="Arial" w:hAnsi="Arial"/>
          <w:sz w:val="17"/>
          <w:szCs w:val="17"/>
          <w:u w:val="single" w:color="auto"/>
          <w:color w:val="auto"/>
        </w:rPr>
        <w:t>Section 9.05(f)</w:t>
      </w:r>
      <w:r>
        <w:rPr>
          <w:rFonts w:ascii="Arial" w:cs="Arial" w:eastAsia="Arial" w:hAnsi="Arial"/>
          <w:sz w:val="17"/>
          <w:szCs w:val="17"/>
          <w:color w:val="auto"/>
        </w:rPr>
        <w:t xml:space="preserve"> shall not apply to any Person that is an assignee of any Disqualified Person, if such assignee is not a Disqualified Person.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00"/>
          </w:cols>
          <w:pgMar w:left="440" w:top="274" w:right="459" w:bottom="1440" w:gutter="0" w:footer="0" w:header="0"/>
        </w:sectPr>
      </w:pPr>
    </w:p>
    <w:bookmarkStart w:id="196" w:name="page197"/>
    <w:bookmarkEnd w:id="196"/>
    <w:p>
      <w:pPr>
        <w:ind w:left="400" w:right="60" w:firstLine="419"/>
        <w:spacing w:after="0" w:line="257" w:lineRule="auto"/>
        <w:tabs>
          <w:tab w:leader="none" w:pos="1138" w:val="left"/>
        </w:tabs>
        <w:numPr>
          <w:ilvl w:val="1"/>
          <w:numId w:val="3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each of Holdings, the Borrower and each Lender acknowledges and agrees that the Administrative Agent shall not (x) have any liability for any assignment or participation made to any Disqualified Institution or Affiliated Lender (regardless of whether the consent of the Administrative Agent is required thereto) or (y) be obligated to ascertain, monitor or inquire as to whether any Lender or participant or prospective Lender or participant is a Disqualified Lender, and none of the Borrower, any Lender or any of their respective Affiliates will bring any claim to that effect.</w:t>
      </w:r>
    </w:p>
    <w:p>
      <w:pPr>
        <w:spacing w:after="0" w:line="79" w:lineRule="exact"/>
        <w:rPr>
          <w:rFonts w:ascii="Arial" w:cs="Arial" w:eastAsia="Arial" w:hAnsi="Arial"/>
          <w:sz w:val="18"/>
          <w:szCs w:val="18"/>
          <w:color w:val="auto"/>
        </w:rPr>
      </w:pPr>
    </w:p>
    <w:p>
      <w:pPr>
        <w:ind w:left="-40" w:right="60" w:firstLine="436"/>
        <w:spacing w:after="0" w:line="259" w:lineRule="auto"/>
        <w:tabs>
          <w:tab w:leader="none" w:pos="65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any Lender may, at any time, assign all or a portion of its rights and obligations under this Agreement in respect of its Term Loans to any Affiliated Lender on a non-pro rata basis (A) through Dutch Auctions open to all Lenders holding the relevant Term Loans on a pro rata basis or (B) through open market purchases, in each case with respect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without the consent of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8" w:lineRule="exact"/>
        <w:rPr>
          <w:rFonts w:ascii="Arial" w:cs="Arial" w:eastAsia="Arial" w:hAnsi="Arial"/>
          <w:sz w:val="18"/>
          <w:szCs w:val="18"/>
          <w:color w:val="auto"/>
        </w:rPr>
      </w:pPr>
    </w:p>
    <w:p>
      <w:pPr>
        <w:ind w:left="400" w:firstLine="419"/>
        <w:spacing w:after="0" w:line="296" w:lineRule="auto"/>
        <w:tabs>
          <w:tab w:leader="none" w:pos="1038" w:val="left"/>
        </w:tabs>
        <w:numPr>
          <w:ilvl w:val="1"/>
          <w:numId w:val="315"/>
        </w:numPr>
        <w:rPr>
          <w:rFonts w:ascii="Arial" w:cs="Arial" w:eastAsia="Arial" w:hAnsi="Arial"/>
          <w:sz w:val="16"/>
          <w:szCs w:val="16"/>
          <w:color w:val="auto"/>
        </w:rPr>
      </w:pPr>
      <w:r>
        <w:rPr>
          <w:rFonts w:ascii="Arial" w:cs="Arial" w:eastAsia="Arial" w:hAnsi="Arial"/>
          <w:sz w:val="16"/>
          <w:szCs w:val="16"/>
          <w:color w:val="auto"/>
        </w:rPr>
        <w:t xml:space="preserve">any Term Loan acquired by Holdings, the Borrower or any of its Restricted Subsidiaries shall, to the extent permitted by applicable Requirements of Law, be retired and cancelled immediately upon the acquisition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any such retirement and cancellation, the aggregate outstanding principal amount of the Term Loans shall be deemed reduced by the full par value of the aggregate principal amount of the Term Loans so retired and cancelled, and each principal repayment installment with respect to the Term Loans pursuant to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shall be reduced on a pro rata basis by the full par value of the aggregate principal amount of Term Loans so cancelled;</w:t>
      </w:r>
    </w:p>
    <w:p>
      <w:pPr>
        <w:spacing w:after="0" w:line="53" w:lineRule="exact"/>
        <w:rPr>
          <w:sz w:val="20"/>
          <w:szCs w:val="20"/>
          <w:color w:val="auto"/>
        </w:rPr>
      </w:pPr>
    </w:p>
    <w:p>
      <w:pPr>
        <w:ind w:left="400" w:right="120" w:firstLine="419"/>
        <w:spacing w:after="0" w:line="272" w:lineRule="auto"/>
        <w:tabs>
          <w:tab w:leader="none" w:pos="1088" w:val="left"/>
        </w:tabs>
        <w:numPr>
          <w:ilvl w:val="0"/>
          <w:numId w:val="316"/>
        </w:numPr>
        <w:rPr>
          <w:rFonts w:ascii="Arial" w:cs="Arial" w:eastAsia="Arial" w:hAnsi="Arial"/>
          <w:sz w:val="17"/>
          <w:szCs w:val="17"/>
          <w:color w:val="auto"/>
        </w:rPr>
      </w:pPr>
      <w:r>
        <w:rPr>
          <w:rFonts w:ascii="Arial" w:cs="Arial" w:eastAsia="Arial" w:hAnsi="Arial"/>
          <w:sz w:val="17"/>
          <w:szCs w:val="17"/>
          <w:color w:val="auto"/>
        </w:rPr>
        <w:t xml:space="preserve">any Term Loan acquired by any Non-Debt Fund Affiliate (other than Holdings, the Borrower or any of its Restricted Subsidiaries) may (but shall not be required to) be contributed to the Borrower or any of its subsidiaries (it being understood that any such Term Loans shall, to the extent permitted by applicable Requirements of Law, be retired and cancelled promptly upon such contribution);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any such cancellation, the aggregate outstanding principal amount of the Term Loans shall be deemed reduced, as of the date of such contribution, by the full par value of the aggregate principal amount of the Term Loans so contributed and cancelled, and each principal repayment installment with respect to the Term Loans pursuant to </w:t>
      </w:r>
      <w:r>
        <w:rPr>
          <w:rFonts w:ascii="Arial" w:cs="Arial" w:eastAsia="Arial" w:hAnsi="Arial"/>
          <w:sz w:val="17"/>
          <w:szCs w:val="17"/>
          <w:u w:val="single" w:color="auto"/>
          <w:color w:val="auto"/>
        </w:rPr>
        <w:t>Section 2.10(a)</w:t>
      </w:r>
      <w:r>
        <w:rPr>
          <w:rFonts w:ascii="Arial" w:cs="Arial" w:eastAsia="Arial" w:hAnsi="Arial"/>
          <w:sz w:val="17"/>
          <w:szCs w:val="17"/>
          <w:color w:val="auto"/>
        </w:rPr>
        <w:t xml:space="preserve"> shall be reduced pro rata by the full par value of the aggregate principal amount of Initial Term Loans so contributed and cancelled;</w:t>
      </w:r>
    </w:p>
    <w:p>
      <w:pPr>
        <w:spacing w:after="0" w:line="69" w:lineRule="exact"/>
        <w:rPr>
          <w:rFonts w:ascii="Arial" w:cs="Arial" w:eastAsia="Arial" w:hAnsi="Arial"/>
          <w:sz w:val="17"/>
          <w:szCs w:val="17"/>
          <w:color w:val="auto"/>
        </w:rPr>
      </w:pPr>
    </w:p>
    <w:p>
      <w:pPr>
        <w:ind w:left="400" w:right="100" w:firstLine="419"/>
        <w:spacing w:after="0" w:line="277" w:lineRule="auto"/>
        <w:tabs>
          <w:tab w:leader="none" w:pos="113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relevant Affiliated Lender and assigning or purchasing, as applicable, Lender shall have executed an Affiliated Lender Assignment and Assumption;</w:t>
      </w:r>
    </w:p>
    <w:p>
      <w:pPr>
        <w:spacing w:after="0" w:line="62" w:lineRule="exact"/>
        <w:rPr>
          <w:rFonts w:ascii="Arial" w:cs="Arial" w:eastAsia="Arial" w:hAnsi="Arial"/>
          <w:sz w:val="18"/>
          <w:szCs w:val="18"/>
          <w:color w:val="auto"/>
        </w:rPr>
      </w:pPr>
    </w:p>
    <w:p>
      <w:pPr>
        <w:ind w:left="400" w:right="20" w:firstLine="419"/>
        <w:spacing w:after="0" w:line="287" w:lineRule="auto"/>
        <w:tabs>
          <w:tab w:leader="none" w:pos="1128"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9.05(f)(ii)</w:t>
      </w:r>
      <w:r>
        <w:rPr>
          <w:rFonts w:ascii="Arial" w:cs="Arial" w:eastAsia="Arial" w:hAnsi="Arial"/>
          <w:sz w:val="16"/>
          <w:szCs w:val="16"/>
          <w:color w:val="auto"/>
        </w:rPr>
        <w:t>, after giving effect to the relevant assignment and to all other assignments to all Affiliated Lenders, the aggregate outstanding principal amount of all Term Loans then held by all Affiliated Lenders shall not exceed 25% of the aggregate principal amount of the Term Loans then outstanding (after giving effect to any substantially simultaneous cancellation thereof) (the “</w:t>
      </w:r>
      <w:r>
        <w:rPr>
          <w:rFonts w:ascii="Arial" w:cs="Arial" w:eastAsia="Arial" w:hAnsi="Arial"/>
          <w:sz w:val="16"/>
          <w:szCs w:val="16"/>
          <w:u w:val="single" w:color="auto"/>
          <w:color w:val="auto"/>
        </w:rPr>
        <w:t>Affiliated 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Cap</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party hereto acknowledges and agrees that the Administrative Agent shall not be liable for any losses, damages, penalties, claims, demands, actions, judgments, suits, costs, expenses and disbursements of any kind or nature whatsoever incurred or suffered by any Person in connection with any compliance or non-compliance with this </w:t>
      </w:r>
      <w:r>
        <w:rPr>
          <w:rFonts w:ascii="Arial" w:cs="Arial" w:eastAsia="Arial" w:hAnsi="Arial"/>
          <w:sz w:val="16"/>
          <w:szCs w:val="16"/>
          <w:u w:val="single" w:color="auto"/>
          <w:color w:val="auto"/>
        </w:rPr>
        <w:t>clause (g)(iv)</w:t>
      </w:r>
      <w:r>
        <w:rPr>
          <w:rFonts w:ascii="Arial" w:cs="Arial" w:eastAsia="Arial" w:hAnsi="Arial"/>
          <w:sz w:val="16"/>
          <w:szCs w:val="16"/>
          <w:color w:val="auto"/>
        </w:rPr>
        <w:t xml:space="preserve"> or any purported assignment exceeding the Affiliated Lender Cap (it being understood and agreed that the Affiliated Lender Cap is intended to apply to any Loan made available to Affiliated Lenders by means other than formal assignment (</w:t>
      </w:r>
      <w:r>
        <w:rPr>
          <w:rFonts w:ascii="Arial" w:cs="Arial" w:eastAsia="Arial" w:hAnsi="Arial"/>
          <w:sz w:val="16"/>
          <w:szCs w:val="16"/>
          <w:i w:val="1"/>
          <w:iCs w:val="1"/>
          <w:color w:val="auto"/>
        </w:rPr>
        <w:t>e.g.</w:t>
      </w:r>
      <w:r>
        <w:rPr>
          <w:rFonts w:ascii="Arial" w:cs="Arial" w:eastAsia="Arial" w:hAnsi="Arial"/>
          <w:sz w:val="16"/>
          <w:szCs w:val="16"/>
          <w:color w:val="auto"/>
        </w:rPr>
        <w:t xml:space="preserve">, as a result of an acquisition of another Lender (other than any Debt Fund Affiliate) by any Affiliated Lender or the provision of Additional Term Loans by any Affiliated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to the extent that any assignment to any Affiliated Lender would result in the aggregate principal amount of Term Loans held by Affiliated Lenders exceeding the Affiliated Lender Cap (after giving effect to any substantially simultaneous cancellations thereof), the assignment of the relevant excess amount shall be null and void (except to the extent such excess amount is subsequently assigned to a Person that is not an Affiliated Lender);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0920"/>
          </w:cols>
          <w:pgMar w:left="480" w:top="274" w:right="499" w:bottom="1440" w:gutter="0" w:footer="0" w:header="0"/>
        </w:sectPr>
      </w:pPr>
    </w:p>
    <w:bookmarkStart w:id="197" w:name="page198"/>
    <w:bookmarkEnd w:id="197"/>
    <w:p>
      <w:pPr>
        <w:ind w:right="140" w:firstLine="419"/>
        <w:spacing w:after="0" w:line="259" w:lineRule="auto"/>
        <w:tabs>
          <w:tab w:leader="none" w:pos="678" w:val="left"/>
        </w:tabs>
        <w:numPr>
          <w:ilvl w:val="0"/>
          <w:numId w:val="3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any assignment effected pursuant to a Dutch Auction and/or open market purchase conducted by Holdings, the Borrower or any of its Restricted Subsidiaries, (A) the relevant Person may not use the proceeds of any Revolving Loan to fund such assignment and (B) no Event of Default exists at the time of the launch of the relevant Dutch Auction or the confirmation of such open market purchase, as applicable; and</w:t>
      </w:r>
    </w:p>
    <w:p>
      <w:pPr>
        <w:spacing w:after="0" w:line="78" w:lineRule="exact"/>
        <w:rPr>
          <w:rFonts w:ascii="Arial" w:cs="Arial" w:eastAsia="Arial" w:hAnsi="Arial"/>
          <w:sz w:val="18"/>
          <w:szCs w:val="18"/>
          <w:color w:val="auto"/>
        </w:rPr>
      </w:pPr>
    </w:p>
    <w:p>
      <w:pPr>
        <w:ind w:left="720" w:hanging="301"/>
        <w:spacing w:after="0"/>
        <w:tabs>
          <w:tab w:leader="none" w:pos="7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by its acquisition of Term Loans, each relevant Affiliated Lender shall be deemed to have acknowledged and agreed that:</w:t>
      </w:r>
    </w:p>
    <w:p>
      <w:pPr>
        <w:spacing w:after="0" w:line="117" w:lineRule="exact"/>
        <w:rPr>
          <w:rFonts w:ascii="Arial" w:cs="Arial" w:eastAsia="Arial" w:hAnsi="Arial"/>
          <w:sz w:val="18"/>
          <w:szCs w:val="18"/>
          <w:color w:val="auto"/>
        </w:rPr>
      </w:pPr>
    </w:p>
    <w:p>
      <w:pPr>
        <w:ind w:left="540" w:firstLine="408"/>
        <w:spacing w:after="0" w:line="254" w:lineRule="auto"/>
        <w:tabs>
          <w:tab w:leader="none" w:pos="1236" w:val="left"/>
        </w:tabs>
        <w:numPr>
          <w:ilvl w:val="1"/>
          <w:numId w:val="31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the Term Loans held by such Affiliated Lender shall be disregarded in both the numerator and denominator in the calculation of any Required Lender or other Lender vote;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such Affiliated Lender shall have the right to vote (and the Term Loans held by such Affiliated Lender shall not be so disregarded) with respect to any amendment, modification, waiver, consent or other action that requires the vote of all Lenders or all Lenders directly and adversely affected thereby, as the case may be, and (y) no amendment, modification, waiver, consent or other action shall (1) disproportionately affect such Affiliated Lender in its capacity as a Lender as compared to other Lenders of the same Class that are not Affiliated Lenders or (2) deprive any Affiliated Lender of its share of any payment in which the Lenders are entitled to share on a pro rata basis hereunder, in each case without the consent of such Affiliated Lender; and</w:t>
      </w:r>
    </w:p>
    <w:p>
      <w:pPr>
        <w:spacing w:after="0" w:line="83" w:lineRule="exact"/>
        <w:rPr>
          <w:rFonts w:ascii="Arial" w:cs="Arial" w:eastAsia="Arial" w:hAnsi="Arial"/>
          <w:sz w:val="18"/>
          <w:szCs w:val="18"/>
          <w:color w:val="auto"/>
        </w:rPr>
      </w:pPr>
    </w:p>
    <w:p>
      <w:pPr>
        <w:ind w:left="540" w:firstLine="408"/>
        <w:spacing w:after="0" w:line="272" w:lineRule="auto"/>
        <w:tabs>
          <w:tab w:leader="none" w:pos="1226" w:val="left"/>
        </w:tabs>
        <w:numPr>
          <w:ilvl w:val="1"/>
          <w:numId w:val="317"/>
        </w:numPr>
        <w:rPr>
          <w:rFonts w:ascii="Arial" w:cs="Arial" w:eastAsia="Arial" w:hAnsi="Arial"/>
          <w:sz w:val="17"/>
          <w:szCs w:val="17"/>
          <w:color w:val="auto"/>
        </w:rPr>
      </w:pPr>
      <w:r>
        <w:rPr>
          <w:rFonts w:ascii="Arial" w:cs="Arial" w:eastAsia="Arial" w:hAnsi="Arial"/>
          <w:sz w:val="17"/>
          <w:szCs w:val="17"/>
          <w:color w:val="auto"/>
        </w:rPr>
        <w:t xml:space="preserve">such Affiliated Lender, solely in its capacity as an Affiliated Lender, will not be entitled to (i) attend (including by telephone) or participate in any meeting or discussion (or portion thereof) among the Administrative Agent or any Lender or among Lenders to which the Loan Parties or their representatives are not invited or (ii) receive any information or material prepared by the Administrative Agent or any Lender or any communication by or among the Administrative Agent and one or more Lenders, except to the extent such information or materials have been made available by the Administrative Agent or any Lender to any Loan Party or its representatives (and in any case, other than the right to receive notices of Borrowings, prepayments and other administrative notices in respect of its Term Loans required to be delivered to Lenders pursuant to </w:t>
      </w:r>
      <w:r>
        <w:rPr>
          <w:rFonts w:ascii="Arial" w:cs="Arial" w:eastAsia="Arial" w:hAnsi="Arial"/>
          <w:sz w:val="17"/>
          <w:szCs w:val="17"/>
          <w:u w:val="single" w:color="auto"/>
          <w:color w:val="auto"/>
        </w:rPr>
        <w:t>Article 2</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right="20" w:firstLine="419"/>
        <w:spacing w:after="0" w:line="263" w:lineRule="auto"/>
        <w:tabs>
          <w:tab w:leader="none" w:pos="77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no Affiliated Lender shall be required to represent or warrant that it is not in possession of material non-public information with respect to Holdings and/or any subsidiary thereof and/or their respective securities in connection with any assignment permitted by this </w:t>
      </w:r>
      <w:r>
        <w:rPr>
          <w:rFonts w:ascii="Arial" w:cs="Arial" w:eastAsia="Arial" w:hAnsi="Arial"/>
          <w:sz w:val="18"/>
          <w:szCs w:val="18"/>
          <w:u w:val="single" w:color="auto"/>
          <w:color w:val="auto"/>
        </w:rPr>
        <w:t>Section 9.05(g)</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right="20" w:firstLine="419"/>
        <w:spacing w:after="0" w:line="273" w:lineRule="auto"/>
        <w:tabs>
          <w:tab w:leader="none" w:pos="828" w:val="left"/>
        </w:tabs>
        <w:numPr>
          <w:ilvl w:val="0"/>
          <w:numId w:val="317"/>
        </w:numPr>
        <w:rPr>
          <w:rFonts w:ascii="Arial" w:cs="Arial" w:eastAsia="Arial" w:hAnsi="Arial"/>
          <w:sz w:val="17"/>
          <w:szCs w:val="17"/>
          <w:color w:val="auto"/>
        </w:rPr>
      </w:pPr>
      <w:r>
        <w:rPr>
          <w:rFonts w:ascii="Arial" w:cs="Arial" w:eastAsia="Arial" w:hAnsi="Arial"/>
          <w:sz w:val="17"/>
          <w:szCs w:val="17"/>
          <w:color w:val="auto"/>
        </w:rPr>
        <w:t xml:space="preserve">in any proceeding under any Debtor Relief Law, (A) the interest of any Affiliated Lender in any Term Loan will be deemed to be voted in the same proportion as the vote of Lenders that are not Affiliated Lenders on the relevant matter;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Affiliated Lender will be entitled to vote its interest in any Term Loan to the extent that any plan of reorganization or other arrangement with respect to which the relevant vote is sought proposes to treat the interest of such Affiliated Lender (in its capacity as a Lender) in such Term Loan in a manner that is less favorable to such Affiliated Lender than the proposed treatment of Term Loans held by other Term Lenders and (B) all Affiliated Lenders shall be treated as a single lender for purposes of any “numerosity” or similar requirement applicable therein.</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0560"/>
          </w:cols>
          <w:pgMar w:left="880" w:top="274" w:right="459" w:bottom="1440" w:gutter="0" w:footer="0" w:header="0"/>
        </w:sectPr>
      </w:pPr>
    </w:p>
    <w:bookmarkStart w:id="198" w:name="page199"/>
    <w:bookmarkEnd w:id="19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contained herein, any Lender may, at any time, assign all or a portion of its rights and obligations under this Agreement in respect of its Loans and/or Commitments to any Debt Fund Affiliate, and any Debt Fund Affiliate may, from time to time, purchase Loans and/or Commitments (x) on a pro rata basis through Dutch Auctions open to all applicable Lenders in accordance with customary procedures or (y) on a non-pro rata basis through open market purchases without the consent of the Administrative Agent, in each case, notwithstanding the requirements set forth in </w:t>
      </w:r>
      <w:r>
        <w:rPr>
          <w:rFonts w:ascii="Arial" w:cs="Arial" w:eastAsia="Arial" w:hAnsi="Arial"/>
          <w:sz w:val="16"/>
          <w:szCs w:val="16"/>
          <w:u w:val="single" w:color="auto"/>
          <w:color w:val="auto"/>
        </w:rPr>
        <w:t>subclauses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Loans and Commitments held by all Debt Fund Affiliates shall not account for more than 49.9% of the amounts included in determining whether the Required Lenders or Required Revolving Lenders have (A) consented to any amendment, modification, waiver, consent or other action with respect to any of the terms of any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it being understood and agreed that the portion of the Loan and/or Commitments that accounts for more than 49.9% of the relevant Required Lender or Required Revolving Lender action shall be deemed to be voted pro rata along with other Lenders that are not Debt Fund Affiliates. Any Loan acquired by any Debt Fund Affiliate may (but shall not be required to) be contributed to Holdings or any of its subsidiaries for purposes of cancelling such Indebtedness (it being understood that any Loan so contributed shall, to the extent permitted by applicable Requirements of Law, be retired and cancelled immediately upon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any such cancellation, the aggregate outstanding principal amount of the relevant Class of Loans shall be deemed reduced, as of the date of such contribution, by the full par value of the aggregate principal amount of the Loans so contributed and cancelled, and each principal repayment installment with respect to the Term Loans pursuant to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shall be reduced pro rata by the full par value of the aggregate principal amount of any applicable Term Loans so contributed and cancelled.</w:t>
      </w:r>
    </w:p>
    <w:p>
      <w:pPr>
        <w:spacing w:after="0" w:line="174"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 and issuance of any Letter of Credit regardless of any investigation made by any such other party or on its behalf and notwithstanding that the Administrative Agent may have had notice or knowledge of any Default or Event of Default or incorrect representation or warranty at the time any credit is extended hereunder, and shall continue in full force and effect until the Termination Date. The provisions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shall survive and remain in full force and effect regardless of the consummation of the transactions contemplated hereby, the repayment of the Loans, the expiration or termination of the Letters of Credit and the Revolving Credit Commitment, the occurrence of the Termination Date or the termination of this Agreement or any provision hereof but in each case, subject to the limitations set forth in this Agreement.</w:t>
      </w:r>
    </w:p>
    <w:p>
      <w:pPr>
        <w:spacing w:after="0" w:line="166"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each Intercreditor Agreement and the Fee Letter constitute the entire agreement among the parties relating to the subject matter hereof and supersede any and all previous agreements and understandings, oral or written, relating to the subject matter hereof. This Agreement shall become effective when it has been executed by Holdings, the Borrower and the Administrative Agent and when the Administrative Agent has received counterparts hereof which, when taken together, bear the signatures of each of the other parties hereto, and thereafter shall be binding upon and inure to the benefit of the parties hereto and their respective successors and permitted assigns. Delivery of an executed counterpart of a signature page to this Agreement by facsimile or by email as a “.pdf” or “.tif” attachment shall be effective as delivery of a manually executed counterpart of this Agreement. It is understood and agreed that, subject to any Requirement of Law, the words “execution”, “signed”, “signature”, “delivery” and words of like import in or relating to any Loan Document shall be deemed to include any Electronic Signature, delivery or the keeping of any record in electronic form, each of which shall have the same legal effect, validity or enforceability as a manually executed signature, physical delivery thereof or the use of a paper-based recordkeeping system to the extent and as provided for in any Requirements of Law, including the Federal Electronic Signatures in Global and National Commerce Act, the New York State Electronic Signatures and Records Act, or any similar state laws based on the Uniform Electronic Transactions Act.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00"/>
          </w:cols>
          <w:pgMar w:left="440" w:top="274" w:right="459" w:bottom="1440" w:gutter="0" w:footer="0" w:header="0"/>
        </w:sectPr>
      </w:pPr>
    </w:p>
    <w:bookmarkStart w:id="199" w:name="page200"/>
    <w:bookmarkEnd w:id="199"/>
    <w:p>
      <w:pPr>
        <w:ind w:right="1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9.08. </w:t>
      </w:r>
      <w:r>
        <w:rPr>
          <w:rFonts w:ascii="Arial" w:cs="Arial" w:eastAsia="Arial" w:hAnsi="Arial"/>
          <w:sz w:val="18"/>
          <w:szCs w:val="18"/>
          <w:u w:val="single" w:color="auto"/>
          <w:color w:val="auto"/>
        </w:rPr>
        <w:t>Severability</w:t>
      </w:r>
      <w:r>
        <w:rPr>
          <w:rFonts w:ascii="Arial" w:cs="Arial" w:eastAsia="Arial" w:hAnsi="Arial"/>
          <w:sz w:val="18"/>
          <w:szCs w:val="18"/>
          <w:color w:val="auto"/>
        </w:rPr>
        <w:t>. To the extent permitted by applicable Requirements of Law,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9.09.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At any time when an Event of Default exists, the Administrative Agent and, upon the written consent of the Administrative Agent, each Issuing Bank and each Lender is hereby authorized at any time and from time to time, to the fullest extent permitted by applicable Requirements of Law, to set off and apply any and all deposits (general or special, time or demand, provisional or final) at any time held and other obligations (in any currency) at any time owing by the Administrative Agent, such Issuing Bank or such Lender, respectively, to or for the credit or the account of any Loan Party against any of and all the Secured Obligations held by the Administrative Agent, such Issuing Bank or such Lender, irrespective of whether or not the Administrative Agent, such Issuing Bank or such Lender shall have made any demand under the Loan Documents and although such obligations may be contingent or unmatured or are owed to a branch or office of such Lender or Issuing Bank different than the branch or office holding such deposit or obligation on such Indebtedness. The Administrative Agent shall promptly notify the Borrower and any applicable Lender or Issuing Bank shall promptly notify the Borrower and the Administrative Agent of such set-off or application,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any delay in giving such notice shall not affect the validity of any such set-off or application under this Section. The rights of each Lender, each Issuing Bank and the Administrative Agent under this Section are in addition to other rights and remedies (including other rights of setoff) which such Lender, such Issuing Bank or the Administrative Agent may have. For the avoidance of doubt, the term “Lender” shall, for all purposes of this paragraph, include the Swingline Lender.</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57" w:lineRule="auto"/>
        <w:tabs>
          <w:tab w:leader="none" w:pos="68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THIS AGREEMENT AND THE OTHER LOAN DOCUMENTS (OTHER THAN AS EXPRESSLY SET FORTH IN ANY OTHER LOAN DOCUMENT) AND ANY CLAIM, CONTROVERSY OR DISPUTE ARISING UNDER OR RELATED TO THIS AGREEMENT AND THE OTHER LOAN DOCUMENTS (OTHER THAN AS EXPRESSLY SET FORTH IN ANY OTHER LOAN DOCUMENT), WHETHER IN TORT, CONTRACT (AT LAW OR IN EQUITY) OR OTHERWISE, SHALL BE GOVERNED BY, AND CONSTRUED AND INTERPRETED IN ACCORDANCE WITH, THE LAWS OF THE STATE OF NEW YORK.</w:t>
      </w:r>
    </w:p>
    <w:p>
      <w:pPr>
        <w:spacing w:after="0" w:line="79" w:lineRule="exact"/>
        <w:rPr>
          <w:rFonts w:ascii="Arial" w:cs="Arial" w:eastAsia="Arial" w:hAnsi="Arial"/>
          <w:sz w:val="18"/>
          <w:szCs w:val="18"/>
          <w:color w:val="auto"/>
        </w:rPr>
      </w:pPr>
    </w:p>
    <w:p>
      <w:pPr>
        <w:ind w:right="40" w:firstLine="436"/>
        <w:spacing w:after="0" w:line="252" w:lineRule="auto"/>
        <w:tabs>
          <w:tab w:leader="none" w:pos="69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EACH PARTY HERETO HEREBY IRREVOCABLY AND UNCONDITIONALLY SUBMITS, FOR ITSELF AND ITS PROPERTY, TO THE EXCLUSIVE JURISDICTION OF ANY US FEDERAL OR NEW YORK STATE COURT SITTING IN THE BOROUGH OF MANHATTAN, IN THE CITY OF NEW YORK (OR ANY APPELLATE COURT THEREFROM) OVER ANY SUIT, ACTION OR PROCEEDING ARISING OUT OF OR RELATING TO ANY LOAN DOCUMENT AND AGREES THAT ALL CLAIMS IN RESPECT OF ANY SUCH ACTION OR PROCEEDING SHALL (EXCEPT AS PERMITTED BELOW) BE HEARD AND DETERMINED IN SUCH NEW YORK STATE OR, TO THE EXTENT PERMITTED BY APPLICABLE REQUIREMENTS OF LAW, FEDERAL COURT. EACH PARTY HERETO AGREES THAT SERVICE OF ANY PROCESS, SUMMONS, NOTICE OR DOCUMENT BY REGISTERED MAIL ADDRESSED TO SUCH PERSON SHALL BE EFFECTIVE SERVICE OF PROCESS AGAINST SUCH PERSON FOR ANY SUIT, ACTION OR PROCEEDING BROUGHT IN ANY SUCH COURT. EACH PARTY HERETO AGREES THAT A FINAL JUDGMENT IN ANY SUCH ACTION OR PROCEEDING MAY BE ENFORCED IN OTHER JURISDICTIONS BY SUIT ON THE JUDGMENT OR IN ANY OTHER MANNER PROVIDED BY APPLICABLE REQUIREMENTS OF LAW. EACH PARTY HERETO AGREES THAT THE ADMINISTRATIVE AGENT RETAINS THE RIGHT TO BRING PROCEEDINGS AGAINST ANY LOAN PARTY IN THE COURTS OF ANY OTHER JURISDICTION SOLELY IN CONNECTION WITH THE EXERCISE OF ITS RIGHTS UNDER ANY COLLATERAL DOCUMENT.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00"/>
          </w:cols>
          <w:pgMar w:left="440" w:top="274" w:right="459" w:bottom="1440" w:gutter="0" w:footer="0" w:header="0"/>
        </w:sectPr>
      </w:pPr>
    </w:p>
    <w:bookmarkStart w:id="200" w:name="page201"/>
    <w:bookmarkEnd w:id="200"/>
    <w:p>
      <w:pPr>
        <w:ind w:right="100" w:firstLine="436"/>
        <w:spacing w:after="0" w:line="273" w:lineRule="auto"/>
        <w:tabs>
          <w:tab w:leader="none" w:pos="685" w:val="left"/>
        </w:tabs>
        <w:numPr>
          <w:ilvl w:val="0"/>
          <w:numId w:val="3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EACH PARTY HERETO HEREBY IRREVOCABLY WAIVES, TO THE FULLEST EXTENT PERMITTED BY APPLICABLE REQUIREMENTS OF LAW, ANY CLAIM OR DEFENSE OF AN INCONVENIENT FORUM TO THE MAINTENANCE OF SUCH ACTION, SUIT OR PROCEEDING IN ANY SUCH COURT.</w:t>
      </w:r>
    </w:p>
    <w:p>
      <w:pPr>
        <w:spacing w:after="0" w:line="69" w:lineRule="exact"/>
        <w:rPr>
          <w:rFonts w:ascii="Arial" w:cs="Arial" w:eastAsia="Arial" w:hAnsi="Arial"/>
          <w:sz w:val="17"/>
          <w:szCs w:val="17"/>
          <w:color w:val="auto"/>
        </w:rPr>
      </w:pPr>
    </w:p>
    <w:p>
      <w:pPr>
        <w:ind w:firstLine="436"/>
        <w:spacing w:after="0" w:line="271" w:lineRule="auto"/>
        <w:tabs>
          <w:tab w:leader="none" w:pos="695" w:val="left"/>
        </w:tabs>
        <w:numPr>
          <w:ilvl w:val="0"/>
          <w:numId w:val="319"/>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REQUIREMENTS OF LAW, EACH PARTY HERETO HEREBY IRREVOCABLY WAIVES PERSONAL SERVICE OF ANY AND ALL PROCESS UPON IT AND AGREES THAT ALL SUCH SERVICE OF PROCESS MAY BE MADE BY REGISTERED MAIL (OR ANY SUBSTANTIALLY SIMILAR FORM OF MAIL) DIRECTED TO IT AT ITS ADDRESS FOR NOTICES AS PROVIDED FOR IN </w:t>
      </w:r>
      <w:r>
        <w:rPr>
          <w:rFonts w:ascii="Arial" w:cs="Arial" w:eastAsia="Arial" w:hAnsi="Arial"/>
          <w:sz w:val="17"/>
          <w:szCs w:val="17"/>
          <w:u w:val="single" w:color="auto"/>
          <w:color w:val="auto"/>
        </w:rPr>
        <w:t>SECTION 9.01</w:t>
      </w:r>
      <w:r>
        <w:rPr>
          <w:rFonts w:ascii="Arial" w:cs="Arial" w:eastAsia="Arial" w:hAnsi="Arial"/>
          <w:sz w:val="17"/>
          <w:szCs w:val="17"/>
          <w:color w:val="auto"/>
        </w:rPr>
        <w:t>. EACH PARTY HERETO HEREBY WAIVES ANY OBJECTION TO SUCH SERVICE OF PROCESS AND FURTHER IRREVOCABLY WAIVES AND AGREES NOT TO PLEAD OR CLAIM IN ANY ACTION OR PROCEEDING COMMENCED HEREUNDER OR UNDER ANY LOAN DOCUMENT THAT SERVICE OF PROCESS WAS INVALID AND INEFFECTIVE. NOTHING IN THIS AGREEMENT OR ANY OTHER LOAN DOCUMENT WILL AFFECT THE RIGHT OF ANY PARTY TO THIS AGREEMENT TO SERVE PROCESS IN ANY OTHER MANNER PERMITTED BY APPLICABLE REQUIREMENTS OF LAW.</w:t>
      </w:r>
    </w:p>
    <w:p>
      <w:pPr>
        <w:spacing w:after="0" w:line="17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REQUIREMENTS OF LAW, ANY RIGHT IT MAY HAVE TO A TRIAL BY JURY IN ANY SUIT, ACTION, PROCEEDING OR COUNTERCLAIM (WHETHER BASED ON CONTRACT, TORT OR ANY OTHER THEORY) DIRECTLY OR INDIRECTLY ARISING OUT OF OR RELATING TO THIS AGREEMENT, ANY OTHER LOAN DOCUMENT OR THE TRANSACTIONS CONTEMPLATED HEREBY OR THEREBY.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8"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Confidentiality</w:t>
      </w:r>
      <w:r>
        <w:rPr>
          <w:rFonts w:ascii="Arial" w:cs="Arial" w:eastAsia="Arial" w:hAnsi="Arial"/>
          <w:sz w:val="18"/>
          <w:szCs w:val="18"/>
          <w:color w:val="auto"/>
        </w:rPr>
        <w:t>. Each of the Administrative Agent, each Lender, each Issuing Bank and each Arranger agrees (and each Lender agrees to cause its SPC, if any) to maintain the confidentiality of the Confidential Information (as defined below), except that Confidential Information may be disclosed:</w:t>
      </w:r>
    </w:p>
    <w:p>
      <w:pPr>
        <w:spacing w:after="0" w:line="76" w:lineRule="exact"/>
        <w:rPr>
          <w:sz w:val="20"/>
          <w:szCs w:val="20"/>
          <w:color w:val="auto"/>
        </w:rPr>
      </w:pPr>
    </w:p>
    <w:p>
      <w:pPr>
        <w:ind w:firstLine="436"/>
        <w:spacing w:after="0" w:line="290" w:lineRule="auto"/>
        <w:tabs>
          <w:tab w:leader="none" w:pos="685"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to its and its Affiliates’ members, partners, directors (or equivalent managers), officers, managers, employees, agents, independent auditors, or other experts and advisors, including accountants, legal counsel and other advisors (collectively,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on a “need to know” basis solely in connection with the transactions contemplated hereby and who are informed of the confidential nature of the Confidential Information and are or have been advised of their obligation to keep the Confidential Information of this type confidential; provided that such Person shall be responsible for its Affiliates’ and their Representatives’ compliance with this paragraph; provided, further, that unless the Borrower otherwise consents, no such disclosure shall be made by the Administrative Agent, any Issuing Bank, any Arranger, any Lender or any Affiliate or Representative thereof to any Affiliate or Representative of the Administrative Agent, any Issuing Bank, any Arranger, or any Lender that is a Disqualified Institution (other than any Excluded Party that is a senior employee of such Lead Arranger who is required, in accordance with industry regulations or such Lead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00"/>
          </w:cols>
          <w:pgMar w:left="440" w:top="274" w:right="459" w:bottom="1440" w:gutter="0" w:footer="0" w:header="0"/>
        </w:sectPr>
      </w:pPr>
    </w:p>
    <w:bookmarkStart w:id="201" w:name="page202"/>
    <w:bookmarkEnd w:id="201"/>
    <w:p>
      <w:pPr>
        <w:ind w:left="4"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Arranger’s internal policies and procedures, to act in a supervisory capacity and such Lead Arranger’s internal, legal, compliance, risk management, credit or investment committee members, so long as such senior employee does not share any such information with any other individual primarily engaged in private equity, venture capital or mezzanine financing activities at the Disqualified Institution itself (other than any other senior employee contemplated by this parenthetical)),</w:t>
      </w:r>
    </w:p>
    <w:p>
      <w:pPr>
        <w:spacing w:after="0" w:line="79" w:lineRule="exact"/>
        <w:rPr>
          <w:sz w:val="20"/>
          <w:szCs w:val="20"/>
          <w:color w:val="auto"/>
        </w:rPr>
      </w:pPr>
    </w:p>
    <w:p>
      <w:pPr>
        <w:ind w:left="4" w:right="40" w:firstLine="436"/>
        <w:spacing w:after="0" w:line="296" w:lineRule="auto"/>
        <w:tabs>
          <w:tab w:leader="none" w:pos="699" w:val="left"/>
        </w:tabs>
        <w:numPr>
          <w:ilvl w:val="1"/>
          <w:numId w:val="321"/>
        </w:numPr>
        <w:rPr>
          <w:rFonts w:ascii="Arial" w:cs="Arial" w:eastAsia="Arial" w:hAnsi="Arial"/>
          <w:sz w:val="16"/>
          <w:szCs w:val="16"/>
          <w:color w:val="auto"/>
        </w:rPr>
      </w:pPr>
      <w:r>
        <w:rPr>
          <w:rFonts w:ascii="Arial" w:cs="Arial" w:eastAsia="Arial" w:hAnsi="Arial"/>
          <w:sz w:val="16"/>
          <w:szCs w:val="16"/>
          <w:color w:val="auto"/>
        </w:rPr>
        <w:t>to the extent compelled by legal process in, or reasonably necessary to, the defense of such legal, judicial or administrative proceeding, in any legal, judicial or administrative proceeding or otherwise as required by applicable Requirements of Law (in which case such Person shall, except with respect to any audit or examination conducted by bank accountants or any governmental, regulatory or self-regulatory authority exercising examination or regulatory authority, (i) to the extent practicable and permitted by applicable Requirements of Law, inform the Borrower promptly in advance thereof and (ii) use commercially reasonable efforts to ensure that any such information so disclosed is accorded confidential treatment),</w:t>
      </w:r>
    </w:p>
    <w:p>
      <w:pPr>
        <w:spacing w:after="0" w:line="53" w:lineRule="exact"/>
        <w:rPr>
          <w:rFonts w:ascii="Arial" w:cs="Arial" w:eastAsia="Arial" w:hAnsi="Arial"/>
          <w:sz w:val="16"/>
          <w:szCs w:val="16"/>
          <w:color w:val="auto"/>
        </w:rPr>
      </w:pPr>
    </w:p>
    <w:p>
      <w:pPr>
        <w:ind w:left="4" w:right="120" w:firstLine="436"/>
        <w:spacing w:after="0" w:line="275" w:lineRule="auto"/>
        <w:tabs>
          <w:tab w:leader="none" w:pos="689" w:val="left"/>
        </w:tabs>
        <w:numPr>
          <w:ilvl w:val="1"/>
          <w:numId w:val="321"/>
        </w:numPr>
        <w:rPr>
          <w:rFonts w:ascii="Arial" w:cs="Arial" w:eastAsia="Arial" w:hAnsi="Arial"/>
          <w:sz w:val="17"/>
          <w:szCs w:val="17"/>
          <w:color w:val="auto"/>
        </w:rPr>
      </w:pPr>
      <w:r>
        <w:rPr>
          <w:rFonts w:ascii="Arial" w:cs="Arial" w:eastAsia="Arial" w:hAnsi="Arial"/>
          <w:sz w:val="17"/>
          <w:szCs w:val="17"/>
          <w:color w:val="auto"/>
        </w:rPr>
        <w:t>upon the demand or request of any Governmental Authority (including any self-regulatory body) purporting to have jurisdiction over such Person or its Affiliates (in which case such Person shall, except with respect to any audit or examination conducted by bank accountants or any Governmental Authority or regulatory or self-regulatory authority exercising examination or regulatory authority, to the extent permitted by applicable Requirements of Law, (i) to the extent practicable and permitted by applicable Requirements of Law, inform the Borrower promptly in advance thereof and (ii) use commercially reasonable efforts to ensure that any information so disclosed is accorded confidential treatment),</w:t>
      </w:r>
    </w:p>
    <w:p>
      <w:pPr>
        <w:spacing w:after="0" w:line="68" w:lineRule="exact"/>
        <w:rPr>
          <w:rFonts w:ascii="Arial" w:cs="Arial" w:eastAsia="Arial" w:hAnsi="Arial"/>
          <w:sz w:val="17"/>
          <w:szCs w:val="17"/>
          <w:color w:val="auto"/>
        </w:rPr>
      </w:pPr>
    </w:p>
    <w:p>
      <w:pPr>
        <w:ind w:left="4" w:right="20" w:firstLine="436"/>
        <w:spacing w:after="0" w:line="277" w:lineRule="auto"/>
        <w:tabs>
          <w:tab w:leader="none" w:pos="699"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to the extent provided by or on behalf of the Borrower to the Administrative Agent for distribution to the Issuing Banks and/or Lenders, by the Administrative Agent to any Lender or Issuing Bank party to this Agreement, as applicable,</w:t>
      </w:r>
    </w:p>
    <w:p>
      <w:pPr>
        <w:spacing w:after="0" w:line="62" w:lineRule="exact"/>
        <w:rPr>
          <w:rFonts w:ascii="Arial" w:cs="Arial" w:eastAsia="Arial" w:hAnsi="Arial"/>
          <w:sz w:val="18"/>
          <w:szCs w:val="18"/>
          <w:color w:val="auto"/>
        </w:rPr>
      </w:pPr>
    </w:p>
    <w:p>
      <w:pPr>
        <w:ind w:left="4" w:firstLine="436"/>
        <w:spacing w:after="0" w:line="289" w:lineRule="auto"/>
        <w:tabs>
          <w:tab w:leader="none" w:pos="689" w:val="left"/>
        </w:tabs>
        <w:numPr>
          <w:ilvl w:val="1"/>
          <w:numId w:val="321"/>
        </w:numPr>
        <w:rPr>
          <w:rFonts w:ascii="Arial" w:cs="Arial" w:eastAsia="Arial" w:hAnsi="Arial"/>
          <w:sz w:val="16"/>
          <w:szCs w:val="16"/>
          <w:color w:val="auto"/>
        </w:rPr>
      </w:pPr>
      <w:r>
        <w:rPr>
          <w:rFonts w:ascii="Arial" w:cs="Arial" w:eastAsia="Arial" w:hAnsi="Arial"/>
          <w:sz w:val="16"/>
          <w:szCs w:val="16"/>
          <w:color w:val="auto"/>
        </w:rPr>
        <w:t xml:space="preserve">subject to an acknowledgment and agreement by the relevant recipient that the Confidential Information is being disseminated on a confidential basis (on substantially the terms set forth in this paragraph or as otherwise reasonably acceptable to the Borrower and the Administrative Agent) in accordance with the standard syndication process of the Arrangers or market standards for dissemination of the relevant type of information, which shall in any event require “click through” or other affirmative action on the part of the recipient to access the Confidential Information and acknowledge its confidentiality obligations in respect thereof, to (i) any Eligible Assignee of or Participant in, or any prospective Eligible Assignee of or prospective Participant in, any of its rights or obligations under this Agreement, including any SPC (in each case other than a Disqualified Institution and/or any Person to whom the Borrower has, at the time of disclosure, affirmatively declined to consent to any assignment or participation), (ii) any pledgee referred to in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and/or (iii) any actual or prospective, direct or indirect contractual counterparty (or its advisors) to any Derivative Transaction (including any credit default swap) or similar derivative product to which any Loan Party is a party,</w:t>
      </w:r>
    </w:p>
    <w:p>
      <w:pPr>
        <w:spacing w:after="0" w:line="58" w:lineRule="exact"/>
        <w:rPr>
          <w:rFonts w:ascii="Arial" w:cs="Arial" w:eastAsia="Arial" w:hAnsi="Arial"/>
          <w:sz w:val="16"/>
          <w:szCs w:val="16"/>
          <w:color w:val="auto"/>
        </w:rPr>
      </w:pPr>
    </w:p>
    <w:p>
      <w:pPr>
        <w:ind w:left="4" w:right="820" w:firstLine="436"/>
        <w:spacing w:after="0" w:line="277" w:lineRule="auto"/>
        <w:tabs>
          <w:tab w:leader="none" w:pos="669" w:val="left"/>
        </w:tabs>
        <w:numPr>
          <w:ilvl w:val="1"/>
          <w:numId w:val="321"/>
        </w:numPr>
        <w:rPr>
          <w:rFonts w:ascii="Arial" w:cs="Arial" w:eastAsia="Arial" w:hAnsi="Arial"/>
          <w:sz w:val="18"/>
          <w:szCs w:val="18"/>
          <w:color w:val="auto"/>
        </w:rPr>
      </w:pPr>
      <w:r>
        <w:rPr>
          <w:rFonts w:ascii="Arial" w:cs="Arial" w:eastAsia="Arial" w:hAnsi="Arial"/>
          <w:sz w:val="18"/>
          <w:szCs w:val="18"/>
          <w:color w:val="auto"/>
        </w:rPr>
        <w:t>subject to the Borrower’s prior approval of the information to be disclosed, to the CUSIP Service Bureau or any similar agency on a confidential basis in connection with the issuance and monitoring of CUSIP numbers with respect to the facilities or</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1"/>
          <w:numId w:val="321"/>
        </w:numPr>
        <w:rPr>
          <w:rFonts w:ascii="Arial" w:cs="Arial" w:eastAsia="Arial" w:hAnsi="Arial"/>
          <w:sz w:val="17"/>
          <w:szCs w:val="17"/>
          <w:color w:val="auto"/>
        </w:rPr>
      </w:pPr>
      <w:r>
        <w:rPr>
          <w:rFonts w:ascii="Arial" w:cs="Arial" w:eastAsia="Arial" w:hAnsi="Arial"/>
          <w:sz w:val="17"/>
          <w:szCs w:val="17"/>
          <w:color w:val="auto"/>
        </w:rPr>
        <w:t>(i) the existence of this Agreement (but not the terms hereof) and the existence of the Credit Facilities (but not the terms thereof) and</w:t>
      </w:r>
    </w:p>
    <w:p>
      <w:pPr>
        <w:spacing w:after="0" w:line="34" w:lineRule="exact"/>
        <w:rPr>
          <w:rFonts w:ascii="Arial" w:cs="Arial" w:eastAsia="Arial" w:hAnsi="Arial"/>
          <w:sz w:val="17"/>
          <w:szCs w:val="17"/>
          <w:color w:val="auto"/>
        </w:rPr>
      </w:pPr>
    </w:p>
    <w:p>
      <w:pPr>
        <w:ind w:left="4" w:right="300" w:hanging="4"/>
        <w:spacing w:after="0" w:line="255" w:lineRule="auto"/>
        <w:tabs>
          <w:tab w:leader="none" w:pos="26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certain other limited generic information regarding the Credit Facilities (but not any other Confidential Information), may be disclosed to market data collectors and other similar service providers to the lending industry and, in the case of the Administrative Agent, to service providers to the Administrative Agent in connection with the administration of the Credit Facilities,</w:t>
      </w:r>
    </w:p>
    <w:p>
      <w:pPr>
        <w:spacing w:after="0" w:line="81" w:lineRule="exact"/>
        <w:rPr>
          <w:rFonts w:ascii="Arial" w:cs="Arial" w:eastAsia="Arial" w:hAnsi="Arial"/>
          <w:sz w:val="18"/>
          <w:szCs w:val="18"/>
          <w:color w:val="auto"/>
        </w:rPr>
      </w:pPr>
    </w:p>
    <w:p>
      <w:pPr>
        <w:ind w:left="4" w:right="420" w:firstLine="436"/>
        <w:spacing w:after="0" w:line="277" w:lineRule="auto"/>
        <w:tabs>
          <w:tab w:leader="none" w:pos="699"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to the extent the Confidential Information becomes publicly available other than as a result of a breach of this Section by such Person, its Affiliates or their respective Representatives, and</w:t>
      </w:r>
    </w:p>
    <w:p>
      <w:pPr>
        <w:spacing w:after="0" w:line="62" w:lineRule="exact"/>
        <w:rPr>
          <w:rFonts w:ascii="Arial" w:cs="Arial" w:eastAsia="Arial" w:hAnsi="Arial"/>
          <w:sz w:val="18"/>
          <w:szCs w:val="18"/>
          <w:color w:val="auto"/>
        </w:rPr>
      </w:pPr>
    </w:p>
    <w:p>
      <w:pPr>
        <w:ind w:left="664" w:hanging="224"/>
        <w:spacing w:after="0"/>
        <w:tabs>
          <w:tab w:leader="none" w:pos="664" w:val="left"/>
        </w:tabs>
        <w:numPr>
          <w:ilvl w:val="1"/>
          <w:numId w:val="322"/>
        </w:numPr>
        <w:rPr>
          <w:rFonts w:ascii="Arial" w:cs="Arial" w:eastAsia="Arial" w:hAnsi="Arial"/>
          <w:sz w:val="18"/>
          <w:szCs w:val="18"/>
          <w:color w:val="auto"/>
        </w:rPr>
      </w:pPr>
      <w:r>
        <w:rPr>
          <w:rFonts w:ascii="Arial" w:cs="Arial" w:eastAsia="Arial" w:hAnsi="Arial"/>
          <w:sz w:val="18"/>
          <w:szCs w:val="18"/>
          <w:color w:val="auto"/>
        </w:rPr>
        <w:t>with the prior written consent of the Borrower.</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0984"/>
          </w:cols>
          <w:pgMar w:left="436" w:top="274" w:right="479" w:bottom="1440" w:gutter="0" w:footer="0" w:header="0"/>
        </w:sectPr>
      </w:pPr>
    </w:p>
    <w:bookmarkStart w:id="202" w:name="page203"/>
    <w:bookmarkEnd w:id="202"/>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Section,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information relating to Holdings, the Borrower and/or any of its subsidiaries and their respective businesses or the Transactions (including any information obtained by the Administrative Agent, any Issuing Bank, any Lender or any Arranger, or any of their respective Affiliates or Representatives, based on a review of any books and records relating to Holdings, the Borrower and/or any of its subsidiaries and their respective Affiliates from time to time, including prior to the date hereof) other than any such information that is publicly available to the Administrative Agent or any Arranger, Issuing Bank, or Lender on a non-confidential basis prior to disclosure by Holdings or any of its subsidiaries. For the avoidance of doubt, in no event shall any disclosure of any Confidential Information be made to any Person that is a Disqualified Institution at the time of disclosure.</w:t>
      </w:r>
    </w:p>
    <w:p>
      <w:pPr>
        <w:spacing w:after="0" w:line="19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No Fiduciary Duty</w:t>
      </w:r>
      <w:r>
        <w:rPr>
          <w:rFonts w:ascii="Arial" w:cs="Arial" w:eastAsia="Arial" w:hAnsi="Arial"/>
          <w:sz w:val="17"/>
          <w:szCs w:val="17"/>
          <w:color w:val="auto"/>
        </w:rPr>
        <w:t>. Each of the Administrative Agent, the Arrangers, each Lender, each Issuing Bank and their respective Affiliates (collectively, solely for purposes of this paragraph, the “</w:t>
      </w:r>
      <w:r>
        <w:rPr>
          <w:rFonts w:ascii="Arial" w:cs="Arial" w:eastAsia="Arial" w:hAnsi="Arial"/>
          <w:sz w:val="17"/>
          <w:szCs w:val="17"/>
          <w:u w:val="single" w:color="auto"/>
          <w:color w:val="auto"/>
        </w:rPr>
        <w:t>Credit Parties</w:t>
      </w:r>
      <w:r>
        <w:rPr>
          <w:rFonts w:ascii="Arial" w:cs="Arial" w:eastAsia="Arial" w:hAnsi="Arial"/>
          <w:sz w:val="17"/>
          <w:szCs w:val="17"/>
          <w:color w:val="auto"/>
        </w:rPr>
        <w:t>”), may have economic interests that conflict with those of the Loan Parties, their stockholders and/or their respective affiliates. Each Loan Party agrees that nothing in the Loan Documents or otherwise will be deemed to create an advisory, fiduciary or agency relationship or fiduciary or other implied duty between any Credit Party, on the one hand, and such Loan Party, its respective stockholders or its respective affiliates, on the other. Each Loan Party acknowledges and agrees that: (i) the transactions contemplated by the Loan Documents (including the exercise of rights and remedies hereunder and thereunder) are arm’s-length commercial transactions between the Credit Parties, on the one hand, and the Loan Parties, on the other, and (ii) in connection therewith and with the process leading thereto, (x) no Credit Party, in its capacity as such, has assumed an advisory or fiduciary responsibility in favor of any Loan Party, its respective stockholders or its respective affiliates with respect to the transactions contemplated hereby (or the exercise of rights or remedies with respect thereto) or the process leading thereto (irrespective of whether any Credit Party has advised, is currently advising or will advise any Loan Party, its respective stockholders or its respective Affiliates on other matters) or any other obligation to any Loan Party except the obligations expressly set forth in the Loan Documents and (y) each Credit Party, in its capacity as such, is acting solely as principal and not as the agent or fiduciary of such Loan Party, its respective management, stockholders, creditors or any other Person. Each Loan Party acknowledges and agrees that such Loan Party has consulted its own legal, tax and financial advisors to the extent it deemed appropriate and that it is responsible for making its own independent judgment with respect to such transactions and the process leading thereto.</w:t>
      </w:r>
    </w:p>
    <w:p>
      <w:pPr>
        <w:spacing w:after="0" w:line="182"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Several Obligations</w:t>
      </w:r>
      <w:r>
        <w:rPr>
          <w:rFonts w:ascii="Arial" w:cs="Arial" w:eastAsia="Arial" w:hAnsi="Arial"/>
          <w:sz w:val="18"/>
          <w:szCs w:val="18"/>
          <w:color w:val="auto"/>
        </w:rPr>
        <w:t>. The respective obligations of the Lenders hereunder are several and not joint and the failure of any Lender to make any Loan, issue any Letter of Credit or perform any of its obligations hereunder shall not relieve any other Lender from any of its obligations hereunder.</w:t>
      </w:r>
    </w:p>
    <w:p>
      <w:pPr>
        <w:spacing w:after="0" w:line="184"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USA PATRIOT Act and the requirements of the Beneficial Ownership Regulation hereby notifies the Loan Parties that pursuant to the requirements of the USA PATRIOT Act and the Beneficial Ownership Regulation, it is required to obtain, verify and record information that identifies each Loan Party, which information includes the name and address of such Loan Party and other information that will allow such Lender to identify such Loan Party in accordance with the USA PATRIOT Act and the Borrower in accordance with the Beneficial Ownership Regulation.</w:t>
      </w:r>
    </w:p>
    <w:p>
      <w:pPr>
        <w:spacing w:after="0" w:line="188"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 xml:space="preserve">Section 9.17. </w:t>
      </w:r>
      <w:r>
        <w:rPr>
          <w:rFonts w:ascii="Arial" w:cs="Arial" w:eastAsia="Arial" w:hAnsi="Arial"/>
          <w:sz w:val="18"/>
          <w:szCs w:val="18"/>
          <w:u w:val="single" w:color="auto"/>
          <w:color w:val="auto"/>
        </w:rPr>
        <w:t>Disclosure of Agent Conflicts</w:t>
      </w:r>
      <w:r>
        <w:rPr>
          <w:rFonts w:ascii="Arial" w:cs="Arial" w:eastAsia="Arial" w:hAnsi="Arial"/>
          <w:sz w:val="18"/>
          <w:szCs w:val="18"/>
          <w:color w:val="auto"/>
        </w:rPr>
        <w:t>. Each Loan Party, each Issuing Bank and each Lender hereby acknowledge and agree that the Administrative Agent and/or its Affiliates from time to time may hold investments in, make other loans to or have other relationships with any of the Loan Parties and their respective Affiliates.</w:t>
      </w:r>
    </w:p>
    <w:p>
      <w:pPr>
        <w:spacing w:after="0" w:line="184"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 xml:space="preserve">Section 9.18. </w:t>
      </w:r>
      <w:r>
        <w:rPr>
          <w:rFonts w:ascii="Arial" w:cs="Arial" w:eastAsia="Arial" w:hAnsi="Arial"/>
          <w:sz w:val="18"/>
          <w:szCs w:val="18"/>
          <w:u w:val="single" w:color="auto"/>
          <w:color w:val="auto"/>
        </w:rPr>
        <w:t>Appointment for Perfection</w:t>
      </w:r>
      <w:r>
        <w:rPr>
          <w:rFonts w:ascii="Arial" w:cs="Arial" w:eastAsia="Arial" w:hAnsi="Arial"/>
          <w:sz w:val="18"/>
          <w:szCs w:val="18"/>
          <w:color w:val="auto"/>
        </w:rPr>
        <w:t>. Each Lender hereby appoints each other Lender and each Issuing Bank as its agent for the purpose of perfecting Liens for the benefit of the Administrative Agent, the Issuing Banks and the Lenders, in assets which, in accordance with Article 9 of the UCC or any other applicable Requirement of Law can be perfected only by possession. If any Lender or Issuing Bank (other than the Administrative Agent) obtains possession of any Collateral, such Lender or Issuing Bank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0940"/>
          </w:cols>
          <w:pgMar w:left="440" w:top="274" w:right="519" w:bottom="1440" w:gutter="0" w:footer="0" w:header="0"/>
        </w:sectPr>
      </w:pPr>
    </w:p>
    <w:bookmarkStart w:id="203" w:name="page204"/>
    <w:bookmarkEnd w:id="203"/>
    <w:p>
      <w:pPr>
        <w:ind w:right="6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9.19.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 to any Loan or Letter of Credit, together with all fees, charges and other amounts which are treated as interest on such Loan or Letter of Credit under applicable Requirements of Law (collectively the “</w:t>
      </w:r>
      <w:r>
        <w:rPr>
          <w:rFonts w:ascii="Arial" w:cs="Arial" w:eastAsia="Arial" w:hAnsi="Arial"/>
          <w:sz w:val="17"/>
          <w:szCs w:val="17"/>
          <w:u w:val="single" w:color="auto"/>
          <w:color w:val="auto"/>
        </w:rPr>
        <w:t>Charged Amounts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which may be contracted for, charged, taken, received or reserved by the Lender or Issuing Bank holding such Loan or Letter of Credit in accordance with applicable Requirements of Law, the rate of interest payable in respect of such Loan or Letter of Credit hereunder, together with all Charged Amounts payable in respect thereof, shall be limited to the Maximum Rate and, to the extent lawful, the interest and Charged Amounts that would have been payable in respect of such Loan or Letter of Credit but were not payable as a result of the operation of this Section shall be cumulated and the interest and Charged Amounts payable to such Lender or Issuing Bank in respect of other Loans or Letters of Credit or periods shall be increased (but not above the Maximum Rate therefor) until such cumulated amount, together with interest thereon at the Federal Funds Effective Rate to the date of repayment, have been received by such Lender or Issuing Bank.</w:t>
      </w:r>
    </w:p>
    <w:p>
      <w:pPr>
        <w:spacing w:after="0" w:line="185"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 xml:space="preserve">Section 9.20. </w:t>
      </w:r>
      <w:r>
        <w:rPr>
          <w:rFonts w:ascii="Arial" w:cs="Arial" w:eastAsia="Arial" w:hAnsi="Arial"/>
          <w:sz w:val="17"/>
          <w:szCs w:val="17"/>
          <w:u w:val="single" w:color="auto"/>
          <w:color w:val="auto"/>
        </w:rPr>
        <w:t>Intercreditor Agreements</w:t>
      </w:r>
      <w:r>
        <w:rPr>
          <w:rFonts w:ascii="Arial" w:cs="Arial" w:eastAsia="Arial" w:hAnsi="Arial"/>
          <w:sz w:val="17"/>
          <w:szCs w:val="17"/>
          <w:color w:val="auto"/>
        </w:rPr>
        <w:t xml:space="preserve">. REFERENCE IS MADE TO EACH INTERCREDITOR AGREEMENT. EACH SECURED PARTY HEREUNDER AGREES THAT IT WILL BE BOUND BY AND WILL TAKE NO ACTION CONTRARY TO THE PROVISIONS OF EACH INTERCREDITOR AGREEMENT AND AUTHORIZES AND INSTRUCTS THE ADMINISTRATIVE AGENT TO ENTER INTO EACH APPLICABLE INTERCREDITOR AGREEMENT AS “FIRST LIEN AGENT” (OR EQUIVALENT) AND ON BEHALF OF SUCH SECURED PARTY. THE PROVISIONS OF THIS </w:t>
      </w:r>
      <w:r>
        <w:rPr>
          <w:rFonts w:ascii="Arial" w:cs="Arial" w:eastAsia="Arial" w:hAnsi="Arial"/>
          <w:sz w:val="17"/>
          <w:szCs w:val="17"/>
          <w:u w:val="single" w:color="auto"/>
          <w:color w:val="auto"/>
        </w:rPr>
        <w:t>SECTION 9.20</w:t>
      </w:r>
      <w:r>
        <w:rPr>
          <w:rFonts w:ascii="Arial" w:cs="Arial" w:eastAsia="Arial" w:hAnsi="Arial"/>
          <w:sz w:val="17"/>
          <w:szCs w:val="17"/>
          <w:color w:val="auto"/>
        </w:rPr>
        <w:t xml:space="preserve"> ARE NOT INTENDED TO SUMMARIZE ALL RELEVANT PROVISIONS OF ANY INTERCREDITOR AGREEMENT. REFERENCE MUST BE MADE TO EACH INTERCREDITOR AGREEMENT ITSELF TO UNDERSTAND ALL TERMS AND CONDITIONS THEREOF. EACH SECURED PARTY IS RESPONSIBLE FOR MAKING ITS OWN ANALYSIS AND REVIEW OF EACH INTERCREDITOR AGREEMENT AND THE TERMS AND PROVISIONS THEREOF, AND NEITHER THE ADMINISTRATIVE AGENT NOR ANY OF ITS AFFILIATES MAKES ANY REPRESENTATION TO ANY SECURED PARTY AS TO THE SUFFICIENCY OR ADVISABILITY OF THE PROVISIONS CONTAINED IN ANY INTERCREDITOR AGREEMENT. THE FOREGOING PROVISIONS ARE INTENDED AS AN INDUCEMENT TO THE LENDERS OR HOLDERS OF ANY OTHER INDEBTEDNESS SUBJECT TO ANY APPLICABLE INTERCREDITOR AGREEMENT TO EXTEND CREDIT THEREUNDER AND SUCH LENDERS AND/OR HOLDERS ARE INTENDED THIRD PARTY BENEFICIARIES OF SUCH PROVISIONS AND THE PROVISIONS OF EACH APPLICABLE INTERCREDITOR AGREEMENT.</w:t>
      </w:r>
    </w:p>
    <w:p>
      <w:pPr>
        <w:spacing w:after="0" w:line="186"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 xml:space="preserve">Section 9.21. </w:t>
      </w:r>
      <w:r>
        <w:rPr>
          <w:rFonts w:ascii="Arial" w:cs="Arial" w:eastAsia="Arial" w:hAnsi="Arial"/>
          <w:sz w:val="18"/>
          <w:szCs w:val="18"/>
          <w:u w:val="single" w:color="auto"/>
          <w:color w:val="auto"/>
        </w:rPr>
        <w:t>Conflicts</w:t>
      </w:r>
      <w:r>
        <w:rPr>
          <w:rFonts w:ascii="Arial" w:cs="Arial" w:eastAsia="Arial" w:hAnsi="Arial"/>
          <w:sz w:val="18"/>
          <w:szCs w:val="18"/>
          <w:color w:val="auto"/>
        </w:rPr>
        <w:t xml:space="preserve">. Notwithstanding anything to the contrary contained herein or in any other Loan Document, in the event of any conflict or inconsistency between this Agreement and any other Loan Document, the terms of this Agreement shall govern and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conflict or inconsistency between any Intercreditor Agreement and any Loan Document, the terms of such Intercreditor Agreement shall govern and control.</w:t>
      </w:r>
    </w:p>
    <w:p>
      <w:pPr>
        <w:spacing w:after="0" w:line="18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9.22. </w:t>
      </w:r>
      <w:r>
        <w:rPr>
          <w:rFonts w:ascii="Arial" w:cs="Arial" w:eastAsia="Arial" w:hAnsi="Arial"/>
          <w:sz w:val="17"/>
          <w:szCs w:val="17"/>
          <w:u w:val="single" w:color="auto"/>
          <w:color w:val="auto"/>
        </w:rPr>
        <w:t>Release of Guarantors</w:t>
      </w:r>
      <w:r>
        <w:rPr>
          <w:rFonts w:ascii="Arial" w:cs="Arial" w:eastAsia="Arial" w:hAnsi="Arial"/>
          <w:sz w:val="17"/>
          <w:szCs w:val="17"/>
          <w:color w:val="auto"/>
        </w:rPr>
        <w:t xml:space="preserve">. Notwithstanding anything in </w:t>
      </w:r>
      <w:r>
        <w:rPr>
          <w:rFonts w:ascii="Arial" w:cs="Arial" w:eastAsia="Arial" w:hAnsi="Arial"/>
          <w:sz w:val="17"/>
          <w:szCs w:val="17"/>
          <w:u w:val="single" w:color="auto"/>
          <w:color w:val="auto"/>
        </w:rPr>
        <w:t>Section 9.02(b)</w:t>
      </w:r>
      <w:r>
        <w:rPr>
          <w:rFonts w:ascii="Arial" w:cs="Arial" w:eastAsia="Arial" w:hAnsi="Arial"/>
          <w:sz w:val="17"/>
          <w:szCs w:val="17"/>
          <w:color w:val="auto"/>
        </w:rPr>
        <w:t xml:space="preserve"> to the contrary, (a) any Subsidiary Guarantor shall automatically be released from its obligations hereunder (and its Loan Guaranty and any Lien granted by such Subsidiary Guarantor pursuant to any Collateral Document shall be automatically released) (i) upon the consummation of any transaction or series of related transactions not prohibited hereunder if as a result thereof such Subsidiary Guarantor ceases to be a Restricted Subsidiary (or is or becomes an Excluded Subsidiary as a result of a single transaction or series of related transactions not prohibited hereunder), (ii) upon the occurrence of the Termination Date and/or (iii) in the case of any Discretionary Guarantor, at the election of the Borrower, upon notice from the Borrower to the Administrative Agent at any time and (b) any Subsidiary Guarantor that meets the definition of an “Excluded Subsidiary” shall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00"/>
          </w:cols>
          <w:pgMar w:left="440" w:top="274" w:right="459" w:bottom="1440" w:gutter="0" w:footer="0" w:header="0"/>
        </w:sectPr>
      </w:pPr>
    </w:p>
    <w:bookmarkStart w:id="204" w:name="page205"/>
    <w:bookmarkEnd w:id="204"/>
    <w:p>
      <w:pPr>
        <w:ind w:left="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 released by the Administrative Agent promptly following the request therefor by the Borrower, subject, if applicable, to the Specified Guarantor Release Provision. In connection with any such release, the Administrative Agent shall promptly execute and deliver to the relevant Loan Party, at such Loan Party’s expense, all documents that such Loan Party shall reasonably request to evidence termination or release;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request of the Administrative Agent, the Borrower shall deliver a certificate of a Responsible Officer certifying that the relevant transaction has been consummated in compliance with the terms of this Agreement. Any execution and delivery of any document pursuant to the preceding sentence of this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shall be without recourse to or warranty by the Administrative Agent (other than as to the Administrative Agent’s authority to execute and deliver such documents).</w:t>
      </w:r>
    </w:p>
    <w:p>
      <w:pPr>
        <w:spacing w:after="0" w:line="195" w:lineRule="exact"/>
        <w:rPr>
          <w:sz w:val="20"/>
          <w:szCs w:val="20"/>
          <w:color w:val="auto"/>
        </w:rPr>
      </w:pPr>
    </w:p>
    <w:p>
      <w:pPr>
        <w:ind w:left="4" w:right="120" w:firstLine="440"/>
        <w:spacing w:after="0" w:line="301" w:lineRule="auto"/>
        <w:rPr>
          <w:sz w:val="20"/>
          <w:szCs w:val="20"/>
          <w:color w:val="auto"/>
        </w:rPr>
      </w:pPr>
      <w:r>
        <w:rPr>
          <w:rFonts w:ascii="Arial" w:cs="Arial" w:eastAsia="Arial" w:hAnsi="Arial"/>
          <w:sz w:val="16"/>
          <w:szCs w:val="16"/>
          <w:color w:val="auto"/>
        </w:rPr>
        <w:t xml:space="preserve">Section 9.23. </w:t>
      </w:r>
      <w:r>
        <w:rPr>
          <w:rFonts w:ascii="Arial" w:cs="Arial" w:eastAsia="Arial" w:hAnsi="Arial"/>
          <w:sz w:val="16"/>
          <w:szCs w:val="16"/>
          <w:u w:val="single" w:color="auto"/>
          <w:color w:val="auto"/>
        </w:rPr>
        <w:t>Acknowledgement and Consent to Bail-In of Affected Financial Institutions</w:t>
      </w:r>
      <w:r>
        <w:rPr>
          <w:rFonts w:ascii="Arial" w:cs="Arial" w:eastAsia="Arial" w:hAnsi="Arial"/>
          <w:sz w:val="16"/>
          <w:szCs w:val="16"/>
          <w:color w:val="auto"/>
        </w:rPr>
        <w:t>. Notwithstanding anything to the contrary in any Loan Document or in any other agreement, arrangement or understanding of the parties hereto, each such party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49" w:lineRule="exact"/>
        <w:rPr>
          <w:sz w:val="20"/>
          <w:szCs w:val="20"/>
          <w:color w:val="auto"/>
        </w:rPr>
      </w:pPr>
    </w:p>
    <w:p>
      <w:pPr>
        <w:ind w:left="4" w:right="320" w:firstLine="436"/>
        <w:spacing w:after="0" w:line="277" w:lineRule="auto"/>
        <w:tabs>
          <w:tab w:leader="none" w:pos="68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084" w:hanging="221"/>
        <w:spacing w:after="0"/>
        <w:tabs>
          <w:tab w:leader="none" w:pos="1084"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4" w:right="80" w:firstLine="419"/>
        <w:spacing w:after="0" w:line="311" w:lineRule="auto"/>
        <w:tabs>
          <w:tab w:leader="none" w:pos="1132" w:val="left"/>
        </w:tabs>
        <w:numPr>
          <w:ilvl w:val="1"/>
          <w:numId w:val="323"/>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40" w:lineRule="exact"/>
        <w:rPr>
          <w:rFonts w:ascii="Arial" w:cs="Arial" w:eastAsia="Arial" w:hAnsi="Arial"/>
          <w:sz w:val="16"/>
          <w:szCs w:val="16"/>
          <w:color w:val="auto"/>
        </w:rPr>
      </w:pPr>
    </w:p>
    <w:p>
      <w:pPr>
        <w:ind w:left="444" w:right="140" w:firstLine="419"/>
        <w:spacing w:after="0" w:line="277" w:lineRule="auto"/>
        <w:tabs>
          <w:tab w:leader="none" w:pos="1182"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9.24. </w:t>
      </w:r>
      <w:r>
        <w:rPr>
          <w:rFonts w:ascii="Arial" w:cs="Arial" w:eastAsia="Arial" w:hAnsi="Arial"/>
          <w:sz w:val="16"/>
          <w:szCs w:val="16"/>
          <w:u w:val="single" w:color="auto"/>
          <w:color w:val="auto"/>
        </w:rPr>
        <w:t>Certain ERISA Matters</w:t>
      </w:r>
      <w:r>
        <w:rPr>
          <w:rFonts w:ascii="Arial" w:cs="Arial" w:eastAsia="Arial" w:hAnsi="Arial"/>
          <w:sz w:val="16"/>
          <w:szCs w:val="16"/>
          <w:color w:val="auto"/>
        </w:rPr>
        <w:t>. Each Lender (x) represents and warrants, as of the date such Person became a Lender party hereto, to, and</w:t>
      </w:r>
    </w:p>
    <w:p>
      <w:pPr>
        <w:spacing w:after="0" w:line="46" w:lineRule="exact"/>
        <w:rPr>
          <w:sz w:val="20"/>
          <w:szCs w:val="20"/>
          <w:color w:val="auto"/>
        </w:rPr>
      </w:pPr>
    </w:p>
    <w:p>
      <w:pPr>
        <w:ind w:left="4" w:right="220" w:hanging="4"/>
        <w:spacing w:after="0" w:line="260" w:lineRule="auto"/>
        <w:tabs>
          <w:tab w:leader="none" w:pos="259" w:val="left"/>
        </w:tabs>
        <w:numPr>
          <w:ilvl w:val="0"/>
          <w:numId w:val="324"/>
        </w:numPr>
        <w:rPr>
          <w:rFonts w:ascii="Arial" w:cs="Arial" w:eastAsia="Arial" w:hAnsi="Arial"/>
          <w:sz w:val="18"/>
          <w:szCs w:val="18"/>
          <w:color w:val="auto"/>
        </w:rPr>
      </w:pPr>
      <w:r>
        <w:rPr>
          <w:rFonts w:ascii="Arial" w:cs="Arial" w:eastAsia="Arial" w:hAnsi="Arial"/>
          <w:sz w:val="18"/>
          <w:szCs w:val="18"/>
          <w:color w:val="auto"/>
        </w:rPr>
        <w:t>covenants, from the date such Person became a Lender party hereto to the date such Person ceases being a Lender party hereto, that at least one of the following is and will be true:</w:t>
      </w:r>
    </w:p>
    <w:p>
      <w:pPr>
        <w:spacing w:after="0" w:line="77" w:lineRule="exact"/>
        <w:rPr>
          <w:rFonts w:ascii="Arial" w:cs="Arial" w:eastAsia="Arial" w:hAnsi="Arial"/>
          <w:sz w:val="18"/>
          <w:szCs w:val="18"/>
          <w:color w:val="auto"/>
        </w:rPr>
      </w:pPr>
    </w:p>
    <w:p>
      <w:pPr>
        <w:ind w:left="4" w:right="60" w:firstLine="436"/>
        <w:spacing w:after="0" w:line="263" w:lineRule="auto"/>
        <w:tabs>
          <w:tab w:leader="none" w:pos="689" w:val="left"/>
        </w:tabs>
        <w:numPr>
          <w:ilvl w:val="1"/>
          <w:numId w:val="324"/>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75" w:lineRule="exact"/>
        <w:rPr>
          <w:rFonts w:ascii="Arial" w:cs="Arial" w:eastAsia="Arial" w:hAnsi="Arial"/>
          <w:sz w:val="18"/>
          <w:szCs w:val="18"/>
          <w:color w:val="auto"/>
        </w:rPr>
      </w:pPr>
    </w:p>
    <w:p>
      <w:pPr>
        <w:ind w:left="4" w:right="100" w:firstLine="436"/>
        <w:spacing w:after="0" w:line="255" w:lineRule="auto"/>
        <w:tabs>
          <w:tab w:leader="none" w:pos="699" w:val="left"/>
        </w:tabs>
        <w:numPr>
          <w:ilvl w:val="1"/>
          <w:numId w:val="324"/>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0984"/>
          </w:cols>
          <w:pgMar w:left="436" w:top="274" w:right="479" w:bottom="1440" w:gutter="0" w:footer="0" w:header="0"/>
        </w:sectPr>
      </w:pPr>
    </w:p>
    <w:bookmarkStart w:id="205" w:name="page206"/>
    <w:bookmarkEnd w:id="205"/>
    <w:p>
      <w:pPr>
        <w:ind w:left="684" w:hanging="244"/>
        <w:spacing w:after="0"/>
        <w:tabs>
          <w:tab w:leader="none" w:pos="684" w:val="left"/>
        </w:tabs>
        <w:numPr>
          <w:ilvl w:val="1"/>
          <w:numId w:val="3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such Lender is an investment fund managed by a “Qualified Professional Asset Manager” (within the meaning of Part VI of PTE 84-14),</w:t>
      </w:r>
    </w:p>
    <w:p>
      <w:pPr>
        <w:spacing w:after="0" w:line="46" w:lineRule="exact"/>
        <w:rPr>
          <w:rFonts w:ascii="Arial" w:cs="Arial" w:eastAsia="Arial" w:hAnsi="Arial"/>
          <w:sz w:val="16"/>
          <w:szCs w:val="16"/>
          <w:color w:val="auto"/>
        </w:rPr>
      </w:pPr>
    </w:p>
    <w:p>
      <w:pPr>
        <w:ind w:left="4" w:right="40" w:hanging="4"/>
        <w:spacing w:after="0" w:line="292" w:lineRule="auto"/>
        <w:tabs>
          <w:tab w:leader="none" w:pos="269" w:val="left"/>
        </w:tabs>
        <w:numPr>
          <w:ilvl w:val="0"/>
          <w:numId w:val="326"/>
        </w:numPr>
        <w:rPr>
          <w:rFonts w:ascii="Arial" w:cs="Arial" w:eastAsia="Arial" w:hAnsi="Arial"/>
          <w:sz w:val="16"/>
          <w:szCs w:val="16"/>
          <w:color w:val="auto"/>
        </w:rPr>
      </w:pPr>
      <w:r>
        <w:rPr>
          <w:rFonts w:ascii="Arial" w:cs="Arial" w:eastAsia="Arial" w:hAnsi="Arial"/>
          <w:sz w:val="16"/>
          <w:szCs w:val="16"/>
          <w:color w:val="auto"/>
        </w:rPr>
        <w:t>such Qualified Professional Asset Manager made the investment decision on behalf of such Lender to enter into, participate in, administer and perform the Loans, the Letters of Credit, the Commitments and this Agreement, (iii) the entrance into, participation in, administration of and performance of the Loans, the Letters of Credit, the Commitments and this Agreement satisfies the requirements of sub-sections (b) through (g) of Part I of PTE 84-14 and (iv)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54" w:lineRule="exact"/>
        <w:rPr>
          <w:rFonts w:ascii="Arial" w:cs="Arial" w:eastAsia="Arial" w:hAnsi="Arial"/>
          <w:sz w:val="16"/>
          <w:szCs w:val="16"/>
          <w:color w:val="auto"/>
        </w:rPr>
      </w:pPr>
    </w:p>
    <w:p>
      <w:pPr>
        <w:ind w:left="4" w:right="360" w:firstLine="436"/>
        <w:spacing w:after="0" w:line="277" w:lineRule="auto"/>
        <w:tabs>
          <w:tab w:leader="none" w:pos="699" w:val="left"/>
        </w:tabs>
        <w:numPr>
          <w:ilvl w:val="1"/>
          <w:numId w:val="326"/>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sz w:val="20"/>
          <w:szCs w:val="20"/>
          <w:color w:val="auto"/>
        </w:rPr>
      </w:pPr>
    </w:p>
    <w:p>
      <w:pPr>
        <w:ind w:left="4"/>
        <w:spacing w:after="0" w:line="267" w:lineRule="auto"/>
        <w:rPr>
          <w:sz w:val="20"/>
          <w:szCs w:val="20"/>
          <w:color w:val="auto"/>
        </w:rPr>
      </w:pPr>
      <w:r>
        <w:rPr>
          <w:rFonts w:ascii="Arial" w:cs="Arial" w:eastAsia="Arial" w:hAnsi="Arial"/>
          <w:sz w:val="17"/>
          <w:szCs w:val="17"/>
          <w:color w:val="auto"/>
        </w:rPr>
        <w:t>In addition, unless either (1) sub-clause (i) in the immediately preceding paragraph is true with respect to a Lender or (2) a Lender has provided another representation, warranty and covenant in accordance with sub-clause (iv) in the immediately preceding paragraph,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To the extent the Administrative Agent (or any sub-agent thereof), any Issuing Bank or any Related Party of any of the foregoing is not reimbursed and indemnified by the Borrower, the Lenders severally agree to reimburse and indemnify the Administrative Agent (or any such sub-agent), such Issuing Bank or such Related Party, as the case may be, in proportion to their respective “pro rata shares” (determined as set forth below) for and against any and all liabilities, obligations, losses, damages, penalties, claims, actions, judgments, costs, expenses or disbursements of whatsoever kind or nature which may be imposed on, asserted against or incurred by the Administrative Agent (or such sub-agent), such Issuing Bank or such Related Party in performing its duties hereunder or under any other Loan Document or in any way relating to or arising out of this Agreement or any other Loan Document; provided, that no Lender shall be liable for any portion of such liabilities, obligations, losses, damages, penalties, claims, actions, judgments, suits, costs, expenses or disbursements resulting from the Administrative Agent’s, such Issuing Bank’s or such Related Party’s, as applicable, gross negligence or willful misconduct (as determined by a court of competent jurisdiction in a final and non-appealable decision). For purposes of this paragraph, a Lender’s “pro rata share” shall be determined based upon its share of the sum of, without duplication, the total Revolving Credit Exposures, unused Commitments and outstanding Loans, in each case, at the time (or most recently outstanding and in effect).</w:t>
      </w:r>
    </w:p>
    <w:p>
      <w:pPr>
        <w:spacing w:after="0" w:line="188" w:lineRule="exact"/>
        <w:rPr>
          <w:sz w:val="20"/>
          <w:szCs w:val="20"/>
          <w:color w:val="auto"/>
        </w:rPr>
      </w:pPr>
    </w:p>
    <w:p>
      <w:pPr>
        <w:ind w:left="4" w:right="40" w:firstLine="440"/>
        <w:spacing w:after="0" w:line="268" w:lineRule="auto"/>
        <w:rPr>
          <w:sz w:val="20"/>
          <w:szCs w:val="20"/>
          <w:color w:val="auto"/>
        </w:rPr>
      </w:pPr>
      <w:r>
        <w:rPr>
          <w:rFonts w:ascii="Arial" w:cs="Arial" w:eastAsia="Arial" w:hAnsi="Arial"/>
          <w:sz w:val="17"/>
          <w:szCs w:val="17"/>
          <w:color w:val="auto"/>
        </w:rPr>
        <w:t xml:space="preserve">Section 9.25. </w:t>
      </w:r>
      <w:r>
        <w:rPr>
          <w:rFonts w:ascii="Arial" w:cs="Arial" w:eastAsia="Arial" w:hAnsi="Arial"/>
          <w:sz w:val="17"/>
          <w:szCs w:val="17"/>
          <w:u w:val="single" w:color="auto"/>
          <w:color w:val="auto"/>
        </w:rPr>
        <w:t>Judgment Currency</w:t>
      </w:r>
      <w:r>
        <w:rPr>
          <w:rFonts w:ascii="Arial" w:cs="Arial" w:eastAsia="Arial" w:hAnsi="Arial"/>
          <w:sz w:val="17"/>
          <w:szCs w:val="17"/>
          <w:color w:val="auto"/>
        </w:rPr>
        <w:t>. If, for the purpose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the Lenders hereunder or under the other Loan Documents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that in which such sum is denominated in accordance with the applicable provisions of this Agreement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 (or to any other Person who may be entitled thereto under applicable Requirements of Law).</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24"/>
          </w:cols>
          <w:pgMar w:left="436" w:top="274" w:right="439" w:bottom="1440" w:gutter="0" w:footer="0" w:header="0"/>
        </w:sectPr>
      </w:pPr>
    </w:p>
    <w:bookmarkStart w:id="206" w:name="page207"/>
    <w:bookmarkEnd w:id="206"/>
    <w:p>
      <w:pPr>
        <w:ind w:right="4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9.26.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xml:space="preserve"> To the extent that the Loan Documents provide support, through a guarantee or otherwise, for Derivative Transactions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US or any other state of the US):</w:t>
      </w:r>
    </w:p>
    <w:p>
      <w:pPr>
        <w:spacing w:after="0" w:line="87" w:lineRule="exact"/>
        <w:rPr>
          <w:sz w:val="20"/>
          <w:szCs w:val="20"/>
          <w:color w:val="auto"/>
        </w:rPr>
      </w:pPr>
    </w:p>
    <w:p>
      <w:pPr>
        <w:ind w:firstLine="436"/>
        <w:spacing w:after="0" w:line="269" w:lineRule="auto"/>
        <w:tabs>
          <w:tab w:leader="none" w:pos="685" w:val="left"/>
        </w:tabs>
        <w:numPr>
          <w:ilvl w:val="0"/>
          <w:numId w:val="327"/>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US or a state of the US.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US or a state of the US.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73" w:lineRule="exact"/>
        <w:rPr>
          <w:rFonts w:ascii="Arial" w:cs="Arial" w:eastAsia="Arial" w:hAnsi="Arial"/>
          <w:sz w:val="17"/>
          <w:szCs w:val="17"/>
          <w:color w:val="auto"/>
        </w:rPr>
      </w:pPr>
    </w:p>
    <w:p>
      <w:pPr>
        <w:ind w:left="700" w:hanging="264"/>
        <w:spacing w:after="0"/>
        <w:tabs>
          <w:tab w:leader="none" w:pos="7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9.26</w:t>
      </w:r>
      <w:r>
        <w:rPr>
          <w:rFonts w:ascii="Arial" w:cs="Arial" w:eastAsia="Arial" w:hAnsi="Arial"/>
          <w:sz w:val="18"/>
          <w:szCs w:val="18"/>
          <w:color w:val="auto"/>
        </w:rPr>
        <w:t>, the following terms have the following meanings: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means an “affiliate” (as defined under, and interpreted in accordance with, 12 U.S.C. 1841(k)).</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17" w:lineRule="exact"/>
        <w:rPr>
          <w:sz w:val="20"/>
          <w:szCs w:val="20"/>
          <w:color w:val="auto"/>
        </w:rPr>
      </w:pPr>
    </w:p>
    <w:p>
      <w:pPr>
        <w:ind w:left="1080" w:hanging="221"/>
        <w:spacing w:after="0"/>
        <w:tabs>
          <w:tab w:leader="none" w:pos="10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7"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000"/>
          </w:cols>
          <w:pgMar w:left="440" w:top="274" w:right="459" w:bottom="1440" w:gutter="0" w:footer="0" w:header="0"/>
        </w:sectPr>
      </w:pPr>
    </w:p>
    <w:bookmarkStart w:id="207" w:name="page208"/>
    <w:bookmarkEnd w:id="20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DEFINITIVE HEALTHCARE HOLDINGS, LLC, as the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Richard Booth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AIDH BUYER, LLC, as Holdings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Richard Booth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Treasurer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0920"/>
          </w:cols>
          <w:pgMar w:left="440" w:top="274" w:right="539" w:bottom="1440" w:gutter="0" w:footer="0" w:header="0"/>
        </w:sectPr>
      </w:pPr>
    </w:p>
    <w:bookmarkStart w:id="208" w:name="page209"/>
    <w:bookmarkEnd w:id="20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 as Administrative Agent, an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Issuing Bank, an Initial Revolving Lender, the Swingline</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 and as Initial Term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Sebastian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Sebastian Lurie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SVP</w:t>
      </w:r>
    </w:p>
    <w:p>
      <w:pPr>
        <w:spacing w:after="0" w:line="14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820"/>
          </w:cols>
          <w:pgMar w:left="1440" w:top="274" w:right="639" w:bottom="1440" w:gutter="0" w:footer="0" w:header="0"/>
        </w:sectPr>
      </w:pPr>
    </w:p>
    <w:bookmarkStart w:id="209" w:name="page210"/>
    <w:bookmarkEnd w:id="209"/>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BARCLAYS BANK PLC as an Initial Revolving Lender,</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 Initial Term Lender and an Issuing Bank</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Sean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Sean Duggan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760"/>
          </w:cols>
          <w:pgMar w:left="1440" w:top="274" w:right="699" w:bottom="1440" w:gutter="0" w:footer="0" w:header="0"/>
        </w:sectPr>
      </w:pPr>
    </w:p>
    <w:bookmarkStart w:id="210" w:name="page211"/>
    <w:bookmarkEnd w:id="210"/>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SUISSE AG, CAYMAN ISLANDS BRANCH,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an Initial Revolving Lender, an Initial Term Lender and an</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Issuing Bank</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Vipul Dhadda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Vipul Dhadda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Dan Kogan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Dan Kogan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920"/>
          </w:cols>
          <w:pgMar w:left="1440" w:top="274" w:right="539" w:bottom="1440" w:gutter="0" w:footer="0" w:header="0"/>
        </w:sectPr>
      </w:pPr>
    </w:p>
    <w:bookmarkStart w:id="211" w:name="page212"/>
    <w:bookmarkEnd w:id="21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AG NEW YORK BRANCH, as an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Initial Revolving Lender, an Issuing Bank and as an Initial</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Term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Philip Tancorra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Suzan 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Suzan Onal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820"/>
          </w:cols>
          <w:pgMar w:left="1440" w:top="274" w:right="639" w:bottom="1440" w:gutter="0" w:footer="0" w:header="0"/>
        </w:sectPr>
      </w:pPr>
    </w:p>
    <w:bookmarkStart w:id="212" w:name="page213"/>
    <w:bookmarkEnd w:id="21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GOLDMAN SACHS BANK USA, as an Initial Revolving</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 an Initial Term Lender and an Issuing Bank</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Raisch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Raisch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65"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840"/>
          </w:cols>
          <w:pgMar w:left="1440" w:top="274" w:right="619" w:bottom="1440" w:gutter="0" w:footer="0" w:header="0"/>
        </w:sectPr>
      </w:pPr>
    </w:p>
    <w:bookmarkStart w:id="213" w:name="page214"/>
    <w:bookmarkEnd w:id="21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 as an Initial Revolving</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 an Initial Term Lender and an Issuing Bank</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Ting Ting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Ting Ting Liu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940"/>
          </w:cols>
          <w:pgMar w:left="1440" w:top="274" w:right="519" w:bottom="1440" w:gutter="0" w:footer="0" w:header="0"/>
        </w:sectPr>
      </w:pPr>
    </w:p>
    <w:bookmarkStart w:id="214" w:name="page215"/>
    <w:bookmarkEnd w:id="21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MORGAN STANLEY SENIOR FUNDING, INC., as an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Initial Revolving Lender, an Initial Term Lender and an</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Issuing Bank</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700"/>
          </w:cols>
          <w:pgMar w:left="1440" w:top="274" w:right="759" w:bottom="1440" w:gutter="0" w:footer="0" w:header="0"/>
        </w:sectPr>
      </w:pPr>
    </w:p>
    <w:bookmarkStart w:id="215" w:name="page216"/>
    <w:bookmarkEnd w:id="21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STIFEL BANK &amp; TRUST, as an Initial Revolving Lender,</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 Initial Term Lender and an Issuing Bank</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Juli K. Van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Juli K. Van Hook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860"/>
          </w:cols>
          <w:pgMar w:left="1440" w:top="274" w:right="59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Definitive Healthcare Announces Closing of Public Offering</w:t>
      </w:r>
    </w:p>
    <w:p>
      <w:pPr>
        <w:spacing w:after="0" w:line="225"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b w:val="1"/>
          <w:bCs w:val="1"/>
          <w:color w:val="auto"/>
        </w:rPr>
        <w:t xml:space="preserve">FRAMINGHAM, MA— (September 20, 2021) </w:t>
      </w:r>
      <w:r>
        <w:rPr>
          <w:rFonts w:ascii="Arial" w:cs="Arial" w:eastAsia="Arial" w:hAnsi="Arial"/>
          <w:sz w:val="17"/>
          <w:szCs w:val="17"/>
          <w:color w:val="auto"/>
        </w:rPr>
        <w:t>– Definitive Healthcare Corp. (“Definitive Healthcare”) (Nasdaq: DH), an industry leader in</w:t>
      </w:r>
      <w:r>
        <w:rPr>
          <w:rFonts w:ascii="Arial" w:cs="Arial" w:eastAsia="Arial" w:hAnsi="Arial"/>
          <w:sz w:val="17"/>
          <w:szCs w:val="17"/>
          <w:b w:val="1"/>
          <w:bCs w:val="1"/>
          <w:color w:val="auto"/>
        </w:rPr>
        <w:t xml:space="preserve"> </w:t>
      </w:r>
      <w:r>
        <w:rPr>
          <w:rFonts w:ascii="Arial" w:cs="Arial" w:eastAsia="Arial" w:hAnsi="Arial"/>
          <w:sz w:val="17"/>
          <w:szCs w:val="17"/>
          <w:color w:val="auto"/>
        </w:rPr>
        <w:t>healthcare commercial intelligence, today announced the closing of its previously announced initial public offering of 17,888,888 shares of its Class A common stock, which includes the full exercise by the underwriters of their option to purchase up to an additional 2,333,333 shares of its Class A common stock, at a public offering price of $27.00 per share. Aggregate gross proceeds to Definitive Healthcare were approximately $483 million, before underwriting discounts, commissions, and estimated offering expenses. Definitive Healthcare’s Class A common stock began trading on the Nasdaq Global Select Market under the ticker symbol “DH” on September 15, 2021.</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Goldman Sachs &amp; Co. LLC and J.P. Morgan acted as lead joint book-running managers and representatives of the underwriters for the proposed offering. Morgan Stanley and Barclays acted as joint book-running managers and are also representatives of the underwriters for the proposed offering. Credit Suisse and Deutsche Bank Securities acted as book-runners for the proposed offering. Canaccord Genuity, Raymond James, Stifel, Drexel Hamilton and Loop Capital Markets acted as co-managers.</w:t>
      </w:r>
    </w:p>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offering was made only by means of a prospectus. A copy of the final prospectus relating to the proposed offering may be obtained from the SEC at www.sec.gov or from: Goldman Sachs &amp; Co. LLC, Attn: Prospectus Department, 200 West Street, New York, NY 10282, by telephone at (866)</w:t>
      </w:r>
    </w:p>
    <w:p>
      <w:pPr>
        <w:ind w:right="120"/>
        <w:spacing w:after="0" w:line="253" w:lineRule="auto"/>
        <w:rPr>
          <w:sz w:val="20"/>
          <w:szCs w:val="20"/>
          <w:color w:val="auto"/>
        </w:rPr>
      </w:pPr>
      <w:r>
        <w:rPr>
          <w:rFonts w:ascii="Arial" w:cs="Arial" w:eastAsia="Arial" w:hAnsi="Arial"/>
          <w:sz w:val="18"/>
          <w:szCs w:val="18"/>
          <w:color w:val="auto"/>
        </w:rPr>
        <w:t xml:space="preserve">471-2526 or by email </w:t>
      </w:r>
      <w:r>
        <w:rPr>
          <w:rFonts w:ascii="Arial" w:cs="Arial" w:eastAsia="Arial" w:hAnsi="Arial"/>
          <w:sz w:val="18"/>
          <w:szCs w:val="18"/>
          <w:u w:val="single" w:color="auto"/>
          <w:color w:val="auto"/>
        </w:rPr>
        <w:t>at prospectus-ny@ny.email.gs.com</w:t>
      </w:r>
      <w:r>
        <w:rPr>
          <w:rFonts w:ascii="Arial" w:cs="Arial" w:eastAsia="Arial" w:hAnsi="Arial"/>
          <w:sz w:val="18"/>
          <w:szCs w:val="18"/>
          <w:color w:val="auto"/>
        </w:rPr>
        <w:t xml:space="preserve">; J.P. Morgan Securities LLC, c/o Broadridge Financial Solutions, 1155 Long Island Avenue, Edgewood, NY 11717, by telephone at (866) 803-9204 or by email at </w:t>
      </w:r>
      <w:r>
        <w:rPr>
          <w:rFonts w:ascii="Arial" w:cs="Arial" w:eastAsia="Arial" w:hAnsi="Arial"/>
          <w:sz w:val="18"/>
          <w:szCs w:val="18"/>
          <w:u w:val="single" w:color="auto"/>
          <w:color w:val="auto"/>
        </w:rPr>
        <w:t>prospectuseq_fi@jpmorganchase.com</w:t>
      </w:r>
      <w:r>
        <w:rPr>
          <w:rFonts w:ascii="Arial" w:cs="Arial" w:eastAsia="Arial" w:hAnsi="Arial"/>
          <w:sz w:val="18"/>
          <w:szCs w:val="18"/>
          <w:color w:val="auto"/>
        </w:rPr>
        <w:t>; Morgan Stanley &amp; Co. LLC, Attn: Prospectus Department, 180 Varick Street, 2</w:t>
      </w:r>
      <w:r>
        <w:rPr>
          <w:rFonts w:ascii="Arial" w:cs="Arial" w:eastAsia="Arial" w:hAnsi="Arial"/>
          <w:sz w:val="15"/>
          <w:szCs w:val="15"/>
          <w:color w:val="auto"/>
        </w:rPr>
        <w:t>nd</w:t>
      </w:r>
      <w:r>
        <w:rPr>
          <w:rFonts w:ascii="Arial" w:cs="Arial" w:eastAsia="Arial" w:hAnsi="Arial"/>
          <w:sz w:val="18"/>
          <w:szCs w:val="18"/>
          <w:color w:val="auto"/>
        </w:rPr>
        <w:t xml:space="preserve"> Floor, New York, NY 10014, by telephone at (866) 718-1649 or by email at </w:t>
      </w:r>
      <w:r>
        <w:rPr>
          <w:rFonts w:ascii="Arial" w:cs="Arial" w:eastAsia="Arial" w:hAnsi="Arial"/>
          <w:sz w:val="18"/>
          <w:szCs w:val="18"/>
          <w:u w:val="single" w:color="auto"/>
          <w:color w:val="auto"/>
        </w:rPr>
        <w:t>prospectus@morganstanley.com</w:t>
      </w:r>
      <w:r>
        <w:rPr>
          <w:rFonts w:ascii="Arial" w:cs="Arial" w:eastAsia="Arial" w:hAnsi="Arial"/>
          <w:sz w:val="18"/>
          <w:szCs w:val="18"/>
          <w:color w:val="auto"/>
        </w:rPr>
        <w:t xml:space="preserve">; or Barclays Capital Inc., c/o Broadridge Financial Solutions, 1155 Long Island Avenue, Edgewood, New York 11717, by telephone at (888) 603-5847 or by at email at </w:t>
      </w:r>
      <w:r>
        <w:rPr>
          <w:rFonts w:ascii="Arial" w:cs="Arial" w:eastAsia="Arial" w:hAnsi="Arial"/>
          <w:sz w:val="18"/>
          <w:szCs w:val="18"/>
          <w:u w:val="single" w:color="auto"/>
          <w:color w:val="auto"/>
        </w:rPr>
        <w:t>barclaysprospectus@broadridge.com</w:t>
      </w:r>
      <w:r>
        <w:rPr>
          <w:rFonts w:ascii="Arial" w:cs="Arial" w:eastAsia="Arial" w:hAnsi="Arial"/>
          <w:sz w:val="18"/>
          <w:szCs w:val="18"/>
          <w:color w:val="auto"/>
        </w:rPr>
        <w:t>.</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registration statement relating to these securities was declared effective by the Securities and Exchange Commission on September 14, 2021. 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Definitive Healthcare</w:t>
      </w:r>
    </w:p>
    <w:p>
      <w:pPr>
        <w:spacing w:after="0" w:line="12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w:t>
      </w:r>
    </w:p>
    <w:p>
      <w:pPr>
        <w:sectPr>
          <w:pgSz w:w="11900" w:h="16838" w:orient="portrait"/>
          <w:cols w:equalWidth="0" w:num="1">
            <w:col w:w="11020"/>
          </w:cols>
          <w:pgMar w:left="440" w:top="125" w:right="4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This Press Release contains forward-looking statements, including, without limitation, statements concerning the conditions of our industry and our operations, performance and financial condition, including in particular, statements relating to our business, growth strategies, product development efforts and future expenses. All statements regarding Definitive Healthcare other than statements of historical fact or relating to present facts or current conditions included in this Press Release are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w:t>
      </w:r>
    </w:p>
    <w:p>
      <w:pPr>
        <w:spacing w:after="0" w:line="19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an outbreak of disease, global or localized health pandemic or epidemic, or the fear of such an event (such as the COVID-19 global pandemic), including the global economic uncertainty and measures taken in response; the short- and long-term effects of the COVID-19 global pandemic, including the pace of recovery or any future resurgence; our ability to implement and execute our strategic plans to transform the business; our ability to develop or sell solutions in a timely manner or maintain client relationships; competition for our solutions; harm to our brand and reputation; unfavorable global economic conditions; risks associated with operating and expanding internationally; failure to prevent cybersecurity incidents or the perception that confidential information is not secure; failure in the integrity of our data or the systems; experiencing system failures and personnel disruptions, which could delay the delivery of our solutions to our clients; losing access to data sources; failure of our software vendors and network and cloud providers to perform as expected or if our relationship is terminated; loss or diminution of one or more of our key clients, business partners or government contracts; dependence on strategic alliances, joint ventures and acquisitions to grow our business; our ability to protect our intellectual property adequately or cost-effectively; claims for intellectual property infringement; interruptions, delays or outages to subscription or payment processing platforms; risks related to acquiring and integrating businesses and divestitures of existing businesses; ability to retain members of the senior leadership team and attract and retain skilled employees and compliance with governmental laws and regulations. Additional factors or events that could cause our actual performance to differ from these forward-looking statements may emerge from time to time, and it is not possible for us to predict all of them. These factors include but are not limited to those described under “Risk Factors” in Definitive Healthcare’s registration statement relating to the offering.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spacing w:after="0" w:line="18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Any forward-looking statement made by us in this Press Release speaks only as of the date on which it is made. Definitive Healthcare undertakes no obligation to publicly update any forward-looking statement, whether as a result of new information, future developments or otherwise, except as may be required by law. The underwriters and their affiliates (collectively, the “Underwriters”) have not conducted any investigation with respect to the information in this Press Release, and the Underwriters and Definitive</w:t>
      </w:r>
    </w:p>
    <w:p>
      <w:pPr>
        <w:sectPr>
          <w:pgSz w:w="11900" w:h="16838" w:orient="portrait"/>
          <w:cols w:equalWidth="0" w:num="1">
            <w:col w:w="11000"/>
          </w:cols>
          <w:pgMar w:left="440" w:top="270" w:right="459" w:bottom="1440" w:gutter="0" w:footer="0" w:header="0"/>
        </w:sectPr>
      </w:pPr>
    </w:p>
    <w:bookmarkStart w:id="218" w:name="page219"/>
    <w:bookmarkEnd w:id="21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Healthcare expressly disclaim any and all liability for representations, expressed or implied, contained in, or for omissions from, this Press Release or any other written or oral communication transmitted to any interested party in the course of its evaluation of Definitive Healthcare. Only those particular representations and warranties that may be made by Definitive Healthcare in a definitive written agreement, when and if one is executed, and subject to such limitations and restrictions as may be specified in such agreement, shall have any legal effect. Certain information contained in this Press Release has been obtained from sources outside of Definitive Healthcare. While such information is believed to be reliable for the purposes used herein, neither Definitive Healthcare nor any of its affiliates, directors, officers, members, employees, agents or advisors assume any responsibility for the accuracy of such information.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Media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Danielle Johns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djohns@definitivehc.com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Mark Corbae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mark.corbae@icrinc.com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Relations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Brian Denyeau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brian.denyeau@icrinc.com</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934699"/>
    <w:multiLevelType w:val="hybridMultilevel"/>
    <w:lvl w:ilvl="0">
      <w:lvlJc w:val="left"/>
      <w:lvlText w:val="☐"/>
      <w:numFmt w:val="bullet"/>
      <w:start w:val="1"/>
    </w:lvl>
  </w:abstractNum>
  <w:abstractNum w:abstractNumId="1">
    <w:nsid w:val="77485850"/>
    <w:multiLevelType w:val="hybridMultilevel"/>
    <w:lvl w:ilvl="0">
      <w:lvlJc w:val="left"/>
      <w:lvlText w:val="%1"/>
      <w:numFmt w:val="lowerRoman"/>
      <w:start w:val="1"/>
    </w:lvl>
    <w:lvl w:ilvl="1">
      <w:lvlJc w:val="left"/>
      <w:lvlText w:val="(%2)"/>
      <w:numFmt w:val="lowerRoman"/>
      <w:start w:val="1"/>
    </w:lvl>
  </w:abstractNum>
  <w:abstractNum w:abstractNumId="2">
    <w:nsid w:val="744939A3"/>
    <w:multiLevelType w:val="hybridMultilevel"/>
    <w:lvl w:ilvl="0">
      <w:lvlJc w:val="left"/>
      <w:lvlText w:val="(%1)"/>
      <w:numFmt w:val="lowerRoman"/>
      <w:start w:val="8"/>
    </w:lvl>
    <w:lvl w:ilvl="1">
      <w:lvlJc w:val="left"/>
      <w:lvlText w:val="%2"/>
      <w:numFmt w:val="lowerRoman"/>
      <w:start w:val="1"/>
    </w:lvl>
  </w:abstractNum>
  <w:abstractNum w:abstractNumId="3">
    <w:nsid w:val="4FA0D2E3"/>
    <w:multiLevelType w:val="hybridMultilevel"/>
    <w:lvl w:ilvl="0">
      <w:lvlJc w:val="left"/>
      <w:lvlText w:val="(%1)"/>
      <w:numFmt w:val="lowerLetter"/>
      <w:start w:val="1"/>
    </w:lvl>
    <w:lvl w:ilvl="1">
      <w:lvlJc w:val="left"/>
      <w:lvlText w:val="(%2)"/>
      <w:numFmt w:val="lowerRoman"/>
      <w:start w:val="1"/>
    </w:lvl>
  </w:abstractNum>
  <w:abstractNum w:abstractNumId="4">
    <w:nsid w:val="6B1D2C14"/>
    <w:multiLevelType w:val="hybridMultilevel"/>
    <w:lvl w:ilvl="0">
      <w:lvlJc w:val="left"/>
      <w:lvlText w:val="(%1)"/>
      <w:numFmt w:val="lowerRoman"/>
      <w:start w:val="4"/>
    </w:lvl>
  </w:abstractNum>
  <w:abstractNum w:abstractNumId="5">
    <w:nsid w:val="68B867D3"/>
    <w:multiLevelType w:val="hybridMultilevel"/>
    <w:lvl w:ilvl="0">
      <w:lvlJc w:val="left"/>
      <w:lvlText w:val="%1"/>
      <w:numFmt w:val="lowerLetter"/>
      <w:start w:val="1"/>
    </w:lvl>
    <w:lvl w:ilvl="1">
      <w:lvlJc w:val="left"/>
      <w:lvlText w:val="(%2)"/>
      <w:numFmt w:val="lowerRoman"/>
      <w:start w:val="13"/>
    </w:lvl>
  </w:abstractNum>
  <w:abstractNum w:abstractNumId="6">
    <w:nsid w:val="3F7F5DD9"/>
    <w:multiLevelType w:val="hybridMultilevel"/>
    <w:lvl w:ilvl="0">
      <w:lvlJc w:val="left"/>
      <w:lvlText w:val="(%1)"/>
      <w:numFmt w:val="lowerLetter"/>
      <w:start w:val="2"/>
    </w:lvl>
    <w:lvl w:ilvl="1">
      <w:lvlJc w:val="left"/>
      <w:lvlText w:val="%2"/>
      <w:numFmt w:val="lowerRoman"/>
      <w:start w:val="1"/>
    </w:lvl>
  </w:abstractNum>
  <w:abstractNum w:abstractNumId="7">
    <w:nsid w:val="2AE05A34"/>
    <w:multiLevelType w:val="hybridMultilevel"/>
    <w:lvl w:ilvl="0">
      <w:lvlJc w:val="left"/>
      <w:lvlText w:val="(%1)"/>
      <w:numFmt w:val="lowerLetter"/>
      <w:start w:val="1"/>
    </w:lvl>
  </w:abstractNum>
  <w:abstractNum w:abstractNumId="8">
    <w:nsid w:val="32794FF7"/>
    <w:multiLevelType w:val="hybridMultilevel"/>
    <w:lvl w:ilvl="0">
      <w:lvlJc w:val="left"/>
      <w:lvlText w:val="%1"/>
      <w:numFmt w:val="lowerLetter"/>
      <w:start w:val="1"/>
    </w:lvl>
    <w:lvl w:ilvl="1">
      <w:lvlJc w:val="left"/>
      <w:lvlText w:val="(%2)"/>
      <w:numFmt w:val="lowerLetter"/>
      <w:start w:val="1"/>
    </w:lvl>
  </w:abstractNum>
  <w:abstractNum w:abstractNumId="9">
    <w:nsid w:val="5454945E"/>
    <w:multiLevelType w:val="hybridMultilevel"/>
    <w:lvl w:ilvl="0">
      <w:lvlJc w:val="left"/>
      <w:lvlText w:val="(%1)"/>
      <w:numFmt w:val="lowerLetter"/>
      <w:start w:val="61"/>
    </w:lvl>
    <w:lvl w:ilvl="1">
      <w:lvlJc w:val="left"/>
      <w:lvlText w:val="(%2)"/>
      <w:numFmt w:val="lowerLetter"/>
      <w:start w:val="2"/>
    </w:lvl>
  </w:abstractNum>
  <w:abstractNum w:abstractNumId="10">
    <w:nsid w:val="4DEFDFA0"/>
    <w:multiLevelType w:val="hybridMultilevel"/>
    <w:lvl w:ilvl="0">
      <w:lvlJc w:val="left"/>
      <w:lvlText w:val="(%1)"/>
      <w:numFmt w:val="lowerLetter"/>
      <w:start w:val="2"/>
    </w:lvl>
  </w:abstractNum>
  <w:abstractNum w:abstractNumId="11">
    <w:nsid w:val="2123D5F2"/>
    <w:multiLevelType w:val="hybridMultilevel"/>
    <w:lvl w:ilvl="0">
      <w:lvlJc w:val="left"/>
      <w:lvlText w:val="(%1)"/>
      <w:numFmt w:val="lowerLetter"/>
      <w:start w:val="1"/>
    </w:lvl>
    <w:lvl w:ilvl="1">
      <w:lvlJc w:val="left"/>
      <w:lvlText w:val="(%2)"/>
      <w:numFmt w:val="lowerRoman"/>
      <w:start w:val="1"/>
    </w:lvl>
  </w:abstractNum>
  <w:abstractNum w:abstractNumId="12">
    <w:nsid w:val="135B8110"/>
    <w:multiLevelType w:val="hybridMultilevel"/>
    <w:lvl w:ilvl="0">
      <w:lvlJc w:val="left"/>
      <w:lvlText w:val="(%1)"/>
      <w:numFmt w:val="lowerLetter"/>
      <w:start w:val="1"/>
    </w:lvl>
  </w:abstractNum>
  <w:abstractNum w:abstractNumId="13">
    <w:nsid w:val="94927A8"/>
    <w:multiLevelType w:val="hybridMultilevel"/>
    <w:lvl w:ilvl="0">
      <w:lvlJc w:val="left"/>
      <w:lvlText w:val="(%1)"/>
      <w:numFmt w:val="lowerLetter"/>
      <w:start w:val="1"/>
    </w:lvl>
    <w:lvl w:ilvl="1">
      <w:lvlJc w:val="left"/>
      <w:lvlText w:val="(%2)"/>
      <w:numFmt w:val="lowerLetter"/>
      <w:start w:val="9"/>
    </w:lvl>
  </w:abstractNum>
  <w:abstractNum w:abstractNumId="14">
    <w:nsid w:val="DCDF8F6"/>
    <w:multiLevelType w:val="hybridMultilevel"/>
    <w:lvl w:ilvl="0">
      <w:lvlJc w:val="left"/>
      <w:lvlText w:val="%1"/>
      <w:numFmt w:val="decimal"/>
      <w:start w:val="1"/>
    </w:lvl>
    <w:lvl w:ilvl="1">
      <w:lvlJc w:val="left"/>
      <w:lvlText w:val="(%2)"/>
      <w:numFmt w:val="lowerRoman"/>
      <w:start w:val="2"/>
    </w:lvl>
  </w:abstractNum>
  <w:abstractNum w:abstractNumId="15">
    <w:nsid w:val="52D7B105"/>
    <w:multiLevelType w:val="hybridMultilevel"/>
    <w:lvl w:ilvl="0">
      <w:lvlJc w:val="left"/>
      <w:lvlText w:val="(%1)"/>
      <w:numFmt w:val="decimal"/>
      <w:start w:val="4"/>
    </w:lvl>
    <w:lvl w:ilvl="1">
      <w:lvlJc w:val="left"/>
      <w:lvlText w:val="%2"/>
      <w:numFmt w:val="lowerRoman"/>
      <w:start w:val="1"/>
    </w:lvl>
  </w:abstractNum>
  <w:abstractNum w:abstractNumId="16">
    <w:nsid w:val="2E8A6394"/>
    <w:multiLevelType w:val="hybridMultilevel"/>
    <w:lvl w:ilvl="0">
      <w:lvlJc w:val="left"/>
      <w:lvlText w:val="(%1)"/>
      <w:numFmt w:val="decimal"/>
      <w:start w:val="7"/>
    </w:lvl>
    <w:lvl w:ilvl="1">
      <w:lvlJc w:val="left"/>
      <w:lvlText w:val="(%2)"/>
      <w:numFmt w:val="lowerRoman"/>
      <w:start w:val="5"/>
    </w:lvl>
  </w:abstractNum>
  <w:abstractNum w:abstractNumId="17">
    <w:nsid w:val="24E60401"/>
    <w:multiLevelType w:val="hybridMultilevel"/>
    <w:lvl w:ilvl="0">
      <w:lvlJc w:val="left"/>
      <w:lvlText w:val="(%1)"/>
      <w:numFmt w:val="lowerRoman"/>
      <w:start w:val="9"/>
    </w:lvl>
  </w:abstractNum>
  <w:abstractNum w:abstractNumId="18">
    <w:nsid w:val="2A6AD9B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3"/>
    </w:lvl>
  </w:abstractNum>
  <w:abstractNum w:abstractNumId="19">
    <w:nsid w:val="BAAC1B4"/>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20">
    <w:nsid w:val="36B2ACBC"/>
    <w:multiLevelType w:val="hybridMultilevel"/>
    <w:lvl w:ilvl="0">
      <w:lvlJc w:val="left"/>
      <w:lvlText w:val="(%1)"/>
      <w:numFmt w:val="lowerLetter"/>
      <w:start w:val="25"/>
    </w:lvl>
    <w:lvl w:ilvl="1">
      <w:lvlJc w:val="left"/>
      <w:lvlText w:val="(%2)"/>
      <w:numFmt w:val="lowerLetter"/>
      <w:start w:val="6"/>
    </w:lvl>
    <w:lvl w:ilvl="2">
      <w:lvlJc w:val="left"/>
      <w:lvlText w:val="%3"/>
      <w:numFmt w:val="lowerRoman"/>
      <w:start w:val="1"/>
    </w:lvl>
  </w:abstractNum>
  <w:abstractNum w:abstractNumId="21">
    <w:nsid w:val="779D8544"/>
    <w:multiLevelType w:val="hybridMultilevel"/>
    <w:lvl w:ilvl="0">
      <w:lvlJc w:val="left"/>
      <w:lvlText w:val="%1"/>
      <w:numFmt w:val="upperLetter"/>
      <w:start w:val="1"/>
    </w:lvl>
    <w:lvl w:ilvl="1">
      <w:lvlJc w:val="left"/>
      <w:lvlText w:val="(%2)"/>
      <w:numFmt w:val="lowerLetter"/>
      <w:start w:val="7"/>
    </w:lvl>
  </w:abstractNum>
  <w:abstractNum w:abstractNumId="22">
    <w:nsid w:val="4AB26E78"/>
    <w:multiLevelType w:val="hybridMultilevel"/>
    <w:lvl w:ilvl="0">
      <w:lvlJc w:val="left"/>
      <w:lvlText w:val="(%1)"/>
      <w:numFmt w:val="upperLetter"/>
      <w:start w:val="1"/>
    </w:lvl>
    <w:lvl w:ilvl="1">
      <w:lvlJc w:val="left"/>
      <w:lvlText w:val="(%2)"/>
      <w:numFmt w:val="lowerLetter"/>
      <w:start w:val="12"/>
    </w:lvl>
  </w:abstractNum>
  <w:abstractNum w:abstractNumId="23">
    <w:nsid w:val="21FAA2FA"/>
    <w:multiLevelType w:val="hybridMultilevel"/>
    <w:lvl w:ilvl="0">
      <w:lvlJc w:val="left"/>
      <w:lvlText w:val="(%1)"/>
      <w:numFmt w:val="lowerLetter"/>
      <w:start w:val="1"/>
    </w:lvl>
  </w:abstractNum>
  <w:abstractNum w:abstractNumId="24">
    <w:nsid w:val="5451CF49"/>
    <w:multiLevelType w:val="hybridMultilevel"/>
    <w:lvl w:ilvl="0">
      <w:lvlJc w:val="left"/>
      <w:lvlText w:val="(%1)"/>
      <w:numFmt w:val="lowerLetter"/>
      <w:start w:val="7"/>
    </w:lvl>
  </w:abstractNum>
  <w:abstractNum w:abstractNumId="25">
    <w:nsid w:val="6181EF69"/>
    <w:multiLevelType w:val="hybridMultilevel"/>
    <w:lvl w:ilvl="0">
      <w:lvlJc w:val="left"/>
      <w:lvlText w:val="(%1)"/>
      <w:numFmt w:val="lowerLetter"/>
      <w:start w:val="13"/>
    </w:lvl>
  </w:abstractNum>
  <w:abstractNum w:abstractNumId="26">
    <w:nsid w:val="3E6400E6"/>
    <w:multiLevelType w:val="hybridMultilevel"/>
    <w:lvl w:ilvl="0">
      <w:lvlJc w:val="left"/>
      <w:lvlText w:val="(%1)"/>
      <w:numFmt w:val="lowerRoman"/>
      <w:start w:val="4"/>
    </w:lvl>
  </w:abstractNum>
  <w:abstractNum w:abstractNumId="27">
    <w:nsid w:val="14217E23"/>
    <w:multiLevelType w:val="hybridMultilevel"/>
    <w:lvl w:ilvl="0">
      <w:lvlJc w:val="left"/>
      <w:lvlText w:val="(%1)"/>
      <w:numFmt w:val="lowerLetter"/>
      <w:start w:val="3"/>
    </w:lvl>
  </w:abstractNum>
  <w:abstractNum w:abstractNumId="28">
    <w:nsid w:val="710757D0"/>
    <w:multiLevelType w:val="hybridMultilevel"/>
    <w:lvl w:ilvl="0">
      <w:lvlJc w:val="left"/>
      <w:lvlText w:val="(%1)"/>
      <w:numFmt w:val="lowerLetter"/>
      <w:start w:val="1"/>
    </w:lvl>
  </w:abstractNum>
  <w:abstractNum w:abstractNumId="29">
    <w:nsid w:val="5015CD1A"/>
    <w:multiLevelType w:val="hybridMultilevel"/>
    <w:lvl w:ilvl="0">
      <w:lvlJc w:val="left"/>
      <w:lvlText w:val="(%1)"/>
      <w:numFmt w:val="lowerLetter"/>
      <w:start w:val="1"/>
    </w:lvl>
  </w:abstractNum>
  <w:abstractNum w:abstractNumId="30">
    <w:nsid w:val="424479DA"/>
    <w:multiLevelType w:val="hybridMultilevel"/>
    <w:lvl w:ilvl="0">
      <w:lvlJc w:val="left"/>
      <w:lvlText w:val="(%1)"/>
      <w:numFmt w:val="lowerLetter"/>
      <w:start w:val="4"/>
    </w:lvl>
  </w:abstractNum>
  <w:abstractNum w:abstractNumId="31">
    <w:nsid w:val="1A9A9E69"/>
    <w:multiLevelType w:val="hybridMultilevel"/>
    <w:lvl w:ilvl="0">
      <w:lvlJc w:val="left"/>
      <w:lvlText w:val="%1"/>
      <w:numFmt w:val="lowerLetter"/>
      <w:start w:val="1"/>
    </w:lvl>
    <w:lvl w:ilvl="1">
      <w:lvlJc w:val="left"/>
      <w:lvlText w:val="(%2)"/>
      <w:numFmt w:val="lowerLetter"/>
      <w:start w:val="13"/>
    </w:lvl>
  </w:abstractNum>
  <w:abstractNum w:abstractNumId="32">
    <w:nsid w:val="475E256A"/>
    <w:multiLevelType w:val="hybridMultilevel"/>
    <w:lvl w:ilvl="0">
      <w:lvlJc w:val="left"/>
      <w:lvlText w:val="(%1)"/>
      <w:numFmt w:val="lowerLetter"/>
      <w:start w:val="9"/>
    </w:lvl>
    <w:lvl w:ilvl="1">
      <w:lvlJc w:val="left"/>
      <w:lvlText w:val="(%2)"/>
      <w:numFmt w:val="lowerLetter"/>
      <w:start w:val="16"/>
    </w:lvl>
  </w:abstractNum>
  <w:abstractNum w:abstractNumId="33">
    <w:nsid w:val="368DB37E"/>
    <w:multiLevelType w:val="hybridMultilevel"/>
    <w:lvl w:ilvl="0">
      <w:lvlJc w:val="left"/>
      <w:lvlText w:val="%1"/>
      <w:numFmt w:val="lowerLetter"/>
      <w:start w:val="1"/>
    </w:lvl>
    <w:lvl w:ilvl="1">
      <w:lvlJc w:val="left"/>
      <w:lvlText w:val="(%2)"/>
      <w:numFmt w:val="lowerLetter"/>
      <w:start w:val="1"/>
    </w:lvl>
  </w:abstractNum>
  <w:abstractNum w:abstractNumId="34">
    <w:nsid w:val="6A3B714C"/>
    <w:multiLevelType w:val="hybridMultilevel"/>
    <w:lvl w:ilvl="0">
      <w:lvlJc w:val="left"/>
      <w:lvlText w:val="(%1)"/>
      <w:numFmt w:val="lowerLetter"/>
      <w:start w:val="35"/>
    </w:lvl>
    <w:lvl w:ilvl="1">
      <w:lvlJc w:val="left"/>
      <w:lvlText w:val="%2"/>
      <w:numFmt w:val="lowerLetter"/>
      <w:start w:val="1"/>
    </w:lvl>
  </w:abstractNum>
  <w:abstractNum w:abstractNumId="35">
    <w:nsid w:val="327B517E"/>
    <w:multiLevelType w:val="hybridMultilevel"/>
    <w:lvl w:ilvl="0">
      <w:lvlJc w:val="left"/>
      <w:lvlText w:val="(%1)"/>
      <w:numFmt w:val="lowerLetter"/>
      <w:start w:val="4"/>
    </w:lvl>
  </w:abstractNum>
  <w:abstractNum w:abstractNumId="36">
    <w:nsid w:val="1F461B51"/>
    <w:multiLevelType w:val="hybridMultilevel"/>
    <w:lvl w:ilvl="0">
      <w:lvlJc w:val="left"/>
      <w:lvlText w:val="%1"/>
      <w:numFmt w:val="upperLetter"/>
      <w:start w:val="1"/>
    </w:lvl>
    <w:lvl w:ilvl="1">
      <w:lvlJc w:val="left"/>
      <w:lvlText w:val="(%2)"/>
      <w:numFmt w:val="lowerLetter"/>
      <w:start w:val="1"/>
    </w:lvl>
  </w:abstractNum>
  <w:abstractNum w:abstractNumId="37">
    <w:nsid w:val="29BACF25"/>
    <w:multiLevelType w:val="hybridMultilevel"/>
    <w:lvl w:ilvl="0">
      <w:lvlJc w:val="left"/>
      <w:lvlText w:val="(%1)"/>
      <w:numFmt w:val="upperLetter"/>
      <w:start w:val="1"/>
    </w:lvl>
    <w:lvl w:ilvl="1">
      <w:lvlJc w:val="left"/>
      <w:lvlText w:val="(%2)"/>
      <w:numFmt w:val="lowerLetter"/>
      <w:start w:val="2"/>
    </w:lvl>
  </w:abstractNum>
  <w:abstractNum w:abstractNumId="38">
    <w:nsid w:val="5D5BABB3"/>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9">
    <w:nsid w:val="51BF6B48"/>
    <w:multiLevelType w:val="hybridMultilevel"/>
    <w:lvl w:ilvl="0">
      <w:lvlJc w:val="left"/>
      <w:lvlText w:val="(%1)"/>
      <w:numFmt w:val="lowerLetter"/>
      <w:start w:val="25"/>
    </w:lvl>
    <w:lvl w:ilvl="1">
      <w:lvlJc w:val="left"/>
      <w:lvlText w:val="(%2)"/>
      <w:numFmt w:val="lowerLetter"/>
      <w:start w:val="5"/>
    </w:lvl>
    <w:lvl w:ilvl="2">
      <w:lvlJc w:val="left"/>
      <w:lvlText w:val="(%3)"/>
      <w:numFmt w:val="lowerRoman"/>
      <w:start w:val="1"/>
    </w:lvl>
  </w:abstractNum>
  <w:abstractNum w:abstractNumId="40">
    <w:nsid w:val="7E0F6384"/>
    <w:multiLevelType w:val="hybridMultilevel"/>
    <w:lvl w:ilvl="0">
      <w:lvlJc w:val="left"/>
      <w:lvlText w:val="%1"/>
      <w:numFmt w:val="lowerLetter"/>
      <w:start w:val="1"/>
    </w:lvl>
    <w:lvl w:ilvl="1">
      <w:lvlJc w:val="left"/>
      <w:lvlText w:val="(%2)"/>
      <w:numFmt w:val="lowerLetter"/>
      <w:start w:val="1"/>
    </w:lvl>
  </w:abstractNum>
  <w:abstractNum w:abstractNumId="41">
    <w:nsid w:val="2B4B8B53"/>
    <w:multiLevelType w:val="hybridMultilevel"/>
    <w:lvl w:ilvl="0">
      <w:lvlJc w:val="left"/>
      <w:lvlText w:val="(%1)"/>
      <w:numFmt w:val="lowerLetter"/>
      <w:start w:val="9"/>
    </w:lvl>
    <w:lvl w:ilvl="1">
      <w:lvlJc w:val="left"/>
      <w:lvlText w:val="(%2)"/>
      <w:numFmt w:val="lowerLetter"/>
      <w:start w:val="2"/>
    </w:lvl>
  </w:abstractNum>
  <w:abstractNum w:abstractNumId="42">
    <w:nsid w:val="72E3413A"/>
    <w:multiLevelType w:val="hybridMultilevel"/>
    <w:lvl w:ilvl="0">
      <w:lvlJc w:val="left"/>
      <w:lvlText w:val="(%1)"/>
      <w:numFmt w:val="lowerLetter"/>
      <w:start w:val="35"/>
    </w:lvl>
    <w:lvl w:ilvl="1">
      <w:lvlJc w:val="left"/>
      <w:lvlText w:val="(%2)"/>
      <w:numFmt w:val="lowerLetter"/>
      <w:start w:val="8"/>
    </w:lvl>
  </w:abstractNum>
  <w:abstractNum w:abstractNumId="43">
    <w:nsid w:val="116AE494"/>
    <w:multiLevelType w:val="hybridMultilevel"/>
    <w:lvl w:ilvl="0">
      <w:lvlJc w:val="left"/>
      <w:lvlText w:val="(%1)"/>
      <w:numFmt w:val="lowerLetter"/>
      <w:start w:val="3"/>
    </w:lvl>
  </w:abstractNum>
  <w:abstractNum w:abstractNumId="44">
    <w:nsid w:val="3494B2FB"/>
    <w:multiLevelType w:val="hybridMultilevel"/>
    <w:lvl w:ilvl="0">
      <w:lvlJc w:val="left"/>
      <w:lvlText w:val="(%1)"/>
      <w:numFmt w:val="lowerLetter"/>
      <w:start w:val="1"/>
    </w:lvl>
  </w:abstractNum>
  <w:abstractNum w:abstractNumId="45">
    <w:nsid w:val="B13A31"/>
    <w:multiLevelType w:val="hybridMultilevel"/>
    <w:lvl w:ilvl="0">
      <w:lvlJc w:val="left"/>
      <w:lvlText w:val="(%1)"/>
      <w:numFmt w:val="lowerLetter"/>
      <w:start w:val="5"/>
    </w:lvl>
  </w:abstractNum>
  <w:abstractNum w:abstractNumId="46">
    <w:nsid w:val="64429599"/>
    <w:multiLevelType w:val="hybridMultilevel"/>
    <w:lvl w:ilvl="0">
      <w:lvlJc w:val="left"/>
      <w:lvlText w:val="(%1)"/>
      <w:numFmt w:val="lowerLetter"/>
      <w:start w:val="1"/>
    </w:lvl>
  </w:abstractNum>
  <w:abstractNum w:abstractNumId="47">
    <w:nsid w:val="631F1690"/>
    <w:multiLevelType w:val="hybridMultilevel"/>
    <w:lvl w:ilvl="0">
      <w:lvlJc w:val="left"/>
      <w:lvlText w:val="(%1)"/>
      <w:numFmt w:val="lowerLetter"/>
      <w:start w:val="4"/>
    </w:lvl>
  </w:abstractNum>
  <w:abstractNum w:abstractNumId="48">
    <w:nsid w:val="25973E32"/>
    <w:multiLevelType w:val="hybridMultilevel"/>
    <w:lvl w:ilvl="0">
      <w:lvlJc w:val="left"/>
      <w:lvlText w:val="(%1)"/>
      <w:numFmt w:val="lowerLetter"/>
      <w:start w:val="1"/>
    </w:lvl>
    <w:lvl w:ilvl="1">
      <w:lvlJc w:val="left"/>
      <w:lvlText w:val="(%2)"/>
      <w:numFmt w:val="lowerRoman"/>
      <w:start w:val="1"/>
    </w:lvl>
  </w:abstractNum>
  <w:abstractNum w:abstractNumId="49">
    <w:nsid w:val="EAD6F57"/>
    <w:multiLevelType w:val="hybridMultilevel"/>
    <w:lvl w:ilvl="0">
      <w:lvlJc w:val="left"/>
      <w:lvlText w:val="(%1)"/>
      <w:numFmt w:val="lowerRoman"/>
      <w:start w:val="5"/>
    </w:lvl>
  </w:abstractNum>
  <w:abstractNum w:abstractNumId="50">
    <w:nsid w:val="6EC9D844"/>
    <w:multiLevelType w:val="hybridMultilevel"/>
    <w:lvl w:ilvl="0">
      <w:lvlJc w:val="left"/>
      <w:lvlText w:val="(%1)"/>
      <w:numFmt w:val="lowerLetter"/>
      <w:start w:val="1"/>
    </w:lvl>
    <w:lvl w:ilvl="1">
      <w:lvlJc w:val="left"/>
      <w:lvlText w:val="(%2)"/>
      <w:numFmt w:val="lowerRoman"/>
      <w:start w:val="1"/>
    </w:lvl>
  </w:abstractNum>
  <w:abstractNum w:abstractNumId="51">
    <w:nsid w:val="5C49EAEE"/>
    <w:multiLevelType w:val="hybridMultilevel"/>
    <w:lvl w:ilvl="0">
      <w:lvlJc w:val="left"/>
      <w:lvlText w:val="(%1)"/>
      <w:numFmt w:val="lowerLetter"/>
      <w:start w:val="2"/>
    </w:lvl>
  </w:abstractNum>
  <w:abstractNum w:abstractNumId="52">
    <w:nsid w:val="64AF49B"/>
    <w:multiLevelType w:val="hybridMultilevel"/>
    <w:lvl w:ilvl="0">
      <w:lvlJc w:val="left"/>
      <w:lvlText w:val="(%1)"/>
      <w:numFmt w:val="lowerLetter"/>
      <w:start w:val="5"/>
    </w:lvl>
  </w:abstractNum>
  <w:abstractNum w:abstractNumId="53">
    <w:nsid w:val="397C46BC"/>
    <w:multiLevelType w:val="hybridMultilevel"/>
    <w:lvl w:ilvl="0">
      <w:lvlJc w:val="left"/>
      <w:lvlText w:val="%1"/>
      <w:numFmt w:val="lowerLetter"/>
      <w:start w:val="1"/>
    </w:lvl>
    <w:lvl w:ilvl="1">
      <w:lvlJc w:val="left"/>
      <w:lvlText w:val="(%2)"/>
      <w:numFmt w:val="lowerLetter"/>
      <w:start w:val="1"/>
    </w:lvl>
  </w:abstractNum>
  <w:abstractNum w:abstractNumId="54">
    <w:nsid w:val="7E448DE9"/>
    <w:multiLevelType w:val="hybridMultilevel"/>
    <w:lvl w:ilvl="0">
      <w:lvlJc w:val="left"/>
      <w:lvlText w:val="(%1)"/>
      <w:numFmt w:val="lowerLetter"/>
      <w:start w:val="61"/>
    </w:lvl>
    <w:lvl w:ilvl="1">
      <w:lvlJc w:val="left"/>
      <w:lvlText w:val="(%2)"/>
      <w:numFmt w:val="lowerLetter"/>
      <w:start w:val="2"/>
    </w:lvl>
  </w:abstractNum>
  <w:abstractNum w:abstractNumId="55">
    <w:nsid w:val="5A9CC3E5"/>
    <w:multiLevelType w:val="hybridMultilevel"/>
    <w:lvl w:ilvl="0">
      <w:lvlJc w:val="left"/>
      <w:lvlText w:val="%1"/>
      <w:numFmt w:val="lowerLetter"/>
      <w:start w:val="1"/>
    </w:lvl>
    <w:lvl w:ilvl="1">
      <w:lvlJc w:val="left"/>
      <w:lvlText w:val="(%2)"/>
      <w:numFmt w:val="lowerLetter"/>
      <w:start w:val="5"/>
    </w:lvl>
  </w:abstractNum>
  <w:abstractNum w:abstractNumId="56">
    <w:nsid w:val="1AFE3625"/>
    <w:multiLevelType w:val="hybridMultilevel"/>
    <w:lvl w:ilvl="0">
      <w:lvlJc w:val="left"/>
      <w:lvlText w:val="(%1)"/>
      <w:numFmt w:val="lowerLetter"/>
      <w:start w:val="61"/>
    </w:lvl>
    <w:lvl w:ilvl="1">
      <w:lvlJc w:val="left"/>
      <w:lvlText w:val="(%2)"/>
      <w:numFmt w:val="lowerLetter"/>
      <w:start w:val="6"/>
    </w:lvl>
  </w:abstractNum>
  <w:abstractNum w:abstractNumId="57">
    <w:nsid w:val="3CA88ECF"/>
    <w:multiLevelType w:val="hybridMultilevel"/>
    <w:lvl w:ilvl="0">
      <w:lvlJc w:val="left"/>
      <w:lvlText w:val="(%1)"/>
      <w:numFmt w:val="lowerLetter"/>
      <w:start w:val="1"/>
    </w:lvl>
  </w:abstractNum>
  <w:abstractNum w:abstractNumId="58">
    <w:nsid w:val="6EBE4208"/>
    <w:multiLevelType w:val="hybridMultilevel"/>
    <w:lvl w:ilvl="0">
      <w:lvlJc w:val="left"/>
      <w:lvlText w:val="(%1)"/>
      <w:numFmt w:val="lowerLetter"/>
      <w:start w:val="2"/>
    </w:lvl>
  </w:abstractNum>
  <w:abstractNum w:abstractNumId="59">
    <w:nsid w:val="C058DF5"/>
    <w:multiLevelType w:val="hybridMultilevel"/>
    <w:lvl w:ilvl="0">
      <w:lvlJc w:val="left"/>
      <w:lvlText w:val="(%1)"/>
      <w:numFmt w:val="lowerLetter"/>
      <w:start w:val="1"/>
    </w:lvl>
  </w:abstractNum>
  <w:abstractNum w:abstractNumId="60">
    <w:nsid w:val="CBE5BE9"/>
    <w:multiLevelType w:val="hybridMultilevel"/>
    <w:lvl w:ilvl="0">
      <w:lvlJc w:val="left"/>
      <w:lvlText w:val="(%1)"/>
      <w:numFmt w:val="lowerLetter"/>
      <w:start w:val="4"/>
    </w:lvl>
  </w:abstractNum>
  <w:abstractNum w:abstractNumId="61">
    <w:nsid w:val="3102BBE2"/>
    <w:multiLevelType w:val="hybridMultilevel"/>
    <w:lvl w:ilvl="0">
      <w:lvlJc w:val="left"/>
      <w:lvlText w:val="(%1)"/>
      <w:numFmt w:val="lowerLetter"/>
      <w:start w:val="1"/>
    </w:lvl>
  </w:abstractNum>
  <w:abstractNum w:abstractNumId="62">
    <w:nsid w:val="26A02C5E"/>
    <w:multiLevelType w:val="hybridMultilevel"/>
    <w:lvl w:ilvl="0">
      <w:lvlJc w:val="left"/>
      <w:lvlText w:val="(%1)"/>
      <w:numFmt w:val="lowerLetter"/>
      <w:start w:val="11"/>
    </w:lvl>
    <w:lvl w:ilvl="1">
      <w:lvlJc w:val="left"/>
      <w:lvlText w:val="(%2)"/>
      <w:numFmt w:val="lowerRoman"/>
      <w:start w:val="1"/>
    </w:lvl>
  </w:abstractNum>
  <w:abstractNum w:abstractNumId="63">
    <w:nsid w:val="541C8153"/>
    <w:multiLevelType w:val="hybridMultilevel"/>
    <w:lvl w:ilvl="0">
      <w:lvlJc w:val="left"/>
      <w:lvlText w:val="(%1)"/>
      <w:numFmt w:val="lowerLetter"/>
      <w:start w:val="13"/>
    </w:lvl>
  </w:abstractNum>
  <w:abstractNum w:abstractNumId="64">
    <w:nsid w:val="67906F60"/>
    <w:multiLevelType w:val="hybridMultilevel"/>
    <w:lvl w:ilvl="0">
      <w:lvlJc w:val="left"/>
      <w:lvlText w:val="(%1)"/>
      <w:numFmt w:val="lowerLetter"/>
      <w:start w:val="1"/>
    </w:lvl>
  </w:abstractNum>
  <w:abstractNum w:abstractNumId="65">
    <w:nsid w:val="10DB9DAA"/>
    <w:multiLevelType w:val="hybridMultilevel"/>
    <w:lvl w:ilvl="0">
      <w:lvlJc w:val="left"/>
      <w:lvlText w:val="(%1)"/>
      <w:numFmt w:val="lowerLetter"/>
      <w:start w:val="3"/>
    </w:lvl>
  </w:abstractNum>
  <w:abstractNum w:abstractNumId="66">
    <w:nsid w:val="697D2D2"/>
    <w:multiLevelType w:val="hybridMultilevel"/>
    <w:lvl w:ilvl="0">
      <w:lvlJc w:val="left"/>
      <w:lvlText w:val="(%1)"/>
      <w:numFmt w:val="lowerLetter"/>
      <w:start w:val="1"/>
    </w:lvl>
  </w:abstractNum>
  <w:abstractNum w:abstractNumId="67">
    <w:nsid w:val="6D68AB2"/>
    <w:multiLevelType w:val="hybridMultilevel"/>
    <w:lvl w:ilvl="0">
      <w:lvlJc w:val="left"/>
      <w:lvlText w:val="(%1)"/>
      <w:numFmt w:val="lowerLetter"/>
      <w:start w:val="35"/>
    </w:lvl>
    <w:lvl w:ilvl="1">
      <w:lvlJc w:val="left"/>
      <w:lvlText w:val="(%2)"/>
      <w:numFmt w:val="lowerLetter"/>
      <w:start w:val="3"/>
    </w:lvl>
  </w:abstractNum>
  <w:abstractNum w:abstractNumId="68">
    <w:nsid w:val="3A966CD0"/>
    <w:multiLevelType w:val="hybridMultilevel"/>
    <w:lvl w:ilvl="0">
      <w:lvlJc w:val="left"/>
      <w:lvlText w:val="(%1)"/>
      <w:numFmt w:val="lowerLetter"/>
      <w:start w:val="1"/>
    </w:lvl>
  </w:abstractNum>
  <w:abstractNum w:abstractNumId="69">
    <w:nsid w:val="63F37E85"/>
    <w:multiLevelType w:val="hybridMultilevel"/>
    <w:lvl w:ilvl="0">
      <w:lvlJc w:val="left"/>
      <w:lvlText w:val="(%1)"/>
      <w:numFmt w:val="lowerLetter"/>
      <w:start w:val="2"/>
    </w:lvl>
  </w:abstractNum>
  <w:abstractNum w:abstractNumId="70">
    <w:nsid w:val="5895F5FA"/>
    <w:multiLevelType w:val="hybridMultilevel"/>
    <w:lvl w:ilvl="0">
      <w:lvlJc w:val="left"/>
      <w:lvlText w:val="(%1)"/>
      <w:numFmt w:val="lowerLetter"/>
      <w:start w:val="1"/>
    </w:lvl>
  </w:abstractNum>
  <w:abstractNum w:abstractNumId="71">
    <w:nsid w:val="38A5D054"/>
    <w:multiLevelType w:val="hybridMultilevel"/>
    <w:lvl w:ilvl="0">
      <w:lvlJc w:val="left"/>
      <w:lvlText w:val="(%1)"/>
      <w:numFmt w:val="lowerLetter"/>
      <w:start w:val="3"/>
    </w:lvl>
  </w:abstractNum>
  <w:abstractNum w:abstractNumId="72">
    <w:nsid w:val="F3F09D8"/>
    <w:multiLevelType w:val="hybridMultilevel"/>
    <w:lvl w:ilvl="0">
      <w:lvlJc w:val="left"/>
      <w:lvlText w:val="(%1)"/>
      <w:numFmt w:val="lowerLetter"/>
      <w:start w:val="8"/>
    </w:lvl>
  </w:abstractNum>
  <w:abstractNum w:abstractNumId="73">
    <w:nsid w:val="4B793735"/>
    <w:multiLevelType w:val="hybridMultilevel"/>
    <w:lvl w:ilvl="0">
      <w:lvlJc w:val="left"/>
      <w:lvlText w:val="(%1)"/>
      <w:numFmt w:val="lowerLetter"/>
      <w:start w:val="1"/>
    </w:lvl>
    <w:lvl w:ilvl="1">
      <w:lvlJc w:val="left"/>
      <w:lvlText w:val="(%2)"/>
      <w:numFmt w:val="lowerRoman"/>
      <w:start w:val="1"/>
    </w:lvl>
  </w:abstractNum>
  <w:abstractNum w:abstractNumId="74">
    <w:nsid w:val="4A10B4E8"/>
    <w:multiLevelType w:val="hybridMultilevel"/>
    <w:lvl w:ilvl="0">
      <w:lvlJc w:val="left"/>
      <w:lvlText w:val="(%1)"/>
      <w:numFmt w:val="lowerLetter"/>
      <w:start w:val="25"/>
    </w:lvl>
  </w:abstractNum>
  <w:abstractNum w:abstractNumId="75">
    <w:nsid w:val="43D3BCD4"/>
    <w:multiLevelType w:val="hybridMultilevel"/>
    <w:lvl w:ilvl="0">
      <w:lvlJc w:val="left"/>
      <w:lvlText w:val="%1"/>
      <w:numFmt w:val="lowerLetter"/>
      <w:start w:val="1"/>
    </w:lvl>
    <w:lvl w:ilvl="1">
      <w:lvlJc w:val="left"/>
      <w:lvlText w:val="(%2)"/>
      <w:numFmt w:val="lowerLetter"/>
      <w:start w:val="2"/>
    </w:lvl>
  </w:abstractNum>
  <w:abstractNum w:abstractNumId="76">
    <w:nsid w:val="4C2A7166"/>
    <w:multiLevelType w:val="hybridMultilevel"/>
    <w:lvl w:ilvl="0">
      <w:lvlJc w:val="left"/>
      <w:lvlText w:val="(%1)."/>
      <w:numFmt w:val="lowerLetter"/>
      <w:start w:val="1"/>
    </w:lvl>
    <w:lvl w:ilvl="1">
      <w:lvlJc w:val="left"/>
      <w:lvlText w:val="%2"/>
      <w:numFmt w:val="lowerLetter"/>
      <w:start w:val="1"/>
    </w:lvl>
  </w:abstractNum>
  <w:abstractNum w:abstractNumId="77">
    <w:nsid w:val="2E534A82"/>
    <w:multiLevelType w:val="hybridMultilevel"/>
    <w:lvl w:ilvl="0">
      <w:lvlJc w:val="left"/>
      <w:lvlText w:val="(%1)"/>
      <w:numFmt w:val="lowerLetter"/>
      <w:start w:val="25"/>
    </w:lvl>
    <w:lvl w:ilvl="1">
      <w:lvlJc w:val="left"/>
      <w:lvlText w:val="%2"/>
      <w:numFmt w:val="lowerLetter"/>
      <w:start w:val="1"/>
    </w:lvl>
  </w:abstractNum>
  <w:abstractNum w:abstractNumId="78">
    <w:nsid w:val="26F2D364"/>
    <w:multiLevelType w:val="hybridMultilevel"/>
    <w:lvl w:ilvl="0">
      <w:lvlJc w:val="left"/>
      <w:lvlText w:val="(%1)"/>
      <w:numFmt w:val="lowerLetter"/>
      <w:start w:val="1"/>
    </w:lvl>
  </w:abstractNum>
  <w:abstractNum w:abstractNumId="79">
    <w:nsid w:val="71C1AF98"/>
    <w:multiLevelType w:val="hybridMultilevel"/>
    <w:lvl w:ilvl="0">
      <w:lvlJc w:val="left"/>
      <w:lvlText w:val="%1"/>
      <w:numFmt w:val="lowerLetter"/>
      <w:start w:val="1"/>
    </w:lvl>
    <w:lvl w:ilvl="1">
      <w:lvlJc w:val="left"/>
      <w:lvlText w:val="(%2)"/>
      <w:numFmt w:val="lowerLetter"/>
      <w:start w:val="2"/>
    </w:lvl>
  </w:abstractNum>
  <w:abstractNum w:abstractNumId="80">
    <w:nsid w:val="3D00B9D9"/>
    <w:multiLevelType w:val="hybridMultilevel"/>
    <w:lvl w:ilvl="0">
      <w:lvlJc w:val="left"/>
      <w:lvlText w:val="(%1)"/>
      <w:numFmt w:val="lowerLetter"/>
      <w:start w:val="9"/>
    </w:lvl>
    <w:lvl w:ilvl="1">
      <w:lvlJc w:val="left"/>
      <w:lvlText w:val="(%2)"/>
      <w:numFmt w:val="lowerLetter"/>
      <w:start w:val="6"/>
    </w:lvl>
  </w:abstractNum>
  <w:abstractNum w:abstractNumId="81">
    <w:nsid w:val="15BCABA8"/>
    <w:multiLevelType w:val="hybridMultilevel"/>
    <w:lvl w:ilvl="0">
      <w:lvlJc w:val="left"/>
      <w:lvlText w:val="(%1)"/>
      <w:numFmt w:val="lowerLetter"/>
      <w:start w:val="4"/>
    </w:lvl>
  </w:abstractNum>
  <w:abstractNum w:abstractNumId="82">
    <w:nsid w:val="4E0B9A87"/>
    <w:multiLevelType w:val="hybridMultilevel"/>
    <w:lvl w:ilvl="0">
      <w:lvlJc w:val="left"/>
      <w:lvlText w:val="%1"/>
      <w:numFmt w:val="lowerLetter"/>
      <w:start w:val="1"/>
    </w:lvl>
    <w:lvl w:ilvl="1">
      <w:lvlJc w:val="left"/>
      <w:lvlText w:val="(%2)"/>
      <w:numFmt w:val="lowerLetter"/>
      <w:start w:val="1"/>
    </w:lvl>
  </w:abstractNum>
  <w:abstractNum w:abstractNumId="83">
    <w:nsid w:val="434BAE75"/>
    <w:multiLevelType w:val="hybridMultilevel"/>
    <w:lvl w:ilvl="0">
      <w:lvlJc w:val="left"/>
      <w:lvlText w:val="(%1)"/>
      <w:numFmt w:val="lowerLetter"/>
      <w:start w:val="35"/>
    </w:lvl>
    <w:lvl w:ilvl="1">
      <w:lvlJc w:val="left"/>
      <w:lvlText w:val="(%2)"/>
      <w:numFmt w:val="lowerLetter"/>
      <w:start w:val="2"/>
    </w:lvl>
  </w:abstractNum>
  <w:abstractNum w:abstractNumId="84">
    <w:nsid w:val="4F38F265"/>
    <w:multiLevelType w:val="hybridMultilevel"/>
    <w:lvl w:ilvl="0">
      <w:lvlJc w:val="left"/>
      <w:lvlText w:val="%1"/>
      <w:numFmt w:val="lowerLetter"/>
      <w:start w:val="1"/>
    </w:lvl>
    <w:lvl w:ilvl="1">
      <w:lvlJc w:val="left"/>
      <w:lvlText w:val="(%2)"/>
      <w:numFmt w:val="lowerLetter"/>
      <w:start w:val="1"/>
    </w:lvl>
  </w:abstractNum>
  <w:abstractNum w:abstractNumId="85">
    <w:nsid w:val="4C502870"/>
    <w:multiLevelType w:val="hybridMultilevel"/>
    <w:lvl w:ilvl="0">
      <w:lvlJc w:val="left"/>
      <w:lvlText w:val="(%1)"/>
      <w:numFmt w:val="lowerLetter"/>
      <w:start w:val="61"/>
    </w:lvl>
    <w:lvl w:ilvl="1">
      <w:lvlJc w:val="left"/>
      <w:lvlText w:val="%2"/>
      <w:numFmt w:val="lowerLetter"/>
      <w:start w:val="1"/>
    </w:lvl>
  </w:abstractNum>
  <w:abstractNum w:abstractNumId="86">
    <w:nsid w:val="1DE8725A"/>
    <w:multiLevelType w:val="hybridMultilevel"/>
    <w:lvl w:ilvl="0">
      <w:lvlJc w:val="left"/>
      <w:lvlText w:val="(%1)"/>
      <w:numFmt w:val="lowerLetter"/>
      <w:start w:val="3"/>
    </w:lvl>
  </w:abstractNum>
  <w:abstractNum w:abstractNumId="87">
    <w:nsid w:val="6A37288A"/>
    <w:multiLevelType w:val="hybridMultilevel"/>
    <w:lvl w:ilvl="0">
      <w:lvlJc w:val="left"/>
      <w:lvlText w:val="(%1)"/>
      <w:numFmt w:val="upperLetter"/>
      <w:start w:val="3"/>
    </w:lvl>
  </w:abstractNum>
  <w:abstractNum w:abstractNumId="88">
    <w:nsid w:val="8F8B73F"/>
    <w:multiLevelType w:val="hybridMultilevel"/>
    <w:lvl w:ilvl="0">
      <w:lvlJc w:val="left"/>
      <w:lvlText w:val="(%1)"/>
      <w:numFmt w:val="lowerLetter"/>
      <w:start w:val="1"/>
    </w:lvl>
  </w:abstractNum>
  <w:abstractNum w:abstractNumId="89">
    <w:nsid w:val="CA6B462"/>
    <w:multiLevelType w:val="hybridMultilevel"/>
    <w:lvl w:ilvl="0">
      <w:lvlJc w:val="left"/>
      <w:lvlText w:val="(%1)"/>
      <w:numFmt w:val="lowerLetter"/>
      <w:start w:val="3"/>
    </w:lvl>
  </w:abstractNum>
  <w:abstractNum w:abstractNumId="90">
    <w:nsid w:val="763CB680"/>
    <w:multiLevelType w:val="hybridMultilevel"/>
    <w:lvl w:ilvl="0">
      <w:lvlJc w:val="left"/>
      <w:lvlText w:val="(%1)"/>
      <w:numFmt w:val="lowerLetter"/>
      <w:start w:val="1"/>
    </w:lvl>
    <w:lvl w:ilvl="1">
      <w:lvlJc w:val="left"/>
      <w:lvlText w:val="(%2)"/>
      <w:numFmt w:val="lowerLetter"/>
      <w:start w:val="9"/>
    </w:lvl>
  </w:abstractNum>
  <w:abstractNum w:abstractNumId="91">
    <w:nsid w:val="15B71329"/>
    <w:multiLevelType w:val="hybridMultilevel"/>
    <w:lvl w:ilvl="0">
      <w:lvlJc w:val="left"/>
      <w:lvlText w:val="(%1)"/>
      <w:numFmt w:val="lowerLetter"/>
      <w:start w:val="2"/>
    </w:lvl>
  </w:abstractNum>
  <w:abstractNum w:abstractNumId="92">
    <w:nsid w:val="3DA97044"/>
    <w:multiLevelType w:val="hybridMultilevel"/>
    <w:lvl w:ilvl="0">
      <w:lvlJc w:val="left"/>
      <w:lvlText w:val="(%1)"/>
      <w:numFmt w:val="lowerLetter"/>
      <w:start w:val="4"/>
    </w:lvl>
    <w:lvl w:ilvl="1">
      <w:lvlJc w:val="left"/>
      <w:lvlText w:val="(%2)"/>
      <w:numFmt w:val="lowerRoman"/>
      <w:start w:val="1"/>
    </w:lvl>
  </w:abstractNum>
  <w:abstractNum w:abstractNumId="93">
    <w:nsid w:val="1CDCE2DE"/>
    <w:multiLevelType w:val="hybridMultilevel"/>
    <w:lvl w:ilvl="0">
      <w:lvlJc w:val="left"/>
      <w:lvlText w:val="(%1)"/>
      <w:numFmt w:val="lowerLetter"/>
      <w:start w:val="5"/>
    </w:lvl>
  </w:abstractNum>
  <w:abstractNum w:abstractNumId="94">
    <w:nsid w:val="69D3947C"/>
    <w:multiLevelType w:val="hybridMultilevel"/>
    <w:lvl w:ilvl="0">
      <w:lvlJc w:val="left"/>
      <w:lvlText w:val="(%1)"/>
      <w:numFmt w:val="lowerLetter"/>
      <w:start w:val="8"/>
    </w:lvl>
    <w:lvl w:ilvl="1">
      <w:lvlJc w:val="left"/>
      <w:lvlText w:val="(%2)"/>
      <w:numFmt w:val="lowerRoman"/>
      <w:start w:val="1"/>
    </w:lvl>
  </w:abstractNum>
  <w:abstractNum w:abstractNumId="95">
    <w:nsid w:val="2539DFA5"/>
    <w:multiLevelType w:val="hybridMultilevel"/>
    <w:lvl w:ilvl="0">
      <w:lvlJc w:val="left"/>
      <w:lvlText w:val="(%1)"/>
      <w:numFmt w:val="lowerRoman"/>
      <w:start w:val="1"/>
    </w:lvl>
    <w:lvl w:ilvl="1">
      <w:lvlJc w:val="left"/>
      <w:lvlText w:val="(%2)"/>
      <w:numFmt w:val="lowerRoman"/>
      <w:start w:val="1"/>
    </w:lvl>
  </w:abstractNum>
  <w:abstractNum w:abstractNumId="96">
    <w:nsid w:val="2DB88089"/>
    <w:multiLevelType w:val="hybridMultilevel"/>
    <w:lvl w:ilvl="0">
      <w:lvlJc w:val="left"/>
      <w:lvlText w:val="(%1)"/>
      <w:numFmt w:val="lowerLetter"/>
      <w:start w:val="10"/>
    </w:lvl>
  </w:abstractNum>
  <w:abstractNum w:abstractNumId="97">
    <w:nsid w:val="706B674E"/>
    <w:multiLevelType w:val="hybridMultilevel"/>
    <w:lvl w:ilvl="0">
      <w:lvlJc w:val="left"/>
      <w:lvlText w:val="(%1)"/>
      <w:numFmt w:val="lowerLetter"/>
      <w:start w:val="1"/>
    </w:lvl>
  </w:abstractNum>
  <w:abstractNum w:abstractNumId="98">
    <w:nsid w:val="2C106A57"/>
    <w:multiLevelType w:val="hybridMultilevel"/>
    <w:lvl w:ilvl="0">
      <w:lvlJc w:val="left"/>
      <w:lvlText w:val="%1"/>
      <w:numFmt w:val="lowerLetter"/>
      <w:start w:val="1"/>
    </w:lvl>
    <w:lvl w:ilvl="1">
      <w:lvlJc w:val="left"/>
      <w:lvlText w:val="(%2)"/>
      <w:numFmt w:val="lowerLetter"/>
      <w:start w:val="2"/>
    </w:lvl>
  </w:abstractNum>
  <w:abstractNum w:abstractNumId="99">
    <w:nsid w:val="684EED59"/>
    <w:multiLevelType w:val="hybridMultilevel"/>
    <w:lvl w:ilvl="0">
      <w:lvlJc w:val="left"/>
      <w:lvlText w:val="(%1)"/>
      <w:numFmt w:val="lowerLetter"/>
      <w:start w:val="9"/>
    </w:lvl>
    <w:lvl w:ilvl="1">
      <w:lvlJc w:val="left"/>
      <w:lvlText w:val="%2"/>
      <w:numFmt w:val="lowerLetter"/>
      <w:start w:val="1"/>
    </w:lvl>
  </w:abstractNum>
  <w:abstractNum w:abstractNumId="100">
    <w:nsid w:val="545EE5D3"/>
    <w:multiLevelType w:val="hybridMultilevel"/>
    <w:lvl w:ilvl="0">
      <w:lvlJc w:val="left"/>
      <w:lvlText w:val="(%1)"/>
      <w:numFmt w:val="lowerLetter"/>
      <w:start w:val="1"/>
    </w:lvl>
  </w:abstractNum>
  <w:abstractNum w:abstractNumId="101">
    <w:nsid w:val="4A66051"/>
    <w:multiLevelType w:val="hybridMultilevel"/>
    <w:lvl w:ilvl="0">
      <w:lvlJc w:val="left"/>
      <w:lvlText w:val="(%1)"/>
      <w:numFmt w:val="lowerLetter"/>
      <w:start w:val="4"/>
    </w:lvl>
  </w:abstractNum>
  <w:abstractNum w:abstractNumId="102">
    <w:nsid w:val="20F4BDAD"/>
    <w:multiLevelType w:val="hybridMultilevel"/>
    <w:lvl w:ilvl="0">
      <w:lvlJc w:val="left"/>
      <w:lvlText w:val="%1"/>
      <w:numFmt w:val="lowerLetter"/>
      <w:start w:val="1"/>
    </w:lvl>
    <w:lvl w:ilvl="1">
      <w:lvlJc w:val="left"/>
      <w:lvlText w:val="(%2)"/>
      <w:numFmt w:val="lowerLetter"/>
      <w:start w:val="1"/>
    </w:lvl>
  </w:abstractNum>
  <w:abstractNum w:abstractNumId="103">
    <w:nsid w:val="639DEFAC"/>
    <w:multiLevelType w:val="hybridMultilevel"/>
    <w:lvl w:ilvl="0">
      <w:lvlJc w:val="left"/>
      <w:lvlText w:val="(%1)"/>
      <w:numFmt w:val="lowerLetter"/>
      <w:start w:val="2"/>
    </w:lvl>
    <w:lvl w:ilvl="1">
      <w:lvlJc w:val="left"/>
      <w:lvlText w:val="%2"/>
      <w:numFmt w:val="lowerLetter"/>
      <w:start w:val="1"/>
    </w:lvl>
  </w:abstractNum>
  <w:abstractNum w:abstractNumId="104">
    <w:nsid w:val="501F9786"/>
    <w:multiLevelType w:val="hybridMultilevel"/>
    <w:lvl w:ilvl="0">
      <w:lvlJc w:val="left"/>
      <w:lvlText w:val="(%1)"/>
      <w:numFmt w:val="lowerLetter"/>
      <w:start w:val="1"/>
    </w:lvl>
  </w:abstractNum>
  <w:abstractNum w:abstractNumId="105">
    <w:nsid w:val="6B057295"/>
    <w:multiLevelType w:val="hybridMultilevel"/>
    <w:lvl w:ilvl="0">
      <w:lvlJc w:val="left"/>
      <w:lvlText w:val="%1"/>
      <w:numFmt w:val="lowerLetter"/>
      <w:start w:val="1"/>
    </w:lvl>
    <w:lvl w:ilvl="1">
      <w:lvlJc w:val="left"/>
      <w:lvlText w:val="(%2)"/>
      <w:numFmt w:val="lowerLetter"/>
      <w:start w:val="35"/>
    </w:lvl>
  </w:abstractNum>
  <w:abstractNum w:abstractNumId="106">
    <w:nsid w:val="2771AC80"/>
    <w:multiLevelType w:val="hybridMultilevel"/>
    <w:lvl w:ilvl="0">
      <w:lvlJc w:val="left"/>
      <w:lvlText w:val="(%1)"/>
      <w:numFmt w:val="lowerLetter"/>
      <w:start w:val="2"/>
    </w:lvl>
    <w:lvl w:ilvl="1">
      <w:lvlJc w:val="left"/>
      <w:lvlText w:val="(%2)"/>
      <w:numFmt w:val="lowerLetter"/>
      <w:start w:val="35"/>
    </w:lvl>
  </w:abstractNum>
  <w:abstractNum w:abstractNumId="107">
    <w:nsid w:val="1C4A08EC"/>
    <w:multiLevelType w:val="hybridMultilevel"/>
    <w:lvl w:ilvl="0">
      <w:lvlJc w:val="left"/>
      <w:lvlText w:val="(%1)"/>
      <w:numFmt w:val="lowerLetter"/>
      <w:start w:val="6"/>
    </w:lvl>
  </w:abstractNum>
  <w:abstractNum w:abstractNumId="108">
    <w:nsid w:val="1958BD17"/>
    <w:multiLevelType w:val="hybridMultilevel"/>
    <w:lvl w:ilvl="0">
      <w:lvlJc w:val="left"/>
      <w:lvlText w:val="(%1)"/>
      <w:numFmt w:val="lowerLetter"/>
      <w:start w:val="1"/>
    </w:lvl>
    <w:lvl w:ilvl="1">
      <w:lvlJc w:val="left"/>
      <w:lvlText w:val="(%2)"/>
      <w:numFmt w:val="lowerRoman"/>
      <w:start w:val="1"/>
    </w:lvl>
  </w:abstractNum>
  <w:abstractNum w:abstractNumId="109">
    <w:nsid w:val="4E647FE4"/>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2"/>
    </w:lvl>
    <w:lvl w:ilvl="3">
      <w:lvlJc w:val="left"/>
      <w:lvlText w:val="(%4)"/>
      <w:numFmt w:val="upperLetter"/>
      <w:start w:val="1"/>
    </w:lvl>
  </w:abstractNum>
  <w:abstractNum w:abstractNumId="110">
    <w:nsid w:val="E0BB88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3"/>
    </w:lvl>
  </w:abstractNum>
  <w:abstractNum w:abstractNumId="111">
    <w:nsid w:val="565976F1"/>
    <w:multiLevelType w:val="hybridMultilevel"/>
    <w:lvl w:ilvl="0">
      <w:lvlJc w:val="left"/>
      <w:lvlText w:val="(%1)"/>
      <w:numFmt w:val="lowerRoman"/>
      <w:start w:val="3"/>
    </w:lvl>
    <w:lvl w:ilvl="1">
      <w:lvlJc w:val="left"/>
      <w:lvlText w:val="(%2)"/>
      <w:numFmt w:val="upperLetter"/>
      <w:start w:val="1"/>
    </w:lvl>
  </w:abstractNum>
  <w:abstractNum w:abstractNumId="112">
    <w:nsid w:val="64212B8C"/>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113">
    <w:nsid w:val="5C17530C"/>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4"/>
    </w:lvl>
  </w:abstractNum>
  <w:abstractNum w:abstractNumId="114">
    <w:nsid w:val="19A52566"/>
    <w:multiLevelType w:val="hybridMultilevel"/>
    <w:lvl w:ilvl="0">
      <w:lvlJc w:val="left"/>
      <w:lvlText w:val="(%1)"/>
      <w:numFmt w:val="lowerRoman"/>
      <w:start w:val="5"/>
    </w:lvl>
    <w:lvl w:ilvl="1">
      <w:lvlJc w:val="left"/>
      <w:lvlText w:val="%2"/>
      <w:numFmt w:val="lowerRoman"/>
      <w:start w:val="1"/>
    </w:lvl>
    <w:lvl w:ilvl="2">
      <w:lvlJc w:val="left"/>
      <w:lvlText w:val="%3"/>
      <w:numFmt w:val="upperLetter"/>
      <w:start w:val="1"/>
    </w:lvl>
  </w:abstractNum>
  <w:abstractNum w:abstractNumId="115">
    <w:nsid w:val="335A1DF1"/>
    <w:multiLevelType w:val="hybridMultilevel"/>
    <w:lvl w:ilvl="0">
      <w:lvlJc w:val="left"/>
      <w:lvlText w:val="%1"/>
      <w:numFmt w:val="lowerRoman"/>
      <w:start w:val="1"/>
    </w:lvl>
    <w:lvl w:ilvl="1">
      <w:lvlJc w:val="left"/>
      <w:lvlText w:val="(%2)"/>
      <w:numFmt w:val="lowerRoman"/>
      <w:start w:val="7"/>
    </w:lvl>
    <w:lvl w:ilvl="2">
      <w:lvlJc w:val="left"/>
      <w:lvlText w:val="%3"/>
      <w:numFmt w:val="upperLetter"/>
      <w:start w:val="1"/>
    </w:lvl>
  </w:abstractNum>
  <w:abstractNum w:abstractNumId="116">
    <w:nsid w:val="28677B7C"/>
    <w:multiLevelType w:val="hybridMultilevel"/>
    <w:lvl w:ilvl="0">
      <w:lvlJc w:val="left"/>
      <w:lvlText w:val="(%1)"/>
      <w:numFmt w:val="lowerRoman"/>
      <w:start w:val="2"/>
    </w:lvl>
    <w:lvl w:ilvl="1">
      <w:lvlJc w:val="left"/>
      <w:lvlText w:val="(%2)"/>
      <w:numFmt w:val="lowerRoman"/>
      <w:start w:val="7"/>
    </w:lvl>
    <w:lvl w:ilvl="2">
      <w:lvlJc w:val="left"/>
      <w:lvlText w:val="(%3)"/>
      <w:numFmt w:val="upperLetter"/>
      <w:start w:val="2"/>
    </w:lvl>
  </w:abstractNum>
  <w:abstractNum w:abstractNumId="117">
    <w:nsid w:val="378D97C0"/>
    <w:multiLevelType w:val="hybridMultilevel"/>
    <w:lvl w:ilvl="0">
      <w:lvlJc w:val="left"/>
      <w:lvlText w:val="(%1)"/>
      <w:numFmt w:val="lowerLetter"/>
      <w:start w:val="1"/>
    </w:lvl>
  </w:abstractNum>
  <w:abstractNum w:abstractNumId="118">
    <w:nsid w:val="1D91467C"/>
    <w:multiLevelType w:val="hybridMultilevel"/>
    <w:lvl w:ilvl="0">
      <w:lvlJc w:val="left"/>
      <w:lvlText w:val="(%1)"/>
      <w:numFmt w:val="lowerLetter"/>
      <w:start w:val="2"/>
    </w:lvl>
  </w:abstractNum>
  <w:abstractNum w:abstractNumId="119">
    <w:nsid w:val="316032BB"/>
    <w:multiLevelType w:val="hybridMultilevel"/>
    <w:lvl w:ilvl="0">
      <w:lvlJc w:val="left"/>
      <w:lvlText w:val="(%1)"/>
      <w:numFmt w:val="lowerLetter"/>
      <w:start w:val="1"/>
    </w:lvl>
  </w:abstractNum>
  <w:abstractNum w:abstractNumId="120">
    <w:nsid w:val="44344C22"/>
    <w:multiLevelType w:val="hybridMultilevel"/>
    <w:lvl w:ilvl="0">
      <w:lvlJc w:val="left"/>
      <w:lvlText w:val="(%1)"/>
      <w:numFmt w:val="lowerLetter"/>
      <w:start w:val="3"/>
    </w:lvl>
  </w:abstractNum>
  <w:abstractNum w:abstractNumId="121">
    <w:nsid w:val="13CDFCFC"/>
    <w:multiLevelType w:val="hybridMultilevel"/>
    <w:lvl w:ilvl="0">
      <w:lvlJc w:val="left"/>
      <w:lvlText w:val="(%1)"/>
      <w:numFmt w:val="lowerLetter"/>
      <w:start w:val="1"/>
    </w:lvl>
  </w:abstractNum>
  <w:abstractNum w:abstractNumId="122">
    <w:nsid w:val="471745E4"/>
    <w:multiLevelType w:val="hybridMultilevel"/>
    <w:lvl w:ilvl="0">
      <w:lvlJc w:val="left"/>
      <w:lvlText w:val="(%1)"/>
      <w:numFmt w:val="lowerLetter"/>
      <w:start w:val="2"/>
    </w:lvl>
  </w:abstractNum>
  <w:abstractNum w:abstractNumId="123">
    <w:nsid w:val="1DDBC66"/>
    <w:multiLevelType w:val="hybridMultilevel"/>
    <w:lvl w:ilvl="0">
      <w:lvlJc w:val="left"/>
      <w:lvlText w:val="(%1)"/>
      <w:numFmt w:val="lowerRoman"/>
      <w:start w:val="1"/>
    </w:lvl>
  </w:abstractNum>
  <w:abstractNum w:abstractNumId="124">
    <w:nsid w:val="30AADFDA"/>
    <w:multiLevelType w:val="hybridMultilevel"/>
    <w:lvl w:ilvl="0">
      <w:lvlJc w:val="left"/>
      <w:lvlText w:val="(%1)"/>
      <w:numFmt w:val="lowerLetter"/>
      <w:start w:val="1"/>
    </w:lvl>
    <w:lvl w:ilvl="1">
      <w:lvlJc w:val="left"/>
      <w:lvlText w:val="(%2)"/>
      <w:numFmt w:val="lowerRoman"/>
      <w:start w:val="1"/>
    </w:lvl>
  </w:abstractNum>
  <w:abstractNum w:abstractNumId="125">
    <w:nsid w:val="30EADA61"/>
    <w:multiLevelType w:val="hybridMultilevel"/>
    <w:lvl w:ilvl="0">
      <w:lvlJc w:val="left"/>
      <w:lvlText w:val="(%1)"/>
      <w:numFmt w:val="lowerRoman"/>
      <w:start w:val="3"/>
    </w:lvl>
  </w:abstractNum>
  <w:abstractNum w:abstractNumId="126">
    <w:nsid w:val="27179C0B"/>
    <w:multiLevelType w:val="hybridMultilevel"/>
    <w:lvl w:ilvl="0">
      <w:lvlJc w:val="left"/>
      <w:lvlText w:val="%1"/>
      <w:numFmt w:val="lowerLetter"/>
      <w:start w:val="1"/>
    </w:lvl>
    <w:lvl w:ilvl="1">
      <w:lvlJc w:val="left"/>
      <w:lvlText w:val="(%2)"/>
      <w:numFmt w:val="lowerLetter"/>
      <w:start w:val="2"/>
    </w:lvl>
  </w:abstractNum>
  <w:abstractNum w:abstractNumId="127">
    <w:nsid w:val="5E636063"/>
    <w:multiLevelType w:val="hybridMultilevel"/>
    <w:lvl w:ilvl="0">
      <w:lvlJc w:val="left"/>
      <w:lvlText w:val="(%1)"/>
      <w:numFmt w:val="lowerLetter"/>
      <w:start w:val="9"/>
    </w:lvl>
    <w:lvl w:ilvl="1">
      <w:lvlJc w:val="left"/>
      <w:lvlText w:val="(%2)"/>
      <w:numFmt w:val="lowerLetter"/>
      <w:start w:val="4"/>
    </w:lvl>
  </w:abstractNum>
  <w:abstractNum w:abstractNumId="128">
    <w:nsid w:val="215641AF"/>
    <w:multiLevelType w:val="hybridMultilevel"/>
    <w:lvl w:ilvl="0">
      <w:lvlJc w:val="left"/>
      <w:lvlText w:val="(%1)"/>
      <w:numFmt w:val="lowerLetter"/>
      <w:start w:val="1"/>
    </w:lvl>
  </w:abstractNum>
  <w:abstractNum w:abstractNumId="129">
    <w:nsid w:val="53280662"/>
    <w:multiLevelType w:val="hybridMultilevel"/>
    <w:lvl w:ilvl="0">
      <w:lvlJc w:val="left"/>
      <w:lvlText w:val="(%1)"/>
      <w:numFmt w:val="lowerLetter"/>
      <w:start w:val="2"/>
    </w:lvl>
    <w:lvl w:ilvl="1">
      <w:lvlJc w:val="left"/>
      <w:lvlText w:val="(%2)"/>
      <w:numFmt w:val="lowerLetter"/>
      <w:start w:val="9"/>
    </w:lvl>
  </w:abstractNum>
  <w:abstractNum w:abstractNumId="130">
    <w:nsid w:val="46B24DBC"/>
    <w:multiLevelType w:val="hybridMultilevel"/>
    <w:lvl w:ilvl="0">
      <w:lvlJc w:val="left"/>
      <w:lvlText w:val="(%1)"/>
      <w:numFmt w:val="upperLetter"/>
      <w:start w:val="4"/>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131">
    <w:nsid w:val="75B52783"/>
    <w:multiLevelType w:val="hybridMultilevel"/>
    <w:lvl w:ilvl="0">
      <w:lvlJc w:val="left"/>
      <w:lvlText w:val="(%1)"/>
      <w:numFmt w:val="upperLetter"/>
      <w:start w:val="3"/>
    </w:lvl>
  </w:abstractNum>
  <w:abstractNum w:abstractNumId="132">
    <w:nsid w:val="57CE66B4"/>
    <w:multiLevelType w:val="hybridMultilevel"/>
    <w:lvl w:ilvl="0">
      <w:lvlJc w:val="left"/>
      <w:lvlText w:val="(%1)"/>
      <w:numFmt w:val="lowerLetter"/>
      <w:start w:val="7"/>
    </w:lvl>
  </w:abstractNum>
  <w:abstractNum w:abstractNumId="133">
    <w:nsid w:val="67A70B69"/>
    <w:multiLevelType w:val="hybridMultilevel"/>
    <w:lvl w:ilvl="0">
      <w:lvlJc w:val="left"/>
      <w:lvlText w:val="%1"/>
      <w:numFmt w:val="upperLetter"/>
      <w:start w:val="1"/>
    </w:lvl>
    <w:lvl w:ilvl="1">
      <w:lvlJc w:val="left"/>
      <w:lvlText w:val="(%2)"/>
      <w:numFmt w:val="lowerLetter"/>
      <w:start w:val="8"/>
    </w:lvl>
  </w:abstractNum>
  <w:abstractNum w:abstractNumId="134">
    <w:nsid w:val="5953172F"/>
    <w:multiLevelType w:val="hybridMultilevel"/>
    <w:lvl w:ilvl="0">
      <w:lvlJc w:val="left"/>
      <w:lvlText w:val="(%1)"/>
      <w:numFmt w:val="upperLetter"/>
      <w:start w:val="1"/>
    </w:lvl>
    <w:lvl w:ilvl="1">
      <w:lvlJc w:val="left"/>
      <w:lvlText w:val="%2"/>
      <w:numFmt w:val="lowerLetter"/>
      <w:start w:val="1"/>
    </w:lvl>
  </w:abstractNum>
  <w:abstractNum w:abstractNumId="135">
    <w:nsid w:val="27EDFE3A"/>
    <w:multiLevelType w:val="hybridMultilevel"/>
    <w:lvl w:ilvl="0">
      <w:lvlJc w:val="left"/>
      <w:lvlText w:val="(%1)"/>
      <w:numFmt w:val="lowerLetter"/>
      <w:start w:val="1"/>
    </w:lvl>
  </w:abstractNum>
  <w:abstractNum w:abstractNumId="136">
    <w:nsid w:val="52AC7DFF"/>
    <w:multiLevelType w:val="hybridMultilevel"/>
    <w:lvl w:ilvl="0">
      <w:lvlJc w:val="left"/>
      <w:lvlText w:val="(%1)"/>
      <w:numFmt w:val="lowerLetter"/>
      <w:start w:val="2"/>
    </w:lvl>
    <w:lvl w:ilvl="1">
      <w:lvlJc w:val="left"/>
      <w:lvlText w:val="(%2)"/>
      <w:numFmt w:val="lowerRoman"/>
      <w:start w:val="1"/>
    </w:lvl>
  </w:abstractNum>
  <w:abstractNum w:abstractNumId="137">
    <w:nsid w:val="C4C3AF"/>
    <w:multiLevelType w:val="hybridMultilevel"/>
    <w:lvl w:ilvl="0">
      <w:lvlJc w:val="left"/>
      <w:lvlText w:val="(%1)"/>
      <w:numFmt w:val="lowerLetter"/>
      <w:start w:val="4"/>
    </w:lvl>
  </w:abstractNum>
  <w:abstractNum w:abstractNumId="138">
    <w:nsid w:val="44380727"/>
    <w:multiLevelType w:val="hybridMultilevel"/>
    <w:lvl w:ilvl="0">
      <w:lvlJc w:val="left"/>
      <w:lvlText w:val="(%1)"/>
      <w:numFmt w:val="lowerLetter"/>
      <w:start w:val="1"/>
    </w:lvl>
  </w:abstractNum>
  <w:abstractNum w:abstractNumId="139">
    <w:nsid w:val="6C053B16"/>
    <w:multiLevelType w:val="hybridMultilevel"/>
    <w:lvl w:ilvl="0">
      <w:lvlJc w:val="left"/>
      <w:lvlText w:val="(%1)"/>
      <w:numFmt w:val="lowerLetter"/>
      <w:start w:val="25"/>
    </w:lvl>
  </w:abstractNum>
  <w:abstractNum w:abstractNumId="140">
    <w:nsid w:val="4F294393"/>
    <w:multiLevelType w:val="hybridMultilevel"/>
    <w:lvl w:ilvl="0">
      <w:lvlJc w:val="left"/>
      <w:lvlText w:val="%1"/>
      <w:numFmt w:val="lowerLetter"/>
      <w:start w:val="1"/>
    </w:lvl>
    <w:lvl w:ilvl="1">
      <w:lvlJc w:val="left"/>
      <w:lvlText w:val="(%2)"/>
      <w:numFmt w:val="lowerLetter"/>
      <w:start w:val="1"/>
    </w:lvl>
  </w:abstractNum>
  <w:abstractNum w:abstractNumId="141">
    <w:nsid w:val="5243BFAC"/>
    <w:multiLevelType w:val="hybridMultilevel"/>
    <w:lvl w:ilvl="0">
      <w:lvlJc w:val="left"/>
      <w:lvlText w:val="(%1)"/>
      <w:numFmt w:val="lowerLetter"/>
      <w:start w:val="9"/>
    </w:lvl>
    <w:lvl w:ilvl="1">
      <w:lvlJc w:val="left"/>
      <w:lvlText w:val="%2"/>
      <w:numFmt w:val="lowerLetter"/>
      <w:start w:val="1"/>
    </w:lvl>
  </w:abstractNum>
  <w:abstractNum w:abstractNumId="142">
    <w:nsid w:val="425EB207"/>
    <w:multiLevelType w:val="hybridMultilevel"/>
    <w:lvl w:ilvl="0">
      <w:lvlJc w:val="left"/>
      <w:lvlText w:val="(%1)"/>
      <w:numFmt w:val="lowerLetter"/>
      <w:start w:val="61"/>
    </w:lvl>
    <w:lvl w:ilvl="1">
      <w:lvlJc w:val="left"/>
      <w:lvlText w:val="(%2)"/>
      <w:numFmt w:val="lowerLetter"/>
      <w:start w:val="3"/>
    </w:lvl>
  </w:abstractNum>
  <w:abstractNum w:abstractNumId="143">
    <w:nsid w:val="334A6F1F"/>
    <w:multiLevelType w:val="hybridMultilevel"/>
    <w:lvl w:ilvl="0">
      <w:lvlJc w:val="left"/>
      <w:lvlText w:val="(%1)"/>
      <w:numFmt w:val="lowerLetter"/>
      <w:start w:val="4"/>
    </w:lvl>
    <w:lvl w:ilvl="1">
      <w:lvlJc w:val="left"/>
      <w:lvlText w:val="(%2)"/>
      <w:numFmt w:val="lowerRoman"/>
      <w:start w:val="1"/>
    </w:lvl>
  </w:abstractNum>
  <w:abstractNum w:abstractNumId="144">
    <w:nsid w:val="2E5B12B8"/>
    <w:multiLevelType w:val="hybridMultilevel"/>
    <w:lvl w:ilvl="0">
      <w:lvlJc w:val="left"/>
      <w:lvlText w:val="%1"/>
      <w:numFmt w:val="lowerLetter"/>
      <w:start w:val="1"/>
    </w:lvl>
    <w:lvl w:ilvl="1">
      <w:lvlJc w:val="left"/>
      <w:lvlText w:val="(%2)"/>
      <w:numFmt w:val="lowerLetter"/>
      <w:start w:val="6"/>
    </w:lvl>
  </w:abstractNum>
  <w:abstractNum w:abstractNumId="145">
    <w:nsid w:val="5C03D76D"/>
    <w:multiLevelType w:val="hybridMultilevel"/>
    <w:lvl w:ilvl="0">
      <w:lvlJc w:val="left"/>
      <w:lvlText w:val="(%1)"/>
      <w:numFmt w:val="lowerLetter"/>
      <w:start w:val="24"/>
    </w:lvl>
    <w:lvl w:ilvl="1">
      <w:lvlJc w:val="left"/>
      <w:lvlText w:val="%2"/>
      <w:numFmt w:val="lowerLetter"/>
      <w:start w:val="1"/>
    </w:lvl>
  </w:abstractNum>
  <w:abstractNum w:abstractNumId="146">
    <w:nsid w:val="66A48D1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7">
    <w:nsid w:val="56C28E34"/>
    <w:multiLevelType w:val="hybridMultilevel"/>
    <w:lvl w:ilvl="0">
      <w:lvlJc w:val="left"/>
      <w:lvlText w:val="%1"/>
      <w:numFmt w:val="lowerRoman"/>
      <w:start w:val="1"/>
    </w:lvl>
    <w:lvl w:ilvl="1">
      <w:lvlJc w:val="left"/>
      <w:lvlText w:val="(%2)"/>
      <w:numFmt w:val="upperLetter"/>
      <w:start w:val="2"/>
    </w:lvl>
  </w:abstractNum>
  <w:abstractNum w:abstractNumId="148">
    <w:nsid w:val="13916F2D"/>
    <w:multiLevelType w:val="hybridMultilevel"/>
    <w:lvl w:ilvl="0">
      <w:lvlJc w:val="left"/>
      <w:lvlText w:val="(%1)"/>
      <w:numFmt w:val="lowerRoman"/>
      <w:start w:val="5"/>
    </w:lvl>
    <w:lvl w:ilvl="1">
      <w:lvlJc w:val="left"/>
      <w:lvlText w:val="%2"/>
      <w:numFmt w:val="upperLetter"/>
      <w:start w:val="1"/>
    </w:lvl>
  </w:abstractNum>
  <w:abstractNum w:abstractNumId="149">
    <w:nsid w:val="435D38D"/>
    <w:multiLevelType w:val="hybridMultilevel"/>
    <w:lvl w:ilvl="0">
      <w:lvlJc w:val="left"/>
      <w:lvlText w:val="%1"/>
      <w:numFmt w:val="upperLetter"/>
      <w:start w:val="1"/>
    </w:lvl>
    <w:lvl w:ilvl="1">
      <w:lvlJc w:val="left"/>
      <w:lvlText w:val="(%2)"/>
      <w:numFmt w:val="lowerRoman"/>
      <w:start w:val="11"/>
    </w:lvl>
  </w:abstractNum>
  <w:abstractNum w:abstractNumId="150">
    <w:nsid w:val="822C0EF"/>
    <w:multiLevelType w:val="hybridMultilevel"/>
    <w:lvl w:ilvl="0">
      <w:lvlJc w:val="left"/>
      <w:lvlText w:val="(%1)"/>
      <w:numFmt w:val="upperLetter"/>
      <w:start w:val="2"/>
    </w:lvl>
    <w:lvl w:ilvl="1">
      <w:lvlJc w:val="left"/>
      <w:lvlText w:val="(%2)"/>
      <w:numFmt w:val="lowerRoman"/>
      <w:start w:val="12"/>
    </w:lvl>
  </w:abstractNum>
  <w:abstractNum w:abstractNumId="151">
    <w:nsid w:val="57C5BB4F"/>
    <w:multiLevelType w:val="hybridMultilevel"/>
    <w:lvl w:ilvl="0">
      <w:lvlJc w:val="left"/>
      <w:lvlText w:val="(%1)"/>
      <w:numFmt w:val="lowerLetter"/>
      <w:start w:val="2"/>
    </w:lvl>
    <w:lvl w:ilvl="1">
      <w:lvlJc w:val="left"/>
      <w:lvlText w:val="(%2)"/>
      <w:numFmt w:val="lowerLetter"/>
      <w:start w:val="9"/>
    </w:lvl>
  </w:abstractNum>
  <w:abstractNum w:abstractNumId="152">
    <w:nsid w:val="1803D089"/>
    <w:multiLevelType w:val="hybridMultilevel"/>
    <w:lvl w:ilvl="0">
      <w:lvlJc w:val="left"/>
      <w:lvlText w:val="%1"/>
      <w:numFmt w:val="lowerLetter"/>
      <w:start w:val="1"/>
    </w:lvl>
    <w:lvl w:ilvl="1">
      <w:lvlJc w:val="left"/>
      <w:lvlText w:val="(%2)"/>
      <w:numFmt w:val="lowerRoman"/>
      <w:start w:val="2"/>
    </w:lvl>
  </w:abstractNum>
  <w:abstractNum w:abstractNumId="153">
    <w:nsid w:val="4F3A06D4"/>
    <w:multiLevelType w:val="hybridMultilevel"/>
    <w:lvl w:ilvl="0">
      <w:lvlJc w:val="left"/>
      <w:lvlText w:val="(%1)"/>
      <w:numFmt w:val="lowerLetter"/>
      <w:start w:val="5"/>
    </w:lvl>
    <w:lvl w:ilvl="1">
      <w:lvlJc w:val="left"/>
      <w:lvlText w:val="%2"/>
      <w:numFmt w:val="lowerRoman"/>
      <w:start w:val="1"/>
    </w:lvl>
  </w:abstractNum>
  <w:abstractNum w:abstractNumId="154">
    <w:nsid w:val="59A377B6"/>
    <w:multiLevelType w:val="hybridMultilevel"/>
    <w:lvl w:ilvl="0">
      <w:lvlJc w:val="left"/>
      <w:lvlText w:val="(%1)"/>
      <w:numFmt w:val="lowerLetter"/>
      <w:start w:val="1"/>
    </w:lvl>
    <w:lvl w:ilvl="1">
      <w:lvlJc w:val="left"/>
      <w:lvlText w:val="(%2)"/>
      <w:numFmt w:val="lowerLetter"/>
      <w:start w:val="9"/>
    </w:lvl>
  </w:abstractNum>
  <w:abstractNum w:abstractNumId="155">
    <w:nsid w:val="48AEB063"/>
    <w:multiLevelType w:val="hybridMultilevel"/>
    <w:lvl w:ilvl="0">
      <w:lvlJc w:val="left"/>
      <w:lvlText w:val="(%1)"/>
      <w:numFmt w:val="lowerRoman"/>
      <w:start w:val="2"/>
    </w:lvl>
  </w:abstractNum>
  <w:abstractNum w:abstractNumId="156">
    <w:nsid w:val="24E135"/>
    <w:multiLevelType w:val="hybridMultilevel"/>
    <w:lvl w:ilvl="0">
      <w:lvlJc w:val="left"/>
      <w:lvlText w:val="%1"/>
      <w:numFmt w:val="upperLetter"/>
      <w:start w:val="1"/>
    </w:lvl>
    <w:lvl w:ilvl="1">
      <w:lvlJc w:val="left"/>
      <w:lvlText w:val="(%2)"/>
      <w:numFmt w:val="lowerRoman"/>
      <w:start w:val="6"/>
    </w:lvl>
  </w:abstractNum>
  <w:abstractNum w:abstractNumId="157">
    <w:nsid w:val="BB13C1"/>
    <w:multiLevelType w:val="hybridMultilevel"/>
    <w:lvl w:ilvl="0">
      <w:lvlJc w:val="left"/>
      <w:lvlText w:val="(%1)"/>
      <w:numFmt w:val="upperLetter"/>
      <w:start w:val="2"/>
    </w:lvl>
    <w:lvl w:ilvl="1">
      <w:lvlJc w:val="left"/>
      <w:lvlText w:val="(%2)"/>
      <w:numFmt w:val="lowerRoman"/>
      <w:start w:val="7"/>
    </w:lvl>
  </w:abstractNum>
  <w:abstractNum w:abstractNumId="158">
    <w:nsid w:val="271210C7"/>
    <w:multiLevelType w:val="hybridMultilevel"/>
    <w:lvl w:ilvl="0">
      <w:lvlJc w:val="left"/>
      <w:lvlText w:val="(%1)"/>
      <w:numFmt w:val="lowerLetter"/>
      <w:start w:val="3"/>
    </w:lvl>
  </w:abstractNum>
  <w:abstractNum w:abstractNumId="159">
    <w:nsid w:val="217B22E4"/>
    <w:multiLevelType w:val="hybridMultilevel"/>
    <w:lvl w:ilvl="0">
      <w:lvlJc w:val="left"/>
      <w:lvlText w:val="(%1)"/>
      <w:numFmt w:val="lowerLetter"/>
      <w:start w:val="4"/>
    </w:lvl>
  </w:abstractNum>
  <w:abstractNum w:abstractNumId="160">
    <w:nsid w:val="53E31A24"/>
    <w:multiLevelType w:val="hybridMultilevel"/>
    <w:lvl w:ilvl="0">
      <w:lvlJc w:val="left"/>
      <w:lvlText w:val="(%1)"/>
      <w:numFmt w:val="lowerLetter"/>
      <w:start w:val="1"/>
    </w:lvl>
  </w:abstractNum>
  <w:abstractNum w:abstractNumId="161">
    <w:nsid w:val="6DC45E83"/>
    <w:multiLevelType w:val="hybridMultilevel"/>
    <w:lvl w:ilvl="0">
      <w:lvlJc w:val="left"/>
      <w:lvlText w:val="(%1)"/>
      <w:numFmt w:val="lowerLetter"/>
      <w:start w:val="2"/>
    </w:lvl>
  </w:abstractNum>
  <w:abstractNum w:abstractNumId="162">
    <w:nsid w:val="17304A67"/>
    <w:multiLevelType w:val="hybridMultilevel"/>
    <w:lvl w:ilvl="0">
      <w:lvlJc w:val="left"/>
      <w:lvlText w:val="(%1)"/>
      <w:numFmt w:val="lowerLetter"/>
      <w:start w:val="1"/>
    </w:lvl>
  </w:abstractNum>
  <w:abstractNum w:abstractNumId="163">
    <w:nsid w:val="2BB180D8"/>
    <w:multiLevelType w:val="hybridMultilevel"/>
    <w:lvl w:ilvl="0">
      <w:lvlJc w:val="left"/>
      <w:lvlText w:val="%1"/>
      <w:numFmt w:val="lowerRoman"/>
      <w:start w:val="1"/>
    </w:lvl>
    <w:lvl w:ilvl="1">
      <w:lvlJc w:val="left"/>
      <w:lvlText w:val="(%2)"/>
      <w:numFmt w:val="lowerLetter"/>
      <w:start w:val="1"/>
    </w:lvl>
  </w:abstractNum>
  <w:abstractNum w:abstractNumId="164">
    <w:nsid w:val="556B69ED"/>
    <w:multiLevelType w:val="hybridMultilevel"/>
    <w:lvl w:ilvl="0">
      <w:lvlJc w:val="left"/>
      <w:lvlText w:val="(%1)"/>
      <w:numFmt w:val="lowerRoman"/>
      <w:start w:val="1"/>
    </w:lvl>
    <w:lvl w:ilvl="1">
      <w:lvlJc w:val="left"/>
      <w:lvlText w:val="(%2)"/>
      <w:numFmt w:val="lowerLetter"/>
      <w:start w:val="3"/>
    </w:lvl>
  </w:abstractNum>
  <w:abstractNum w:abstractNumId="165">
    <w:nsid w:val="70836196"/>
    <w:multiLevelType w:val="hybridMultilevel"/>
    <w:lvl w:ilvl="0">
      <w:lvlJc w:val="left"/>
      <w:lvlText w:val="(%1)"/>
      <w:numFmt w:val="lowerLetter"/>
      <w:start w:val="1"/>
    </w:lvl>
  </w:abstractNum>
  <w:abstractNum w:abstractNumId="166">
    <w:nsid w:val="539F7F12"/>
    <w:multiLevelType w:val="hybridMultilevel"/>
    <w:lvl w:ilvl="0">
      <w:lvlJc w:val="left"/>
      <w:lvlText w:val="(%1)"/>
      <w:numFmt w:val="lowerLetter"/>
      <w:start w:val="1"/>
    </w:lvl>
  </w:abstractNum>
  <w:abstractNum w:abstractNumId="167">
    <w:nsid w:val="2817E7EC"/>
    <w:multiLevelType w:val="hybridMultilevel"/>
    <w:lvl w:ilvl="0">
      <w:lvlJc w:val="left"/>
      <w:lvlText w:val="(%1)"/>
      <w:numFmt w:val="lowerRoman"/>
      <w:start w:val="2"/>
    </w:lvl>
  </w:abstractNum>
  <w:abstractNum w:abstractNumId="168">
    <w:nsid w:val="71482545"/>
    <w:multiLevelType w:val="hybridMultilevel"/>
    <w:lvl w:ilvl="0">
      <w:lvlJc w:val="left"/>
      <w:lvlText w:val="(%1)"/>
      <w:numFmt w:val="lowerLetter"/>
      <w:start w:val="1"/>
    </w:lvl>
  </w:abstractNum>
  <w:abstractNum w:abstractNumId="169">
    <w:nsid w:val="17D78639"/>
    <w:multiLevelType w:val="hybridMultilevel"/>
    <w:lvl w:ilvl="0">
      <w:lvlJc w:val="left"/>
      <w:lvlText w:val="(%1)"/>
      <w:numFmt w:val="lowerLetter"/>
      <w:start w:val="1"/>
    </w:lvl>
  </w:abstractNum>
  <w:abstractNum w:abstractNumId="170">
    <w:nsid w:val="141D2302"/>
    <w:multiLevelType w:val="hybridMultilevel"/>
    <w:lvl w:ilvl="0">
      <w:lvlJc w:val="left"/>
      <w:lvlText w:val="(%1)"/>
      <w:numFmt w:val="lowerLetter"/>
      <w:start w:val="2"/>
    </w:lvl>
  </w:abstractNum>
  <w:abstractNum w:abstractNumId="171">
    <w:nsid w:val="407168D8"/>
    <w:multiLevelType w:val="hybridMultilevel"/>
    <w:lvl w:ilvl="0">
      <w:lvlJc w:val="left"/>
      <w:lvlText w:val="%1"/>
      <w:numFmt w:val="upperLetter"/>
      <w:start w:val="1"/>
    </w:lvl>
    <w:lvl w:ilvl="1">
      <w:lvlJc w:val="left"/>
      <w:lvlText w:val="(%2)"/>
      <w:numFmt w:val="lowerLetter"/>
      <w:start w:val="1"/>
    </w:lvl>
  </w:abstractNum>
  <w:abstractNum w:abstractNumId="172">
    <w:nsid w:val="6A1B45E5"/>
    <w:multiLevelType w:val="hybridMultilevel"/>
    <w:lvl w:ilvl="0">
      <w:lvlJc w:val="left"/>
      <w:lvlText w:val="(%1)"/>
      <w:numFmt w:val="upperLetter"/>
      <w:start w:val="1"/>
    </w:lvl>
    <w:lvl w:ilvl="1">
      <w:lvlJc w:val="left"/>
      <w:lvlText w:val="(%2)"/>
      <w:numFmt w:val="lowerLetter"/>
      <w:start w:val="2"/>
    </w:lvl>
  </w:abstractNum>
  <w:abstractNum w:abstractNumId="173">
    <w:nsid w:val="567BD50A"/>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174">
    <w:nsid w:val="73BBD7F8"/>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75">
    <w:nsid w:val="1876589D"/>
    <w:multiLevelType w:val="hybridMultilevel"/>
    <w:lvl w:ilvl="0">
      <w:lvlJc w:val="left"/>
      <w:lvlText w:val="(%1)"/>
      <w:numFmt w:val="lowerLetter"/>
      <w:start w:val="7"/>
    </w:lvl>
  </w:abstractNum>
  <w:abstractNum w:abstractNumId="176">
    <w:nsid w:val="327FAC77"/>
    <w:multiLevelType w:val="hybridMultilevel"/>
    <w:lvl w:ilvl="0">
      <w:lvlJc w:val="left"/>
      <w:lvlText w:val="%1"/>
      <w:numFmt w:val="lowerLetter"/>
      <w:start w:val="1"/>
    </w:lvl>
    <w:lvl w:ilvl="1">
      <w:lvlJc w:val="left"/>
      <w:lvlText w:val="(%2)"/>
      <w:numFmt w:val="lowerLetter"/>
      <w:start w:val="1"/>
    </w:lvl>
  </w:abstractNum>
  <w:abstractNum w:abstractNumId="177">
    <w:nsid w:val="5A606509"/>
    <w:multiLevelType w:val="hybridMultilevel"/>
    <w:lvl w:ilvl="0">
      <w:lvlJc w:val="left"/>
      <w:lvlText w:val="(%1)"/>
      <w:numFmt w:val="lowerLetter"/>
      <w:start w:val="61"/>
    </w:lvl>
    <w:lvl w:ilvl="1">
      <w:lvlJc w:val="left"/>
      <w:lvlText w:val="(%2)"/>
      <w:numFmt w:val="lowerLetter"/>
      <w:start w:val="2"/>
    </w:lvl>
  </w:abstractNum>
  <w:abstractNum w:abstractNumId="178">
    <w:nsid w:val="6F38E6D1"/>
    <w:multiLevelType w:val="hybridMultilevel"/>
    <w:lvl w:ilvl="0">
      <w:lvlJc w:val="left"/>
      <w:lvlText w:val="%1"/>
      <w:numFmt w:val="upperLetter"/>
      <w:start w:val="1"/>
    </w:lvl>
    <w:lvl w:ilvl="1">
      <w:lvlJc w:val="left"/>
      <w:lvlText w:val="(%2)"/>
      <w:numFmt w:val="lowerLetter"/>
      <w:start w:val="1"/>
    </w:lvl>
  </w:abstractNum>
  <w:abstractNum w:abstractNumId="179">
    <w:nsid w:val="46111BA5"/>
    <w:multiLevelType w:val="hybridMultilevel"/>
    <w:lvl w:ilvl="0">
      <w:lvlJc w:val="left"/>
      <w:lvlText w:val="(%1)"/>
      <w:numFmt w:val="upperLetter"/>
      <w:start w:val="2"/>
    </w:lvl>
    <w:lvl w:ilvl="1">
      <w:lvlJc w:val="left"/>
      <w:lvlText w:val="(%2)"/>
      <w:numFmt w:val="lowerLetter"/>
      <w:start w:val="3"/>
    </w:lvl>
  </w:abstractNum>
  <w:abstractNum w:abstractNumId="180">
    <w:nsid w:val="5E963896"/>
    <w:multiLevelType w:val="hybridMultilevel"/>
    <w:lvl w:ilvl="0">
      <w:lvlJc w:val="left"/>
      <w:lvlText w:val="%1"/>
      <w:numFmt w:val="upperLetter"/>
      <w:start w:val="1"/>
    </w:lvl>
    <w:lvl w:ilvl="1">
      <w:lvlJc w:val="left"/>
      <w:lvlText w:val="(%2)"/>
      <w:numFmt w:val="lowerLetter"/>
      <w:start w:val="8"/>
    </w:lvl>
  </w:abstractNum>
  <w:abstractNum w:abstractNumId="181">
    <w:nsid w:val="775BA7C1"/>
    <w:multiLevelType w:val="hybridMultilevel"/>
    <w:lvl w:ilvl="0">
      <w:lvlJc w:val="left"/>
      <w:lvlText w:val="(%1)"/>
      <w:numFmt w:val="upperLetter"/>
      <w:start w:val="1"/>
    </w:lvl>
    <w:lvl w:ilvl="1">
      <w:lvlJc w:val="left"/>
      <w:lvlText w:val="(%2)"/>
      <w:numFmt w:val="lowerLetter"/>
      <w:start w:val="10"/>
    </w:lvl>
  </w:abstractNum>
  <w:abstractNum w:abstractNumId="182">
    <w:nsid w:val="1DD6D6F4"/>
    <w:multiLevelType w:val="hybridMultilevel"/>
    <w:lvl w:ilvl="0">
      <w:lvlJc w:val="left"/>
      <w:lvlText w:val="(%1)"/>
      <w:numFmt w:val="lowerLetter"/>
      <w:start w:val="1"/>
    </w:lvl>
  </w:abstractNum>
  <w:abstractNum w:abstractNumId="183">
    <w:nsid w:val="769A091F"/>
    <w:multiLevelType w:val="hybridMultilevel"/>
    <w:lvl w:ilvl="0">
      <w:lvlJc w:val="left"/>
      <w:lvlText w:val="(%1)"/>
      <w:numFmt w:val="lowerLetter"/>
      <w:start w:val="2"/>
    </w:lvl>
  </w:abstractNum>
  <w:abstractNum w:abstractNumId="184">
    <w:nsid w:val="4695AE95"/>
    <w:multiLevelType w:val="hybridMultilevel"/>
    <w:lvl w:ilvl="0">
      <w:lvlJc w:val="left"/>
      <w:lvlText w:val="(%1)"/>
      <w:numFmt w:val="lowerLetter"/>
      <w:start w:val="1"/>
    </w:lvl>
  </w:abstractNum>
  <w:abstractNum w:abstractNumId="185">
    <w:nsid w:val="777A4EAA"/>
    <w:multiLevelType w:val="hybridMultilevel"/>
    <w:lvl w:ilvl="0">
      <w:lvlJc w:val="left"/>
      <w:lvlText w:val="(%1)"/>
      <w:numFmt w:val="lowerLetter"/>
      <w:start w:val="3"/>
    </w:lvl>
  </w:abstractNum>
  <w:abstractNum w:abstractNumId="186">
    <w:nsid w:val="3F48B982"/>
    <w:multiLevelType w:val="hybridMultilevel"/>
    <w:lvl w:ilvl="0">
      <w:lvlJc w:val="left"/>
      <w:lvlText w:val="(%1)"/>
      <w:numFmt w:val="lowerLetter"/>
      <w:start w:val="1"/>
    </w:lvl>
    <w:lvl w:ilvl="1">
      <w:lvlJc w:val="left"/>
      <w:lvlText w:val="(%2)"/>
      <w:numFmt w:val="lowerRoman"/>
      <w:start w:val="1"/>
    </w:lvl>
  </w:abstractNum>
  <w:abstractNum w:abstractNumId="187">
    <w:nsid w:val="46BA8FCA"/>
    <w:multiLevelType w:val="hybridMultilevel"/>
    <w:lvl w:ilvl="0">
      <w:lvlJc w:val="left"/>
      <w:lvlText w:val="(%1)"/>
      <w:numFmt w:val="lowerRoman"/>
      <w:start w:val="3"/>
    </w:lvl>
  </w:abstractNum>
  <w:abstractNum w:abstractNumId="188">
    <w:nsid w:val="7835626C"/>
    <w:multiLevelType w:val="hybridMultilevel"/>
    <w:lvl w:ilvl="0">
      <w:lvlJc w:val="left"/>
      <w:lvlText w:val="%1"/>
      <w:numFmt w:val="upperLetter"/>
      <w:start w:val="1"/>
    </w:lvl>
    <w:lvl w:ilvl="1">
      <w:lvlJc w:val="left"/>
      <w:lvlText w:val="(%2)"/>
      <w:numFmt w:val="lowerRoman"/>
      <w:start w:val="9"/>
    </w:lvl>
  </w:abstractNum>
  <w:abstractNum w:abstractNumId="189">
    <w:nsid w:val="665ACA49"/>
    <w:multiLevelType w:val="hybridMultilevel"/>
    <w:lvl w:ilvl="0">
      <w:lvlJc w:val="left"/>
      <w:lvlText w:val="(%1)"/>
      <w:numFmt w:val="upperLetter"/>
      <w:start w:val="3"/>
    </w:lvl>
    <w:lvl w:ilvl="1">
      <w:lvlJc w:val="left"/>
      <w:lvlText w:val="(%2)"/>
      <w:numFmt w:val="lowerRoman"/>
      <w:start w:val="15"/>
    </w:lvl>
  </w:abstractNum>
  <w:abstractNum w:abstractNumId="190">
    <w:nsid w:val="6835B2AE"/>
    <w:multiLevelType w:val="hybridMultilevel"/>
    <w:lvl w:ilvl="0">
      <w:lvlJc w:val="left"/>
      <w:lvlText w:val="(%1)"/>
      <w:numFmt w:val="lowerLetter"/>
      <w:start w:val="5"/>
    </w:lvl>
  </w:abstractNum>
  <w:abstractNum w:abstractNumId="191">
    <w:nsid w:val="4C187C90"/>
    <w:multiLevelType w:val="hybridMultilevel"/>
    <w:lvl w:ilvl="0">
      <w:lvlJc w:val="left"/>
      <w:lvlText w:val="(%1)"/>
      <w:numFmt w:val="lowerLetter"/>
      <w:start w:val="1"/>
    </w:lvl>
  </w:abstractNum>
  <w:abstractNum w:abstractNumId="192">
    <w:nsid w:val="541F28CD"/>
    <w:multiLevelType w:val="hybridMultilevel"/>
    <w:lvl w:ilvl="0">
      <w:lvlJc w:val="left"/>
      <w:lvlText w:val="(%1)"/>
      <w:numFmt w:val="lowerLetter"/>
      <w:start w:val="1"/>
    </w:lvl>
  </w:abstractNum>
  <w:abstractNum w:abstractNumId="193">
    <w:nsid w:val="7F65FD16"/>
    <w:multiLevelType w:val="hybridMultilevel"/>
    <w:lvl w:ilvl="0">
      <w:lvlJc w:val="left"/>
      <w:lvlText w:val="(%1)"/>
      <w:numFmt w:val="lowerLetter"/>
      <w:start w:val="4"/>
    </w:lvl>
  </w:abstractNum>
  <w:abstractNum w:abstractNumId="194">
    <w:nsid w:val="77C9FD68"/>
    <w:multiLevelType w:val="hybridMultilevel"/>
    <w:lvl w:ilvl="0">
      <w:lvlJc w:val="left"/>
      <w:lvlText w:val="%1"/>
      <w:numFmt w:val="lowerLetter"/>
      <w:start w:val="1"/>
    </w:lvl>
    <w:lvl w:ilvl="1">
      <w:lvlJc w:val="left"/>
      <w:lvlText w:val="(%2)"/>
      <w:numFmt w:val="lowerLetter"/>
      <w:start w:val="15"/>
    </w:lvl>
  </w:abstractNum>
  <w:abstractNum w:abstractNumId="195">
    <w:nsid w:val="298A92BA"/>
    <w:multiLevelType w:val="hybridMultilevel"/>
    <w:lvl w:ilvl="0">
      <w:lvlJc w:val="left"/>
      <w:lvlText w:val="(%1)"/>
      <w:numFmt w:val="lowerLetter"/>
      <w:start w:val="35"/>
    </w:lvl>
    <w:lvl w:ilvl="1">
      <w:lvlJc w:val="left"/>
      <w:lvlText w:val="(%2)"/>
      <w:numFmt w:val="lowerLetter"/>
      <w:start w:val="16"/>
    </w:lvl>
  </w:abstractNum>
  <w:abstractNum w:abstractNumId="196">
    <w:nsid w:val="6FE95EAC"/>
    <w:multiLevelType w:val="hybridMultilevel"/>
    <w:lvl w:ilvl="0">
      <w:lvlJc w:val="left"/>
      <w:lvlText w:val="(%1)"/>
      <w:numFmt w:val="lowerLetter"/>
      <w:start w:val="27"/>
    </w:lvl>
  </w:abstractNum>
  <w:abstractNum w:abstractNumId="197">
    <w:nsid w:val="4B697C7A"/>
    <w:multiLevelType w:val="hybridMultilevel"/>
    <w:lvl w:ilvl="0">
      <w:lvlJc w:val="left"/>
      <w:lvlText w:val="%1"/>
      <w:numFmt w:val="lowerLetter"/>
      <w:start w:val="1"/>
    </w:lvl>
    <w:lvl w:ilvl="1">
      <w:lvlJc w:val="left"/>
      <w:lvlText w:val="(%2)"/>
      <w:numFmt w:val="lowerLetter"/>
      <w:start w:val="1"/>
    </w:lvl>
  </w:abstractNum>
  <w:abstractNum w:abstractNumId="198">
    <w:nsid w:val="51A27AA6"/>
    <w:multiLevelType w:val="hybridMultilevel"/>
    <w:lvl w:ilvl="0">
      <w:lvlJc w:val="left"/>
      <w:lvlText w:val="(%1)"/>
      <w:numFmt w:val="lowerLetter"/>
      <w:start w:val="35"/>
    </w:lvl>
    <w:lvl w:ilvl="1">
      <w:lvlJc w:val="left"/>
      <w:lvlText w:val="%2"/>
      <w:numFmt w:val="lowerLetter"/>
      <w:start w:val="1"/>
    </w:lvl>
  </w:abstractNum>
  <w:abstractNum w:abstractNumId="199">
    <w:nsid w:val="613183F2"/>
    <w:multiLevelType w:val="hybridMultilevel"/>
    <w:lvl w:ilvl="0">
      <w:lvlJc w:val="left"/>
      <w:lvlText w:val="(%1)"/>
      <w:numFmt w:val="lowerLetter"/>
      <w:start w:val="5"/>
    </w:lvl>
    <w:lvl w:ilvl="1">
      <w:lvlJc w:val="left"/>
      <w:lvlText w:val="(%2)"/>
      <w:numFmt w:val="lowerLetter"/>
      <w:start w:val="9"/>
    </w:lvl>
  </w:abstractNum>
  <w:abstractNum w:abstractNumId="200">
    <w:nsid w:val="634102B4"/>
    <w:multiLevelType w:val="hybridMultilevel"/>
    <w:lvl w:ilvl="0">
      <w:lvlJc w:val="left"/>
      <w:lvlText w:val="%1"/>
      <w:numFmt w:val="lowerLetter"/>
      <w:start w:val="1"/>
    </w:lvl>
    <w:lvl w:ilvl="1">
      <w:lvlJc w:val="left"/>
      <w:lvlText w:val="(%2)"/>
      <w:numFmt w:val="lowerLetter"/>
      <w:start w:val="35"/>
    </w:lvl>
  </w:abstractNum>
  <w:abstractNum w:abstractNumId="201">
    <w:nsid w:val="65BF9DA8"/>
    <w:multiLevelType w:val="hybridMultilevel"/>
    <w:lvl w:ilvl="0">
      <w:lvlJc w:val="left"/>
      <w:lvlText w:val="(%1)"/>
      <w:numFmt w:val="lowerLetter"/>
      <w:start w:val="15"/>
    </w:lvl>
    <w:lvl w:ilvl="1">
      <w:lvlJc w:val="left"/>
      <w:lvlText w:val="(%2)"/>
      <w:numFmt w:val="lowerLetter"/>
      <w:start w:val="9"/>
    </w:lvl>
  </w:abstractNum>
  <w:abstractNum w:abstractNumId="202">
    <w:nsid w:val="21A2ECCA"/>
    <w:multiLevelType w:val="hybridMultilevel"/>
    <w:lvl w:ilvl="0">
      <w:lvlJc w:val="left"/>
      <w:lvlText w:val="%1"/>
      <w:numFmt w:val="upperLetter"/>
      <w:start w:val="1"/>
    </w:lvl>
    <w:lvl w:ilvl="1">
      <w:lvlJc w:val="left"/>
      <w:lvlText w:val="(%2)"/>
      <w:numFmt w:val="lowerRoman"/>
      <w:start w:val="2"/>
    </w:lvl>
  </w:abstractNum>
  <w:abstractNum w:abstractNumId="203">
    <w:nsid w:val="4D5C4899"/>
    <w:multiLevelType w:val="hybridMultilevel"/>
    <w:lvl w:ilvl="0">
      <w:lvlJc w:val="left"/>
      <w:lvlText w:val="(%1)"/>
      <w:numFmt w:val="upperLetter"/>
      <w:start w:val="1"/>
    </w:lvl>
    <w:lvl w:ilvl="1">
      <w:lvlJc w:val="left"/>
      <w:lvlText w:val="(%2)"/>
      <w:numFmt w:val="lowerRoman"/>
      <w:start w:val="4"/>
    </w:lvl>
  </w:abstractNum>
  <w:abstractNum w:abstractNumId="204">
    <w:nsid w:val="3C3B72B2"/>
    <w:multiLevelType w:val="hybridMultilevel"/>
    <w:lvl w:ilvl="0">
      <w:lvlJc w:val="left"/>
      <w:lvlText w:val="%1"/>
      <w:numFmt w:val="upperLetter"/>
      <w:start w:val="1"/>
    </w:lvl>
    <w:lvl w:ilvl="1">
      <w:lvlJc w:val="left"/>
      <w:lvlText w:val="(%2)"/>
      <w:numFmt w:val="lowerRoman"/>
      <w:start w:val="5"/>
    </w:lvl>
  </w:abstractNum>
  <w:abstractNum w:abstractNumId="205">
    <w:nsid w:val="155EC4C2"/>
    <w:multiLevelType w:val="hybridMultilevel"/>
    <w:lvl w:ilvl="0">
      <w:lvlJc w:val="left"/>
      <w:lvlText w:val="(%1)"/>
      <w:numFmt w:val="upperLetter"/>
      <w:start w:val="9"/>
    </w:lvl>
    <w:lvl w:ilvl="1">
      <w:lvlJc w:val="left"/>
      <w:lvlText w:val="(%2)"/>
      <w:numFmt w:val="lowerRoman"/>
      <w:start w:val="6"/>
    </w:lvl>
  </w:abstractNum>
  <w:abstractNum w:abstractNumId="206">
    <w:nsid w:val="65D2A137"/>
    <w:multiLevelType w:val="hybridMultilevel"/>
    <w:lvl w:ilvl="0">
      <w:lvlJc w:val="left"/>
      <w:lvlText w:val="(%1)"/>
      <w:numFmt w:val="lowerLetter"/>
      <w:start w:val="17"/>
    </w:lvl>
  </w:abstractNum>
  <w:abstractNum w:abstractNumId="207">
    <w:nsid w:val="6EBB1F2A"/>
    <w:multiLevelType w:val="hybridMultilevel"/>
    <w:lvl w:ilvl="0">
      <w:lvlJc w:val="left"/>
      <w:lvlText w:val="(%1)"/>
      <w:numFmt w:val="lowerLetter"/>
      <w:start w:val="20"/>
    </w:lvl>
  </w:abstractNum>
  <w:abstractNum w:abstractNumId="208">
    <w:nsid w:val="6FBF29CB"/>
    <w:multiLevelType w:val="hybridMultilevel"/>
    <w:lvl w:ilvl="0">
      <w:lvlJc w:val="left"/>
      <w:lvlText w:val="(%1)"/>
      <w:numFmt w:val="lowerLetter"/>
      <w:start w:val="22"/>
    </w:lvl>
    <w:lvl w:ilvl="1">
      <w:lvlJc w:val="left"/>
      <w:lvlText w:val="(%2)"/>
      <w:numFmt w:val="lowerRoman"/>
      <w:start w:val="1"/>
    </w:lvl>
    <w:lvl w:ilvl="2">
      <w:lvlJc w:val="left"/>
      <w:lvlText w:val="(%3)"/>
      <w:numFmt w:val="upperLetter"/>
      <w:start w:val="1"/>
    </w:lvl>
  </w:abstractNum>
  <w:abstractNum w:abstractNumId="209">
    <w:nsid w:val="550B8808"/>
    <w:multiLevelType w:val="hybridMultilevel"/>
    <w:lvl w:ilvl="0">
      <w:lvlJc w:val="left"/>
      <w:lvlText w:val="(%1)"/>
      <w:numFmt w:val="lowerLetter"/>
      <w:start w:val="24"/>
    </w:lvl>
  </w:abstractNum>
  <w:abstractNum w:abstractNumId="210">
    <w:nsid w:val="34CC3ACF"/>
    <w:multiLevelType w:val="hybridMultilevel"/>
    <w:lvl w:ilvl="0">
      <w:lvlJc w:val="left"/>
      <w:lvlText w:val="(%1)"/>
      <w:numFmt w:val="lowerLetter"/>
      <w:start w:val="27"/>
    </w:lvl>
  </w:abstractNum>
  <w:abstractNum w:abstractNumId="211">
    <w:nsid w:val="4E556261"/>
    <w:multiLevelType w:val="hybridMultilevel"/>
    <w:lvl w:ilvl="0">
      <w:lvlJc w:val="left"/>
      <w:lvlText w:val="%1"/>
      <w:numFmt w:val="lowerRoman"/>
      <w:start w:val="1"/>
    </w:lvl>
    <w:lvl w:ilvl="1">
      <w:lvlJc w:val="left"/>
      <w:lvlText w:val="(%2)"/>
      <w:numFmt w:val="lowerLetter"/>
      <w:start w:val="2"/>
    </w:lvl>
  </w:abstractNum>
  <w:abstractNum w:abstractNumId="212">
    <w:nsid w:val="4C672FC9"/>
    <w:multiLevelType w:val="hybridMultilevel"/>
    <w:lvl w:ilvl="0">
      <w:lvlJc w:val="left"/>
      <w:lvlText w:val="(%1)"/>
      <w:numFmt w:val="lowerRoman"/>
      <w:start w:val="4"/>
    </w:lvl>
    <w:lvl w:ilvl="1">
      <w:lvlJc w:val="left"/>
      <w:lvlText w:val="(%2)"/>
      <w:numFmt w:val="lowerLetter"/>
      <w:start w:val="5"/>
    </w:lvl>
  </w:abstractNum>
  <w:abstractNum w:abstractNumId="213">
    <w:nsid w:val="52A311C3"/>
    <w:multiLevelType w:val="hybridMultilevel"/>
    <w:lvl w:ilvl="0">
      <w:lvlJc w:val="left"/>
      <w:lvlText w:val="(%1)"/>
      <w:numFmt w:val="lowerRoman"/>
      <w:start w:val="4"/>
    </w:lvl>
    <w:lvl w:ilvl="1">
      <w:lvlJc w:val="left"/>
      <w:lvlText w:val="(%2)"/>
      <w:numFmt w:val="lowerLetter"/>
      <w:start w:val="7"/>
    </w:lvl>
  </w:abstractNum>
  <w:abstractNum w:abstractNumId="214">
    <w:nsid w:val="44EF6B80"/>
    <w:multiLevelType w:val="hybridMultilevel"/>
    <w:lvl w:ilvl="0">
      <w:lvlJc w:val="left"/>
      <w:lvlText w:val="(%1)"/>
      <w:numFmt w:val="lowerRoman"/>
      <w:start w:val="2"/>
    </w:lvl>
    <w:lvl w:ilvl="1">
      <w:lvlJc w:val="left"/>
      <w:lvlText w:val="(%2)"/>
      <w:numFmt w:val="lowerLetter"/>
      <w:start w:val="8"/>
    </w:lvl>
  </w:abstractNum>
  <w:abstractNum w:abstractNumId="215">
    <w:nsid w:val="12FCDE5E"/>
    <w:multiLevelType w:val="hybridMultilevel"/>
    <w:lvl w:ilvl="0">
      <w:lvlJc w:val="left"/>
      <w:lvlText w:val="(%1)"/>
      <w:numFmt w:val="lowerLetter"/>
      <w:start w:val="10"/>
    </w:lvl>
  </w:abstractNum>
  <w:abstractNum w:abstractNumId="216">
    <w:nsid w:val="4A1D606E"/>
    <w:multiLevelType w:val="hybridMultilevel"/>
    <w:lvl w:ilvl="0">
      <w:lvlJc w:val="left"/>
      <w:lvlText w:val="(%1)"/>
      <w:numFmt w:val="lowerLetter"/>
      <w:start w:val="16"/>
    </w:lvl>
  </w:abstractNum>
  <w:abstractNum w:abstractNumId="217">
    <w:nsid w:val="4382503"/>
    <w:multiLevelType w:val="hybridMultilevel"/>
    <w:lvl w:ilvl="0">
      <w:lvlJc w:val="left"/>
      <w:lvlText w:val="(%1)"/>
      <w:numFmt w:val="lowerLetter"/>
      <w:start w:val="26"/>
    </w:lvl>
  </w:abstractNum>
  <w:abstractNum w:abstractNumId="218">
    <w:nsid w:val="59B76E28"/>
    <w:multiLevelType w:val="hybridMultilevel"/>
    <w:lvl w:ilvl="0">
      <w:lvlJc w:val="left"/>
      <w:lvlText w:val="(%1)"/>
      <w:numFmt w:val="lowerLetter"/>
      <w:start w:val="27"/>
    </w:lvl>
  </w:abstractNum>
  <w:abstractNum w:abstractNumId="219">
    <w:nsid w:val="4252C2D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220">
    <w:nsid w:val="6A92EF4C"/>
    <w:multiLevelType w:val="hybridMultilevel"/>
    <w:lvl w:ilvl="0">
      <w:lvlJc w:val="left"/>
      <w:lvlText w:val="(%1)"/>
      <w:numFmt w:val="upperLetter"/>
      <w:start w:val="3"/>
    </w:lvl>
  </w:abstractNum>
  <w:abstractNum w:abstractNumId="221">
    <w:nsid w:val="41ED20D7"/>
    <w:multiLevelType w:val="hybridMultilevel"/>
    <w:lvl w:ilvl="0">
      <w:lvlJc w:val="left"/>
      <w:lvlText w:val="(%1)"/>
      <w:numFmt w:val="lowerRoman"/>
      <w:start w:val="2"/>
    </w:lvl>
    <w:lvl w:ilvl="1">
      <w:lvlJc w:val="left"/>
      <w:lvlText w:val="(%2)"/>
      <w:numFmt w:val="upperLetter"/>
      <w:start w:val="1"/>
    </w:lvl>
  </w:abstractNum>
  <w:abstractNum w:abstractNumId="222">
    <w:nsid w:val="E6B3F6A"/>
    <w:multiLevelType w:val="hybridMultilevel"/>
    <w:lvl w:ilvl="0">
      <w:lvlJc w:val="left"/>
      <w:lvlText w:val="%1"/>
      <w:numFmt w:val="upperLetter"/>
      <w:start w:val="1"/>
    </w:lvl>
    <w:lvl w:ilvl="1">
      <w:lvlJc w:val="left"/>
      <w:lvlText w:val="(%2)"/>
      <w:numFmt w:val="lowerRoman"/>
      <w:start w:val="5"/>
    </w:lvl>
  </w:abstractNum>
  <w:abstractNum w:abstractNumId="223">
    <w:nsid w:val="3EB21819"/>
    <w:multiLevelType w:val="hybridMultilevel"/>
    <w:lvl w:ilvl="0">
      <w:lvlJc w:val="left"/>
      <w:lvlText w:val="(%1)"/>
      <w:numFmt w:val="upperLetter"/>
      <w:start w:val="2"/>
    </w:lvl>
    <w:lvl w:ilvl="1">
      <w:lvlJc w:val="left"/>
      <w:lvlText w:val="(%2)"/>
      <w:numFmt w:val="lowerRoman"/>
      <w:start w:val="7"/>
    </w:lvl>
  </w:abstractNum>
  <w:abstractNum w:abstractNumId="224">
    <w:nsid w:val="41531DED"/>
    <w:multiLevelType w:val="hybridMultilevel"/>
    <w:lvl w:ilvl="0">
      <w:lvlJc w:val="left"/>
      <w:lvlText w:val="(%1)"/>
      <w:numFmt w:val="upperLetter"/>
      <w:start w:val="1"/>
    </w:lvl>
    <w:lvl w:ilvl="1">
      <w:lvlJc w:val="left"/>
      <w:lvlText w:val="(%2)"/>
      <w:numFmt w:val="lowerRoman"/>
      <w:start w:val="9"/>
    </w:lvl>
  </w:abstractNum>
  <w:abstractNum w:abstractNumId="225">
    <w:nsid w:val="6353CD2"/>
    <w:multiLevelType w:val="hybridMultilevel"/>
    <w:lvl w:ilvl="0">
      <w:lvlJc w:val="left"/>
      <w:lvlText w:val="(%1)"/>
      <w:numFmt w:val="lowerLetter"/>
      <w:start w:val="2"/>
    </w:lvl>
    <w:lvl w:ilvl="1">
      <w:lvlJc w:val="left"/>
      <w:lvlText w:val="(%2)"/>
      <w:numFmt w:val="lowerRoman"/>
      <w:start w:val="1"/>
    </w:lvl>
  </w:abstractNum>
  <w:abstractNum w:abstractNumId="226">
    <w:nsid w:val="683CAAD3"/>
    <w:multiLevelType w:val="hybridMultilevel"/>
    <w:lvl w:ilvl="0">
      <w:lvlJc w:val="left"/>
      <w:lvlText w:val="(%1)"/>
      <w:numFmt w:val="lowerLetter"/>
      <w:start w:val="1"/>
    </w:lvl>
  </w:abstractNum>
  <w:abstractNum w:abstractNumId="227">
    <w:nsid w:val="313C7C99"/>
    <w:multiLevelType w:val="hybridMultilevel"/>
    <w:lvl w:ilvl="0">
      <w:lvlJc w:val="left"/>
      <w:lvlText w:val="(%1)"/>
      <w:numFmt w:val="lowerLetter"/>
      <w:start w:val="12"/>
    </w:lvl>
  </w:abstractNum>
  <w:abstractNum w:abstractNumId="228">
    <w:nsid w:val="519EB94C"/>
    <w:multiLevelType w:val="hybridMultilevel"/>
    <w:lvl w:ilvl="0">
      <w:lvlJc w:val="left"/>
      <w:lvlText w:val="%1"/>
      <w:numFmt w:val="lowerLetter"/>
      <w:start w:val="1"/>
    </w:lvl>
    <w:lvl w:ilvl="1">
      <w:lvlJc w:val="left"/>
      <w:lvlText w:val="(%2)"/>
      <w:numFmt w:val="lowerLetter"/>
      <w:start w:val="1"/>
    </w:lvl>
  </w:abstractNum>
  <w:abstractNum w:abstractNumId="229">
    <w:nsid w:val="39DF2579"/>
    <w:multiLevelType w:val="hybridMultilevel"/>
    <w:lvl w:ilvl="0">
      <w:lvlJc w:val="left"/>
      <w:lvlText w:val="(%1)"/>
      <w:numFmt w:val="lowerLetter"/>
      <w:start w:val="7"/>
    </w:lvl>
    <w:lvl w:ilvl="1">
      <w:lvlJc w:val="left"/>
      <w:lvlText w:val="%2"/>
      <w:numFmt w:val="lowerLetter"/>
      <w:start w:val="1"/>
    </w:lvl>
  </w:abstractNum>
  <w:abstractNum w:abstractNumId="230">
    <w:nsid w:val="126E008B"/>
    <w:multiLevelType w:val="hybridMultilevel"/>
    <w:lvl w:ilvl="0">
      <w:lvlJc w:val="left"/>
      <w:lvlText w:val="(%1)"/>
      <w:numFmt w:val="lowerLetter"/>
      <w:start w:val="5"/>
    </w:lvl>
  </w:abstractNum>
  <w:abstractNum w:abstractNumId="231">
    <w:nsid w:val="34DFBC00"/>
    <w:multiLevelType w:val="hybridMultilevel"/>
    <w:lvl w:ilvl="0">
      <w:lvlJc w:val="left"/>
      <w:lvlText w:val="%1"/>
      <w:numFmt w:val="lowerLetter"/>
      <w:start w:val="1"/>
    </w:lvl>
    <w:lvl w:ilvl="1">
      <w:lvlJc w:val="left"/>
      <w:lvlText w:val="(%2)"/>
      <w:numFmt w:val="lowerLetter"/>
      <w:start w:val="11"/>
    </w:lvl>
  </w:abstractNum>
  <w:abstractNum w:abstractNumId="232">
    <w:nsid w:val="1F9EC322"/>
    <w:multiLevelType w:val="hybridMultilevel"/>
    <w:lvl w:ilvl="0">
      <w:lvlJc w:val="left"/>
      <w:lvlText w:val="(%1)"/>
      <w:numFmt w:val="lowerLetter"/>
      <w:start w:val="61"/>
    </w:lvl>
    <w:lvl w:ilvl="1">
      <w:lvlJc w:val="left"/>
      <w:lvlText w:val="(%2)"/>
      <w:numFmt w:val="lowerLetter"/>
      <w:start w:val="12"/>
    </w:lvl>
  </w:abstractNum>
  <w:abstractNum w:abstractNumId="233">
    <w:nsid w:val="3410ED56"/>
    <w:multiLevelType w:val="hybridMultilevel"/>
    <w:lvl w:ilvl="0">
      <w:lvlJc w:val="left"/>
      <w:lvlText w:val="(%1)"/>
      <w:numFmt w:val="lowerLetter"/>
      <w:start w:val="35"/>
    </w:lvl>
    <w:lvl w:ilvl="1">
      <w:lvlJc w:val="left"/>
      <w:lvlText w:val="(%2)"/>
      <w:numFmt w:val="lowerLetter"/>
      <w:start w:val="13"/>
    </w:lvl>
  </w:abstractNum>
  <w:abstractNum w:abstractNumId="234">
    <w:nsid w:val="23C049A"/>
    <w:multiLevelType w:val="hybridMultilevel"/>
    <w:lvl w:ilvl="0">
      <w:lvlJc w:val="left"/>
      <w:lvlText w:val="(%1)"/>
      <w:numFmt w:val="lowerLetter"/>
      <w:start w:val="14"/>
    </w:lvl>
    <w:lvl w:ilvl="1">
      <w:lvlJc w:val="left"/>
      <w:lvlText w:val="(%2)"/>
      <w:numFmt w:val="lowerRoman"/>
      <w:start w:val="1"/>
    </w:lvl>
  </w:abstractNum>
  <w:abstractNum w:abstractNumId="235">
    <w:nsid w:val="5BDA35D4"/>
    <w:multiLevelType w:val="hybridMultilevel"/>
    <w:lvl w:ilvl="0">
      <w:lvlJc w:val="left"/>
      <w:lvlText w:val="(%1)"/>
      <w:numFmt w:val="lowerLetter"/>
      <w:start w:val="21"/>
    </w:lvl>
  </w:abstractNum>
  <w:abstractNum w:abstractNumId="236">
    <w:nsid w:val="496FB218"/>
    <w:multiLevelType w:val="hybridMultilevel"/>
    <w:lvl w:ilvl="0">
      <w:lvlJc w:val="left"/>
      <w:lvlText w:val="(%1)"/>
      <w:numFmt w:val="lowerLetter"/>
      <w:start w:val="27"/>
    </w:lvl>
  </w:abstractNum>
  <w:abstractNum w:abstractNumId="237">
    <w:nsid w:val="680EA5D1"/>
    <w:multiLevelType w:val="hybridMultilevel"/>
    <w:lvl w:ilvl="0">
      <w:lvlJc w:val="left"/>
      <w:lvlText w:val="%1"/>
      <w:numFmt w:val="lowerLetter"/>
      <w:start w:val="1"/>
    </w:lvl>
    <w:lvl w:ilvl="1">
      <w:lvlJc w:val="left"/>
      <w:lvlText w:val="(%2)"/>
      <w:numFmt w:val="lowerLetter"/>
      <w:start w:val="34"/>
    </w:lvl>
  </w:abstractNum>
  <w:abstractNum w:abstractNumId="238">
    <w:nsid w:val="4A9554FE"/>
    <w:multiLevelType w:val="hybridMultilevel"/>
    <w:lvl w:ilvl="0">
      <w:lvlJc w:val="left"/>
      <w:lvlText w:val="(%1)"/>
      <w:numFmt w:val="lowerLetter"/>
      <w:start w:val="25"/>
    </w:lvl>
    <w:lvl w:ilvl="1">
      <w:lvlJc w:val="left"/>
      <w:lvlText w:val="(%2)"/>
      <w:numFmt w:val="lowerLetter"/>
      <w:start w:val="35"/>
    </w:lvl>
  </w:abstractNum>
  <w:abstractNum w:abstractNumId="239">
    <w:nsid w:val="392EDBE4"/>
    <w:multiLevelType w:val="hybridMultilevel"/>
    <w:lvl w:ilvl="0">
      <w:lvlJc w:val="left"/>
      <w:lvlText w:val="(%1)"/>
      <w:numFmt w:val="lowerLetter"/>
      <w:start w:val="1"/>
    </w:lvl>
    <w:lvl w:ilvl="1">
      <w:lvlJc w:val="left"/>
      <w:lvlText w:val="(%2)"/>
      <w:numFmt w:val="lowerRoman"/>
      <w:start w:val="1"/>
    </w:lvl>
  </w:abstractNum>
  <w:abstractNum w:abstractNumId="240">
    <w:nsid w:val="3D1A2DD9"/>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241">
    <w:nsid w:val="7F618FCD"/>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242">
    <w:nsid w:val="7843E45"/>
    <w:multiLevelType w:val="hybridMultilevel"/>
    <w:lvl w:ilvl="0">
      <w:lvlJc w:val="left"/>
      <w:lvlText w:val="(%1)"/>
      <w:numFmt w:val="upperLetter"/>
      <w:start w:val="2"/>
    </w:lvl>
  </w:abstractNum>
  <w:abstractNum w:abstractNumId="243">
    <w:nsid w:val="9815DA3"/>
    <w:multiLevelType w:val="hybridMultilevel"/>
    <w:lvl w:ilvl="0">
      <w:lvlJc w:val="left"/>
      <w:lvlText w:val="%1"/>
      <w:numFmt w:val="lowerRoman"/>
      <w:start w:val="1"/>
    </w:lvl>
    <w:lvl w:ilvl="1">
      <w:lvlJc w:val="left"/>
      <w:lvlText w:val="(%2)"/>
      <w:numFmt w:val="lowerRoman"/>
      <w:start w:val="1"/>
    </w:lvl>
  </w:abstractNum>
  <w:abstractNum w:abstractNumId="244">
    <w:nsid w:val="5204A191"/>
    <w:multiLevelType w:val="hybridMultilevel"/>
    <w:lvl w:ilvl="0">
      <w:lvlJc w:val="left"/>
      <w:lvlText w:val="(%1)"/>
      <w:numFmt w:val="lowerRoman"/>
      <w:start w:val="2"/>
    </w:lvl>
    <w:lvl w:ilvl="1">
      <w:lvlJc w:val="left"/>
      <w:lvlText w:val="%2"/>
      <w:numFmt w:val="lowerRoman"/>
      <w:start w:val="1"/>
    </w:lvl>
  </w:abstractNum>
  <w:abstractNum w:abstractNumId="245">
    <w:nsid w:val="4C73A9C6"/>
    <w:multiLevelType w:val="hybridMultilevel"/>
    <w:lvl w:ilvl="0">
      <w:lvlJc w:val="left"/>
      <w:lvlText w:val="(%1)"/>
      <w:numFmt w:val="lowerLetter"/>
      <w:start w:val="10"/>
    </w:lvl>
  </w:abstractNum>
  <w:abstractNum w:abstractNumId="246">
    <w:nsid w:val="1C7E3C01"/>
    <w:multiLevelType w:val="hybridMultilevel"/>
    <w:lvl w:ilvl="0">
      <w:lvlJc w:val="left"/>
      <w:lvlText w:val="(%1)"/>
      <w:numFmt w:val="lowerLetter"/>
      <w:start w:val="18"/>
    </w:lvl>
  </w:abstractNum>
  <w:abstractNum w:abstractNumId="247">
    <w:nsid w:val="1C2201FF"/>
    <w:multiLevelType w:val="hybridMultilevel"/>
    <w:lvl w:ilvl="0">
      <w:lvlJc w:val="left"/>
      <w:lvlText w:val="(%1)"/>
      <w:numFmt w:val="lowerLetter"/>
      <w:start w:val="27"/>
    </w:lvl>
  </w:abstractNum>
  <w:abstractNum w:abstractNumId="248">
    <w:nsid w:val="50ABCEC9"/>
    <w:multiLevelType w:val="hybridMultilevel"/>
    <w:lvl w:ilvl="0">
      <w:lvlJc w:val="left"/>
      <w:lvlText w:val="(%1)"/>
      <w:numFmt w:val="lowerLetter"/>
      <w:start w:val="31"/>
    </w:lvl>
  </w:abstractNum>
  <w:abstractNum w:abstractNumId="249">
    <w:nsid w:val="7635AA2A"/>
    <w:multiLevelType w:val="hybridMultilevel"/>
    <w:lvl w:ilvl="0">
      <w:lvlJc w:val="left"/>
      <w:lvlText w:val="(%1)"/>
      <w:numFmt w:val="lowerLetter"/>
      <w:start w:val="1"/>
    </w:lvl>
  </w:abstractNum>
  <w:abstractNum w:abstractNumId="250">
    <w:nsid w:val="5E74C4D9"/>
    <w:multiLevelType w:val="hybridMultilevel"/>
    <w:lvl w:ilvl="0">
      <w:lvlJc w:val="left"/>
      <w:lvlText w:val="(%1)"/>
      <w:numFmt w:val="upperLetter"/>
      <w:start w:val="3"/>
    </w:lvl>
  </w:abstractNum>
  <w:abstractNum w:abstractNumId="251">
    <w:nsid w:val="3B3EBE15"/>
    <w:multiLevelType w:val="hybridMultilevel"/>
    <w:lvl w:ilvl="0">
      <w:lvlJc w:val="left"/>
      <w:lvlText w:val="(%1)"/>
      <w:numFmt w:val="upperLetter"/>
      <w:start w:val="2"/>
    </w:lvl>
  </w:abstractNum>
  <w:abstractNum w:abstractNumId="252">
    <w:nsid w:val="3822CB01"/>
    <w:multiLevelType w:val="hybridMultilevel"/>
    <w:lvl w:ilvl="0">
      <w:lvlJc w:val="left"/>
      <w:lvlText w:val="(%1)"/>
      <w:numFmt w:val="upperLetter"/>
      <w:start w:val="1"/>
    </w:lvl>
  </w:abstractNum>
  <w:abstractNum w:abstractNumId="253">
    <w:nsid w:val="6CE00443"/>
    <w:multiLevelType w:val="hybridMultilevel"/>
    <w:lvl w:ilvl="0">
      <w:lvlJc w:val="left"/>
      <w:lvlText w:val="(%1)"/>
      <w:numFmt w:val="lowerLetter"/>
      <w:start w:val="1"/>
    </w:lvl>
  </w:abstractNum>
  <w:abstractNum w:abstractNumId="254">
    <w:nsid w:val="79F0D62F"/>
    <w:multiLevelType w:val="hybridMultilevel"/>
    <w:lvl w:ilvl="0">
      <w:lvlJc w:val="left"/>
      <w:lvlText w:val="(%1)"/>
      <w:numFmt w:val="lowerRoman"/>
      <w:start w:val="1"/>
    </w:lvl>
  </w:abstractNum>
  <w:abstractNum w:abstractNumId="255">
    <w:nsid w:val="7975E8EE"/>
    <w:multiLevelType w:val="hybridMultilevel"/>
    <w:lvl w:ilvl="0">
      <w:lvlJc w:val="left"/>
      <w:lvlText w:val="%1"/>
      <w:numFmt w:val="lowerLetter"/>
      <w:start w:val="1"/>
    </w:lvl>
    <w:lvl w:ilvl="1">
      <w:lvlJc w:val="left"/>
      <w:lvlText w:val="(%2)"/>
      <w:numFmt w:val="lowerLetter"/>
      <w:start w:val="1"/>
    </w:lvl>
  </w:abstractNum>
  <w:abstractNum w:abstractNumId="256">
    <w:nsid w:val="73154115"/>
    <w:multiLevelType w:val="hybridMultilevel"/>
    <w:lvl w:ilvl="0">
      <w:lvlJc w:val="left"/>
      <w:lvlText w:val="(%1)"/>
      <w:numFmt w:val="lowerLetter"/>
      <w:start w:val="24"/>
    </w:lvl>
    <w:lvl w:ilvl="1">
      <w:lvlJc w:val="left"/>
      <w:lvlText w:val="%2"/>
      <w:numFmt w:val="lowerLetter"/>
      <w:start w:val="1"/>
    </w:lvl>
  </w:abstractNum>
  <w:abstractNum w:abstractNumId="257">
    <w:nsid w:val="622D8102"/>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58">
    <w:nsid w:val="2AB26587"/>
    <w:multiLevelType w:val="hybridMultilevel"/>
    <w:lvl w:ilvl="0">
      <w:lvlJc w:val="left"/>
      <w:lvlText w:val="(%1)"/>
      <w:numFmt w:val="lowerLetter"/>
      <w:start w:val="25"/>
    </w:lvl>
    <w:lvl w:ilvl="1">
      <w:lvlJc w:val="left"/>
      <w:lvlText w:val="(%2)"/>
      <w:numFmt w:val="lowerLetter"/>
      <w:start w:val="3"/>
    </w:lvl>
    <w:lvl w:ilvl="2">
      <w:lvlJc w:val="left"/>
      <w:lvlText w:val="(%3)"/>
      <w:numFmt w:val="lowerRoman"/>
      <w:start w:val="1"/>
    </w:lvl>
  </w:abstractNum>
  <w:abstractNum w:abstractNumId="259">
    <w:nsid w:val="44B3FA61"/>
    <w:multiLevelType w:val="hybridMultilevel"/>
    <w:lvl w:ilvl="0">
      <w:lvlJc w:val="left"/>
      <w:lvlText w:val="(%1)"/>
      <w:numFmt w:val="lowerLetter"/>
      <w:start w:val="5"/>
    </w:lvl>
  </w:abstractNum>
  <w:abstractNum w:abstractNumId="260">
    <w:nsid w:val="1C0CA67C"/>
    <w:multiLevelType w:val="hybridMultilevel"/>
    <w:lvl w:ilvl="0">
      <w:lvlJc w:val="left"/>
      <w:lvlText w:val="%1"/>
      <w:numFmt w:val="lowerLetter"/>
      <w:start w:val="1"/>
    </w:lvl>
    <w:lvl w:ilvl="1">
      <w:lvlJc w:val="left"/>
      <w:lvlText w:val="(%2)"/>
      <w:numFmt w:val="lowerLetter"/>
      <w:start w:val="11"/>
    </w:lvl>
  </w:abstractNum>
  <w:abstractNum w:abstractNumId="261">
    <w:nsid w:val="3D206613"/>
    <w:multiLevelType w:val="hybridMultilevel"/>
    <w:lvl w:ilvl="0">
      <w:lvlJc w:val="left"/>
      <w:lvlText w:val="(%1)"/>
      <w:numFmt w:val="lowerLetter"/>
      <w:start w:val="61"/>
    </w:lvl>
    <w:lvl w:ilvl="1">
      <w:lvlJc w:val="left"/>
      <w:lvlText w:val="(%2)"/>
      <w:numFmt w:val="lowerLetter"/>
      <w:start w:val="12"/>
    </w:lvl>
  </w:abstractNum>
  <w:abstractNum w:abstractNumId="262">
    <w:nsid w:val="7993B662"/>
    <w:multiLevelType w:val="hybridMultilevel"/>
    <w:lvl w:ilvl="0">
      <w:lvlJc w:val="left"/>
      <w:lvlText w:val="(%1)"/>
      <w:numFmt w:val="lowerLetter"/>
      <w:start w:val="1"/>
    </w:lvl>
  </w:abstractNum>
  <w:abstractNum w:abstractNumId="263">
    <w:nsid w:val="3BAB699E"/>
    <w:multiLevelType w:val="hybridMultilevel"/>
    <w:lvl w:ilvl="0">
      <w:lvlJc w:val="left"/>
      <w:lvlText w:val="(%1)"/>
      <w:numFmt w:val="lowerLetter"/>
      <w:start w:val="4"/>
    </w:lvl>
  </w:abstractNum>
  <w:abstractNum w:abstractNumId="264">
    <w:nsid w:val="71315369"/>
    <w:multiLevelType w:val="hybridMultilevel"/>
    <w:lvl w:ilvl="0">
      <w:lvlJc w:val="left"/>
      <w:lvlText w:val="%1"/>
      <w:numFmt w:val="upperLetter"/>
      <w:start w:val="1"/>
    </w:lvl>
    <w:lvl w:ilvl="1">
      <w:lvlJc w:val="left"/>
      <w:lvlText w:val="(%2)"/>
      <w:numFmt w:val="lowerLetter"/>
      <w:start w:val="1"/>
    </w:lvl>
  </w:abstractNum>
  <w:abstractNum w:abstractNumId="265">
    <w:nsid w:val="7BCFBAFC"/>
    <w:multiLevelType w:val="hybridMultilevel"/>
    <w:lvl w:ilvl="0">
      <w:lvlJc w:val="left"/>
      <w:lvlText w:val="(%1)"/>
      <w:numFmt w:val="upperLetter"/>
      <w:start w:val="2"/>
    </w:lvl>
    <w:lvl w:ilvl="1">
      <w:lvlJc w:val="left"/>
      <w:lvlText w:val="(%2)"/>
      <w:numFmt w:val="lowerLetter"/>
      <w:start w:val="2"/>
    </w:lvl>
  </w:abstractNum>
  <w:abstractNum w:abstractNumId="266">
    <w:nsid w:val="17859F72"/>
    <w:multiLevelType w:val="hybridMultilevel"/>
    <w:lvl w:ilvl="0">
      <w:lvlJc w:val="left"/>
      <w:lvlText w:val="(%1)"/>
      <w:numFmt w:val="lowerLetter"/>
      <w:start w:val="3"/>
    </w:lvl>
  </w:abstractNum>
  <w:abstractNum w:abstractNumId="267">
    <w:nsid w:val="3AA10581"/>
    <w:multiLevelType w:val="hybridMultilevel"/>
    <w:lvl w:ilvl="0">
      <w:lvlJc w:val="left"/>
      <w:lvlText w:val="(%1)"/>
      <w:numFmt w:val="lowerLetter"/>
      <w:start w:val="1"/>
    </w:lvl>
  </w:abstractNum>
  <w:abstractNum w:abstractNumId="268">
    <w:nsid w:val="63DE60CD"/>
    <w:multiLevelType w:val="hybridMultilevel"/>
    <w:lvl w:ilvl="0">
      <w:lvlJc w:val="left"/>
      <w:lvlText w:val="(%1)"/>
      <w:numFmt w:val="lowerLetter"/>
      <w:start w:val="2"/>
    </w:lvl>
  </w:abstractNum>
  <w:abstractNum w:abstractNumId="269">
    <w:nsid w:val="621AF471"/>
    <w:multiLevelType w:val="hybridMultilevel"/>
    <w:lvl w:ilvl="0">
      <w:lvlJc w:val="left"/>
      <w:lvlText w:val="(%1)"/>
      <w:numFmt w:val="lowerRoman"/>
      <w:start w:val="2"/>
    </w:lvl>
  </w:abstractNum>
  <w:abstractNum w:abstractNumId="270">
    <w:nsid w:val="73CFE165"/>
    <w:multiLevelType w:val="hybridMultilevel"/>
    <w:lvl w:ilvl="0">
      <w:lvlJc w:val="left"/>
      <w:lvlText w:val="%1"/>
      <w:numFmt w:val="lowerLetter"/>
      <w:start w:val="1"/>
    </w:lvl>
    <w:lvl w:ilvl="1">
      <w:lvlJc w:val="left"/>
      <w:lvlText w:val="(%2)"/>
      <w:numFmt w:val="lowerLetter"/>
      <w:start w:val="1"/>
    </w:lvl>
  </w:abstractNum>
  <w:abstractNum w:abstractNumId="271">
    <w:nsid w:val="20F88EA6"/>
    <w:multiLevelType w:val="hybridMultilevel"/>
    <w:lvl w:ilvl="0">
      <w:lvlJc w:val="left"/>
      <w:lvlText w:val="(%1)"/>
      <w:numFmt w:val="lowerLetter"/>
      <w:start w:val="9"/>
    </w:lvl>
    <w:lvl w:ilvl="1">
      <w:lvlJc w:val="left"/>
      <w:lvlText w:val="(%2)"/>
      <w:numFmt w:val="lowerLetter"/>
      <w:start w:val="2"/>
    </w:lvl>
  </w:abstractNum>
  <w:abstractNum w:abstractNumId="272">
    <w:nsid w:val="617C843E"/>
    <w:multiLevelType w:val="hybridMultilevel"/>
    <w:lvl w:ilvl="0">
      <w:lvlJc w:val="left"/>
      <w:lvlText w:val="(%1)"/>
      <w:numFmt w:val="upperLetter"/>
      <w:start w:val="3"/>
    </w:lvl>
    <w:lvl w:ilvl="1">
      <w:lvlJc w:val="left"/>
      <w:lvlText w:val="(%2)"/>
      <w:numFmt w:val="lowerLetter"/>
      <w:start w:val="3"/>
    </w:lvl>
  </w:abstractNum>
  <w:abstractNum w:abstractNumId="273">
    <w:nsid w:val="7B541FAB"/>
    <w:multiLevelType w:val="hybridMultilevel"/>
    <w:lvl w:ilvl="0">
      <w:lvlJc w:val="left"/>
      <w:lvlText w:val="(%1)"/>
      <w:numFmt w:val="lowerLetter"/>
      <w:start w:val="1"/>
    </w:lvl>
  </w:abstractNum>
  <w:abstractNum w:abstractNumId="274">
    <w:nsid w:val="2A79EC49"/>
    <w:multiLevelType w:val="hybridMultilevel"/>
    <w:lvl w:ilvl="0">
      <w:lvlJc w:val="left"/>
      <w:lvlText w:val="(%1)"/>
      <w:numFmt w:val="lowerLetter"/>
      <w:start w:val="1"/>
    </w:lvl>
  </w:abstractNum>
  <w:abstractNum w:abstractNumId="275">
    <w:nsid w:val="338125CF"/>
    <w:multiLevelType w:val="hybridMultilevel"/>
    <w:lvl w:ilvl="0">
      <w:lvlJc w:val="left"/>
      <w:lvlText w:val="%1"/>
      <w:numFmt w:val="lowerLetter"/>
      <w:start w:val="1"/>
    </w:lvl>
    <w:lvl w:ilvl="1">
      <w:lvlJc w:val="left"/>
      <w:lvlText w:val="(%2)"/>
      <w:numFmt w:val="lowerLetter"/>
      <w:start w:val="2"/>
    </w:lvl>
  </w:abstractNum>
  <w:abstractNum w:abstractNumId="276">
    <w:nsid w:val="47C7C971"/>
    <w:multiLevelType w:val="hybridMultilevel"/>
    <w:lvl w:ilvl="0">
      <w:lvlJc w:val="left"/>
      <w:lvlText w:val="(%1)"/>
      <w:numFmt w:val="lowerLetter"/>
      <w:start w:val="24"/>
    </w:lvl>
    <w:lvl w:ilvl="1">
      <w:lvlJc w:val="left"/>
      <w:lvlText w:val="(%2)"/>
      <w:numFmt w:val="lowerLetter"/>
      <w:start w:val="4"/>
    </w:lvl>
  </w:abstractNum>
  <w:abstractNum w:abstractNumId="277">
    <w:nsid w:val="46F8284B"/>
    <w:multiLevelType w:val="hybridMultilevel"/>
    <w:lvl w:ilvl="0">
      <w:lvlJc w:val="left"/>
      <w:lvlText w:val="(%1)"/>
      <w:numFmt w:val="lowerLetter"/>
      <w:start w:val="6"/>
    </w:lvl>
  </w:abstractNum>
  <w:abstractNum w:abstractNumId="278">
    <w:nsid w:val="4FA327CE"/>
    <w:multiLevelType w:val="hybridMultilevel"/>
    <w:lvl w:ilvl="0">
      <w:lvlJc w:val="left"/>
      <w:lvlText w:val="(%1)"/>
      <w:numFmt w:val="lowerLetter"/>
      <w:start w:val="1"/>
    </w:lvl>
    <w:lvl w:ilvl="1">
      <w:lvlJc w:val="left"/>
      <w:lvlText w:val="(%2)"/>
      <w:numFmt w:val="lowerLetter"/>
      <w:start w:val="9"/>
    </w:lvl>
  </w:abstractNum>
  <w:abstractNum w:abstractNumId="279">
    <w:nsid w:val="1873983A"/>
    <w:multiLevelType w:val="hybridMultilevel"/>
    <w:lvl w:ilvl="0">
      <w:lvlJc w:val="left"/>
      <w:lvlText w:val="(%1)"/>
      <w:numFmt w:val="lowerRoman"/>
      <w:start w:val="2"/>
    </w:lvl>
  </w:abstractNum>
  <w:abstractNum w:abstractNumId="280">
    <w:nsid w:val="3D2DD275"/>
    <w:multiLevelType w:val="hybridMultilevel"/>
    <w:lvl w:ilvl="0">
      <w:lvlJc w:val="left"/>
      <w:lvlText w:val="(%1)"/>
      <w:numFmt w:val="lowerRoman"/>
      <w:start w:val="4"/>
    </w:lvl>
  </w:abstractNum>
  <w:abstractNum w:abstractNumId="281">
    <w:nsid w:val="2E17ECA7"/>
    <w:multiLevelType w:val="hybridMultilevel"/>
    <w:lvl w:ilvl="0">
      <w:lvlJc w:val="left"/>
      <w:lvlText w:val="(%1)"/>
      <w:numFmt w:val="lowerLetter"/>
      <w:start w:val="2"/>
    </w:lvl>
  </w:abstractNum>
  <w:abstractNum w:abstractNumId="282">
    <w:nsid w:val="53B2564F"/>
    <w:multiLevelType w:val="hybridMultilevel"/>
    <w:lvl w:ilvl="0">
      <w:lvlJc w:val="left"/>
      <w:lvlText w:val="(%1)"/>
      <w:numFmt w:val="lowerLetter"/>
      <w:start w:val="1"/>
    </w:lvl>
    <w:lvl w:ilvl="1">
      <w:lvlJc w:val="left"/>
      <w:lvlText w:val="(%2)"/>
      <w:numFmt w:val="upperLetter"/>
      <w:start w:val="1"/>
    </w:lvl>
  </w:abstractNum>
  <w:abstractNum w:abstractNumId="283">
    <w:nsid w:val="75509D76"/>
    <w:multiLevelType w:val="hybridMultilevel"/>
    <w:lvl w:ilvl="0">
      <w:lvlJc w:val="left"/>
      <w:lvlText w:val="%1"/>
      <w:numFmt w:val="upperLetter"/>
      <w:start w:val="1"/>
    </w:lvl>
    <w:lvl w:ilvl="1">
      <w:lvlJc w:val="left"/>
      <w:lvlText w:val="(%2)"/>
      <w:numFmt w:val="decimal"/>
      <w:start w:val="1"/>
    </w:lvl>
  </w:abstractNum>
  <w:abstractNum w:abstractNumId="284">
    <w:nsid w:val="1AF7F0EA"/>
    <w:multiLevelType w:val="hybridMultilevel"/>
    <w:lvl w:ilvl="0">
      <w:lvlJc w:val="left"/>
      <w:lvlText w:val="(%1)"/>
      <w:numFmt w:val="upperLetter"/>
      <w:start w:val="2"/>
    </w:lvl>
    <w:lvl w:ilvl="1">
      <w:lvlJc w:val="left"/>
      <w:lvlText w:val="(%2)"/>
      <w:numFmt w:val="decimal"/>
      <w:start w:val="1"/>
    </w:lvl>
  </w:abstractNum>
  <w:abstractNum w:abstractNumId="285">
    <w:nsid w:val="4DA32C7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1"/>
    </w:lvl>
    <w:lvl w:ilvl="4">
      <w:lvlJc w:val="left"/>
      <w:lvlText w:val="(%5)"/>
      <w:numFmt w:val="decimal"/>
      <w:start w:val="2"/>
    </w:lvl>
  </w:abstractNum>
  <w:abstractNum w:abstractNumId="286">
    <w:nsid w:val="6EC6866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61"/>
    </w:lvl>
    <w:lvl w:ilvl="4">
      <w:lvlJc w:val="left"/>
      <w:lvlText w:val="(%5)"/>
      <w:numFmt w:val="decimal"/>
      <w:start w:val="3"/>
    </w:lvl>
  </w:abstractNum>
  <w:abstractNum w:abstractNumId="287">
    <w:nsid w:val="E0D31F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lvl w:ilvl="3">
      <w:lvlJc w:val="left"/>
      <w:lvlText w:val="%4"/>
      <w:numFmt w:val="upperLetter"/>
      <w:start w:val="1"/>
    </w:lvl>
    <w:lvl w:ilvl="4">
      <w:lvlJc w:val="left"/>
      <w:lvlText w:val="%5"/>
      <w:numFmt w:val="decimal"/>
      <w:start w:val="1"/>
    </w:lvl>
  </w:abstractNum>
  <w:abstractNum w:abstractNumId="288">
    <w:nsid w:val="2FD0AD81"/>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lvl w:ilvl="3">
      <w:lvlJc w:val="left"/>
      <w:lvlText w:val="%4"/>
      <w:numFmt w:val="upperLetter"/>
      <w:start w:val="1"/>
    </w:lvl>
    <w:lvl w:ilvl="4">
      <w:lvlJc w:val="left"/>
      <w:lvlText w:val="%5"/>
      <w:numFmt w:val="decimal"/>
      <w:start w:val="1"/>
    </w:lvl>
  </w:abstractNum>
  <w:abstractNum w:abstractNumId="289">
    <w:nsid w:val="1978EBEB"/>
    <w:multiLevelType w:val="hybridMultilevel"/>
    <w:lvl w:ilvl="0">
      <w:lvlJc w:val="left"/>
      <w:lvlText w:val="(%1)"/>
      <w:numFmt w:val="upperLetter"/>
      <w:start w:val="2"/>
    </w:lvl>
  </w:abstractNum>
  <w:abstractNum w:abstractNumId="290">
    <w:nsid w:val="52C12C61"/>
    <w:multiLevelType w:val="hybridMultilevel"/>
    <w:lvl w:ilvl="0">
      <w:lvlJc w:val="left"/>
      <w:lvlText w:val="%1"/>
      <w:numFmt w:val="lowerRoman"/>
      <w:start w:val="1"/>
    </w:lvl>
    <w:lvl w:ilvl="1">
      <w:lvlJc w:val="left"/>
      <w:lvlText w:val="(%2)"/>
      <w:numFmt w:val="upperLetter"/>
      <w:start w:val="10"/>
    </w:lvl>
  </w:abstractNum>
  <w:abstractNum w:abstractNumId="291">
    <w:nsid w:val="4BDD53FD"/>
    <w:multiLevelType w:val="hybridMultilevel"/>
    <w:lvl w:ilvl="0">
      <w:lvlJc w:val="left"/>
      <w:lvlText w:val="(%1)"/>
      <w:numFmt w:val="lowerRoman"/>
      <w:start w:val="2"/>
    </w:lvl>
    <w:lvl w:ilvl="1">
      <w:lvlJc w:val="left"/>
      <w:lvlText w:val="(%2)"/>
      <w:numFmt w:val="upperLetter"/>
      <w:start w:val="1"/>
    </w:lvl>
  </w:abstractNum>
  <w:abstractNum w:abstractNumId="292">
    <w:nsid w:val="569951FE"/>
    <w:multiLevelType w:val="hybridMultilevel"/>
    <w:lvl w:ilvl="0">
      <w:lvlJc w:val="left"/>
      <w:lvlText w:val="(%1)"/>
      <w:numFmt w:val="upperLetter"/>
      <w:start w:val="7"/>
    </w:lvl>
  </w:abstractNum>
  <w:abstractNum w:abstractNumId="293">
    <w:nsid w:val="4C54E2C3"/>
    <w:multiLevelType w:val="hybridMultilevel"/>
    <w:lvl w:ilvl="0">
      <w:lvlJc w:val="left"/>
      <w:lvlText w:val="(%1)"/>
      <w:numFmt w:val="upperLetter"/>
      <w:start w:val="10"/>
    </w:lvl>
  </w:abstractNum>
  <w:abstractNum w:abstractNumId="294">
    <w:nsid w:val="788BD9B"/>
    <w:multiLevelType w:val="hybridMultilevel"/>
    <w:lvl w:ilvl="0">
      <w:lvlJc w:val="left"/>
      <w:lvlText w:val="(%1)"/>
      <w:numFmt w:val="lowerRoman"/>
      <w:start w:val="10"/>
    </w:lvl>
  </w:abstractNum>
  <w:abstractNum w:abstractNumId="295">
    <w:nsid w:val="47CAA567"/>
    <w:multiLevelType w:val="hybridMultilevel"/>
    <w:lvl w:ilvl="0">
      <w:lvlJc w:val="left"/>
      <w:lvlText w:val="(%1)"/>
      <w:numFmt w:val="lowerLetter"/>
      <w:start w:val="4"/>
    </w:lvl>
    <w:lvl w:ilvl="1">
      <w:lvlJc w:val="left"/>
      <w:lvlText w:val="(%2)"/>
      <w:numFmt w:val="lowerRoman"/>
      <w:start w:val="1"/>
    </w:lvl>
  </w:abstractNum>
  <w:abstractNum w:abstractNumId="296">
    <w:nsid w:val="48249DBF"/>
    <w:multiLevelType w:val="hybridMultilevel"/>
    <w:lvl w:ilvl="0">
      <w:lvlJc w:val="left"/>
      <w:lvlText w:val="%1"/>
      <w:numFmt w:val="lowerRoman"/>
      <w:start w:val="1"/>
    </w:lvl>
    <w:lvl w:ilvl="1">
      <w:lvlJc w:val="left"/>
      <w:lvlText w:val="(%2)"/>
      <w:numFmt w:val="lowerRoman"/>
      <w:start w:val="4"/>
    </w:lvl>
  </w:abstractNum>
  <w:abstractNum w:abstractNumId="297">
    <w:nsid w:val="1F0E5D0D"/>
    <w:multiLevelType w:val="hybridMultilevel"/>
    <w:lvl w:ilvl="0">
      <w:lvlJc w:val="left"/>
      <w:lvlText w:val="(%1)"/>
      <w:numFmt w:val="lowerRoman"/>
      <w:start w:val="1"/>
    </w:lvl>
    <w:lvl w:ilvl="1">
      <w:lvlJc w:val="left"/>
      <w:lvlText w:val="(%2)"/>
      <w:numFmt w:val="lowerRoman"/>
      <w:start w:val="11"/>
    </w:lvl>
  </w:abstractNum>
  <w:abstractNum w:abstractNumId="298">
    <w:nsid w:val="26BAAE9"/>
    <w:multiLevelType w:val="hybridMultilevel"/>
    <w:lvl w:ilvl="0">
      <w:lvlJc w:val="left"/>
      <w:lvlText w:val="(%1)"/>
      <w:numFmt w:val="lowerLetter"/>
      <w:start w:val="5"/>
    </w:lvl>
    <w:lvl w:ilvl="1">
      <w:lvlJc w:val="left"/>
      <w:lvlText w:val="(%2)"/>
      <w:numFmt w:val="lowerRoman"/>
      <w:start w:val="1"/>
    </w:lvl>
  </w:abstractNum>
  <w:abstractNum w:abstractNumId="299">
    <w:nsid w:val="2C02FE8C"/>
    <w:multiLevelType w:val="hybridMultilevel"/>
    <w:lvl w:ilvl="0">
      <w:lvlJc w:val="left"/>
      <w:lvlText w:val="(%1)"/>
      <w:numFmt w:val="lowerRoman"/>
      <w:start w:val="4"/>
    </w:lvl>
  </w:abstractNum>
  <w:abstractNum w:abstractNumId="300">
    <w:nsid w:val="129517E"/>
    <w:multiLevelType w:val="hybridMultilevel"/>
    <w:lvl w:ilvl="0">
      <w:lvlJc w:val="left"/>
      <w:lvlText w:val="%1"/>
      <w:numFmt w:val="lowerLetter"/>
      <w:start w:val="1"/>
    </w:lvl>
    <w:lvl w:ilvl="1">
      <w:lvlJc w:val="left"/>
      <w:lvlText w:val="(%2)"/>
      <w:numFmt w:val="lowerLetter"/>
      <w:start w:val="1"/>
    </w:lvl>
  </w:abstractNum>
  <w:abstractNum w:abstractNumId="301">
    <w:nsid w:val="763B8C4E"/>
    <w:multiLevelType w:val="hybridMultilevel"/>
    <w:lvl w:ilvl="0">
      <w:lvlJc w:val="left"/>
      <w:lvlText w:val="(%1)"/>
      <w:numFmt w:val="lowerLetter"/>
      <w:start w:val="24"/>
    </w:lvl>
    <w:lvl w:ilvl="1">
      <w:lvlJc w:val="left"/>
      <w:lvlText w:val="%2"/>
      <w:numFmt w:val="lowerLetter"/>
      <w:start w:val="1"/>
    </w:lvl>
  </w:abstractNum>
  <w:abstractNum w:abstractNumId="302">
    <w:nsid w:val="4CFB8D32"/>
    <w:multiLevelType w:val="hybridMultilevel"/>
    <w:lvl w:ilvl="0">
      <w:lvlJc w:val="left"/>
      <w:lvlText w:val="(%1)"/>
      <w:numFmt w:val="lowerLetter"/>
      <w:start w:val="3"/>
    </w:lvl>
  </w:abstractNum>
  <w:abstractNum w:abstractNumId="303">
    <w:nsid w:val="62A5D5B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4">
    <w:nsid w:val="718FABF9"/>
    <w:multiLevelType w:val="hybridMultilevel"/>
    <w:lvl w:ilvl="0">
      <w:lvlJc w:val="left"/>
      <w:lvlText w:val="%1"/>
      <w:numFmt w:val="lowerRoman"/>
      <w:start w:val="1"/>
    </w:lvl>
    <w:lvl w:ilvl="1">
      <w:lvlJc w:val="left"/>
      <w:lvlText w:val="(%2)"/>
      <w:numFmt w:val="upperLetter"/>
      <w:start w:val="2"/>
    </w:lvl>
  </w:abstractNum>
  <w:abstractNum w:abstractNumId="305">
    <w:nsid w:val="7775797C"/>
    <w:multiLevelType w:val="hybridMultilevel"/>
    <w:lvl w:ilvl="0">
      <w:lvlJc w:val="left"/>
      <w:lvlText w:val="(%1)"/>
      <w:numFmt w:val="lowerRoman"/>
      <w:start w:val="3"/>
    </w:lvl>
    <w:lvl w:ilvl="1">
      <w:lvlJc w:val="left"/>
      <w:lvlText w:val="%2"/>
      <w:numFmt w:val="upperLetter"/>
      <w:start w:val="1"/>
    </w:lvl>
  </w:abstractNum>
  <w:abstractNum w:abstractNumId="306">
    <w:nsid w:val="1626FB8C"/>
    <w:multiLevelType w:val="hybridMultilevel"/>
    <w:lvl w:ilvl="0">
      <w:lvlJc w:val="left"/>
      <w:lvlText w:val="%1"/>
      <w:numFmt w:val="lowerLetter"/>
      <w:start w:val="1"/>
    </w:lvl>
    <w:lvl w:ilvl="1">
      <w:lvlJc w:val="left"/>
      <w:lvlText w:val="(%2)"/>
      <w:numFmt w:val="lowerRoman"/>
      <w:start w:val="5"/>
    </w:lvl>
  </w:abstractNum>
  <w:abstractNum w:abstractNumId="307">
    <w:nsid w:val="3957756A"/>
    <w:multiLevelType w:val="hybridMultilevel"/>
    <w:lvl w:ilvl="0">
      <w:lvlJc w:val="left"/>
      <w:lvlText w:val="(%1)"/>
      <w:numFmt w:val="lowerLetter"/>
      <w:start w:val="3"/>
    </w:lvl>
    <w:lvl w:ilvl="1">
      <w:lvlJc w:val="left"/>
      <w:lvlText w:val="%2"/>
      <w:numFmt w:val="lowerRoman"/>
      <w:start w:val="1"/>
    </w:lvl>
  </w:abstractNum>
  <w:abstractNum w:abstractNumId="308">
    <w:nsid w:val="3E6DA1C7"/>
    <w:multiLevelType w:val="hybridMultilevel"/>
    <w:lvl w:ilvl="0">
      <w:lvlJc w:val="left"/>
      <w:lvlText w:val="(%1)"/>
      <w:numFmt w:val="lowerRoman"/>
      <w:start w:val="2"/>
    </w:lvl>
  </w:abstractNum>
  <w:abstractNum w:abstractNumId="309">
    <w:nsid w:val="65CA235B"/>
    <w:multiLevelType w:val="hybridMultilevel"/>
    <w:lvl w:ilvl="0">
      <w:lvlJc w:val="left"/>
      <w:lvlText w:val="(%1)"/>
      <w:numFmt w:val="lowerLetter"/>
      <w:start w:val="4"/>
    </w:lvl>
    <w:lvl w:ilvl="1">
      <w:lvlJc w:val="left"/>
      <w:lvlText w:val="(%2)"/>
      <w:numFmt w:val="lowerLetter"/>
      <w:start w:val="35"/>
    </w:lvl>
  </w:abstractNum>
  <w:abstractNum w:abstractNumId="310">
    <w:nsid w:val="51CB0DA4"/>
    <w:multiLevelType w:val="hybridMultilevel"/>
    <w:lvl w:ilvl="0">
      <w:lvlJc w:val="left"/>
      <w:lvlText w:val="(%1)"/>
      <w:numFmt w:val="lowerLetter"/>
      <w:start w:val="5"/>
    </w:lvl>
  </w:abstractNum>
  <w:abstractNum w:abstractNumId="311">
    <w:nsid w:val="7B9B743C"/>
    <w:multiLevelType w:val="hybridMultilevel"/>
    <w:lvl w:ilvl="0">
      <w:lvlJc w:val="left"/>
      <w:lvlText w:val="%1"/>
      <w:numFmt w:val="lowerRoman"/>
      <w:start w:val="1"/>
    </w:lvl>
    <w:lvl w:ilvl="1">
      <w:lvlJc w:val="left"/>
      <w:lvlText w:val="(%2)"/>
      <w:numFmt w:val="lowerRoman"/>
      <w:start w:val="2"/>
    </w:lvl>
  </w:abstractNum>
  <w:abstractNum w:abstractNumId="312">
    <w:nsid w:val="13E21002"/>
    <w:multiLevelType w:val="hybridMultilevel"/>
    <w:lvl w:ilvl="0">
      <w:lvlJc w:val="left"/>
      <w:lvlText w:val="(%1)"/>
      <w:numFmt w:val="lowerRoman"/>
      <w:start w:val="1"/>
    </w:lvl>
    <w:lvl w:ilvl="1">
      <w:lvlJc w:val="left"/>
      <w:lvlText w:val="%2"/>
      <w:numFmt w:val="lowerRoman"/>
      <w:start w:val="1"/>
    </w:lvl>
  </w:abstractNum>
  <w:abstractNum w:abstractNumId="313">
    <w:nsid w:val="257D63F4"/>
    <w:multiLevelType w:val="hybridMultilevel"/>
    <w:lvl w:ilvl="0">
      <w:lvlJc w:val="left"/>
      <w:lvlText w:val="%1"/>
      <w:numFmt w:val="lowerLetter"/>
      <w:start w:val="1"/>
    </w:lvl>
    <w:lvl w:ilvl="1">
      <w:lvlJc w:val="left"/>
      <w:lvlText w:val="(%2)"/>
      <w:numFmt w:val="lowerLetter"/>
      <w:start w:val="61"/>
    </w:lvl>
  </w:abstractNum>
  <w:abstractNum w:abstractNumId="314">
    <w:nsid w:val="70EC11B2"/>
    <w:multiLevelType w:val="hybridMultilevel"/>
    <w:lvl w:ilvl="0">
      <w:lvlJc w:val="left"/>
      <w:lvlText w:val="(%1)"/>
      <w:numFmt w:val="lowerLetter"/>
      <w:start w:val="7"/>
    </w:lvl>
    <w:lvl w:ilvl="1">
      <w:lvlJc w:val="left"/>
      <w:lvlText w:val="(%2)"/>
      <w:numFmt w:val="lowerLetter"/>
      <w:start w:val="9"/>
    </w:lvl>
  </w:abstractNum>
  <w:abstractNum w:abstractNumId="315">
    <w:nsid w:val="2EDA00ED"/>
    <w:multiLevelType w:val="hybridMultilevel"/>
    <w:lvl w:ilvl="0">
      <w:lvlJc w:val="left"/>
      <w:lvlText w:val="(%1)"/>
      <w:numFmt w:val="lowerRoman"/>
      <w:start w:val="2"/>
    </w:lvl>
  </w:abstractNum>
  <w:abstractNum w:abstractNumId="316">
    <w:nsid w:val="73209072"/>
    <w:multiLevelType w:val="hybridMultilevel"/>
    <w:lvl w:ilvl="0">
      <w:lvlJc w:val="left"/>
      <w:lvlText w:val="(%1)"/>
      <w:numFmt w:val="lowerRoman"/>
      <w:start w:val="5"/>
    </w:lvl>
    <w:lvl w:ilvl="1">
      <w:lvlJc w:val="left"/>
      <w:lvlText w:val="(%2)"/>
      <w:numFmt w:val="upperLetter"/>
      <w:start w:val="1"/>
    </w:lvl>
  </w:abstractNum>
  <w:abstractNum w:abstractNumId="317">
    <w:nsid w:val="5FB29816"/>
    <w:multiLevelType w:val="hybridMultilevel"/>
    <w:lvl w:ilvl="0">
      <w:lvlJc w:val="left"/>
      <w:lvlText w:val="(%1)"/>
      <w:numFmt w:val="lowerLetter"/>
      <w:start w:val="1"/>
    </w:lvl>
  </w:abstractNum>
  <w:abstractNum w:abstractNumId="318">
    <w:nsid w:val="3CE732EC"/>
    <w:multiLevelType w:val="hybridMultilevel"/>
    <w:lvl w:ilvl="0">
      <w:lvlJc w:val="left"/>
      <w:lvlText w:val="(%1)"/>
      <w:numFmt w:val="lowerLetter"/>
      <w:start w:val="3"/>
    </w:lvl>
  </w:abstractNum>
  <w:abstractNum w:abstractNumId="319">
    <w:nsid w:val="22F13DF3"/>
    <w:multiLevelType w:val="hybridMultilevel"/>
    <w:lvl w:ilvl="0">
      <w:lvlJc w:val="left"/>
      <w:lvlText w:val="(%1)"/>
      <w:numFmt w:val="lowerLetter"/>
      <w:start w:val="1"/>
    </w:lvl>
  </w:abstractNum>
  <w:abstractNum w:abstractNumId="320">
    <w:nsid w:val="792B8401"/>
    <w:multiLevelType w:val="hybridMultilevel"/>
    <w:lvl w:ilvl="0">
      <w:lvlJc w:val="left"/>
      <w:lvlText w:val="%1"/>
      <w:numFmt w:val="lowerLetter"/>
      <w:start w:val="1"/>
    </w:lvl>
    <w:lvl w:ilvl="1">
      <w:lvlJc w:val="left"/>
      <w:lvlText w:val="(%2)"/>
      <w:numFmt w:val="lowerLetter"/>
      <w:start w:val="2"/>
    </w:lvl>
  </w:abstractNum>
  <w:abstractNum w:abstractNumId="321">
    <w:nsid w:val="FA85F4D"/>
    <w:multiLevelType w:val="hybridMultilevel"/>
    <w:lvl w:ilvl="0">
      <w:lvlJc w:val="left"/>
      <w:lvlText w:val="(%1)"/>
      <w:numFmt w:val="lowerLetter"/>
      <w:start w:val="35"/>
    </w:lvl>
    <w:lvl w:ilvl="1">
      <w:lvlJc w:val="left"/>
      <w:lvlText w:val="(%2)"/>
      <w:numFmt w:val="lowerLetter"/>
      <w:start w:val="8"/>
    </w:lvl>
  </w:abstractNum>
  <w:abstractNum w:abstractNumId="322">
    <w:nsid w:val="6ECE91F0"/>
    <w:multiLevelType w:val="hybridMultilevel"/>
    <w:lvl w:ilvl="0">
      <w:lvlJc w:val="left"/>
      <w:lvlText w:val="(%1)"/>
      <w:numFmt w:val="lowerLetter"/>
      <w:start w:val="1"/>
    </w:lvl>
    <w:lvl w:ilvl="1">
      <w:lvlJc w:val="left"/>
      <w:lvlText w:val="(%2)"/>
      <w:numFmt w:val="lowerRoman"/>
      <w:start w:val="1"/>
    </w:lvl>
  </w:abstractNum>
  <w:abstractNum w:abstractNumId="323">
    <w:nsid w:val="4FC4D600"/>
    <w:multiLevelType w:val="hybridMultilevel"/>
    <w:lvl w:ilvl="0">
      <w:lvlJc w:val="left"/>
      <w:lvlText w:val="(%1)"/>
      <w:numFmt w:val="lowerLetter"/>
      <w:start w:val="25"/>
    </w:lvl>
    <w:lvl w:ilvl="1">
      <w:lvlJc w:val="left"/>
      <w:lvlText w:val="(%2)"/>
      <w:numFmt w:val="lowerLetter"/>
      <w:start w:val="1"/>
    </w:lvl>
  </w:abstractNum>
  <w:abstractNum w:abstractNumId="324">
    <w:nsid w:val="5BFD4210"/>
    <w:multiLevelType w:val="hybridMultilevel"/>
    <w:lvl w:ilvl="0">
      <w:lvlJc w:val="left"/>
      <w:lvlText w:val="%1"/>
      <w:numFmt w:val="lowerLetter"/>
      <w:start w:val="1"/>
    </w:lvl>
    <w:lvl w:ilvl="1">
      <w:lvlJc w:val="left"/>
      <w:lvlText w:val="(%2)"/>
      <w:numFmt w:val="lowerLetter"/>
      <w:start w:val="3"/>
    </w:lvl>
  </w:abstractNum>
  <w:abstractNum w:abstractNumId="325">
    <w:nsid w:val="76574F8B"/>
    <w:multiLevelType w:val="hybridMultilevel"/>
    <w:lvl w:ilvl="0">
      <w:lvlJc w:val="left"/>
      <w:lvlText w:val="(%1)"/>
      <w:numFmt w:val="lowerLetter"/>
      <w:start w:val="35"/>
    </w:lvl>
    <w:lvl w:ilvl="1">
      <w:lvlJc w:val="left"/>
      <w:lvlText w:val="(%2)"/>
      <w:numFmt w:val="lowerLetter"/>
      <w:start w:val="4"/>
    </w:lvl>
  </w:abstractNum>
  <w:abstractNum w:abstractNumId="326">
    <w:nsid w:val="178F7B67"/>
    <w:multiLevelType w:val="hybridMultilevel"/>
    <w:lvl w:ilvl="0">
      <w:lvlJc w:val="left"/>
      <w:lvlText w:val="(%1)"/>
      <w:numFmt w:val="lowerLetter"/>
      <w:start w:val="1"/>
    </w:lvl>
  </w:abstractNum>
  <w:abstractNum w:abstractNumId="327">
    <w:nsid w:val="2421DFC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2021-09-20T16:24:30Z</dcterms:created>
  <dcterms:modified xsi:type="dcterms:W3CDTF">2021-09-20T16:24:30Z</dcterms:modified>
</cp:coreProperties>
</file>