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313690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Definitive Healthcare Corp.</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 $0.001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24477E103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96"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80"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ind w:left="4"/>
        <w:spacing w:after="0"/>
        <w:tabs>
          <w:tab w:leader="none" w:pos="57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24477E103</w:t>
      </w:r>
      <w:r>
        <w:rPr>
          <w:sz w:val="20"/>
          <w:szCs w:val="20"/>
          <w:color w:val="auto"/>
        </w:rPr>
        <w:tab/>
      </w:r>
      <w:r>
        <w:rPr>
          <w:rFonts w:ascii="Times New Roman" w:cs="Times New Roman" w:eastAsia="Times New Roman" w:hAnsi="Times New Roman"/>
          <w:sz w:val="17"/>
          <w:szCs w:val="17"/>
          <w:b w:val="1"/>
          <w:bCs w:val="1"/>
          <w:color w:val="auto"/>
        </w:rPr>
        <w:t>SCHEDULE 13G</w:t>
      </w:r>
    </w:p>
    <w:p>
      <w:pPr>
        <w:spacing w:after="0" w:line="270" w:lineRule="exact"/>
        <w:rPr>
          <w:sz w:val="20"/>
          <w:szCs w:val="20"/>
          <w:color w:val="auto"/>
        </w:rPr>
      </w:pPr>
    </w:p>
    <w:p>
      <w:pPr>
        <w:ind w:left="624" w:hanging="377"/>
        <w:spacing w:after="0"/>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Jason Ronald Krantz</w:t>
      </w:r>
    </w:p>
    <w:p>
      <w:pPr>
        <w:spacing w:after="0" w:line="36" w:lineRule="exact"/>
        <w:rPr>
          <w:sz w:val="20"/>
          <w:szCs w:val="20"/>
          <w:color w:val="auto"/>
        </w:rPr>
      </w:pPr>
    </w:p>
    <w:p>
      <w:pPr>
        <w:ind w:left="624" w:hanging="377"/>
        <w:spacing w:after="0"/>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3"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24" w:hanging="377"/>
        <w:spacing w:after="0"/>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8" w:lineRule="exact"/>
        <w:rPr>
          <w:sz w:val="20"/>
          <w:szCs w:val="20"/>
          <w:color w:val="auto"/>
        </w:rPr>
      </w:pPr>
    </w:p>
    <w:p>
      <w:pPr>
        <w:ind w:left="624" w:hanging="377"/>
        <w:spacing w:after="0"/>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36" w:lineRule="exact"/>
        <w:rPr>
          <w:rFonts w:ascii="Times New Roman" w:cs="Times New Roman" w:eastAsia="Times New Roman" w:hAnsi="Times New Roman"/>
          <w:sz w:val="18"/>
          <w:szCs w:val="18"/>
          <w:color w:val="auto"/>
        </w:rPr>
      </w:pPr>
    </w:p>
    <w:p>
      <w:pPr>
        <w:ind w:left="12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21,387,853 (1)</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21,387,853 (1)</w:t>
            </w:r>
          </w:p>
        </w:tc>
        <w:tc>
          <w:tcPr>
            <w:tcW w:w="0" w:type="dxa"/>
            <w:vAlign w:val="bottom"/>
          </w:tcPr>
          <w:p>
            <w:pPr>
              <w:spacing w:after="0"/>
              <w:rPr>
                <w:sz w:val="1"/>
                <w:szCs w:val="1"/>
                <w:color w:val="auto"/>
              </w:rPr>
            </w:pPr>
          </w:p>
        </w:tc>
      </w:tr>
      <w:tr>
        <w:trPr>
          <w:trHeight w:val="67"/>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2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04" w:hanging="357"/>
        <w:spacing w:after="0"/>
        <w:tabs>
          <w:tab w:leader="none" w:pos="6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21,387,853 (1)</w:t>
      </w:r>
    </w:p>
    <w:p>
      <w:pPr>
        <w:spacing w:after="0" w:line="36" w:lineRule="exact"/>
        <w:rPr>
          <w:sz w:val="20"/>
          <w:szCs w:val="20"/>
          <w:color w:val="auto"/>
        </w:rPr>
      </w:pPr>
    </w:p>
    <w:p>
      <w:pPr>
        <w:ind w:left="624" w:hanging="467"/>
        <w:spacing w:after="0"/>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40"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16.97% (2)</w:t>
      </w:r>
    </w:p>
    <w:p>
      <w:pPr>
        <w:spacing w:after="0" w:line="36" w:lineRule="exact"/>
        <w:rPr>
          <w:rFonts w:ascii="Times New Roman" w:cs="Times New Roman" w:eastAsia="Times New Roman" w:hAnsi="Times New Roman"/>
          <w:sz w:val="18"/>
          <w:szCs w:val="18"/>
          <w:color w:val="auto"/>
        </w:rPr>
      </w:pPr>
    </w:p>
    <w:p>
      <w:pPr>
        <w:ind w:left="604" w:hanging="447"/>
        <w:spacing w:after="0"/>
        <w:tabs>
          <w:tab w:leader="none" w:pos="6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20" w:hanging="424"/>
        <w:spacing w:after="0" w:line="253"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450,000 shares of Class A Common Stock, par value $0.001 per share (“Class A Common Stock”) held by DH Holdings (fka Jason R. Krantz 2009 Trust), (ii) 30,612 shares of Class A Common Stock held directly by the Reporting Person, (iii) 20,451,027 shares of Class A Common Stock of the Issuer that are issuable, at the holder’s election, upon exchange of an equal number of Limited Liability Company Units of AIDH Topco, LLC (“LLC Units”) held by DH Holdings (fka Jason R. Krantz 2009 Trust), of which the Reporting Person is the trustee and beneficiary, that are currently vested and (v) 456,214 shares of Class A Common Stock of the Issuer that are issuable, at the holder’s election, upon exchange of an equal number of LLC Units held directly by the Reporting Person that are currently vested.</w:t>
      </w:r>
    </w:p>
    <w:p>
      <w:pPr>
        <w:spacing w:after="0" w:line="5"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126,045,514 outstanding shares of Class A Common Stock of the Issuer consisting of: (i) 105,138,273 shares of Class A Common Stock outstanding as of December 31, 2022, as reported by the Issuer to the Reporting Person, and (ii) 20,907,241 shares of Class A Common Stock issuable upon exchange of the Reporting Person’s directly and indirectly held vested LLC Units.</w:t>
      </w:r>
    </w:p>
    <w:p>
      <w:pPr>
        <w:spacing w:after="0" w:line="11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66" w:right="499" w:bottom="1440" w:gutter="0" w:footer="0" w:header="0"/>
        </w:sectPr>
      </w:pPr>
    </w:p>
    <w:bookmarkStart w:id="2" w:name="page3"/>
    <w:bookmarkEnd w:id="2"/>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329" w:lineRule="exact"/>
        <w:rPr>
          <w:sz w:val="20"/>
          <w:szCs w:val="20"/>
          <w:color w:val="auto"/>
        </w:rPr>
      </w:pPr>
    </w:p>
    <w:p>
      <w:pPr>
        <w:jc w:val="center"/>
        <w:ind w:right="6220"/>
        <w:spacing w:after="0"/>
        <w:tabs>
          <w:tab w:leader="none" w:pos="2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492 Old Connecticut Path Suite 401</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Framingham, MA 01701</w:t>
      </w:r>
    </w:p>
    <w:p>
      <w:pPr>
        <w:spacing w:after="0" w:line="31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color w:val="auto"/>
        </w:rPr>
        <w:t>Name of Person Filing:</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Jason Ronald Krantz</w:t>
      </w:r>
    </w:p>
    <w:p>
      <w:pPr>
        <w:sectPr>
          <w:pgSz w:w="11900" w:h="16838" w:orient="portrait"/>
          <w:cols w:equalWidth="0" w:num="1">
            <w:col w:w="10880"/>
          </w:cols>
          <w:pgMar w:left="440" w:top="266" w:right="579" w:bottom="1440" w:gutter="0" w:footer="0" w:header="0"/>
        </w:sect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2(b).</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Address of Principal Business Office or, if none, Residence:</w:t>
      </w:r>
    </w:p>
    <w:p>
      <w:pPr>
        <w:spacing w:after="0" w:line="133" w:lineRule="exact"/>
        <w:rPr>
          <w:sz w:val="20"/>
          <w:szCs w:val="20"/>
          <w:color w:val="auto"/>
        </w:rPr>
      </w:pPr>
    </w:p>
    <w:p>
      <w:pPr>
        <w:sectPr>
          <w:pgSz w:w="11900" w:h="16838" w:orient="portrait"/>
          <w:cols w:equalWidth="0" w:num="2">
            <w:col w:w="760" w:space="240"/>
            <w:col w:w="9880"/>
          </w:cols>
          <w:pgMar w:left="440" w:top="266" w:right="57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7"/>
          <w:szCs w:val="17"/>
          <w:color w:val="auto"/>
        </w:rPr>
        <w:t>The principal business office of the Reporting Person is:</w:t>
      </w:r>
    </w:p>
    <w:p>
      <w:pPr>
        <w:spacing w:after="0" w:line="1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492 Old Connecticut Path Suite 401</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Framingham, MA 01701</w:t>
      </w:r>
    </w:p>
    <w:p>
      <w:pPr>
        <w:spacing w:after="0" w:line="31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United States of America</w:t>
      </w:r>
    </w:p>
    <w:p>
      <w:pPr>
        <w:sectPr>
          <w:pgSz w:w="11900" w:h="16838" w:orient="portrait"/>
          <w:cols w:equalWidth="0" w:num="1">
            <w:col w:w="10880"/>
          </w:cols>
          <w:pgMar w:left="440" w:top="266" w:right="579"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Title of Class of Securities:</w:t>
      </w:r>
    </w:p>
    <w:p>
      <w:pPr>
        <w:spacing w:after="0" w:line="133" w:lineRule="exact"/>
        <w:rPr>
          <w:sz w:val="20"/>
          <w:szCs w:val="20"/>
          <w:color w:val="auto"/>
        </w:rPr>
      </w:pPr>
    </w:p>
    <w:p>
      <w:pPr>
        <w:sectPr>
          <w:pgSz w:w="11900" w:h="16838" w:orient="portrait"/>
          <w:cols w:equalWidth="0" w:num="2">
            <w:col w:w="760" w:space="240"/>
            <w:col w:w="9880"/>
          </w:cols>
          <w:pgMar w:left="440" w:top="266" w:right="57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Class A common stock, $0.001 par value per share</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24477E103</w:t>
      </w:r>
    </w:p>
    <w:p>
      <w:pPr>
        <w:sectPr>
          <w:pgSz w:w="11900" w:h="16838" w:orient="portrait"/>
          <w:cols w:equalWidth="0" w:num="1">
            <w:col w:w="10880"/>
          </w:cols>
          <w:pgMar w:left="440" w:top="266" w:right="579"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sectPr>
          <w:pgSz w:w="11900" w:h="16838" w:orient="portrait"/>
          <w:cols w:equalWidth="0" w:num="2">
            <w:col w:w="540" w:space="460"/>
            <w:col w:w="9880"/>
          </w:cols>
          <w:pgMar w:left="440" w:top="266" w:right="579" w:bottom="1440" w:gutter="0" w:footer="0" w:header="0"/>
          <w:type w:val="continuous"/>
        </w:sectPr>
      </w:pPr>
    </w:p>
    <w:p>
      <w:pPr>
        <w:ind w:left="1000" w:right="100"/>
        <w:spacing w:after="0" w:line="282" w:lineRule="auto"/>
        <w:rPr>
          <w:sz w:val="20"/>
          <w:szCs w:val="20"/>
          <w:color w:val="auto"/>
        </w:rPr>
      </w:pPr>
      <w:r>
        <w:rPr>
          <w:rFonts w:ascii="Times New Roman" w:cs="Times New Roman" w:eastAsia="Times New Roman" w:hAnsi="Times New Roman"/>
          <w:sz w:val="18"/>
          <w:szCs w:val="18"/>
          <w:color w:val="auto"/>
        </w:rPr>
        <w:t>(a)-(c) The responses of the Reporting Person to Rows 5, 6, 7, 8, 9 and 11 in the cover page which relates to the beneficial ownership of the Class A Common Stock of the Issuer, as of December 31, 2022, are incorporated herein by reference.</w:t>
      </w:r>
    </w:p>
    <w:p>
      <w:pPr>
        <w:spacing w:after="0" w:line="54" w:lineRule="exact"/>
        <w:rPr>
          <w:sz w:val="20"/>
          <w:szCs w:val="20"/>
          <w:color w:val="auto"/>
        </w:rPr>
      </w:pPr>
    </w:p>
    <w:p>
      <w:pPr>
        <w:ind w:left="1000"/>
        <w:spacing w:after="0" w:line="255" w:lineRule="auto"/>
        <w:rPr>
          <w:sz w:val="20"/>
          <w:szCs w:val="20"/>
          <w:color w:val="auto"/>
        </w:rPr>
      </w:pPr>
      <w:r>
        <w:rPr>
          <w:rFonts w:ascii="Times New Roman" w:cs="Times New Roman" w:eastAsia="Times New Roman" w:hAnsi="Times New Roman"/>
          <w:sz w:val="18"/>
          <w:szCs w:val="18"/>
          <w:color w:val="auto"/>
        </w:rPr>
        <w:t>As of December 31, 2022, the Reporting Person beneficially owned 21,387,853 shares of Class A Common Stock of the Issuer, including 480,612 directly and indirectly held shares of Class A Common Stock of the Issuer and 20,907,241 shares of Class A Common Stock of the Issuer issuable upon the Reporting Person’s election to exchange an equal number of directly and indirectly held vested LLC Units, which represents approximately 16.97% of the shares of Class A Common Stock outstanding. The percentage ownership is based on 126,045,514 outstanding shares of Class A Common Stock of the Issuer consisting of: (i) 105,138,273 shares of Class A Common Stock outstanding as of December 31, 2022, as reported by the Issuer to the Reporting Person, and (ii) 20,907,241 shares of Class A Common Stock issuable upon exchange of the Reporting Person’s directly and indirectly held vested LLC Units.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440" w:top="266" w:right="579" w:bottom="1440" w:gutter="0" w:footer="0" w:header="0"/>
          <w:type w:val="continuous"/>
        </w:sectPr>
      </w:pPr>
    </w:p>
    <w:bookmarkStart w:id="3" w:name="page4"/>
    <w:bookmarkEnd w:id="3"/>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880" w:right="10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8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responses of the Reporting Person to Items 2(a) and 4 are incorporated herein by reference.</w:t>
      </w:r>
    </w:p>
    <w:p>
      <w:pPr>
        <w:spacing w:after="0" w:line="32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10.</w:t>
        <w:tab/>
        <w:t>Certification</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13, 2023</w:t>
      </w:r>
    </w:p>
    <w:p>
      <w:pPr>
        <w:spacing w:after="0" w:line="200" w:lineRule="exact"/>
        <w:rPr>
          <w:sz w:val="20"/>
          <w:szCs w:val="20"/>
          <w:color w:val="auto"/>
        </w:rPr>
      </w:pPr>
    </w:p>
    <w:p>
      <w:pPr>
        <w:spacing w:after="0" w:line="26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Jason Krantz</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4"/>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decimal"/>
      <w:start w:val="1"/>
    </w:lvl>
    <w:lvl w:ilvl="1">
      <w:lvlJc w:val="left"/>
      <w:lvlText w:val="%2"/>
      <w:numFmt w:val="decimal"/>
      <w:start w:val="10"/>
    </w:lvl>
  </w:abstractNum>
  <w:abstractNum w:abstractNumId="8">
    <w:nsid w:val="5BD062C2"/>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2023-02-13T06:46:21Z</dcterms:created>
  <dcterms:modified xsi:type="dcterms:W3CDTF">2023-02-13T06:46:21Z</dcterms:modified>
</cp:coreProperties>
</file>