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1052024_041106.xml.htm"/>
      <w:bookmarkStart w:id="1" w:name="ksform411052024_0411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Shamsuddin Kate Marie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DEFINITIVE HEALTHCARE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492 OLD CONNECTICUT PATH, SUITE 401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Definitive Healthcare Corp.</w:t>
              </w:r>
            </w:hyperlink>
            <w:r>
              <w:rPr/>
              <w:t xml:space="preserve"> [ </w:t>
            </w:r>
            <w:r>
              <w:rPr>
                <w:rFonts w:ascii="Times;serif" w:hAnsi="Times;serif"/>
                <w:color w:val="0000FF"/>
                <w:sz w:val="24"/>
                <w:shd w:fill="FFFFFF" w:val="clear"/>
              </w:rPr>
              <w:t>DH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11/01/2024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2,506</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4.18</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428,559</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represents the withholding of shares by the issuer to satisfy the reporting person's tax withholding obligations in connection with the vesting and settlement of previously reported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Ruderman,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8756" TargetMode="External"/><Relationship Id="rId5" Type="http://schemas.openxmlformats.org/officeDocument/2006/relationships/hyperlink" Target="http://www.sec.gov/cgi-bin/browse-edgar?action=getcompany&amp;CIK=00018617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3315</Characters>
  <CharactersWithSpaces>3857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