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324485</wp:posOffset>
            </wp:positionH>
            <wp:positionV relativeFrom="page">
              <wp:posOffset>488950</wp:posOffset>
            </wp:positionV>
            <wp:extent cx="689483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4830" cy="6350"/>
                    </a:xfrm>
                    <a:prstGeom prst="rect">
                      <a:avLst/>
                    </a:prstGeom>
                    <a:noFill/>
                  </pic:spPr>
                </pic:pic>
              </a:graphicData>
            </a:graphic>
          </wp:anchor>
        </w:drawing>
        <w:drawing>
          <wp:anchor simplePos="0" relativeHeight="251657728" behindDoc="1" locked="0" layoutInCell="0" allowOverlap="1">
            <wp:simplePos x="0" y="0"/>
            <wp:positionH relativeFrom="page">
              <wp:posOffset>324485</wp:posOffset>
            </wp:positionH>
            <wp:positionV relativeFrom="page">
              <wp:posOffset>501650</wp:posOffset>
            </wp:positionV>
            <wp:extent cx="68948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6350"/>
                    </a:xfrm>
                    <a:prstGeom prst="rect">
                      <a:avLst/>
                    </a:prstGeom>
                    <a:noFill/>
                  </pic:spPr>
                </pic:pic>
              </a:graphicData>
            </a:graphic>
          </wp:anchor>
        </w:drawing>
        <w:t>UNITED STATES</w:t>
      </w: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2724785</wp:posOffset>
            </wp:positionH>
            <wp:positionV relativeFrom="paragraph">
              <wp:posOffset>71755</wp:posOffset>
            </wp:positionV>
            <wp:extent cx="1408430"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2724785</wp:posOffset>
            </wp:positionH>
            <wp:positionV relativeFrom="paragraph">
              <wp:posOffset>83185</wp:posOffset>
            </wp:positionV>
            <wp:extent cx="140843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 One)</w:t>
      </w:r>
    </w:p>
    <w:p>
      <w:pPr>
        <w:ind w:left="440" w:hanging="426"/>
        <w:spacing w:after="0"/>
        <w:tabs>
          <w:tab w:leader="none" w:pos="440" w:val="left"/>
        </w:tabs>
        <w:numPr>
          <w:ilvl w:val="0"/>
          <w:numId w:val="1"/>
        </w:numPr>
        <w:rPr>
          <w:rFonts w:ascii="MS PGothic" w:cs="MS PGothic" w:eastAsia="MS PGothic" w:hAnsi="MS PGothic"/>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0" w:lineRule="exact"/>
        <w:rPr>
          <w:sz w:val="24"/>
          <w:szCs w:val="24"/>
          <w:color w:val="auto"/>
        </w:rPr>
      </w:pPr>
    </w:p>
    <w:p>
      <w:pPr>
        <w:ind w:left="440" w:hanging="426"/>
        <w:spacing w:after="0"/>
        <w:tabs>
          <w:tab w:leader="none" w:pos="440" w:val="left"/>
        </w:tabs>
        <w:numPr>
          <w:ilvl w:val="0"/>
          <w:numId w:val="2"/>
        </w:numPr>
        <w:rPr>
          <w:rFonts w:ascii="MS PGothic" w:cs="MS PGothic" w:eastAsia="MS PGothic" w:hAnsi="MS PGothic"/>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11" w:lineRule="exact"/>
        <w:rPr>
          <w:rFonts w:ascii="MS PGothic" w:cs="MS PGothic" w:eastAsia="MS PGothic" w:hAnsi="MS PGothic"/>
          <w:sz w:val="17"/>
          <w:szCs w:val="17"/>
          <w:b w:val="1"/>
          <w:bCs w:val="1"/>
          <w:color w:val="auto"/>
        </w:rPr>
      </w:pPr>
    </w:p>
    <w:p>
      <w:pPr>
        <w:ind w:left="440"/>
        <w:spacing w:after="0"/>
        <w:rPr>
          <w:rFonts w:ascii="MS PGothic" w:cs="MS PGothic" w:eastAsia="MS PGothic" w:hAnsi="MS PGothic"/>
          <w:sz w:val="17"/>
          <w:szCs w:val="17"/>
          <w:b w:val="1"/>
          <w:bCs w:val="1"/>
          <w:color w:val="auto"/>
        </w:rPr>
      </w:pPr>
      <w:r>
        <w:rPr>
          <w:rFonts w:ascii="Times New Roman" w:cs="Times New Roman" w:eastAsia="Times New Roman" w:hAnsi="Times New Roman"/>
          <w:sz w:val="18"/>
          <w:szCs w:val="18"/>
          <w:b w:val="1"/>
          <w:bCs w:val="1"/>
          <w:color w:val="auto"/>
        </w:rPr>
        <w:t>TRANSITION PERIOD FROM</w:t>
      </w:r>
      <w:r>
        <w:rPr>
          <w:rFonts w:ascii="Times New Roman" w:cs="Times New Roman" w:eastAsia="Times New Roman" w:hAnsi="Times New Roman"/>
          <w:sz w:val="17"/>
          <w:szCs w:val="17"/>
          <w:b w:val="1"/>
          <w:bCs w:val="1"/>
          <w:color w:val="auto"/>
        </w:rPr>
        <w:t>TO</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Commission File Number 001-40815</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2724785</wp:posOffset>
            </wp:positionH>
            <wp:positionV relativeFrom="paragraph">
              <wp:posOffset>-299085</wp:posOffset>
            </wp:positionV>
            <wp:extent cx="140843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ectPr>
          <w:pgSz w:w="11880" w:h="15480" w:orient="portrait"/>
          <w:cols w:equalWidth="0" w:num="1">
            <w:col w:w="10800"/>
          </w:cols>
          <w:pgMar w:left="540" w:top="806" w:right="540" w:bottom="279" w:gutter="0" w:footer="0" w:header="0"/>
        </w:sectPr>
      </w:pP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2724785</wp:posOffset>
            </wp:positionH>
            <wp:positionV relativeFrom="paragraph">
              <wp:posOffset>70485</wp:posOffset>
            </wp:positionV>
            <wp:extent cx="140843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59"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4"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1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6"/>
          <w:szCs w:val="16"/>
          <w:b w:val="1"/>
          <w:bCs w:val="1"/>
          <w:color w:val="auto"/>
        </w:rPr>
        <w:t>492 Old Connecticut Path, Suite 401</w:t>
      </w:r>
    </w:p>
    <w:p>
      <w:pPr>
        <w:spacing w:after="0" w:line="1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color w:val="auto"/>
        </w:rPr>
        <w:t>Framingham, MA</w:t>
      </w:r>
    </w:p>
    <w:p>
      <w:pPr>
        <w:spacing w:after="0" w:line="24"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86-3988281</w:t>
      </w:r>
    </w:p>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12"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01701</w:t>
      </w:r>
    </w:p>
    <w:p>
      <w:pPr>
        <w:spacing w:after="0" w:line="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55" w:lineRule="exact"/>
        <w:rPr>
          <w:sz w:val="24"/>
          <w:szCs w:val="24"/>
          <w:color w:val="auto"/>
        </w:rPr>
      </w:pPr>
    </w:p>
    <w:p>
      <w:pPr>
        <w:sectPr>
          <w:pgSz w:w="11880" w:h="15480" w:orient="portrait"/>
          <w:cols w:equalWidth="0" w:num="2">
            <w:col w:w="7440" w:space="100"/>
            <w:col w:w="3260"/>
          </w:cols>
          <w:pgMar w:left="540" w:top="806" w:right="540" w:bottom="279" w:gutter="0" w:footer="0" w:header="0"/>
          <w:type w:val="continuous"/>
        </w:sectPr>
      </w:pPr>
    </w:p>
    <w:p>
      <w:pPr>
        <w:ind w:left="28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(508) 720-4224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2724785</wp:posOffset>
            </wp:positionH>
            <wp:positionV relativeFrom="paragraph">
              <wp:posOffset>70485</wp:posOffset>
            </wp:positionV>
            <wp:extent cx="140843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60" w:type="dxa"/>
            <w:vAlign w:val="bottom"/>
            <w:gridSpan w:val="3"/>
          </w:tcPr>
          <w:p>
            <w:pPr>
              <w:ind w:left="12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00" w:type="dxa"/>
            <w:vAlign w:val="bottom"/>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20" w:type="dxa"/>
            <w:vAlign w:val="bottom"/>
          </w:tcPr>
          <w:p>
            <w:pPr>
              <w:spacing w:after="0"/>
              <w:rPr>
                <w:sz w:val="17"/>
                <w:szCs w:val="17"/>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7"/>
        </w:trPr>
        <w:tc>
          <w:tcPr>
            <w:tcW w:w="3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00" w:type="dxa"/>
            <w:vAlign w:val="bottom"/>
            <w:tcBorders>
              <w:top w:val="single" w:sz="8" w:color="FDFDFD"/>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center"/>
              <w:ind w:right="275"/>
              <w:spacing w:after="0"/>
              <w:rPr>
                <w:sz w:val="20"/>
                <w:szCs w:val="20"/>
                <w:color w:val="auto"/>
              </w:rPr>
            </w:pPr>
            <w:r>
              <w:rPr>
                <w:rFonts w:ascii="Times New Roman" w:cs="Times New Roman" w:eastAsia="Times New Roman" w:hAnsi="Times New Roman"/>
                <w:sz w:val="18"/>
                <w:szCs w:val="18"/>
                <w:b w:val="1"/>
                <w:bCs w:val="1"/>
                <w:color w:val="auto"/>
              </w:rPr>
              <w:t>DH</w:t>
            </w:r>
          </w:p>
        </w:tc>
        <w:tc>
          <w:tcPr>
            <w:tcW w:w="120" w:type="dxa"/>
            <w:vAlign w:val="bottom"/>
            <w:tcBorders>
              <w:top w:val="single" w:sz="8" w:color="FDFDFD"/>
            </w:tcBorders>
          </w:tcPr>
          <w:p>
            <w:pPr>
              <w:spacing w:after="0"/>
              <w:rPr>
                <w:sz w:val="20"/>
                <w:szCs w:val="20"/>
                <w:color w:val="auto"/>
              </w:rPr>
            </w:pPr>
          </w:p>
        </w:tc>
        <w:tc>
          <w:tcPr>
            <w:tcW w:w="4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21"/>
        </w:trPr>
        <w:tc>
          <w:tcPr>
            <w:tcW w:w="4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r>
    </w:tbl>
    <w:p>
      <w:pPr>
        <w:spacing w:after="0" w:line="24" w:lineRule="exact"/>
        <w:rPr>
          <w:sz w:val="24"/>
          <w:szCs w:val="24"/>
          <w:color w:val="auto"/>
        </w:rPr>
      </w:pPr>
    </w:p>
    <w:p>
      <w:pPr>
        <w:ind w:right="2100"/>
        <w:spacing w:after="0" w:line="267"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13" w:lineRule="exact"/>
        <w:rPr>
          <w:sz w:val="24"/>
          <w:szCs w:val="24"/>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1080" w:val="left"/>
        </w:tabs>
        <w:rPr>
          <w:sz w:val="20"/>
          <w:szCs w:val="20"/>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b w:val="1"/>
          <w:bCs w:val="1"/>
          <w:color w:val="auto"/>
        </w:rPr>
        <w:t>☐</w:t>
      </w:r>
    </w:p>
    <w:p>
      <w:pPr>
        <w:spacing w:after="0" w:line="90" w:lineRule="exact"/>
        <w:rPr>
          <w:sz w:val="24"/>
          <w:szCs w:val="24"/>
          <w:color w:val="auto"/>
        </w:rPr>
      </w:pPr>
    </w:p>
    <w:p>
      <w:pPr>
        <w:ind w:right="60"/>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14" w:lineRule="exact"/>
        <w:rPr>
          <w:sz w:val="24"/>
          <w:szCs w:val="24"/>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80"/>
              <w:spacing w:after="0" w:line="161" w:lineRule="exact"/>
              <w:rPr>
                <w:sz w:val="20"/>
                <w:szCs w:val="20"/>
                <w:color w:val="auto"/>
              </w:rPr>
            </w:pPr>
            <w:r>
              <w:rPr>
                <w:rFonts w:ascii="MS PGothic" w:cs="MS PGothic" w:eastAsia="MS PGothic" w:hAnsi="MS PGothic"/>
                <w:sz w:val="16"/>
                <w:szCs w:val="16"/>
                <w:b w:val="1"/>
                <w:bCs w:val="1"/>
                <w:color w:val="auto"/>
              </w:rPr>
              <w:t>☐</w:t>
            </w:r>
          </w:p>
        </w:tc>
        <w:tc>
          <w:tcPr>
            <w:tcW w:w="50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87"/>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80"/>
              <w:spacing w:after="0" w:line="161" w:lineRule="exact"/>
              <w:rPr>
                <w:sz w:val="20"/>
                <w:szCs w:val="20"/>
                <w:color w:val="auto"/>
              </w:rPr>
            </w:pPr>
            <w:r>
              <w:rPr>
                <w:rFonts w:ascii="MS PGothic" w:cs="MS PGothic" w:eastAsia="MS PGothic" w:hAnsi="MS PGothic"/>
                <w:sz w:val="16"/>
                <w:szCs w:val="16"/>
                <w:b w:val="1"/>
                <w:bCs w:val="1"/>
                <w:color w:val="auto"/>
              </w:rPr>
              <w:t>☐</w:t>
            </w:r>
          </w:p>
        </w:tc>
        <w:tc>
          <w:tcPr>
            <w:tcW w:w="50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87"/>
        </w:trPr>
        <w:tc>
          <w:tcPr>
            <w:tcW w:w="1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b w:val="1"/>
                <w:bCs w:val="1"/>
                <w:color w:val="auto"/>
                <w:w w:val="74"/>
              </w:rPr>
              <w:t>☐</w:t>
            </w:r>
          </w:p>
        </w:tc>
      </w:tr>
    </w:tbl>
    <w:p>
      <w:pPr>
        <w:spacing w:after="0" w:line="22" w:lineRule="exact"/>
        <w:rPr>
          <w:sz w:val="24"/>
          <w:szCs w:val="24"/>
          <w:color w:val="auto"/>
        </w:rPr>
      </w:pPr>
    </w:p>
    <w:p>
      <w:pPr>
        <w:ind w:right="260"/>
        <w:spacing w:after="0" w:line="22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14" w:lineRule="exact"/>
        <w:rPr>
          <w:sz w:val="24"/>
          <w:szCs w:val="24"/>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w:t>
      </w:r>
    </w:p>
    <w:p>
      <w:pPr>
        <w:spacing w:after="0" w:line="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correction of an error to previously issued financial statements. </w:t>
      </w:r>
      <w:r>
        <w:rPr>
          <w:rFonts w:ascii="MS PGothic" w:cs="MS PGothic" w:eastAsia="MS PGothic" w:hAnsi="MS PGothic"/>
          <w:sz w:val="16"/>
          <w:szCs w:val="16"/>
          <w:b w:val="1"/>
          <w:bCs w:val="1"/>
          <w:color w:val="auto"/>
        </w:rPr>
        <w:t>☐</w:t>
      </w:r>
    </w:p>
    <w:p>
      <w:pPr>
        <w:spacing w:after="0" w:line="39" w:lineRule="exact"/>
        <w:rPr>
          <w:sz w:val="24"/>
          <w:szCs w:val="24"/>
          <w:color w:val="auto"/>
        </w:rPr>
      </w:pPr>
    </w:p>
    <w:p>
      <w:pPr>
        <w:ind w:right="20"/>
        <w:spacing w:after="0" w:line="23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44" w:lineRule="exact"/>
        <w:rPr>
          <w:sz w:val="24"/>
          <w:szCs w:val="24"/>
          <w:color w:val="auto"/>
        </w:rPr>
      </w:pPr>
    </w:p>
    <w:p>
      <w:pPr>
        <w:spacing w:after="0" w:line="184" w:lineRule="exact"/>
        <w:tabs>
          <w:tab w:leader="none" w:pos="80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b w:val="1"/>
          <w:bCs w:val="1"/>
          <w:color w:val="auto"/>
        </w:rPr>
        <w:t>☒</w:t>
      </w:r>
    </w:p>
    <w:p>
      <w:pPr>
        <w:spacing w:after="0" w:line="90" w:lineRule="exact"/>
        <w:rPr>
          <w:sz w:val="24"/>
          <w:szCs w:val="24"/>
          <w:color w:val="auto"/>
        </w:rPr>
      </w:pPr>
    </w:p>
    <w:p>
      <w:pPr>
        <w:ind w:right="660"/>
        <w:spacing w:after="0" w:line="279" w:lineRule="auto"/>
        <w:rPr>
          <w:sz w:val="20"/>
          <w:szCs w:val="20"/>
          <w:color w:val="auto"/>
        </w:rPr>
      </w:pPr>
      <w:r>
        <w:rPr>
          <w:rFonts w:ascii="Times New Roman" w:cs="Times New Roman" w:eastAsia="Times New Roman" w:hAnsi="Times New Roman"/>
          <w:sz w:val="16"/>
          <w:szCs w:val="16"/>
          <w:color w:val="auto"/>
        </w:rPr>
        <w:t>The aggregate market value of the Class A Common Stock held by non-affiliates of the Registrant on June 28, 2024, based on the reported closing price of the Registrant’s Class A Common Stock on the Nasdaq Global Select Market on that date, was approximately $284.4 million.</w:t>
      </w:r>
    </w:p>
    <w:p>
      <w:pPr>
        <w:spacing w:after="0"/>
        <w:rPr>
          <w:sz w:val="20"/>
          <w:szCs w:val="20"/>
          <w:color w:val="auto"/>
        </w:rPr>
      </w:pPr>
      <w:r>
        <w:rPr>
          <w:rFonts w:ascii="Times New Roman" w:cs="Times New Roman" w:eastAsia="Times New Roman" w:hAnsi="Times New Roman"/>
          <w:sz w:val="16"/>
          <w:szCs w:val="16"/>
          <w:color w:val="auto"/>
        </w:rPr>
        <w:t>The number of shares of Registrant’s Class A Common Stock outstanding as of February 24, 2025 was 112,911,325.</w:t>
      </w:r>
    </w:p>
    <w:p>
      <w:pPr>
        <w:spacing w:after="0" w:line="13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3"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6"/>
          <w:szCs w:val="16"/>
          <w:color w:val="auto"/>
        </w:rPr>
        <w:t>Portions of the registrant’s proxy statement for the 2025 annual meeting of stockholders to be filed pursuant to Regulation 14A within 120 days after the registrant’s fiscal year ended December 31, 2024, are incorporated by reference in Part III of this Form 10-K.</w:t>
      </w:r>
    </w:p>
    <w:p>
      <w:pPr>
        <w:spacing w:after="0" w:line="23" w:lineRule="exact"/>
        <w:rPr>
          <w:sz w:val="24"/>
          <w:szCs w:val="24"/>
          <w:color w:val="auto"/>
        </w:rPr>
      </w:pPr>
    </w:p>
    <w:p>
      <w:pPr>
        <w:spacing w:after="0"/>
        <w:tabs>
          <w:tab w:leader="none" w:pos="3580" w:val="left"/>
          <w:tab w:leader="none" w:pos="7180" w:val="left"/>
        </w:tabs>
        <w:rPr>
          <w:sz w:val="20"/>
          <w:szCs w:val="20"/>
          <w:color w:val="auto"/>
        </w:rPr>
      </w:pPr>
      <w:r>
        <w:rPr>
          <w:rFonts w:ascii="Times New Roman" w:cs="Times New Roman" w:eastAsia="Times New Roman" w:hAnsi="Times New Roman"/>
          <w:sz w:val="16"/>
          <w:szCs w:val="16"/>
          <w:color w:val="auto"/>
        </w:rPr>
        <w:t>Auditor Firm Id: PCAOB No. 34</w:t>
      </w:r>
      <w:r>
        <w:rPr>
          <w:sz w:val="20"/>
          <w:szCs w:val="20"/>
          <w:color w:val="auto"/>
        </w:rPr>
        <w:tab/>
      </w:r>
      <w:r>
        <w:rPr>
          <w:rFonts w:ascii="Times New Roman" w:cs="Times New Roman" w:eastAsia="Times New Roman" w:hAnsi="Times New Roman"/>
          <w:sz w:val="16"/>
          <w:szCs w:val="16"/>
          <w:color w:val="auto"/>
        </w:rPr>
        <w:t>Auditor Name: Deloitte &amp; Touche LLP</w:t>
      </w:r>
      <w:r>
        <w:rPr>
          <w:sz w:val="20"/>
          <w:szCs w:val="20"/>
          <w:color w:val="auto"/>
        </w:rPr>
        <w:tab/>
      </w:r>
      <w:r>
        <w:rPr>
          <w:rFonts w:ascii="Times New Roman" w:cs="Times New Roman" w:eastAsia="Times New Roman" w:hAnsi="Times New Roman"/>
          <w:sz w:val="15"/>
          <w:szCs w:val="15"/>
          <w:color w:val="auto"/>
        </w:rPr>
        <w:t>Auditor Location: Boston, MA</w:t>
      </w:r>
    </w:p>
    <w:p>
      <w:pPr>
        <w:sectPr>
          <w:pgSz w:w="11880" w:h="15480" w:orient="portrait"/>
          <w:cols w:equalWidth="0" w:num="1">
            <w:col w:w="10800"/>
          </w:cols>
          <w:pgMar w:left="540" w:top="806" w:right="540" w:bottom="279"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324485</wp:posOffset>
            </wp:positionH>
            <wp:positionV relativeFrom="page">
              <wp:posOffset>589280</wp:posOffset>
            </wp:positionV>
            <wp:extent cx="68948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63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-128905</wp:posOffset>
            </wp:positionV>
            <wp:extent cx="68948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6350"/>
                    </a:xfrm>
                    <a:prstGeom prst="rect">
                      <a:avLst/>
                    </a:prstGeom>
                    <a:noFill/>
                  </pic:spPr>
                </pic:pic>
              </a:graphicData>
            </a:graphic>
          </wp:anchor>
        </w:drawing>
      </w:r>
    </w:p>
    <w:p>
      <w:pPr>
        <w:sectPr>
          <w:pgSz w:w="11880" w:h="15480" w:orient="portrait"/>
          <w:cols w:equalWidth="0" w:num="1">
            <w:col w:w="10800"/>
          </w:cols>
          <w:pgMar w:left="540" w:top="933" w:right="540" w:bottom="1440" w:gutter="0" w:footer="0" w:header="0"/>
        </w:sect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0" w:type="dxa"/>
            <w:vAlign w:val="bottom"/>
            <w:tcBorders>
              <w:bottom w:val="single" w:sz="8" w:color="FDFDFD"/>
            </w:tcBorders>
            <w:shd w:val="clear" w:color="auto" w:fill="FDFDFD"/>
          </w:tcPr>
          <w:p>
            <w:pPr>
              <w:spacing w:after="0"/>
              <w:rPr>
                <w:sz w:val="18"/>
                <w:szCs w:val="18"/>
                <w:color w:val="auto"/>
              </w:rPr>
            </w:pPr>
          </w:p>
        </w:tc>
        <w:tc>
          <w:tcPr>
            <w:tcW w:w="80" w:type="dxa"/>
            <w:vAlign w:val="bottom"/>
            <w:tcBorders>
              <w:bottom w:val="single" w:sz="8" w:color="FDFDFD"/>
            </w:tcBorders>
            <w:shd w:val="clear" w:color="auto" w:fill="FDFDFD"/>
          </w:tcPr>
          <w:p>
            <w:pPr>
              <w:spacing w:after="0"/>
              <w:rPr>
                <w:sz w:val="18"/>
                <w:szCs w:val="18"/>
                <w:color w:val="auto"/>
              </w:rPr>
            </w:pPr>
          </w:p>
        </w:tc>
        <w:tc>
          <w:tcPr>
            <w:tcW w:w="60" w:type="dxa"/>
            <w:vAlign w:val="bottom"/>
            <w:tcBorders>
              <w:bottom w:val="single" w:sz="8" w:color="FDFDFD"/>
            </w:tcBorders>
            <w:shd w:val="clear" w:color="auto" w:fill="FDFDFD"/>
          </w:tcPr>
          <w:p>
            <w:pPr>
              <w:spacing w:after="0"/>
              <w:rPr>
                <w:sz w:val="18"/>
                <w:szCs w:val="18"/>
                <w:color w:val="auto"/>
              </w:rPr>
            </w:pPr>
          </w:p>
        </w:tc>
        <w:tc>
          <w:tcPr>
            <w:tcW w:w="360" w:type="dxa"/>
            <w:vAlign w:val="bottom"/>
            <w:tcBorders>
              <w:bottom w:val="single" w:sz="8" w:color="FDFDFD"/>
            </w:tcBorders>
            <w:shd w:val="clear" w:color="auto" w:fill="FDFDFD"/>
          </w:tcPr>
          <w:p>
            <w:pPr>
              <w:spacing w:after="0"/>
              <w:rPr>
                <w:sz w:val="18"/>
                <w:szCs w:val="18"/>
                <w:color w:val="auto"/>
              </w:rPr>
            </w:pPr>
          </w:p>
        </w:tc>
        <w:tc>
          <w:tcPr>
            <w:tcW w:w="886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20"/>
                <w:szCs w:val="20"/>
                <w:color w:val="auto"/>
              </w:rPr>
              <w:t>Glossary</w:t>
            </w:r>
          </w:p>
        </w:tc>
        <w:tc>
          <w:tcPr>
            <w:tcW w:w="760" w:type="dxa"/>
            <w:vAlign w:val="bottom"/>
            <w:tcBorders>
              <w:bottom w:val="single" w:sz="8" w:color="auto"/>
            </w:tcBorders>
            <w:shd w:val="clear" w:color="auto" w:fill="FDFDFD"/>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27"/>
        </w:trPr>
        <w:tc>
          <w:tcPr>
            <w:tcW w:w="68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6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8860" w:type="dxa"/>
            <w:vAlign w:val="bottom"/>
            <w:vMerge w:val="continue"/>
            <w:shd w:val="clear" w:color="auto" w:fill="FDFDFD"/>
          </w:tcPr>
          <w:p>
            <w:pPr>
              <w:spacing w:after="0"/>
              <w:rPr>
                <w:sz w:val="19"/>
                <w:szCs w:val="19"/>
                <w:color w:val="auto"/>
              </w:rPr>
            </w:pPr>
          </w:p>
        </w:tc>
        <w:tc>
          <w:tcPr>
            <w:tcW w:w="760" w:type="dxa"/>
            <w:vAlign w:val="bottom"/>
            <w:shd w:val="clear" w:color="auto" w:fill="FDFDFD"/>
          </w:tcPr>
          <w:p>
            <w:pPr>
              <w:jc w:val="right"/>
              <w:spacing w:after="0" w:line="227" w:lineRule="exact"/>
              <w:rPr>
                <w:sz w:val="20"/>
                <w:szCs w:val="20"/>
                <w:color w:val="auto"/>
              </w:rPr>
            </w:pPr>
            <w:r>
              <w:rPr>
                <w:rFonts w:ascii="Times New Roman" w:cs="Times New Roman" w:eastAsia="Times New Roman" w:hAnsi="Times New Roman"/>
                <w:sz w:val="20"/>
                <w:szCs w:val="20"/>
                <w:color w:val="auto"/>
              </w:rPr>
              <w:t>i</w:t>
            </w:r>
          </w:p>
        </w:tc>
        <w:tc>
          <w:tcPr>
            <w:tcW w:w="0" w:type="dxa"/>
            <w:vAlign w:val="bottom"/>
          </w:tcPr>
          <w:p>
            <w:pPr>
              <w:spacing w:after="0"/>
              <w:rPr>
                <w:sz w:val="1"/>
                <w:szCs w:val="1"/>
                <w:color w:val="auto"/>
              </w:rPr>
            </w:pPr>
          </w:p>
        </w:tc>
      </w:tr>
      <w:tr>
        <w:trPr>
          <w:trHeight w:val="244"/>
        </w:trPr>
        <w:tc>
          <w:tcPr>
            <w:tcW w:w="68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60" w:type="dxa"/>
            <w:vAlign w:val="bottom"/>
            <w:shd w:val="clear" w:color="auto" w:fill="FDFDFD"/>
          </w:tcPr>
          <w:p>
            <w:pPr>
              <w:spacing w:after="0"/>
              <w:rPr>
                <w:sz w:val="21"/>
                <w:szCs w:val="21"/>
                <w:color w:val="auto"/>
              </w:rPr>
            </w:pPr>
          </w:p>
        </w:tc>
        <w:tc>
          <w:tcPr>
            <w:tcW w:w="36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Cautionary Note Regarding Forward-Looking Statements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ii</w:t>
            </w:r>
          </w:p>
        </w:tc>
        <w:tc>
          <w:tcPr>
            <w:tcW w:w="0" w:type="dxa"/>
            <w:vAlign w:val="bottom"/>
          </w:tcPr>
          <w:p>
            <w:pPr>
              <w:spacing w:after="0"/>
              <w:rPr>
                <w:sz w:val="1"/>
                <w:szCs w:val="1"/>
                <w:color w:val="auto"/>
              </w:rPr>
            </w:pPr>
          </w:p>
        </w:tc>
      </w:tr>
      <w:tr>
        <w:trPr>
          <w:trHeight w:val="251"/>
        </w:trPr>
        <w:tc>
          <w:tcPr>
            <w:tcW w:w="680" w:type="dxa"/>
            <w:vAlign w:val="bottom"/>
            <w:vMerge w:val="restart"/>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auto"/>
                <w:w w:val="98"/>
              </w:rPr>
              <w:t>PART I</w:t>
            </w:r>
          </w:p>
        </w:tc>
        <w:tc>
          <w:tcPr>
            <w:tcW w:w="500" w:type="dxa"/>
            <w:vAlign w:val="bottom"/>
            <w:gridSpan w:val="3"/>
            <w:vMerge w:val="restart"/>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Summary of Risk Factors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iii</w:t>
            </w:r>
          </w:p>
        </w:tc>
        <w:tc>
          <w:tcPr>
            <w:tcW w:w="0" w:type="dxa"/>
            <w:vAlign w:val="bottom"/>
          </w:tcPr>
          <w:p>
            <w:pPr>
              <w:spacing w:after="0"/>
              <w:rPr>
                <w:sz w:val="1"/>
                <w:szCs w:val="1"/>
                <w:color w:val="auto"/>
              </w:rPr>
            </w:pPr>
          </w:p>
        </w:tc>
      </w:tr>
      <w:tr>
        <w:trPr>
          <w:trHeight w:val="222"/>
        </w:trPr>
        <w:tc>
          <w:tcPr>
            <w:tcW w:w="680" w:type="dxa"/>
            <w:vAlign w:val="bottom"/>
            <w:tcBorders>
              <w:bottom w:val="single" w:sz="8" w:color="auto"/>
            </w:tcBorders>
            <w:vMerge w:val="continue"/>
            <w:shd w:val="clear" w:color="auto" w:fill="FDFDFD"/>
          </w:tcPr>
          <w:p>
            <w:pPr>
              <w:spacing w:after="0"/>
              <w:rPr>
                <w:sz w:val="19"/>
                <w:szCs w:val="19"/>
                <w:color w:val="auto"/>
              </w:rPr>
            </w:pPr>
          </w:p>
        </w:tc>
        <w:tc>
          <w:tcPr>
            <w:tcW w:w="500" w:type="dxa"/>
            <w:vAlign w:val="bottom"/>
            <w:tcBorders>
              <w:bottom w:val="single" w:sz="8" w:color="FDFDFD"/>
            </w:tcBorders>
            <w:gridSpan w:val="3"/>
            <w:vMerge w:val="continue"/>
            <w:shd w:val="clear" w:color="auto" w:fill="FDFDFD"/>
          </w:tcPr>
          <w:p>
            <w:pPr>
              <w:spacing w:after="0"/>
              <w:rPr>
                <w:sz w:val="19"/>
                <w:szCs w:val="19"/>
                <w:color w:val="auto"/>
              </w:rPr>
            </w:pPr>
          </w:p>
        </w:tc>
        <w:tc>
          <w:tcPr>
            <w:tcW w:w="8860" w:type="dxa"/>
            <w:vAlign w:val="bottom"/>
            <w:tcBorders>
              <w:bottom w:val="single" w:sz="8" w:color="FDFDFD"/>
            </w:tcBorders>
            <w:shd w:val="clear" w:color="auto" w:fill="FDFDFD"/>
          </w:tcPr>
          <w:p>
            <w:pPr>
              <w:spacing w:after="0"/>
              <w:rPr>
                <w:sz w:val="19"/>
                <w:szCs w:val="19"/>
                <w:color w:val="auto"/>
              </w:rPr>
            </w:pPr>
          </w:p>
        </w:tc>
        <w:tc>
          <w:tcPr>
            <w:tcW w:w="760" w:type="dxa"/>
            <w:vAlign w:val="bottom"/>
            <w:tcBorders>
              <w:bottom w:val="single" w:sz="8" w:color="FDFDFD"/>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1.</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Business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1A.</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Risk Factors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1B.</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1C.</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Cybersecurity</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2.</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Properties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3.</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Legal Proceedings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51"/>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4.</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Mine Safety Disclosures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466"/>
        </w:trPr>
        <w:tc>
          <w:tcPr>
            <w:tcW w:w="760" w:type="dxa"/>
            <w:vAlign w:val="bottom"/>
            <w:tcBorders>
              <w:bottom w:val="single" w:sz="8" w:color="auto"/>
            </w:tcBorders>
            <w:gridSpan w:val="2"/>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auto"/>
                <w:w w:val="98"/>
              </w:rPr>
              <w:t>PART II</w:t>
            </w:r>
          </w:p>
        </w:tc>
        <w:tc>
          <w:tcPr>
            <w:tcW w:w="420" w:type="dxa"/>
            <w:vAlign w:val="bottom"/>
            <w:tcBorders>
              <w:bottom w:val="single" w:sz="8" w:color="FDFDFD"/>
            </w:tcBorders>
            <w:gridSpan w:val="2"/>
            <w:shd w:val="clear" w:color="auto" w:fill="FDFDFD"/>
          </w:tcPr>
          <w:p>
            <w:pPr>
              <w:spacing w:after="0"/>
              <w:rPr>
                <w:sz w:val="24"/>
                <w:szCs w:val="24"/>
                <w:color w:val="auto"/>
              </w:rPr>
            </w:pPr>
          </w:p>
        </w:tc>
        <w:tc>
          <w:tcPr>
            <w:tcW w:w="8860" w:type="dxa"/>
            <w:vAlign w:val="bottom"/>
            <w:tcBorders>
              <w:bottom w:val="single" w:sz="8" w:color="FDFDFD"/>
            </w:tcBorders>
            <w:shd w:val="clear" w:color="auto" w:fill="FDFDFD"/>
          </w:tcPr>
          <w:p>
            <w:pPr>
              <w:spacing w:after="0"/>
              <w:rPr>
                <w:sz w:val="24"/>
                <w:szCs w:val="24"/>
                <w:color w:val="auto"/>
              </w:rPr>
            </w:pPr>
          </w:p>
        </w:tc>
        <w:tc>
          <w:tcPr>
            <w:tcW w:w="760" w:type="dxa"/>
            <w:vAlign w:val="bottom"/>
            <w:tcBorders>
              <w:bottom w:val="single" w:sz="8" w:color="FDFDFD"/>
            </w:tcBorders>
            <w:shd w:val="clear" w:color="auto" w:fill="FDFDFD"/>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80" w:type="dxa"/>
            <w:vAlign w:val="bottom"/>
            <w:gridSpan w:val="4"/>
            <w:shd w:val="clear" w:color="auto" w:fill="FDFDFD"/>
          </w:tcPr>
          <w:p>
            <w:pPr>
              <w:ind w:left="140"/>
              <w:spacing w:after="0" w:line="224" w:lineRule="exact"/>
              <w:rPr>
                <w:sz w:val="20"/>
                <w:szCs w:val="20"/>
                <w:color w:val="auto"/>
              </w:rPr>
            </w:pPr>
            <w:r>
              <w:rPr>
                <w:rFonts w:ascii="Times New Roman" w:cs="Times New Roman" w:eastAsia="Times New Roman" w:hAnsi="Times New Roman"/>
                <w:sz w:val="20"/>
                <w:szCs w:val="20"/>
                <w:color w:val="auto"/>
              </w:rPr>
              <w:t>Item 5.</w:t>
            </w:r>
          </w:p>
        </w:tc>
        <w:tc>
          <w:tcPr>
            <w:tcW w:w="886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76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8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60" w:type="dxa"/>
            <w:vAlign w:val="bottom"/>
            <w:shd w:val="clear" w:color="auto" w:fill="FDFDFD"/>
          </w:tcPr>
          <w:p>
            <w:pPr>
              <w:spacing w:after="0"/>
              <w:rPr>
                <w:sz w:val="21"/>
                <w:szCs w:val="21"/>
                <w:color w:val="auto"/>
              </w:rPr>
            </w:pPr>
          </w:p>
        </w:tc>
        <w:tc>
          <w:tcPr>
            <w:tcW w:w="36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Securities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6.</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Reserved</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7.</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7A.</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8.</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9.</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9A.</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Controls and Procedures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9B.</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Other Information</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68"/>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9C.</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450"/>
        </w:trPr>
        <w:tc>
          <w:tcPr>
            <w:tcW w:w="1180" w:type="dxa"/>
            <w:vAlign w:val="bottom"/>
            <w:gridSpan w:val="4"/>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860" w:type="dxa"/>
            <w:vAlign w:val="bottom"/>
            <w:shd w:val="clear" w:color="auto" w:fill="FDFDFD"/>
          </w:tcPr>
          <w:p>
            <w:pPr>
              <w:spacing w:after="0"/>
              <w:rPr>
                <w:sz w:val="24"/>
                <w:szCs w:val="24"/>
                <w:color w:val="auto"/>
              </w:rPr>
            </w:pPr>
          </w:p>
        </w:tc>
        <w:tc>
          <w:tcPr>
            <w:tcW w:w="760" w:type="dxa"/>
            <w:vAlign w:val="bottom"/>
            <w:shd w:val="clear" w:color="auto" w:fill="FDFDFD"/>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20" w:type="dxa"/>
            <w:vAlign w:val="bottom"/>
            <w:tcBorders>
              <w:top w:val="single" w:sz="8" w:color="auto"/>
            </w:tcBorders>
            <w:gridSpan w:val="3"/>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w w:val="98"/>
              </w:rPr>
              <w:t>Item 10.</w:t>
            </w:r>
          </w:p>
        </w:tc>
        <w:tc>
          <w:tcPr>
            <w:tcW w:w="360" w:type="dxa"/>
            <w:vAlign w:val="bottom"/>
            <w:tcBorders>
              <w:top w:val="single" w:sz="8" w:color="FDFDFD"/>
            </w:tcBorders>
            <w:shd w:val="clear" w:color="auto" w:fill="FDFDFD"/>
          </w:tcPr>
          <w:p>
            <w:pPr>
              <w:spacing w:after="0"/>
              <w:rPr>
                <w:sz w:val="20"/>
                <w:szCs w:val="20"/>
                <w:color w:val="auto"/>
              </w:rPr>
            </w:pPr>
          </w:p>
        </w:tc>
        <w:tc>
          <w:tcPr>
            <w:tcW w:w="8860" w:type="dxa"/>
            <w:vAlign w:val="bottom"/>
            <w:tcBorders>
              <w:top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60" w:type="dxa"/>
            <w:vAlign w:val="bottom"/>
            <w:tcBorders>
              <w:top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11.</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Executive Compensation</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12.</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13.</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68"/>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14.</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450"/>
        </w:trPr>
        <w:tc>
          <w:tcPr>
            <w:tcW w:w="820" w:type="dxa"/>
            <w:vAlign w:val="bottom"/>
            <w:tcBorders>
              <w:bottom w:val="single" w:sz="8" w:color="auto"/>
            </w:tcBorders>
            <w:gridSpan w:val="3"/>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auto"/>
                <w:w w:val="97"/>
              </w:rPr>
              <w:t>PART IV</w:t>
            </w:r>
          </w:p>
        </w:tc>
        <w:tc>
          <w:tcPr>
            <w:tcW w:w="360" w:type="dxa"/>
            <w:vAlign w:val="bottom"/>
            <w:tcBorders>
              <w:bottom w:val="single" w:sz="8" w:color="FDFDFD"/>
            </w:tcBorders>
            <w:shd w:val="clear" w:color="auto" w:fill="FDFDFD"/>
          </w:tcPr>
          <w:p>
            <w:pPr>
              <w:spacing w:after="0"/>
              <w:rPr>
                <w:sz w:val="24"/>
                <w:szCs w:val="24"/>
                <w:color w:val="auto"/>
              </w:rPr>
            </w:pPr>
          </w:p>
        </w:tc>
        <w:tc>
          <w:tcPr>
            <w:tcW w:w="8860" w:type="dxa"/>
            <w:vAlign w:val="bottom"/>
            <w:tcBorders>
              <w:bottom w:val="single" w:sz="8" w:color="FDFDFD"/>
            </w:tcBorders>
            <w:shd w:val="clear" w:color="auto" w:fill="FDFDFD"/>
          </w:tcPr>
          <w:p>
            <w:pPr>
              <w:spacing w:after="0"/>
              <w:rPr>
                <w:sz w:val="24"/>
                <w:szCs w:val="24"/>
                <w:color w:val="auto"/>
              </w:rPr>
            </w:pPr>
          </w:p>
        </w:tc>
        <w:tc>
          <w:tcPr>
            <w:tcW w:w="760" w:type="dxa"/>
            <w:vAlign w:val="bottom"/>
            <w:tcBorders>
              <w:bottom w:val="single" w:sz="8" w:color="FDFDFD"/>
            </w:tcBorders>
            <w:shd w:val="clear" w:color="auto" w:fill="FDFDFD"/>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15.</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44"/>
        </w:trPr>
        <w:tc>
          <w:tcPr>
            <w:tcW w:w="1180" w:type="dxa"/>
            <w:vAlign w:val="bottom"/>
            <w:gridSpan w:val="4"/>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Item 16.</w:t>
            </w: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Form 10-K Summary</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51"/>
        </w:trPr>
        <w:tc>
          <w:tcPr>
            <w:tcW w:w="68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60" w:type="dxa"/>
            <w:vAlign w:val="bottom"/>
            <w:shd w:val="clear" w:color="auto" w:fill="FDFDFD"/>
          </w:tcPr>
          <w:p>
            <w:pPr>
              <w:spacing w:after="0"/>
              <w:rPr>
                <w:sz w:val="21"/>
                <w:szCs w:val="21"/>
                <w:color w:val="auto"/>
              </w:rPr>
            </w:pPr>
          </w:p>
        </w:tc>
        <w:tc>
          <w:tcPr>
            <w:tcW w:w="36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Signatures</w:t>
            </w: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bl>
    <w:p>
      <w:pPr>
        <w:sectPr>
          <w:pgSz w:w="11880" w:h="15480" w:orient="portrait"/>
          <w:cols w:equalWidth="0" w:num="1">
            <w:col w:w="10800"/>
          </w:cols>
          <w:pgMar w:left="540" w:top="933" w:right="540"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GLOSSARY</w:t>
      </w:r>
    </w:p>
    <w:p>
      <w:pPr>
        <w:spacing w:after="0" w:line="123" w:lineRule="exact"/>
        <w:rPr>
          <w:sz w:val="20"/>
          <w:szCs w:val="20"/>
          <w:color w:val="auto"/>
        </w:rPr>
      </w:pPr>
    </w:p>
    <w:p>
      <w:pPr>
        <w:ind w:right="200" w:firstLine="490"/>
        <w:spacing w:after="0" w:line="242" w:lineRule="auto"/>
        <w:rPr>
          <w:sz w:val="20"/>
          <w:szCs w:val="20"/>
          <w:color w:val="auto"/>
        </w:rPr>
      </w:pPr>
      <w:r>
        <w:rPr>
          <w:rFonts w:ascii="Times New Roman" w:cs="Times New Roman" w:eastAsia="Times New Roman" w:hAnsi="Times New Roman"/>
          <w:sz w:val="20"/>
          <w:szCs w:val="20"/>
          <w:color w:val="auto"/>
        </w:rPr>
        <w:t>As used in this Annual Report on Form 10-K, the terms identified below have the meanings specified below unless otherwise noted or the context indicates otherwise. References in this Form 10-K to “Definitive Healthcare Corp.” refer to Definitive Healthcare Corp. and not to any of its subsidiaries unless the context indicates otherwise. References in this Form 10-K to “Definitive Healthcare,” "Definitive," the “Company,” “we,” “us,” and “our” refer (1) 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p>
    <w:p>
      <w:pPr>
        <w:spacing w:after="0" w:line="1" w:lineRule="exact"/>
        <w:rPr>
          <w:sz w:val="20"/>
          <w:szCs w:val="20"/>
          <w:color w:val="auto"/>
        </w:rPr>
      </w:pPr>
    </w:p>
    <w:p>
      <w:pPr>
        <w:ind w:left="980" w:hanging="483"/>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Advent</w:t>
      </w:r>
      <w:r>
        <w:rPr>
          <w:rFonts w:ascii="Times New Roman" w:cs="Times New Roman" w:eastAsia="Times New Roman" w:hAnsi="Times New Roman"/>
          <w:sz w:val="20"/>
          <w:szCs w:val="20"/>
          <w:color w:val="auto"/>
        </w:rPr>
        <w:t>” refers to funds affiliated with Advent International, a global private equity firm.</w:t>
      </w:r>
    </w:p>
    <w:p>
      <w:pPr>
        <w:spacing w:after="0" w:line="13" w:lineRule="exact"/>
        <w:rPr>
          <w:rFonts w:ascii="Arial" w:cs="Arial" w:eastAsia="Arial" w:hAnsi="Arial"/>
          <w:sz w:val="20"/>
          <w:szCs w:val="20"/>
          <w:color w:val="auto"/>
        </w:rPr>
      </w:pPr>
    </w:p>
    <w:p>
      <w:pPr>
        <w:jc w:val="both"/>
        <w:ind w:left="980" w:right="200" w:hanging="483"/>
        <w:spacing w:after="0" w:line="247"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Advent Acquisition</w:t>
      </w:r>
      <w:r>
        <w:rPr>
          <w:rFonts w:ascii="Times New Roman" w:cs="Times New Roman" w:eastAsia="Times New Roman" w:hAnsi="Times New Roman"/>
          <w:sz w:val="20"/>
          <w:szCs w:val="20"/>
          <w:color w:val="auto"/>
        </w:rPr>
        <w:t>” refers to the purchase of a majority of the issued and outstanding units of DH Holdings by Advent in 2019. The acquisition was accounted for as a business combination with purchase accounting applied.</w:t>
      </w:r>
    </w:p>
    <w:p>
      <w:pPr>
        <w:ind w:left="980" w:hanging="483"/>
        <w:spacing w:after="0" w:line="247"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AIDH Buyer</w:t>
      </w:r>
      <w:r>
        <w:rPr>
          <w:rFonts w:ascii="Times New Roman" w:cs="Times New Roman" w:eastAsia="Times New Roman" w:hAnsi="Times New Roman"/>
          <w:sz w:val="20"/>
          <w:szCs w:val="20"/>
          <w:color w:val="auto"/>
        </w:rPr>
        <w:t>” refers to AIDH Buyer, LLC, which is a wholly owned subsidiary of Definitive OpCo and the direct parent company of DH Holdings.</w:t>
      </w:r>
    </w:p>
    <w:p>
      <w:pPr>
        <w:ind w:left="980" w:right="380" w:hanging="483"/>
        <w:spacing w:after="0" w:line="244"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Amended LLC Agreement</w:t>
      </w:r>
      <w:r>
        <w:rPr>
          <w:rFonts w:ascii="Times New Roman" w:cs="Times New Roman" w:eastAsia="Times New Roman" w:hAnsi="Times New Roman"/>
          <w:sz w:val="20"/>
          <w:szCs w:val="20"/>
          <w:color w:val="auto"/>
        </w:rPr>
        <w:t>” refers to the second amended and restated limited liability company agreement entered into by Definitive Opco pursuant to which members have the right to exchange all or a portion of their LLC units for newly issued shares of Class A Common Stock in Definitive Healthcare Corp.</w:t>
      </w:r>
    </w:p>
    <w:p>
      <w:pPr>
        <w:spacing w:after="0" w:line="1" w:lineRule="exact"/>
        <w:rPr>
          <w:rFonts w:ascii="Arial" w:cs="Arial" w:eastAsia="Arial" w:hAnsi="Arial"/>
          <w:sz w:val="20"/>
          <w:szCs w:val="20"/>
          <w:color w:val="auto"/>
        </w:rPr>
      </w:pPr>
    </w:p>
    <w:p>
      <w:pPr>
        <w:ind w:left="980" w:right="60" w:hanging="483"/>
        <w:spacing w:after="0" w:line="244"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w:t>
      </w:r>
      <w:r>
        <w:rPr>
          <w:rFonts w:ascii="Times New Roman" w:cs="Times New Roman" w:eastAsia="Times New Roman" w:hAnsi="Times New Roman"/>
          <w:sz w:val="20"/>
          <w:szCs w:val="20"/>
          <w:color w:val="auto"/>
        </w:rPr>
        <w:t>”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1" w:lineRule="exact"/>
        <w:rPr>
          <w:rFonts w:ascii="Arial" w:cs="Arial" w:eastAsia="Arial" w:hAnsi="Arial"/>
          <w:sz w:val="20"/>
          <w:szCs w:val="20"/>
          <w:color w:val="auto"/>
        </w:rPr>
      </w:pPr>
    </w:p>
    <w:p>
      <w:pPr>
        <w:ind w:left="980" w:right="80" w:hanging="483"/>
        <w:spacing w:after="0" w:line="244"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Blocker 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Blocker Companies</w:t>
      </w:r>
      <w:r>
        <w:rPr>
          <w:rFonts w:ascii="Times New Roman" w:cs="Times New Roman" w:eastAsia="Times New Roman" w:hAnsi="Times New Roman"/>
          <w:sz w:val="20"/>
          <w:szCs w:val="20"/>
          <w:color w:val="auto"/>
        </w:rPr>
        <w:t>” refers to certain entities treated as corporations for U.S. federal income tax purposes, as defined within Note 1 to our audited consolidated financial statements included in Part II, Item 8 of this Form 10-K.</w:t>
      </w:r>
    </w:p>
    <w:p>
      <w:pPr>
        <w:spacing w:after="0" w:line="1" w:lineRule="exact"/>
        <w:rPr>
          <w:rFonts w:ascii="Arial" w:cs="Arial" w:eastAsia="Arial" w:hAnsi="Arial"/>
          <w:sz w:val="20"/>
          <w:szCs w:val="20"/>
          <w:color w:val="auto"/>
        </w:rPr>
      </w:pPr>
    </w:p>
    <w:p>
      <w:pPr>
        <w:ind w:left="980" w:right="20" w:hanging="483"/>
        <w:spacing w:after="0" w:line="244"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Continuing Pre-IPO LLC Members</w:t>
      </w:r>
      <w:r>
        <w:rPr>
          <w:rFonts w:ascii="Times New Roman" w:cs="Times New Roman" w:eastAsia="Times New Roman" w:hAnsi="Times New Roman"/>
          <w:sz w:val="20"/>
          <w:szCs w:val="20"/>
          <w:color w:val="auto"/>
        </w:rPr>
        <w:t>” refers to certain Pre-IPO LLC Members who retained their equity ownership in Definitive OpCo in the form of LLC Units immediately following the consummation of the Reorganization Transactions.</w:t>
      </w:r>
    </w:p>
    <w:p>
      <w:pPr>
        <w:spacing w:after="0" w:line="1" w:lineRule="exact"/>
        <w:rPr>
          <w:rFonts w:ascii="Arial" w:cs="Arial" w:eastAsia="Arial" w:hAnsi="Arial"/>
          <w:sz w:val="20"/>
          <w:szCs w:val="20"/>
          <w:color w:val="auto"/>
        </w:rPr>
      </w:pPr>
    </w:p>
    <w:p>
      <w:pPr>
        <w:ind w:left="980" w:right="660" w:hanging="483"/>
        <w:spacing w:after="0" w:line="247"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Definitive OpCo</w:t>
      </w:r>
      <w:r>
        <w:rPr>
          <w:rFonts w:ascii="Times New Roman" w:cs="Times New Roman" w:eastAsia="Times New Roman" w:hAnsi="Times New Roman"/>
          <w:sz w:val="20"/>
          <w:szCs w:val="20"/>
          <w:color w:val="auto"/>
        </w:rPr>
        <w:t>” refers to AIDH TopCo, LLC, a Delaware limited liability company, and a subsidiary of Definitive Healthcare Corp., following the Reorganization Transactions.</w:t>
      </w:r>
    </w:p>
    <w:p>
      <w:pPr>
        <w:ind w:left="980" w:right="200" w:hanging="483"/>
        <w:spacing w:after="0" w:line="247"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DH Holdings</w:t>
      </w:r>
      <w:r>
        <w:rPr>
          <w:rFonts w:ascii="Times New Roman" w:cs="Times New Roman" w:eastAsia="Times New Roman" w:hAnsi="Times New Roman"/>
          <w:sz w:val="20"/>
          <w:szCs w:val="20"/>
          <w:color w:val="auto"/>
        </w:rPr>
        <w:t>” refers to Definitive Healthcare Holdings, LLC, a Delaware limited liability company and wholly owned subsidiary of AIDH Buyer.</w:t>
      </w:r>
    </w:p>
    <w:p>
      <w:pPr>
        <w:ind w:left="980" w:hanging="483"/>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LLC Units</w:t>
      </w:r>
      <w:r>
        <w:rPr>
          <w:rFonts w:ascii="Times New Roman" w:cs="Times New Roman" w:eastAsia="Times New Roman" w:hAnsi="Times New Roman"/>
          <w:sz w:val="20"/>
          <w:szCs w:val="20"/>
          <w:color w:val="auto"/>
        </w:rPr>
        <w:t>” refers to limited liability company interests in Definitive OpCo.</w:t>
      </w:r>
    </w:p>
    <w:p>
      <w:pPr>
        <w:spacing w:after="0" w:line="13" w:lineRule="exact"/>
        <w:rPr>
          <w:rFonts w:ascii="Arial" w:cs="Arial" w:eastAsia="Arial" w:hAnsi="Arial"/>
          <w:sz w:val="20"/>
          <w:szCs w:val="20"/>
          <w:color w:val="auto"/>
        </w:rPr>
      </w:pPr>
    </w:p>
    <w:p>
      <w:pPr>
        <w:ind w:left="980" w:right="20" w:hanging="483"/>
        <w:spacing w:after="0" w:line="242"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LTV</w:t>
      </w:r>
      <w:r>
        <w:rPr>
          <w:rFonts w:ascii="Times New Roman" w:cs="Times New Roman" w:eastAsia="Times New Roman" w:hAnsi="Times New Roman"/>
          <w:sz w:val="20"/>
          <w:szCs w:val="20"/>
          <w:color w:val="auto"/>
        </w:rPr>
        <w:t>”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3" w:lineRule="exact"/>
        <w:rPr>
          <w:rFonts w:ascii="Arial" w:cs="Arial" w:eastAsia="Arial" w:hAnsi="Arial"/>
          <w:sz w:val="20"/>
          <w:szCs w:val="20"/>
          <w:color w:val="auto"/>
        </w:rPr>
      </w:pPr>
    </w:p>
    <w:p>
      <w:pPr>
        <w:ind w:left="980" w:hanging="483"/>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IPO</w:t>
      </w:r>
      <w:r>
        <w:rPr>
          <w:rFonts w:ascii="Times New Roman" w:cs="Times New Roman" w:eastAsia="Times New Roman" w:hAnsi="Times New Roman"/>
          <w:sz w:val="20"/>
          <w:szCs w:val="20"/>
          <w:color w:val="auto"/>
        </w:rPr>
        <w:t>” refers to the initial public offering of Class A Common Stock of Definitive Healthcare Corp.</w:t>
      </w:r>
    </w:p>
    <w:p>
      <w:pPr>
        <w:spacing w:after="0" w:line="13" w:lineRule="exact"/>
        <w:rPr>
          <w:rFonts w:ascii="Arial" w:cs="Arial" w:eastAsia="Arial" w:hAnsi="Arial"/>
          <w:sz w:val="20"/>
          <w:szCs w:val="20"/>
          <w:color w:val="auto"/>
        </w:rPr>
      </w:pPr>
    </w:p>
    <w:p>
      <w:pPr>
        <w:ind w:left="980" w:right="160" w:hanging="483"/>
        <w:spacing w:after="0" w:line="242"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NDR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Net Dollar Retention Rate</w:t>
      </w:r>
      <w:r>
        <w:rPr>
          <w:rFonts w:ascii="Times New Roman" w:cs="Times New Roman" w:eastAsia="Times New Roman" w:hAnsi="Times New Roman"/>
          <w:sz w:val="20"/>
          <w:szCs w:val="20"/>
          <w:color w:val="auto"/>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3" w:lineRule="exact"/>
        <w:rPr>
          <w:rFonts w:ascii="Arial" w:cs="Arial" w:eastAsia="Arial" w:hAnsi="Arial"/>
          <w:sz w:val="20"/>
          <w:szCs w:val="20"/>
          <w:color w:val="auto"/>
        </w:rPr>
      </w:pPr>
    </w:p>
    <w:p>
      <w:pPr>
        <w:ind w:left="980" w:hanging="483"/>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Populi</w:t>
      </w:r>
      <w:r>
        <w:rPr>
          <w:rFonts w:ascii="Times New Roman" w:cs="Times New Roman" w:eastAsia="Times New Roman" w:hAnsi="Times New Roman"/>
          <w:sz w:val="20"/>
          <w:szCs w:val="20"/>
          <w:color w:val="auto"/>
        </w:rPr>
        <w:t>” refers to Populi, Inc., a Delaware corporation.</w:t>
      </w:r>
    </w:p>
    <w:p>
      <w:pPr>
        <w:spacing w:after="0" w:line="13" w:lineRule="exact"/>
        <w:rPr>
          <w:rFonts w:ascii="Arial" w:cs="Arial" w:eastAsia="Arial" w:hAnsi="Arial"/>
          <w:sz w:val="20"/>
          <w:szCs w:val="20"/>
          <w:color w:val="auto"/>
        </w:rPr>
      </w:pPr>
    </w:p>
    <w:p>
      <w:pPr>
        <w:ind w:left="980" w:right="260" w:hanging="483"/>
        <w:spacing w:after="0" w:line="244"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Pre-IPO LLC Members</w:t>
      </w:r>
      <w:r>
        <w:rPr>
          <w:rFonts w:ascii="Times New Roman" w:cs="Times New Roman" w:eastAsia="Times New Roman" w:hAnsi="Times New Roman"/>
          <w:sz w:val="20"/>
          <w:szCs w:val="20"/>
          <w:color w:val="auto"/>
        </w:rPr>
        <w:t>” refers to certain affiliates of Spectrum Equity, Jason Krantz, DH Holdings, AIDH Management Holdings, LLC, certain affiliates of Advent and certain other minority equity holders of Definitive OpCo prior to the Reorganization Transactions.</w:t>
      </w:r>
    </w:p>
    <w:p>
      <w:pPr>
        <w:spacing w:after="0" w:line="1" w:lineRule="exact"/>
        <w:rPr>
          <w:rFonts w:ascii="Arial" w:cs="Arial" w:eastAsia="Arial" w:hAnsi="Arial"/>
          <w:sz w:val="20"/>
          <w:szCs w:val="20"/>
          <w:color w:val="auto"/>
        </w:rPr>
      </w:pPr>
    </w:p>
    <w:p>
      <w:pPr>
        <w:ind w:left="980" w:right="260" w:hanging="483"/>
        <w:spacing w:after="0" w:line="247"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Reorganization Parties</w:t>
      </w:r>
      <w:r>
        <w:rPr>
          <w:rFonts w:ascii="Times New Roman" w:cs="Times New Roman" w:eastAsia="Times New Roman" w:hAnsi="Times New Roman"/>
          <w:sz w:val="20"/>
          <w:szCs w:val="20"/>
          <w:color w:val="auto"/>
        </w:rPr>
        <w:t>” refers to the shareholders of the Blocker Companies prior to the merger of the Blocker Companies into Definitive Healthcare Corp.</w:t>
      </w:r>
    </w:p>
    <w:p>
      <w:pPr>
        <w:ind w:left="980" w:hanging="483"/>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Reorganization Transactions</w:t>
      </w:r>
      <w:r>
        <w:rPr>
          <w:rFonts w:ascii="Times New Roman" w:cs="Times New Roman" w:eastAsia="Times New Roman" w:hAnsi="Times New Roman"/>
          <w:sz w:val="20"/>
          <w:szCs w:val="20"/>
          <w:color w:val="auto"/>
        </w:rPr>
        <w:t>” refers to transactions completed in connection with the Company’s IPO.</w:t>
      </w:r>
    </w:p>
    <w:p>
      <w:pPr>
        <w:spacing w:after="0" w:line="13" w:lineRule="exact"/>
        <w:rPr>
          <w:rFonts w:ascii="Arial" w:cs="Arial" w:eastAsia="Arial" w:hAnsi="Arial"/>
          <w:sz w:val="20"/>
          <w:szCs w:val="20"/>
          <w:color w:val="auto"/>
        </w:rPr>
      </w:pPr>
    </w:p>
    <w:p>
      <w:pPr>
        <w:ind w:left="980" w:hanging="483"/>
        <w:spacing w:after="0" w:line="247"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Spectrum Equity</w:t>
      </w:r>
      <w:r>
        <w:rPr>
          <w:rFonts w:ascii="Times New Roman" w:cs="Times New Roman" w:eastAsia="Times New Roman" w:hAnsi="Times New Roman"/>
          <w:sz w:val="20"/>
          <w:szCs w:val="20"/>
          <w:color w:val="auto"/>
        </w:rPr>
        <w:t>” refers to investment funds associated with Spectrum Equity Management, L.P., a private equity firm.</w:t>
      </w:r>
    </w:p>
    <w:p>
      <w:pPr>
        <w:ind w:left="980" w:hanging="483"/>
        <w:spacing w:after="0"/>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Sponsors</w:t>
      </w:r>
      <w:r>
        <w:rPr>
          <w:rFonts w:ascii="Times New Roman" w:cs="Times New Roman" w:eastAsia="Times New Roman" w:hAnsi="Times New Roman"/>
          <w:sz w:val="20"/>
          <w:szCs w:val="20"/>
          <w:color w:val="auto"/>
        </w:rPr>
        <w:t>” refers collectively to Advent and Spectrum Equity.</w:t>
      </w:r>
    </w:p>
    <w:p>
      <w:pPr>
        <w:spacing w:after="0" w:line="13" w:lineRule="exact"/>
        <w:rPr>
          <w:rFonts w:ascii="Arial" w:cs="Arial" w:eastAsia="Arial" w:hAnsi="Arial"/>
          <w:sz w:val="20"/>
          <w:szCs w:val="20"/>
          <w:color w:val="auto"/>
        </w:rPr>
      </w:pPr>
    </w:p>
    <w:p>
      <w:pPr>
        <w:ind w:left="980" w:right="660" w:hanging="483"/>
        <w:spacing w:after="0" w:line="247"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Receivable Agreement</w:t>
      </w:r>
      <w:r>
        <w:rPr>
          <w:rFonts w:ascii="Times New Roman" w:cs="Times New Roman" w:eastAsia="Times New Roman" w:hAnsi="Times New Roman"/>
          <w:sz w:val="20"/>
          <w:szCs w:val="20"/>
          <w:color w:val="auto"/>
        </w:rPr>
        <w:t>” refers to the Tax Receivable Agreement, dated September 14, 2021, between Definitive Healthcare Corp., Definitive OpCo, and the TRA Parties.</w:t>
      </w:r>
    </w:p>
    <w:p>
      <w:pPr>
        <w:ind w:left="980" w:right="20" w:hanging="483"/>
        <w:spacing w:after="0" w:line="278" w:lineRule="auto"/>
        <w:tabs>
          <w:tab w:leader="none" w:pos="9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 Parties</w:t>
      </w:r>
      <w:r>
        <w:rPr>
          <w:rFonts w:ascii="Times New Roman" w:cs="Times New Roman" w:eastAsia="Times New Roman" w:hAnsi="Times New Roman"/>
          <w:sz w:val="20"/>
          <w:szCs w:val="20"/>
          <w:color w:val="auto"/>
        </w:rPr>
        <w:t>” refers to the Continuing Pre-IPO LLC Members, the Reorganization Parties, and any future party to the Tax Receivable Agreement.</w:t>
      </w:r>
    </w:p>
    <w:p>
      <w:pPr>
        <w:sectPr>
          <w:pgSz w:w="11880" w:h="15480" w:orient="portrait"/>
          <w:cols w:equalWidth="0" w:num="1">
            <w:col w:w="10200"/>
          </w:cols>
          <w:pgMar w:left="820" w:top="803" w:right="8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w:t>
      </w:r>
    </w:p>
    <w:p>
      <w:pPr>
        <w:sectPr>
          <w:pgSz w:w="11880" w:h="15480" w:orient="portrait"/>
          <w:cols w:equalWidth="0" w:num="1">
            <w:col w:w="10200"/>
          </w:cols>
          <w:pgMar w:left="820" w:top="803" w:right="860" w:bottom="66"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3" w:lineRule="exact"/>
        <w:rPr>
          <w:sz w:val="20"/>
          <w:szCs w:val="20"/>
          <w:color w:val="auto"/>
        </w:rPr>
      </w:pPr>
    </w:p>
    <w:p>
      <w:pPr>
        <w:ind w:firstLine="490"/>
        <w:spacing w:after="0" w:line="266" w:lineRule="auto"/>
        <w:rPr>
          <w:sz w:val="20"/>
          <w:szCs w:val="20"/>
          <w:color w:val="auto"/>
        </w:rPr>
      </w:pPr>
      <w:r>
        <w:rPr>
          <w:rFonts w:ascii="Times New Roman" w:cs="Times New Roman" w:eastAsia="Times New Roman" w:hAnsi="Times New Roman"/>
          <w:sz w:val="19"/>
          <w:szCs w:val="19"/>
          <w:color w:val="auto"/>
        </w:rPr>
        <w:t>This Annual Report on Form 10-K (this “Annual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6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We caution you against relying on any forward-looking statements, which should also be read in conjunction with the other cautionary statements that are included elsewhere in this Annual Report, including under “Risk Factors” and “Management’s Discussion and Analysis of Financial Condition and Results of Operations.” Any forward-looking statement made by us speaks only as of the date on which we make it. Important factors that could cause actual results to differ materially from those in the forward-looking statements include, but are not limited to, regional, national or global political, economic, business, competitive, market, and regulatory conditions. We undertake no obligation to publicly update or revise any forward-looking statement, whether as a result of new information, future developments or otherwise, except as may be required by law.</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w:t>
      </w:r>
    </w:p>
    <w:p>
      <w:pPr>
        <w:sectPr>
          <w:pgSz w:w="11880" w:h="15480" w:orient="portrait"/>
          <w:cols w:equalWidth="0" w:num="1">
            <w:col w:w="10220"/>
          </w:cols>
          <w:pgMar w:left="820" w:top="803" w:right="840" w:bottom="0" w:gutter="0" w:footer="0" w:header="0"/>
          <w:type w:val="continuous"/>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233" w:lineRule="exact"/>
        <w:rPr>
          <w:sz w:val="20"/>
          <w:szCs w:val="20"/>
          <w:color w:val="auto"/>
        </w:rPr>
      </w:pPr>
    </w:p>
    <w:p>
      <w:pPr>
        <w:jc w:val="both"/>
        <w:ind w:right="80" w:firstLine="490"/>
        <w:spacing w:after="0" w:line="259" w:lineRule="auto"/>
        <w:rPr>
          <w:sz w:val="20"/>
          <w:szCs w:val="20"/>
          <w:color w:val="auto"/>
        </w:rPr>
      </w:pPr>
      <w:r>
        <w:rPr>
          <w:rFonts w:ascii="Times New Roman" w:cs="Times New Roman" w:eastAsia="Times New Roman" w:hAnsi="Times New Roman"/>
          <w:sz w:val="20"/>
          <w:szCs w:val="20"/>
          <w:color w:val="auto"/>
        </w:rPr>
        <w:t>The following is a summary of the principal risks that may materially adversely affect our business, financial condition, results of operations and cash flows. The following is a summary only, and should be read in conjunction with Part I, Item 1A “Risk Factors” and the other information contained in this Annual Report.</w:t>
      </w:r>
    </w:p>
    <w:p>
      <w:pPr>
        <w:spacing w:after="0" w:line="189" w:lineRule="exact"/>
        <w:rPr>
          <w:sz w:val="20"/>
          <w:szCs w:val="20"/>
          <w:color w:val="auto"/>
        </w:rPr>
      </w:pPr>
    </w:p>
    <w:p>
      <w:pPr>
        <w:ind w:left="720" w:right="20" w:hanging="405"/>
        <w:spacing w:after="0" w:line="27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generate sales of subscriptions to our platform or any decline in demand for our platform and the data we offer could have a material adverse effect on our business, financial condition and results of operations;</w:t>
      </w:r>
    </w:p>
    <w:p>
      <w:pPr>
        <w:spacing w:after="0" w:line="77" w:lineRule="exact"/>
        <w:rPr>
          <w:rFonts w:ascii="Times New Roman" w:cs="Times New Roman" w:eastAsia="Times New Roman" w:hAnsi="Times New Roman"/>
          <w:sz w:val="20"/>
          <w:szCs w:val="20"/>
          <w:color w:val="auto"/>
        </w:rPr>
      </w:pPr>
    </w:p>
    <w:p>
      <w:pPr>
        <w:ind w:left="740" w:hanging="419"/>
        <w:spacing w:after="0" w:line="279" w:lineRule="auto"/>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in which we operate is competitive, and if we do not compete effectively, it could have a material adverse effect on our business, financial condition and results of operations;</w:t>
      </w:r>
    </w:p>
    <w:p>
      <w:pPr>
        <w:spacing w:after="0" w:line="77" w:lineRule="exact"/>
        <w:rPr>
          <w:rFonts w:ascii="Times New Roman" w:cs="Times New Roman" w:eastAsia="Times New Roman" w:hAnsi="Times New Roman"/>
          <w:sz w:val="20"/>
          <w:szCs w:val="20"/>
          <w:color w:val="auto"/>
        </w:rPr>
      </w:pPr>
    </w:p>
    <w:p>
      <w:pPr>
        <w:ind w:left="740" w:right="720" w:hanging="419"/>
        <w:spacing w:after="0" w:line="279" w:lineRule="auto"/>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fail to respond to advances in healthcare commercial intelligence, which could result in competitors surpassing the depth, breadth or accuracy of our platform;</w:t>
      </w:r>
    </w:p>
    <w:p>
      <w:pPr>
        <w:spacing w:after="0" w:line="77" w:lineRule="exact"/>
        <w:rPr>
          <w:rFonts w:ascii="Times New Roman" w:cs="Times New Roman" w:eastAsia="Times New Roman" w:hAnsi="Times New Roman"/>
          <w:sz w:val="20"/>
          <w:szCs w:val="20"/>
          <w:color w:val="auto"/>
        </w:rPr>
      </w:pPr>
    </w:p>
    <w:p>
      <w:pPr>
        <w:ind w:left="720" w:right="360" w:hanging="405"/>
        <w:spacing w:after="0" w:line="27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obtain and maintain accurate, comprehensive or reliable data, which could result in reduced demand for our platform;</w:t>
      </w:r>
    </w:p>
    <w:p>
      <w:pPr>
        <w:spacing w:after="0" w:line="77" w:lineRule="exact"/>
        <w:rPr>
          <w:rFonts w:ascii="Times New Roman" w:cs="Times New Roman" w:eastAsia="Times New Roman" w:hAnsi="Times New Roman"/>
          <w:sz w:val="20"/>
          <w:szCs w:val="20"/>
          <w:color w:val="auto"/>
        </w:rPr>
      </w:pPr>
    </w:p>
    <w:p>
      <w:pPr>
        <w:ind w:left="740" w:hanging="419"/>
        <w:spacing w:after="0"/>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recent growth rates may not be indicative of our future growth;</w:t>
      </w:r>
    </w:p>
    <w:p>
      <w:pPr>
        <w:spacing w:after="0" w:line="151" w:lineRule="exact"/>
        <w:rPr>
          <w:rFonts w:ascii="Times New Roman" w:cs="Times New Roman" w:eastAsia="Times New Roman" w:hAnsi="Times New Roman"/>
          <w:sz w:val="20"/>
          <w:szCs w:val="20"/>
          <w:color w:val="auto"/>
        </w:rPr>
      </w:pPr>
    </w:p>
    <w:p>
      <w:pPr>
        <w:ind w:left="740" w:right="640" w:hanging="419"/>
        <w:spacing w:after="0" w:line="279" w:lineRule="auto"/>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achieve or sustain profitability in the future compared to historical levels as we increase investments in our business;</w:t>
      </w:r>
    </w:p>
    <w:p>
      <w:pPr>
        <w:spacing w:after="0" w:line="77" w:lineRule="exact"/>
        <w:rPr>
          <w:rFonts w:ascii="Times New Roman" w:cs="Times New Roman" w:eastAsia="Times New Roman" w:hAnsi="Times New Roman"/>
          <w:sz w:val="20"/>
          <w:szCs w:val="20"/>
          <w:color w:val="auto"/>
        </w:rPr>
      </w:pPr>
    </w:p>
    <w:p>
      <w:pPr>
        <w:ind w:left="720" w:right="120" w:hanging="401"/>
        <w:spacing w:after="0" w:line="27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loss of our access to our data providers could negatively impact our platform and have a material adverse effect on our business, financial condition and results of operations;</w:t>
      </w:r>
    </w:p>
    <w:p>
      <w:pPr>
        <w:spacing w:after="0" w:line="77" w:lineRule="exact"/>
        <w:rPr>
          <w:rFonts w:ascii="Times New Roman" w:cs="Times New Roman" w:eastAsia="Times New Roman" w:hAnsi="Times New Roman"/>
          <w:sz w:val="20"/>
          <w:szCs w:val="20"/>
          <w:color w:val="auto"/>
        </w:rPr>
      </w:pPr>
    </w:p>
    <w:p>
      <w:pPr>
        <w:ind w:left="740" w:right="100" w:hanging="419"/>
        <w:spacing w:after="0" w:line="307" w:lineRule="auto"/>
        <w:tabs>
          <w:tab w:leader="none" w:pos="7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fail to maintain and improve our platform, or develop new modules, functionality, or insights for healthcare commercial intelligence, whereby competitors could surpass the depth, breadth or accuracy of our platform;</w:t>
      </w:r>
    </w:p>
    <w:p>
      <w:pPr>
        <w:spacing w:after="0" w:line="53" w:lineRule="exact"/>
        <w:rPr>
          <w:rFonts w:ascii="Times New Roman" w:cs="Times New Roman" w:eastAsia="Times New Roman" w:hAnsi="Times New Roman"/>
          <w:sz w:val="19"/>
          <w:szCs w:val="19"/>
          <w:color w:val="auto"/>
        </w:rPr>
      </w:pPr>
    </w:p>
    <w:p>
      <w:pPr>
        <w:ind w:left="720" w:right="360" w:hanging="405"/>
        <w:spacing w:after="0" w:line="27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attract new customers and expand subscriptions of current customers could negatively impact our revenue growth and financial performance;</w:t>
      </w:r>
    </w:p>
    <w:p>
      <w:pPr>
        <w:spacing w:after="0" w:line="77" w:lineRule="exact"/>
        <w:rPr>
          <w:rFonts w:ascii="Times New Roman" w:cs="Times New Roman" w:eastAsia="Times New Roman" w:hAnsi="Times New Roman"/>
          <w:sz w:val="20"/>
          <w:szCs w:val="20"/>
          <w:color w:val="auto"/>
        </w:rPr>
      </w:pPr>
    </w:p>
    <w:p>
      <w:pPr>
        <w:jc w:val="both"/>
        <w:ind w:left="720" w:right="480" w:hanging="405"/>
        <w:spacing w:after="0" w:line="25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 between Russia and Ukraine, the conflict in Israel and surrounding areas, global geopolitical and trade tensions, and worsening global macroeconomic conditions could have a material adverse effect on our business, financial condition, and results of operations;</w:t>
      </w:r>
    </w:p>
    <w:p>
      <w:pPr>
        <w:spacing w:after="0" w:line="97" w:lineRule="exact"/>
        <w:rPr>
          <w:rFonts w:ascii="Times New Roman" w:cs="Times New Roman" w:eastAsia="Times New Roman" w:hAnsi="Times New Roman"/>
          <w:sz w:val="20"/>
          <w:szCs w:val="20"/>
          <w:color w:val="auto"/>
        </w:rPr>
      </w:pPr>
    </w:p>
    <w:p>
      <w:pPr>
        <w:ind w:left="720" w:right="500" w:hanging="405"/>
        <w:spacing w:after="0" w:line="25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information technology systems or those of third parties upon which we rely, or our data are or were compromised, we could experience material adverse effects on our reputation, business, financial condition and results of operations;</w:t>
      </w:r>
    </w:p>
    <w:p>
      <w:pPr>
        <w:spacing w:after="0" w:line="98" w:lineRule="exact"/>
        <w:rPr>
          <w:rFonts w:ascii="Times New Roman" w:cs="Times New Roman" w:eastAsia="Times New Roman" w:hAnsi="Times New Roman"/>
          <w:sz w:val="20"/>
          <w:szCs w:val="20"/>
          <w:color w:val="auto"/>
        </w:rPr>
      </w:pPr>
    </w:p>
    <w:p>
      <w:pPr>
        <w:ind w:left="720" w:right="500" w:hanging="401"/>
        <w:spacing w:after="0" w:line="25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security measures are breached or unauthorized access to data is otherwise obtained, our platform may be perceived as not being secure, customers may reduce the use of or stop using our platform, and we may incur significant liabilities;</w:t>
      </w:r>
    </w:p>
    <w:p>
      <w:pPr>
        <w:spacing w:after="0" w:line="96" w:lineRule="exact"/>
        <w:rPr>
          <w:rFonts w:ascii="Times New Roman" w:cs="Times New Roman" w:eastAsia="Times New Roman" w:hAnsi="Times New Roman"/>
          <w:sz w:val="20"/>
          <w:szCs w:val="20"/>
          <w:color w:val="auto"/>
        </w:rPr>
      </w:pPr>
    </w:p>
    <w:p>
      <w:pPr>
        <w:ind w:left="720" w:right="60" w:hanging="401"/>
        <w:spacing w:after="0" w:line="24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previously identified a material weakness in our internal control over financial reporting, and although we have remediated this material weakness, we cannot assure you that additional material weaknesses or significant deficiencies will not occur in the future. 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 and</w:t>
      </w:r>
    </w:p>
    <w:p>
      <w:pPr>
        <w:spacing w:after="0" w:line="108" w:lineRule="exact"/>
        <w:rPr>
          <w:rFonts w:ascii="Times New Roman" w:cs="Times New Roman" w:eastAsia="Times New Roman" w:hAnsi="Times New Roman"/>
          <w:sz w:val="20"/>
          <w:szCs w:val="20"/>
          <w:color w:val="auto"/>
        </w:rPr>
      </w:pPr>
    </w:p>
    <w:p>
      <w:pPr>
        <w:ind w:left="720" w:right="140" w:hanging="401"/>
        <w:spacing w:after="0" w:line="27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results of operations may be harmed if we are required to collect sales or other related taxes for subscriptions to our platform in jurisdictions where we have not historically done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-6116320</wp:posOffset>
            </wp:positionV>
            <wp:extent cx="6492240" cy="300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2240" cy="300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-5727700</wp:posOffset>
            </wp:positionV>
            <wp:extent cx="6492240" cy="300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2240" cy="300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-5339080</wp:posOffset>
            </wp:positionV>
            <wp:extent cx="6492240" cy="300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2240" cy="300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-4950460</wp:posOffset>
            </wp:positionV>
            <wp:extent cx="6492240" cy="300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2240" cy="300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-4561840</wp:posOffset>
            </wp:positionV>
            <wp:extent cx="6492240" cy="154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2240" cy="154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-4319270</wp:posOffset>
            </wp:positionV>
            <wp:extent cx="6492240" cy="300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2240" cy="300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-3930650</wp:posOffset>
            </wp:positionV>
            <wp:extent cx="6492240" cy="300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2240" cy="300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-3542030</wp:posOffset>
            </wp:positionV>
            <wp:extent cx="6492240" cy="300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2240" cy="300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-3153410</wp:posOffset>
            </wp:positionV>
            <wp:extent cx="6492240" cy="300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2240" cy="300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-2764790</wp:posOffset>
            </wp:positionV>
            <wp:extent cx="6492240" cy="2731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2240" cy="2731770"/>
                    </a:xfrm>
                    <a:prstGeom prst="rect">
                      <a:avLst/>
                    </a:prstGeom>
                    <a:noFill/>
                  </pic:spPr>
                </pic:pic>
              </a:graphicData>
            </a:graphic>
          </wp:anchor>
        </w:drawing>
      </w:r>
    </w:p>
    <w:p>
      <w:pPr>
        <w:sectPr>
          <w:pgSz w:w="11880" w:h="15480" w:orient="portrait"/>
          <w:cols w:equalWidth="0" w:num="1">
            <w:col w:w="10160"/>
          </w:cols>
          <w:pgMar w:left="820" w:top="803" w:right="90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iii</w:t>
      </w:r>
    </w:p>
    <w:p>
      <w:pPr>
        <w:sectPr>
          <w:pgSz w:w="11880" w:h="15480" w:orient="portrait"/>
          <w:cols w:equalWidth="0" w:num="1">
            <w:col w:w="10160"/>
          </w:cols>
          <w:pgMar w:left="820" w:top="803" w:right="900" w:bottom="8" w:gutter="0" w:footer="0" w:header="0"/>
          <w:type w:val="continuous"/>
        </w:sectPr>
      </w:pPr>
    </w:p>
    <w:bookmarkStart w:id="5" w:name="page6"/>
    <w:bookmarkEnd w:id="5"/>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Mission</w:t>
      </w:r>
    </w:p>
    <w:p>
      <w:pPr>
        <w:spacing w:after="0" w:line="123"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Our mission is to transform data, analytics, and expertise into healthcare commercial intelligence. We help clients uncover the right markets, opportunities, and people, so they can shape tomorrow’s healthcare industry. Our software-as-a-service (“SaaS”) platform creates new paths to commercial success in the healthcare market, so companies can identify where to go next.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3"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approximately 2,500 customers as of December 31, 2024. We generally define a customer as a company that maintains one or more active paid subscriptions to our platform.</w:t>
      </w:r>
    </w:p>
    <w:p>
      <w:pPr>
        <w:spacing w:after="0" w:line="77"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Our healthcare commercial intelligence platform brings together comprehensive, in-depth and high-quality intelligence, a powerful artificial intelligence engine, and an intuitive front-end SaaS platform, which have all been built, modified and improved upon over the last 13 years to create a highly differentiated offering.</w:t>
      </w:r>
    </w:p>
    <w:p>
      <w:pPr>
        <w:spacing w:after="0" w:line="65"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Definitive Healthcare was founded in 2011 and incorporated as Definitive Healthcare Corp. in May 2021 for the purposes of facilitating an IPO of its Class A Common Stock, which was completed on September 17, 2021. The Company is headquartered in Framingham, MA. Our primary website address is www.definitivehc.com. The information on our website is not incorporated herein or otherwise part of this Annual Report on Form 10-K.</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Definitive Healthcare Platform</w:t>
      </w:r>
    </w:p>
    <w:p>
      <w:pPr>
        <w:spacing w:after="0" w:line="123"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Our SaaS-based healthcare commercial intelligence platform is designed to provide comprehensive and accurate information on the healthcare ecosystem in the U.S. The platform uses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Data Sources and Data Engine</w:t>
      </w:r>
    </w:p>
    <w:p>
      <w:pPr>
        <w:spacing w:after="0" w:line="12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Our comprehensive, high-quality healthcare commercial intelligence is made up of thousands of data sources and billions of data points that enrich and power our platform. We transform this data into intelligence through artificial intelligence and machine learning (“A.I.”)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since our inception, our platform contains a full 360-degree, longitudinal view of the healthcare ecosystem and depicts how the ecosystem connects together, creating a true barrier to entry.</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0220"/>
          </w:cols>
          <w:pgMar w:left="820" w:top="803" w:right="84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Our Competition and Competitive Strengths</w:t>
      </w:r>
    </w:p>
    <w:p>
      <w:pPr>
        <w:spacing w:after="0" w:line="123"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operate in a highly fragmented market. We have a competitive advantage that is based on our comprehensive dataset built up over 14 years, our application of the data science, which has created proprietary intelligence and linkages that we do not see elsewhere, and a user interface that provides customers access to answers, not data, in an integrated manner. Our competitive strengths include:</w:t>
      </w:r>
    </w:p>
    <w:p>
      <w:pPr>
        <w:spacing w:after="0" w:line="85" w:lineRule="exact"/>
        <w:rPr>
          <w:sz w:val="20"/>
          <w:szCs w:val="20"/>
          <w:color w:val="auto"/>
        </w:rPr>
      </w:pPr>
    </w:p>
    <w:p>
      <w:pPr>
        <w:jc w:val="both"/>
        <w:ind w:left="1100" w:right="20" w:hanging="488"/>
        <w:spacing w:after="0" w:line="259" w:lineRule="auto"/>
        <w:tabs>
          <w:tab w:leader="none" w:pos="110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Proprietary Healthcare-specific Commercial Intelligence</w:t>
      </w:r>
      <w:r>
        <w:rPr>
          <w:rFonts w:ascii="Times New Roman" w:cs="Times New Roman" w:eastAsia="Times New Roman" w:hAnsi="Times New Roman"/>
          <w:sz w:val="20"/>
          <w:szCs w:val="20"/>
          <w:color w:val="auto"/>
        </w:rPr>
        <w:t>. We have built proprietary intelligence via first-party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research, aggregated, linked, cleansed, and inferred information from thousands of data sources and we have tied billions of data points together into a comprehensive view of the entire U.S. healthcare ecosystem.</w:t>
      </w:r>
    </w:p>
    <w:p>
      <w:pPr>
        <w:spacing w:after="0" w:line="78" w:lineRule="exact"/>
        <w:rPr>
          <w:rFonts w:ascii="Arial" w:cs="Arial" w:eastAsia="Arial" w:hAnsi="Arial"/>
          <w:sz w:val="20"/>
          <w:szCs w:val="20"/>
          <w:color w:val="auto"/>
        </w:rPr>
      </w:pPr>
    </w:p>
    <w:p>
      <w:pPr>
        <w:ind w:left="1100" w:right="160" w:hanging="488"/>
        <w:spacing w:after="0" w:line="259" w:lineRule="auto"/>
        <w:tabs>
          <w:tab w:leader="none" w:pos="110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An Integrated Data and Technology Foundation that Creates a Flywheel of Innovation. </w:t>
      </w:r>
      <w:r>
        <w:rPr>
          <w:rFonts w:ascii="Times New Roman" w:cs="Times New Roman" w:eastAsia="Times New Roman" w:hAnsi="Times New Roman"/>
          <w:sz w:val="20"/>
          <w:szCs w:val="20"/>
          <w:color w:val="auto"/>
        </w:rPr>
        <w:t>Our technology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platform provides the foundation for rapid product development and innovation by leveraging our existing data assets to produce new modules and features that solve a growing number of business problems.</w:t>
      </w:r>
    </w:p>
    <w:p>
      <w:pPr>
        <w:spacing w:after="0" w:line="78" w:lineRule="exact"/>
        <w:rPr>
          <w:rFonts w:ascii="Arial" w:cs="Arial" w:eastAsia="Arial" w:hAnsi="Arial"/>
          <w:sz w:val="20"/>
          <w:szCs w:val="20"/>
          <w:color w:val="auto"/>
        </w:rPr>
      </w:pPr>
    </w:p>
    <w:p>
      <w:pPr>
        <w:jc w:val="both"/>
        <w:ind w:left="1100" w:right="240" w:hanging="488"/>
        <w:spacing w:after="0" w:line="278" w:lineRule="auto"/>
        <w:tabs>
          <w:tab w:leader="none" w:pos="110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Powerful Go-to-Market Engine. </w:t>
      </w:r>
      <w:r>
        <w:rPr>
          <w:rFonts w:ascii="Times New Roman" w:cs="Times New Roman" w:eastAsia="Times New Roman" w:hAnsi="Times New Roman"/>
          <w:sz w:val="20"/>
          <w:szCs w:val="20"/>
          <w:color w:val="auto"/>
        </w:rPr>
        <w:t>We have a highly efficient and effective go-to-market engine that combines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effective marketing with an inside sales force comprised of highly trained, vertically focused sales executives.</w:t>
      </w:r>
    </w:p>
    <w:p>
      <w:pPr>
        <w:spacing w:after="0" w:line="60" w:lineRule="exact"/>
        <w:rPr>
          <w:rFonts w:ascii="Arial" w:cs="Arial" w:eastAsia="Arial" w:hAnsi="Arial"/>
          <w:sz w:val="20"/>
          <w:szCs w:val="20"/>
          <w:color w:val="auto"/>
        </w:rPr>
      </w:pPr>
    </w:p>
    <w:p>
      <w:pPr>
        <w:ind w:left="1100" w:right="20" w:hanging="488"/>
        <w:spacing w:after="0" w:line="259" w:lineRule="auto"/>
        <w:tabs>
          <w:tab w:leader="none" w:pos="110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Visionary Management Team with a Track Record of Execution. </w:t>
      </w:r>
      <w:r>
        <w:rPr>
          <w:rFonts w:ascii="Times New Roman" w:cs="Times New Roman" w:eastAsia="Times New Roman" w:hAnsi="Times New Roman"/>
          <w:sz w:val="20"/>
          <w:szCs w:val="20"/>
          <w:color w:val="auto"/>
        </w:rPr>
        <w:t>Our management team has a strong track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record of exceptional financial performance and of building an award-winning culture to attract and retain highly talented individuals.</w:t>
      </w:r>
    </w:p>
    <w:p>
      <w:pPr>
        <w:spacing w:after="0" w:line="64"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auto"/>
        </w:rPr>
        <w:t>While we believe no competitor matches our breadth of data and intelligence solutions or offers as comprehensive and accurate a commercial intelligence platform, we compete either directly or indirectly with:</w:t>
      </w:r>
    </w:p>
    <w:p>
      <w:pPr>
        <w:spacing w:after="0" w:line="60" w:lineRule="exact"/>
        <w:rPr>
          <w:sz w:val="20"/>
          <w:szCs w:val="20"/>
          <w:color w:val="auto"/>
        </w:rPr>
      </w:pPr>
    </w:p>
    <w:p>
      <w:pPr>
        <w:ind w:left="1100" w:hanging="488"/>
        <w:spacing w:after="0"/>
        <w:tabs>
          <w:tab w:leader="none" w:pos="11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Legacy raw claims data providers, such as Clarivate, IQVIA, and Symphony Health;</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Emerging point solution players, such as AcuityMD, RepSignal, and MedScout;</w:t>
      </w:r>
    </w:p>
    <w:p>
      <w:pPr>
        <w:spacing w:after="0" w:line="133" w:lineRule="exact"/>
        <w:rPr>
          <w:rFonts w:ascii="Arial" w:cs="Arial" w:eastAsia="Arial" w:hAnsi="Arial"/>
          <w:sz w:val="20"/>
          <w:szCs w:val="20"/>
          <w:color w:val="auto"/>
        </w:rPr>
      </w:pPr>
    </w:p>
    <w:p>
      <w:pPr>
        <w:ind w:left="1100" w:right="240" w:hanging="488"/>
        <w:spacing w:after="0" w:line="278" w:lineRule="auto"/>
        <w:tabs>
          <w:tab w:leader="none" w:pos="11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Niche healthcare specialists, such as Komodo Health, H1 Healthcare, Marketware, Trella Health, and Trilliant Health;</w:t>
      </w:r>
    </w:p>
    <w:p>
      <w:pPr>
        <w:spacing w:after="0" w:line="60" w:lineRule="exact"/>
        <w:rPr>
          <w:rFonts w:ascii="Arial" w:cs="Arial" w:eastAsia="Arial" w:hAnsi="Arial"/>
          <w:sz w:val="20"/>
          <w:szCs w:val="20"/>
          <w:color w:val="auto"/>
        </w:rPr>
      </w:pPr>
    </w:p>
    <w:p>
      <w:pPr>
        <w:ind w:left="1100" w:hanging="488"/>
        <w:spacing w:after="0"/>
        <w:tabs>
          <w:tab w:leader="none" w:pos="11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Ecosystem players that may house or analyze similar intelligence, such as SG2 and Veeva; and</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Horizontal go-to-market intelligence platforms, such as ZoomInfo, LinkedIn, and Dun &amp; Bradstreet.</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believe the principal competitive factors in our markets are:</w:t>
      </w:r>
    </w:p>
    <w:p>
      <w:pPr>
        <w:spacing w:after="0" w:line="134" w:lineRule="exact"/>
        <w:rPr>
          <w:sz w:val="20"/>
          <w:szCs w:val="20"/>
          <w:color w:val="auto"/>
        </w:rPr>
      </w:pPr>
    </w:p>
    <w:p>
      <w:pPr>
        <w:ind w:left="1100" w:hanging="488"/>
        <w:spacing w:after="0"/>
        <w:tabs>
          <w:tab w:leader="none" w:pos="110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Depth, breadth, and accuracy of healthcare-specific commercial intelligence;</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Healthcare subject matter expertise;</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A.I. and data science capabilities;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Ease of use and deployment; and</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Data privacy and security.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Growth Strategies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intend to drive growth through the following strategies:</w:t>
      </w:r>
    </w:p>
    <w:p>
      <w:pPr>
        <w:spacing w:after="0" w:line="136" w:lineRule="exact"/>
        <w:rPr>
          <w:sz w:val="20"/>
          <w:szCs w:val="20"/>
          <w:color w:val="auto"/>
        </w:rPr>
      </w:pPr>
    </w:p>
    <w:p>
      <w:pPr>
        <w:ind w:left="1100" w:hanging="488"/>
        <w:spacing w:after="0"/>
        <w:tabs>
          <w:tab w:leader="none" w:pos="11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Acquiring new customers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Expanding our relationships with existing customers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Continuing to innovate to strengthen our platform and market leadership position</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Making selective strategic acquisitions and investments</w:t>
      </w:r>
    </w:p>
    <w:p>
      <w:pPr>
        <w:sectPr>
          <w:pgSz w:w="11880" w:h="15480" w:orient="portrait"/>
          <w:cols w:equalWidth="0" w:num="1">
            <w:col w:w="10160"/>
          </w:cols>
          <w:pgMar w:left="820" w:top="80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160"/>
          </w:cols>
          <w:pgMar w:left="820" w:top="803" w:right="90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Our Customers</w:t>
      </w:r>
    </w:p>
    <w:p>
      <w:pPr>
        <w:spacing w:after="0" w:line="123"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Our integrated platform is designed to drive commercial success for companies that sell into or compete in the healthcare ecosystem, creating large end-markets for us, including life sciences, healthcare information technology ("HCIT"), healthcare providers and other diversified companies, such as staffing firms, commercial real estate firms, financial institutions and other organizations seeking commercial success in the attractive, but complex, healthcare ecosystem.</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Go-to-Market Strategy</w:t>
      </w:r>
    </w:p>
    <w:p>
      <w:pPr>
        <w:spacing w:after="0" w:line="123" w:lineRule="exact"/>
        <w:rPr>
          <w:sz w:val="20"/>
          <w:szCs w:val="20"/>
          <w:color w:val="auto"/>
        </w:rPr>
      </w:pPr>
    </w:p>
    <w:p>
      <w:pPr>
        <w:ind w:right="460" w:firstLine="490"/>
        <w:spacing w:after="0" w:line="279" w:lineRule="auto"/>
        <w:rPr>
          <w:sz w:val="20"/>
          <w:szCs w:val="20"/>
          <w:color w:val="auto"/>
        </w:rPr>
      </w:pPr>
      <w:r>
        <w:rPr>
          <w:rFonts w:ascii="Times New Roman" w:cs="Times New Roman" w:eastAsia="Times New Roman" w:hAnsi="Times New Roman"/>
          <w:sz w:val="20"/>
          <w:szCs w:val="20"/>
          <w:color w:val="auto"/>
        </w:rPr>
        <w:t>We believe we have a very efficient go-to-market model, driven by a high-velocity inside sales and marketing team, experienced sales executives (“SEs”) and a well-defined verticalized sales strategy.</w:t>
      </w:r>
    </w:p>
    <w:p>
      <w:pPr>
        <w:spacing w:after="0" w:line="45"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Our go-to-market strategy begins with a high-velocity marketing engine that generates more than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 demo to the exact intelligence that will be most impactful to their business. As our brand presence continues to grow, we have seen a significant increase in the number of inbound MQLs received.</w:t>
      </w:r>
    </w:p>
    <w:p>
      <w:pPr>
        <w:spacing w:after="0" w:line="80" w:lineRule="exact"/>
        <w:rPr>
          <w:sz w:val="20"/>
          <w:szCs w:val="20"/>
          <w:color w:val="auto"/>
        </w:rPr>
      </w:pPr>
    </w:p>
    <w:p>
      <w:pPr>
        <w:ind w:right="160" w:firstLine="490"/>
        <w:spacing w:after="0" w:line="259" w:lineRule="auto"/>
        <w:rPr>
          <w:sz w:val="20"/>
          <w:szCs w:val="20"/>
          <w:color w:val="auto"/>
        </w:rPr>
      </w:pPr>
      <w:r>
        <w:rPr>
          <w:rFonts w:ascii="Times New Roman" w:cs="Times New Roman" w:eastAsia="Times New Roman" w:hAnsi="Times New Roman"/>
          <w:sz w:val="20"/>
          <w:szCs w:val="20"/>
          <w:color w:val="auto"/>
        </w:rPr>
        <w:t>We complement our marketing efforts with a highly targeted outbound effort focused on important prospects across our target universe of over 100,000 companies, with an estimated total addressable market of more than $10 billion. These companies are prioritized and targeted with a measurable outbound effort led by our inside sales representative team.</w:t>
      </w:r>
    </w:p>
    <w:p>
      <w:pPr>
        <w:spacing w:after="0" w:line="65"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Once a new company signs up as a subscriber, they are transferred to our Customer Experience managers (“CX”) who assist with onboarding and training, answering questions, and maintaining a “health score,” which is a predictive metric used to determine whether customers are likely to renew their subscription. In addition, an account executive (“AE”) is typically assigned to each customer, with a focus on deepening the relationship and identifying opportunities to expand the relationship to new departments and sell additional intelligence modules and workflow products. The CX and AE teams are also organized by vertical end market to ensure appropriate subject matter expertise.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at Definitive Healthcare</w:t>
      </w:r>
    </w:p>
    <w:p>
      <w:pPr>
        <w:spacing w:after="0" w:line="123"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Our community has continued to grow rapidly since our founding 13 years ago. While our people are primarily concentrated in the Boston metro area, we have expanded globally and increased our reach with a flourishing remote employee base.</w:t>
      </w:r>
    </w:p>
    <w:p>
      <w:pPr>
        <w:spacing w:after="0" w:line="65"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 xml:space="preserve">As of December 31, 2024, our workforce included 782 employees </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of whom 525 were based in the U.S., 50 were based in Europe, and another 207 were based in India. Functionally, our workforce includes 326 in sales and marketing, 195 in product development, 177 in professional services and customer support, and 84 in general and administrative roles. Our workforce is comprised of a wide variety of professionals, including business development representatives, data scientists, software engineers, and more.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People and culture</w:t>
      </w:r>
    </w:p>
    <w:p>
      <w:pPr>
        <w:spacing w:after="0" w:line="118" w:lineRule="exact"/>
        <w:rPr>
          <w:sz w:val="20"/>
          <w:szCs w:val="20"/>
          <w:color w:val="auto"/>
        </w:rPr>
      </w:pPr>
    </w:p>
    <w:p>
      <w:pPr>
        <w:jc w:val="both"/>
        <w:ind w:right="200" w:firstLine="490"/>
        <w:spacing w:after="0" w:line="259" w:lineRule="auto"/>
        <w:rPr>
          <w:sz w:val="20"/>
          <w:szCs w:val="20"/>
          <w:color w:val="auto"/>
        </w:rPr>
      </w:pPr>
      <w:r>
        <w:rPr>
          <w:rFonts w:ascii="Times New Roman" w:cs="Times New Roman" w:eastAsia="Times New Roman" w:hAnsi="Times New Roman"/>
          <w:sz w:val="20"/>
          <w:szCs w:val="20"/>
          <w:color w:val="auto"/>
        </w:rPr>
        <w:t>We consistently receive workplace accolades. We have been recognized by The Boston Globe as a Top Place to Work several times over the past eight years and were named a “Top Workplace in the USA” by Energage for the third consecutive year.</w:t>
      </w:r>
    </w:p>
    <w:p>
      <w:pPr>
        <w:spacing w:after="0" w:line="65"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auto"/>
        </w:rPr>
        <w:t>We are committed to putting our community first. For us that means centering our culture around collaboration and community engagement. DefinitiveCares, our employee-led charitable organization, is at the core of our company culture. The mission of DefinitiveCares is to give back to the community through employee-led volunteer initiatives.</w:t>
      </w:r>
    </w:p>
    <w:p>
      <w:pPr>
        <w:spacing w:after="0" w:line="65" w:lineRule="exact"/>
        <w:rPr>
          <w:sz w:val="20"/>
          <w:szCs w:val="20"/>
          <w:color w:val="auto"/>
        </w:rPr>
      </w:pPr>
    </w:p>
    <w:p>
      <w:pPr>
        <w:ind w:right="220" w:firstLine="490"/>
        <w:spacing w:after="0" w:line="253" w:lineRule="auto"/>
        <w:rPr>
          <w:sz w:val="20"/>
          <w:szCs w:val="20"/>
          <w:color w:val="auto"/>
        </w:rPr>
      </w:pPr>
      <w:r>
        <w:rPr>
          <w:rFonts w:ascii="Times New Roman" w:cs="Times New Roman" w:eastAsia="Times New Roman" w:hAnsi="Times New Roman"/>
          <w:sz w:val="20"/>
          <w:szCs w:val="20"/>
          <w:color w:val="auto"/>
        </w:rPr>
        <w:t>As a company, we are collaborative, energetic, approachable, and driven. These attributes have allowed us to develop and maintain our customer-focused culture, where we are not afraid to roll up our sleeves to get the job done. We also realize that there is more to life than work, so we try to have some fun together and ensure that every employee maintains a healthy work-life balance.</w:t>
      </w:r>
    </w:p>
    <w:p>
      <w:pPr>
        <w:sectPr>
          <w:pgSz w:w="11880" w:h="15480" w:orient="portrait"/>
          <w:cols w:equalWidth="0" w:num="1">
            <w:col w:w="10240"/>
          </w:cols>
          <w:pgMar w:left="820" w:top="80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240"/>
          </w:cols>
          <w:pgMar w:left="820" w:top="803" w:right="820" w:bottom="0" w:gutter="0" w:footer="0" w:header="0"/>
          <w:type w:val="continuous"/>
        </w:sectPr>
      </w:pPr>
    </w:p>
    <w:bookmarkStart w:id="9" w:name="page10"/>
    <w:bookmarkEnd w:id="9"/>
    <w:p>
      <w:pPr>
        <w:ind w:right="700" w:firstLine="490"/>
        <w:spacing w:after="0" w:line="279" w:lineRule="auto"/>
        <w:rPr>
          <w:sz w:val="20"/>
          <w:szCs w:val="20"/>
          <w:color w:val="auto"/>
        </w:rPr>
      </w:pPr>
      <w:r>
        <w:rPr>
          <w:rFonts w:ascii="Times New Roman" w:cs="Times New Roman" w:eastAsia="Times New Roman" w:hAnsi="Times New Roman"/>
          <w:sz w:val="20"/>
          <w:szCs w:val="20"/>
          <w:color w:val="auto"/>
        </w:rPr>
        <w:t>At Definitive Healthcare, we invite everyone to come as they are. We value our employees’ unique perspectives, backgrounds, and voices because these diverse experiences drive new ideas and help us build a better community.</w:t>
      </w:r>
    </w:p>
    <w:p>
      <w:pPr>
        <w:spacing w:after="0" w:line="45"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In addition, our employee-led affinity groups provide a way for everyone to come together and share their common experiences. Alongside their allies, these employees promote a sense of community, belonging, and understanding at Definitive Healthcare.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wellness, and total rewards</w:t>
      </w:r>
    </w:p>
    <w:p>
      <w:pPr>
        <w:spacing w:after="0" w:line="118"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Our goal is to offer a best-in-class total rewards package that supports employees and their families, attracts top talent, and ensures pay equity. We provide competitive pay and benefits to attract and retain high quality talent. As part of our total rewards package, U.S. employees are eligible for variable compensation and we pay for employees’ individual full medical coverage, in addition to providing generous healthcare, investment, retirement, educational assistance and reimbursement, and paid time off.</w:t>
      </w:r>
    </w:p>
    <w:p>
      <w:pPr>
        <w:spacing w:after="0" w:line="77"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Promoting a culture that supports health and well-being continues to be a priority for the organization. We have implemented a hybrid work environment, enabling all employees to work between our offices and remotely, which we believe enables greater flexibility for a successful work-life balance. Since 2022, we have offered unlimited paid time off and expanded parental leave for U.S.-based employees.</w:t>
      </w:r>
    </w:p>
    <w:p>
      <w:pPr>
        <w:spacing w:after="0" w:line="70"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auto"/>
        </w:rPr>
        <w:t>We reward high performance and effort, regardless of experience or title. We recognize employees who do exceptional work four times a year through our Trailblazer awards, which are granted to those who embody our guiding principles in extraordinary ways, and recipients are determined by employee nominations.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Development and Advancement</w:t>
      </w:r>
    </w:p>
    <w:p>
      <w:pPr>
        <w:spacing w:after="0" w:line="118" w:lineRule="exact"/>
        <w:rPr>
          <w:sz w:val="20"/>
          <w:szCs w:val="20"/>
          <w:color w:val="auto"/>
        </w:rPr>
      </w:pPr>
    </w:p>
    <w:p>
      <w:pPr>
        <w:jc w:val="both"/>
        <w:ind w:right="120" w:firstLine="490"/>
        <w:spacing w:after="0" w:line="253" w:lineRule="auto"/>
        <w:rPr>
          <w:sz w:val="20"/>
          <w:szCs w:val="20"/>
          <w:color w:val="auto"/>
        </w:rPr>
      </w:pPr>
      <w:r>
        <w:rPr>
          <w:rFonts w:ascii="Times New Roman" w:cs="Times New Roman" w:eastAsia="Times New Roman" w:hAnsi="Times New Roman"/>
          <w:sz w:val="20"/>
          <w:szCs w:val="20"/>
          <w:color w:val="auto"/>
        </w:rPr>
        <w:t>Our people are our greatest asset. Enabling their career growth and upward mobility is critical to retaining and engaging our talent. We provide employees with the tools, learning, and internal opportunities to find their path and build the skills and abilities to take on new roles. As part of our offerings, we provide a comprehensive learning management system, with a mix of professional, technical, managerial, and leadership development programs across a number of learning pathways.</w:t>
      </w:r>
    </w:p>
    <w:p>
      <w:pPr>
        <w:spacing w:after="0" w:line="70" w:lineRule="exact"/>
        <w:rPr>
          <w:sz w:val="20"/>
          <w:szCs w:val="20"/>
          <w:color w:val="auto"/>
        </w:rPr>
      </w:pPr>
    </w:p>
    <w:p>
      <w:pPr>
        <w:jc w:val="both"/>
        <w:ind w:right="240" w:firstLine="490"/>
        <w:spacing w:after="0" w:line="259" w:lineRule="auto"/>
        <w:rPr>
          <w:sz w:val="20"/>
          <w:szCs w:val="20"/>
          <w:color w:val="auto"/>
        </w:rPr>
      </w:pPr>
      <w:r>
        <w:rPr>
          <w:rFonts w:ascii="Times New Roman" w:cs="Times New Roman" w:eastAsia="Times New Roman" w:hAnsi="Times New Roman"/>
          <w:sz w:val="20"/>
          <w:szCs w:val="20"/>
          <w:color w:val="auto"/>
        </w:rPr>
        <w:t>Each year, we conduct a robust talent review process that includes performance assessments and goal setting to enable growth and employee advancement while creating alignment with both company goals and values. This process ties into our compensation strategy to ensure that we reward and incentivize our high performers.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220"/>
          </w:cols>
          <w:pgMar w:left="820" w:top="806" w:right="84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3" w:lineRule="exact"/>
        <w:rPr>
          <w:sz w:val="20"/>
          <w:szCs w:val="20"/>
          <w:color w:val="auto"/>
        </w:rPr>
      </w:pPr>
    </w:p>
    <w:p>
      <w:pPr>
        <w:ind w:right="100" w:firstLine="490"/>
        <w:spacing w:after="0" w:line="261" w:lineRule="auto"/>
        <w:rPr>
          <w:sz w:val="20"/>
          <w:szCs w:val="20"/>
          <w:color w:val="auto"/>
        </w:rPr>
      </w:pPr>
      <w:r>
        <w:rPr>
          <w:rFonts w:ascii="Times New Roman" w:cs="Times New Roman" w:eastAsia="Times New Roman" w:hAnsi="Times New Roman"/>
          <w:sz w:val="19"/>
          <w:szCs w:val="19"/>
          <w:color w:val="auto"/>
        </w:rPr>
        <w:t>Our data driven platform and our approach to keeping it current is our defensive moat and protecting our intellectual property is a crucial aspect of our business. While, as of December 31, 2024, we have not pursued any patents, we secure and protect our intellectual property rights in material unregistered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 We consider our trademark and related names, marks, and logos to be of material importance to our business, and we have registered or applied for registration for certain of these trademarks, including Definitive Healthcare.</w:t>
      </w:r>
    </w:p>
    <w:p>
      <w:pPr>
        <w:spacing w:after="0" w:line="67"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and Security</w:t>
      </w:r>
    </w:p>
    <w:p>
      <w:pPr>
        <w:spacing w:after="0" w:line="12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information we collect, use, disclose, and/or otherwise process about individuals from healthcare organizations, and healthcare professionals in the ordinary course of our business is integral to providing a comprehensive healthcare commercial intelligence platform and our other products to our customers. As a result, numerous state, federal, and foreign laws, including consumer protection laws, regulations, industry standards, and other obligations govern our collection, use, disclosure, and/or processing of personal data, including health-related information. For example, in the United States, numerous federal and state laws and regulations, including data breach notification laws, health information privacy and security laws, including Health Insurance Portability and Accountability Act, as amended by the Health Information Technology for Economic and Clinical Health Act, and their implementing regulations (collectively, “HIPAA”), federal and state consumer protection laws and regulations (e.g., Section 5 of the Federal Trade Commission Act), and other similar laws (e.g., wiretapping) govern the collection, use, disclosure, protection, and/or processing of health-related and other personal data and apply, or could apply, to our operations or the operations of our partners or customers.</w:t>
      </w:r>
    </w:p>
    <w:p>
      <w:pPr>
        <w:spacing w:after="0" w:line="8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In addition, certain individual U.S. state laws, such as the CCPA and foreign laws such as the European Union’s General Data Protection Regulation (“GDPR”) and the United Kingdom’s GDPR (“UK GDPR”) govern the privacy and security of personal data, including health-related information in certain circumstances, some of which, in certain aspects, are more stringent than HIPAA and many of which differ from each other in significant ways, thus complicating our compliance efforts. Any actual or perceived failure to comply with these laws, where applicable, can result in the imposition of significant administrative (e.g., regulatory fines and sanctions), civil and/or criminal penalties and private litigation. Data privacy and security laws, regulations, industry standards, and other obligations are constantly evolving, may conflict with each other, and can result in investigations, proceedings, or actions that lead to significant penalties and restrictions on data processing.</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220"/>
          </w:cols>
          <w:pgMar w:left="820" w:top="803" w:right="84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Other Available Information</w:t>
      </w:r>
    </w:p>
    <w:p>
      <w:pPr>
        <w:spacing w:after="0" w:line="12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make our Annual Report on Form 10-K, Quarterly Reports on Form 10-Q, Current Reports on Form 8-K, and all amendments to these filings, available free of charge as soon as reasonably practicable after we electronically file such material with, or furnish it to, the SEC on our website at https://ir.definitivehc.com/financial-information/sec-filings or by contacting our Investor Relations department at our office address listed above.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220"/>
          </w:cols>
          <w:pgMar w:left="820" w:top="803" w:right="8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You should carefully consider each of the following risk factors, as well as other information contained in this Form 10-K, including “Management’s Discussion and Analysis of Financial Condition and Results of Operations” and our audited consolidated financial statements and related notes. The occurrence of any of the following risks could have a material adverse effect on our business, financial condition and results of operations, in which case the trading price of our Class A Common Stock could decline and you could lose all or part of your investment. Additional risks and uncertainties that we are unaware of, or that we currently believe are not material, may also become important factors that adversely affect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1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generate substantially all of our revenue from sales of subscriptions to our platform and any decline in demand for our platform and the data we offer could have a material adverse effect on our business, financial condition and results of operations.</w:t>
      </w:r>
    </w:p>
    <w:p>
      <w:pPr>
        <w:spacing w:after="0" w:line="64"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For the year ended December 31, 2024, we derived 97% of our revenue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 For example, difficult macroeconomic conditions have impacted our existing and prospective customers, which has in some cases resulted in longer deal cycles, more stringent approval processes and deferred purchasing decisions, and we expect this to continue until macroeconomic conditions improve.</w:t>
      </w:r>
    </w:p>
    <w:p>
      <w:pPr>
        <w:spacing w:after="0" w:line="102"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80" w:lineRule="exact"/>
        <w:rPr>
          <w:sz w:val="20"/>
          <w:szCs w:val="20"/>
          <w:color w:val="auto"/>
        </w:rPr>
      </w:pPr>
    </w:p>
    <w:p>
      <w:pPr>
        <w:ind w:left="1100" w:right="100" w:hanging="488"/>
        <w:spacing w:after="0" w:line="278" w:lineRule="auto"/>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awareness and acceptance of the healthcare commercial intelligence platform category generally, and the growth and evolution of the category and our addressable market;</w:t>
      </w:r>
    </w:p>
    <w:p>
      <w:pPr>
        <w:spacing w:after="0" w:line="60" w:lineRule="exact"/>
        <w:rPr>
          <w:rFonts w:ascii="Arial" w:cs="Arial" w:eastAsia="Arial" w:hAnsi="Arial"/>
          <w:sz w:val="20"/>
          <w:szCs w:val="20"/>
          <w:color w:val="auto"/>
        </w:rPr>
      </w:pPr>
    </w:p>
    <w:p>
      <w:pPr>
        <w:ind w:left="1100" w:hanging="488"/>
        <w:spacing w:after="0"/>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of products and services that compete with our platform;</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brand recognition;</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pricing;</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ease of adoption and use;</w:t>
      </w:r>
    </w:p>
    <w:p>
      <w:pPr>
        <w:spacing w:after="0" w:line="133" w:lineRule="exact"/>
        <w:rPr>
          <w:rFonts w:ascii="Arial" w:cs="Arial" w:eastAsia="Arial" w:hAnsi="Arial"/>
          <w:sz w:val="20"/>
          <w:szCs w:val="20"/>
          <w:color w:val="auto"/>
        </w:rPr>
      </w:pPr>
    </w:p>
    <w:p>
      <w:pPr>
        <w:ind w:left="1100" w:right="40" w:hanging="488"/>
        <w:spacing w:after="0" w:line="278" w:lineRule="auto"/>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features and user experience, and the development and acceptance of new features, integrations and capabilities;</w:t>
      </w:r>
    </w:p>
    <w:p>
      <w:pPr>
        <w:spacing w:after="0" w:line="60" w:lineRule="exact"/>
        <w:rPr>
          <w:rFonts w:ascii="Arial" w:cs="Arial" w:eastAsia="Arial" w:hAnsi="Arial"/>
          <w:sz w:val="20"/>
          <w:szCs w:val="20"/>
          <w:color w:val="auto"/>
        </w:rPr>
      </w:pPr>
    </w:p>
    <w:p>
      <w:pPr>
        <w:ind w:left="1100" w:hanging="488"/>
        <w:spacing w:after="0"/>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consistently procure high-quality and useful data;</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customer support we provide;</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accessibility across several operating system and applications;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integration with workflow insights and technologies; and</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macroeconomic factors and their impacts on users of healthcare data.</w:t>
      </w:r>
    </w:p>
    <w:p>
      <w:pPr>
        <w:spacing w:after="0" w:line="139"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220"/>
          </w:cols>
          <w:pgMar w:left="820" w:top="803" w:right="840" w:bottom="0" w:gutter="0" w:footer="0" w:header="0"/>
          <w:type w:val="continuous"/>
        </w:sectPr>
      </w:pPr>
    </w:p>
    <w:bookmarkStart w:id="13" w:name="page14"/>
    <w:bookmarkEnd w:id="13"/>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4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321"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respond to advances in healthcare commercial intelligence, competitors could surpass the depth, breadth or accuracy of our platform.</w:t>
      </w:r>
    </w:p>
    <w:p>
      <w:pPr>
        <w:spacing w:after="0" w:line="46"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large language models (“LLMs”) and A.I. technology,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and technology. If we fail to respond to changes in healthcare commercial intelligence or technology,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324"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obtain and maintain accurate, comprehensive or reliable data, we could experience reduced demand for our platform.</w:t>
      </w:r>
    </w:p>
    <w:p>
      <w:pPr>
        <w:spacing w:after="0" w:line="46"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The healthcare landscape is complex, opaque and constantly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routine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service disruptions, regulatory or privacy activist scrutiny, or legal claims by our customers, which could have a material adverse effect on our business, reputation, financial condition, or results of operations.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220"/>
          </w:cols>
          <w:pgMar w:left="820" w:top="808" w:right="84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auto"/>
        </w:rPr>
        <w:t>Our growth rates have fluctuated and may not be indicative of our future growth.</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Our revenue growth has fluctuated in prior periods. You should not rely on the revenue growth of any prior quarterly or annual period as an indication of our future performance. We cannot guarantee that we will increase or sustain our revenue growth rate in future periods. Further, as we operate in a new and rapidly changing market, widespread acceptance and use of our platform is critical to our future growth and success. Our revenue growth has in the past slowed and may in the future slow or our revenue may decline for a number of other reasons, including reduced demand for our platform, increased competition, a decrease in the growth or reduction in size of our overall market, failure to capitalize on growth opportunities, and the impacts to our business from macroeconomic factors such as the Russia-Ukraine war, the evolving conflict in Israel and surrounding areas, global geopolitical and trade tensions, and more recently, inflation and high interest rates, volatility in the capital markets and related market uncertainty. Our current and prospective customers are impacted by difficult macroeconomic conditions to varying degrees and as a result, in some cases we are observing deal cycles lengthen for new and existing customers, as well as more stringent approval processes and deferred purchasing decisions, which we expect will impact our growth unless macroeconomic conditions improve.</w:t>
      </w:r>
    </w:p>
    <w:p>
      <w:pPr>
        <w:spacing w:after="0" w:line="86"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321" w:lineRule="exact"/>
        <w:rPr>
          <w:sz w:val="20"/>
          <w:szCs w:val="20"/>
          <w:color w:val="auto"/>
        </w:rPr>
      </w:pPr>
    </w:p>
    <w:p>
      <w:pPr>
        <w:ind w:right="8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not achieve or sustain profitability in the future as we increase investments in our business or experience operational challenges.</w:t>
      </w:r>
    </w:p>
    <w:p>
      <w:pPr>
        <w:spacing w:after="0" w:line="4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have incurred operating losses in the past and may continue to incur net losses in the future. For the year ended December 31, 2024, we had a net loss of $591.4 million, compared to a net loss of $289.6 million for the year ended December 31, 2023. We expect our operating expenses to increase in the future as we invest capital to make acquisitions, develop new features, add to our existing intelligence modules and invest in new products and data sources. While in light of macroeconomic conditions we have made efforts to contain our operating expenses, including implementation of restructuring plans (the “Plans”) in the first and third quarters of 2023 and in the first quarter of 2024, such efforts may not achieve the cost savings that we expect. Our efforts to grow our business may be more costly than we expect and we may not be able to increase our revenue enough to offset higher operating expenses. We may not be able to achieve or sustain profitability in subsequent periods and we may incur significant losses in the future for a number of reasons, including the foregoing as well as unforeseen expenses, difficulties, complications and delays, the other risks described in this Annual Report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333"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4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for any reason, provide outdated data or inaccurate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If our competitors are able to purchase similar external data on better terms, our ability to compete would be harmed.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ectPr>
          <w:pgSz w:w="11880" w:h="15480" w:orient="portrait"/>
          <w:cols w:equalWidth="0" w:num="1">
            <w:col w:w="10220"/>
          </w:cols>
          <w:pgMar w:left="820" w:top="808" w:right="840" w:bottom="0" w:gutter="0" w:footer="0" w:header="0"/>
        </w:sect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220"/>
          </w:cols>
          <w:pgMar w:left="820" w:top="808" w:right="840" w:bottom="0" w:gutter="0" w:footer="0" w:header="0"/>
          <w:type w:val="continuous"/>
        </w:sectPr>
      </w:pPr>
    </w:p>
    <w:bookmarkStart w:id="15" w:name="page16"/>
    <w:bookmarkEnd w:id="15"/>
    <w:p>
      <w:pPr>
        <w:ind w:right="2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75"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and available novel technologies (such as A.I. technologies) to maintain and improve the quality and value of our platform, which depends on our ability to continue investing in innovation and our successful execution and our efforts to improve and enhance our platform. There can be no guarantee that we will be able to develop, acquire, or integrate such capabilities.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 In addition, the introduction of new services embodying new technologies could render certain of our existing services obsolete.</w:t>
      </w:r>
    </w:p>
    <w:p>
      <w:pPr>
        <w:spacing w:after="0" w:line="8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31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new customers and expand subscriptions of current customers, our revenue growth and financial performance will be negatively impacted.</w:t>
      </w:r>
    </w:p>
    <w:p>
      <w:pPr>
        <w:spacing w:after="0" w:line="4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customers subscribe to the platform on a per user per month basis. Customers can then add users and intelligence modules for additional monthly rates depending on their individual needs. We seek to expand existing customer subscriptions by adding new customers and 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including in light of recently difficult macroeconomic conditions, which we have seen result in lengthening deal cycles that we expect will continue until macroeconomic conditions improve. Numerous other factors have in the past impeded, and may also in the future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(including customers generating more than $100,000 in ARR, which we refer to as “Enterprise Customers”) requires increasingly sophisticated and costly sales and account management efforts targeted at senior management and other personnel and generally involve longer sales cycles. If our efforts to sell to Enterprise Customers are not successful or do not generate additional revenue, our growth will suffer, which could have a material adverse effect on our business, financial condition and results of operations.</w:t>
      </w:r>
    </w:p>
    <w:p>
      <w:pPr>
        <w:spacing w:after="0" w:line="8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Moreover, our business is subscription-based, and therefore our customers are not obligated to renew their subscriptions after their existing subscriptions expire, which has occurred in the past and may continue to occur in the future. Customers have also renewed at a lower price, including by choosing to reduce the intelligence modules to which they have access and reducing their number of users, and may continue to do so in the future. Most of our subscriptions are sold for multi-year terms, though some organizations purchase a one-year subscription plan. While our subscription agreements typically provide for automatic renewal, our customers have, and may continue to,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and difficult</w:t>
      </w:r>
    </w:p>
    <w:p>
      <w:pPr>
        <w:sectPr>
          <w:pgSz w:w="11880" w:h="15480" w:orient="portrait"/>
          <w:cols w:equalWidth="0" w:num="1">
            <w:col w:w="10220"/>
          </w:cols>
          <w:pgMar w:left="820" w:top="808" w:right="840" w:bottom="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220"/>
          </w:cols>
          <w:pgMar w:left="820" w:top="808" w:right="840" w:bottom="0" w:gutter="0" w:footer="0" w:header="0"/>
          <w:type w:val="continuous"/>
        </w:sectPr>
      </w:pPr>
    </w:p>
    <w:bookmarkStart w:id="16" w:name="page17"/>
    <w:bookmarkEnd w:id="16"/>
    <w:p>
      <w:pPr>
        <w:spacing w:after="0" w:line="244" w:lineRule="auto"/>
        <w:rPr>
          <w:sz w:val="20"/>
          <w:szCs w:val="20"/>
          <w:color w:val="auto"/>
        </w:rPr>
      </w:pPr>
      <w:r>
        <w:rPr>
          <w:rFonts w:ascii="Times New Roman" w:cs="Times New Roman" w:eastAsia="Times New Roman" w:hAnsi="Times New Roman"/>
          <w:sz w:val="20"/>
          <w:szCs w:val="20"/>
          <w:color w:val="auto"/>
        </w:rPr>
        <w:t>macroeconomic conditions) or reductions in our paying customers’ spending levels. Our contracts typically require advance notice to terminate a contract in the absence of a default by the Company. In addition, our customers have in the past, and may continue to in the future, renew for shorter contract lengths if they were previously on multi-year contracts or switch to lower cost offerings of our platform. Our attrition rates have, and may continue to,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3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use of A.I., and the integration of A.I. with our products and services, may not be successful and may present business, compliance, and reputational challenges which could lead to operational or reputational damage, competitive harm, and additional costs.</w:t>
      </w:r>
    </w:p>
    <w:p>
      <w:pPr>
        <w:spacing w:after="0" w:line="6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We leverage the use of A.I. in the provision of our solutions and anticipate the use of A.I. to grow. As with many developing technologies, A.I. presents risks and challenges that could affect its further development, adoption, and use, and therefore our business. A.I. algorithms may be flawed. Datasets may be insufficient, of poor quality, or contain biased information. If the recommendations, forecasts, analyses, or results that A.I. applications assist in producing are deficient or inaccurate, we could be subjected to competitive harm, potential legal liability, and brand or reputational harm. Some A.I. scenarios present ethical issues. Though our business practices are designed to mitigate many of these risks, if we enable or offer A.I. solutions that are controversial because of their purported or real impact on human rights, data privacy, employment, or other social issues, we may experience brand or reputational harm.</w:t>
      </w:r>
    </w:p>
    <w:p>
      <w:pPr>
        <w:spacing w:after="0" w:line="82"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Furthermore, our competitors, customers, or other third parties may incorporate A.I. into their products more quickly or more successfully than us, which could impair our ability to compete effectively. If any third-party A.I. tools are trained using or otherwise leverage any of our proprietary data or data sets, our competitive advantage may be impaired, and our ability to commercialize our own A.I. tools or such data and data sets may be undermined, damaging our operations and business.</w:t>
      </w:r>
    </w:p>
    <w:p>
      <w:pPr>
        <w:spacing w:after="0" w:line="31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fail to offer the optimal pricing and packaging of our solutions, which could negatively impact our growth strategy and ability to effectively compete in the market.</w:t>
      </w:r>
    </w:p>
    <w:p>
      <w:pPr>
        <w:spacing w:after="0" w:line="4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We may make changes to our pricing model from time to time. Demand for our solutions is sensitive to price, and depends substantially on levels of expenditures by our customers and their ability to access capital. Sustained market uncertainty can also result in lower demand and pricing for our products and services. Current or prospective customers may choose not to subscribe or renew their subscriptions due to costs. Further, certain of our competitors have offered, and may in the future offer, lower-priced or free services that compete with our platform or may bundle functionality compatible with our platform and/or offer a broader range of solutions, which have been and may be preferred by current or prospective customers.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ectPr>
          <w:pgSz w:w="11880" w:h="15480" w:orient="portrait"/>
          <w:cols w:equalWidth="0" w:num="1">
            <w:col w:w="10160"/>
          </w:cols>
          <w:pgMar w:left="820" w:top="80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160"/>
          </w:cols>
          <w:pgMar w:left="820" w:top="806" w:right="900" w:bottom="0" w:gutter="0" w:footer="0" w:header="0"/>
          <w:type w:val="continuous"/>
        </w:sectPr>
      </w:pPr>
    </w:p>
    <w:bookmarkStart w:id="17" w:name="page18"/>
    <w:bookmarkEnd w:id="17"/>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 deploying our solutions, we rely upon third-party providers of cloud-based infrastructure (“Cloud Providers”) to provide our services. Any disruption in the operations of Cloud Providers or interference with our use of Cloud Providers would adversely affect our business, results of operations and financial condition.</w:t>
      </w:r>
    </w:p>
    <w:p>
      <w:pPr>
        <w:spacing w:after="0" w:line="64"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auto"/>
        </w:rPr>
        <w:t>We outsource infrastructure relating to our cloud offerings to Cloud Providers. Customers of our cloud-based solutions need to be able to access our platform at any time, without interruption or degradation of performance. Our cloud-based solutions depend on protecting the virtual cloud infrastructure hosted by Cloud Providers by maintaining its configuration, architecture, features and interconnection specifications, as well as the information stored in these virtual data centers and which third-party internet service providers transmit. Any incident affecting our Cloud Providers’ infrastructure that may be caused by fire, flood, severe storm, earthquake or other natural disasters, cyber- attacks and other cybersecurity threats, computer viruses, power failure, terrorist or other attacks, and other similar events beyond our control could negatively affect our cloud-based solutions. A prolonged service disruption affecting our cloud-based offerings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Cloud Provider services we use.</w:t>
      </w:r>
    </w:p>
    <w:p>
      <w:pPr>
        <w:spacing w:after="0" w:line="86"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In the event that our service agreements with our Cloud Providers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offering for deployment on a different cloud infrastructure service provider, which may adversely affect our business, operating results and financial condition.</w:t>
      </w:r>
    </w:p>
    <w:p>
      <w:pPr>
        <w:spacing w:after="0" w:line="3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As more of our sales efforts target larger Enterprise Customers, our sales cycle has in the past, and may again in the future, become longer and more expensive, and we have in the past encountered, and may again in the future encounter, pricing pressure and implementation and configuration challenges that have required us, and may again in the future require us, to delay revenue recognition for some complex transactions, all of which could have a material adverse effect on our business, financial condition and results of operations.</w:t>
      </w:r>
    </w:p>
    <w:p>
      <w:pPr>
        <w:spacing w:after="0" w:line="75"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Enterprise Customers are a key focus of our go-to-market programs. As we target more of our sales efforts at larger Enterprise Customers, we have in the past faced, and may continue to in the future face, longer sales cycles, greater competition, more complex customer due diligence, less favorable contractual terms, and less predictability in completing some of our sales. These efforts have also in the past caused, and may again in the future cause, disruptions in our sales efforts impacting both new customer acquisition and upsell to existing customers. Consequently, a target customer’s decision to use our solutions may be an enterprise-wide decision and, if so, these types of sales would require us to provide greater levels of education regarding the use and benefits of our platform, as well as education regarding data privacy and security obligations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86"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In addition, our ability to improve our sales of products to large Enterprise Customers is partially dependent on us continuing to attract and retain sales personnel with experience in selling to large organizations. Also, because security breaches with respect to larger, high-profile Enterprise Customers are likely to be heavily publicized, there is increased reputational risk associated with serving such customers. If we are unable to continue to increase sales of our products to large Enterprise Customers while mitigating the risks associated with serving such customers, our business, financial position, and results of operations may suffer.</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fail to offer high-quality customer experience, our business and reputation will suffer.</w:t>
      </w:r>
    </w:p>
    <w:p>
      <w:pPr>
        <w:spacing w:after="0" w:line="11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19"/>
          <w:szCs w:val="19"/>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additional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w:t>
      </w:r>
    </w:p>
    <w:p>
      <w:pPr>
        <w:sectPr>
          <w:pgSz w:w="11880" w:h="15480" w:orient="portrait"/>
          <w:cols w:equalWidth="0" w:num="1">
            <w:col w:w="10240"/>
          </w:cols>
          <w:pgMar w:left="820" w:top="808" w:right="820" w:bottom="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240"/>
          </w:cols>
          <w:pgMar w:left="820" w:top="808" w:right="820" w:bottom="0" w:gutter="0" w:footer="0" w:header="0"/>
          <w:type w:val="continuous"/>
        </w:sectPr>
      </w:pPr>
    </w:p>
    <w:bookmarkStart w:id="18" w:name="page19"/>
    <w:bookmarkEnd w:id="18"/>
    <w:p>
      <w:pPr>
        <w:ind w:right="180"/>
        <w:spacing w:after="0" w:line="253" w:lineRule="auto"/>
        <w:rPr>
          <w:sz w:val="20"/>
          <w:szCs w:val="20"/>
          <w:color w:val="auto"/>
        </w:rPr>
      </w:pPr>
      <w:r>
        <w:rPr>
          <w:rFonts w:ascii="Times New Roman" w:cs="Times New Roman" w:eastAsia="Times New Roman" w:hAnsi="Times New Roman"/>
          <w:sz w:val="20"/>
          <w:szCs w:val="20"/>
          <w:color w:val="auto"/>
        </w:rPr>
        <w:t>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70"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31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46"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which may retain Company data post termination. For example, our customers are subject to broad healthcare fraud and abuse laws that may limit their appropriate use of our platform and information obtained therein.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86"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 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321"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As we acquire and invest in companies or technologies, including through partnerships with other companies,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64" w:lineRule="exact"/>
        <w:rPr>
          <w:sz w:val="20"/>
          <w:szCs w:val="20"/>
          <w:color w:val="auto"/>
        </w:rPr>
      </w:pPr>
    </w:p>
    <w:p>
      <w:pPr>
        <w:ind w:right="340" w:firstLine="490"/>
        <w:spacing w:after="0" w:line="249" w:lineRule="auto"/>
        <w:rPr>
          <w:sz w:val="20"/>
          <w:szCs w:val="20"/>
          <w:color w:val="auto"/>
        </w:rPr>
      </w:pPr>
      <w:r>
        <w:rPr>
          <w:rFonts w:ascii="Times New Roman" w:cs="Times New Roman" w:eastAsia="Times New Roman" w:hAnsi="Times New Roman"/>
          <w:sz w:val="20"/>
          <w:szCs w:val="20"/>
          <w:color w:val="auto"/>
        </w:rPr>
        <w:t>As part of our business strategy, we make investments in, or acquisitions of, complementary businesses, solutions, databases and technologies, and we expect that we will continue to make such investments and acquisitions in the future to further grow our business and our platform. For example, in July 2023, we completed our acquisition of Populi, a provider-focused data and analytics company that works with healthcare organizations to optimize physician relationships, reduce network leakage, and expand market share, and are in the process of integrating Populi’s business with ours.</w:t>
      </w:r>
    </w:p>
    <w:p>
      <w:pPr>
        <w:spacing w:after="0" w:line="77"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8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Similarly, our strategy to engage in partnerships to complement our sales channels and product offerings depends on our ability to identify, and the availability of, suitable partnership candidates. We may not be able to find suitable partners in the future and we may not be able to complete partnerships on favorable terms, if at all. Partnerships may not be implemented in a way that effectively integrates into our operations, and costs in connection with partnerships may be higher than the expected value therefrom, such that we may incur unanticipated losses or costs, either due to lost opportunities or sunk costs associated with resourcing the partnerships over other native product development and commercialization opportunities. These costs could adversely affect our financial condition, results of operations or prospects. Any partnership we complete could be viewed negatively by customers, users or investors, and could have adverse effects on our existing business relationships.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220"/>
          </w:cols>
          <w:pgMar w:left="820" w:top="806" w:right="840" w:bottom="0" w:gutter="0" w:footer="0" w:header="0"/>
          <w:type w:val="continuous"/>
        </w:sectPr>
      </w:pPr>
    </w:p>
    <w:bookmarkStart w:id="19" w:name="page20"/>
    <w:bookmarkEnd w:id="19"/>
    <w:p>
      <w:pPr>
        <w:ind w:right="80" w:firstLine="490"/>
        <w:spacing w:after="0" w:line="279" w:lineRule="auto"/>
        <w:rPr>
          <w:sz w:val="20"/>
          <w:szCs w:val="20"/>
          <w:color w:val="auto"/>
        </w:rPr>
      </w:pPr>
      <w:r>
        <w:rPr>
          <w:rFonts w:ascii="Times New Roman" w:cs="Times New Roman" w:eastAsia="Times New Roman" w:hAnsi="Times New Roman"/>
          <w:sz w:val="20"/>
          <w:szCs w:val="20"/>
          <w:color w:val="auto"/>
        </w:rPr>
        <w:t>Acquisitions and other transactions, arrangements and investments involve numerous risks and could create unforeseen operating difficulties and expenditures, including:</w:t>
      </w:r>
    </w:p>
    <w:p>
      <w:pPr>
        <w:spacing w:after="0" w:line="60" w:lineRule="exact"/>
        <w:rPr>
          <w:sz w:val="20"/>
          <w:szCs w:val="20"/>
          <w:color w:val="auto"/>
        </w:rPr>
      </w:pPr>
    </w:p>
    <w:p>
      <w:pPr>
        <w:ind w:left="1100" w:hanging="488"/>
        <w:spacing w:after="0"/>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failure to achieve the expected benefits on a timely basis or at all;</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and the cost of, integrating operations, technologies, solutions and platforms;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financial and managerial resources from existing operations;</w:t>
      </w:r>
    </w:p>
    <w:p>
      <w:pPr>
        <w:spacing w:after="0" w:line="133" w:lineRule="exact"/>
        <w:rPr>
          <w:rFonts w:ascii="Arial" w:cs="Arial" w:eastAsia="Arial" w:hAnsi="Arial"/>
          <w:sz w:val="20"/>
          <w:szCs w:val="20"/>
          <w:color w:val="auto"/>
        </w:rPr>
      </w:pPr>
    </w:p>
    <w:p>
      <w:pPr>
        <w:ind w:left="1100" w:right="30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entry into new markets in which we have little or no experience or where competitors may have stronger market positions;</w:t>
      </w:r>
    </w:p>
    <w:p>
      <w:pPr>
        <w:spacing w:after="0" w:line="60" w:lineRule="exact"/>
        <w:rPr>
          <w:rFonts w:ascii="Arial" w:cs="Arial" w:eastAsia="Arial" w:hAnsi="Arial"/>
          <w:sz w:val="20"/>
          <w:szCs w:val="20"/>
          <w:color w:val="auto"/>
        </w:rPr>
      </w:pPr>
    </w:p>
    <w:p>
      <w:pPr>
        <w:ind w:left="1100" w:right="40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write-offs of acquired assets or investments and potential financial and credit risks associated with acquired customers;</w:t>
      </w:r>
    </w:p>
    <w:p>
      <w:pPr>
        <w:spacing w:after="0" w:line="60" w:lineRule="exact"/>
        <w:rPr>
          <w:rFonts w:ascii="Arial" w:cs="Arial" w:eastAsia="Arial" w:hAnsi="Arial"/>
          <w:sz w:val="20"/>
          <w:szCs w:val="20"/>
          <w:color w:val="auto"/>
        </w:rPr>
      </w:pPr>
    </w:p>
    <w:p>
      <w:pPr>
        <w:ind w:left="1100" w:hanging="488"/>
        <w:spacing w:after="0"/>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differences between our values and those of our acquired companies;</w:t>
      </w:r>
    </w:p>
    <w:p>
      <w:pPr>
        <w:spacing w:after="0" w:line="133" w:lineRule="exact"/>
        <w:rPr>
          <w:rFonts w:ascii="Arial" w:cs="Arial" w:eastAsia="Arial" w:hAnsi="Arial"/>
          <w:sz w:val="20"/>
          <w:szCs w:val="20"/>
          <w:color w:val="auto"/>
        </w:rPr>
      </w:pPr>
    </w:p>
    <w:p>
      <w:pPr>
        <w:ind w:left="1100" w:right="38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re-training key employees of acquired companies and integrating them into our organizational structure and corporate culture;</w:t>
      </w:r>
    </w:p>
    <w:p>
      <w:pPr>
        <w:spacing w:after="0" w:line="60" w:lineRule="exact"/>
        <w:rPr>
          <w:rFonts w:ascii="Arial" w:cs="Arial" w:eastAsia="Arial" w:hAnsi="Arial"/>
          <w:sz w:val="20"/>
          <w:szCs w:val="20"/>
          <w:color w:val="auto"/>
        </w:rPr>
      </w:pPr>
    </w:p>
    <w:p>
      <w:pPr>
        <w:ind w:left="1100" w:right="74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and financial costs of, addressing acquired compensation structures inconsistent with our compensation structure;</w:t>
      </w:r>
    </w:p>
    <w:p>
      <w:pPr>
        <w:spacing w:after="0" w:line="60" w:lineRule="exact"/>
        <w:rPr>
          <w:rFonts w:ascii="Arial" w:cs="Arial" w:eastAsia="Arial" w:hAnsi="Arial"/>
          <w:sz w:val="20"/>
          <w:szCs w:val="20"/>
          <w:color w:val="auto"/>
        </w:rPr>
      </w:pPr>
    </w:p>
    <w:p>
      <w:pPr>
        <w:ind w:left="1100" w:hanging="488"/>
        <w:spacing w:after="0"/>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generate sufficient revenue to offset acquisition or investment costs;</w:t>
      </w:r>
    </w:p>
    <w:p>
      <w:pPr>
        <w:spacing w:after="0" w:line="133" w:lineRule="exact"/>
        <w:rPr>
          <w:rFonts w:ascii="Arial" w:cs="Arial" w:eastAsia="Arial" w:hAnsi="Arial"/>
          <w:sz w:val="20"/>
          <w:szCs w:val="20"/>
          <w:color w:val="auto"/>
        </w:rPr>
      </w:pPr>
    </w:p>
    <w:p>
      <w:pPr>
        <w:ind w:left="1100" w:right="4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maintain, or changes in, relationships with customers and partners of the acquired business and costs to optimize any redundant data provider agreements;</w:t>
      </w:r>
    </w:p>
    <w:p>
      <w:pPr>
        <w:spacing w:after="0" w:line="60" w:lineRule="exact"/>
        <w:rPr>
          <w:rFonts w:ascii="Arial" w:cs="Arial" w:eastAsia="Arial" w:hAnsi="Arial"/>
          <w:sz w:val="20"/>
          <w:szCs w:val="20"/>
          <w:color w:val="auto"/>
        </w:rPr>
      </w:pPr>
    </w:p>
    <w:p>
      <w:pPr>
        <w:ind w:left="1100" w:right="80" w:hanging="488"/>
        <w:spacing w:after="0" w:line="259"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78" w:lineRule="exact"/>
        <w:rPr>
          <w:rFonts w:ascii="Arial" w:cs="Arial" w:eastAsia="Arial" w:hAnsi="Arial"/>
          <w:sz w:val="20"/>
          <w:szCs w:val="20"/>
          <w:color w:val="auto"/>
        </w:rPr>
      </w:pPr>
    </w:p>
    <w:p>
      <w:pPr>
        <w:ind w:left="1100" w:right="66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with, and costs related to, transitioning the acquired technology onto our existing platform and customer acceptance of a new or changed platform on a temporary or permanent basis;</w:t>
      </w:r>
    </w:p>
    <w:p>
      <w:pPr>
        <w:spacing w:after="0" w:line="60" w:lineRule="exact"/>
        <w:rPr>
          <w:rFonts w:ascii="Arial" w:cs="Arial" w:eastAsia="Arial" w:hAnsi="Arial"/>
          <w:sz w:val="20"/>
          <w:szCs w:val="20"/>
          <w:color w:val="auto"/>
        </w:rPr>
      </w:pPr>
    </w:p>
    <w:p>
      <w:pPr>
        <w:ind w:left="1100" w:right="74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augmenting the acquired technologies and platforms to the levels that are consistent with our brand and reputation;</w:t>
      </w:r>
    </w:p>
    <w:p>
      <w:pPr>
        <w:spacing w:after="0" w:line="60" w:lineRule="exact"/>
        <w:rPr>
          <w:rFonts w:ascii="Arial" w:cs="Arial" w:eastAsia="Arial" w:hAnsi="Arial"/>
          <w:sz w:val="20"/>
          <w:szCs w:val="20"/>
          <w:color w:val="auto"/>
        </w:rPr>
      </w:pPr>
    </w:p>
    <w:p>
      <w:pPr>
        <w:ind w:left="1100" w:hanging="488"/>
        <w:spacing w:after="0"/>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for acquired platforms to impact the financial performance of existing platform;</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increasing or maintaining the security standards for acquired technology consistent with our platform;</w:t>
      </w:r>
    </w:p>
    <w:p>
      <w:pPr>
        <w:spacing w:after="0" w:line="133" w:lineRule="exact"/>
        <w:rPr>
          <w:rFonts w:ascii="Arial" w:cs="Arial" w:eastAsia="Arial" w:hAnsi="Arial"/>
          <w:sz w:val="20"/>
          <w:szCs w:val="20"/>
          <w:color w:val="auto"/>
        </w:rPr>
      </w:pPr>
    </w:p>
    <w:p>
      <w:pPr>
        <w:ind w:left="1100" w:right="22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unknown liabilities associated with the acquired businesses, including risks associated with acquired technologies;</w:t>
      </w:r>
    </w:p>
    <w:p>
      <w:pPr>
        <w:spacing w:after="0" w:line="60" w:lineRule="exact"/>
        <w:rPr>
          <w:rFonts w:ascii="Arial" w:cs="Arial" w:eastAsia="Arial" w:hAnsi="Arial"/>
          <w:sz w:val="20"/>
          <w:szCs w:val="20"/>
          <w:color w:val="auto"/>
        </w:rPr>
      </w:pPr>
    </w:p>
    <w:p>
      <w:pPr>
        <w:ind w:left="1100" w:right="28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relating to the structure of an investment, such as governance, accountability and decision-making conflicts that may arise in the context of a joint venture or other majority ownership investments;</w:t>
      </w:r>
    </w:p>
    <w:p>
      <w:pPr>
        <w:spacing w:after="0" w:line="60" w:lineRule="exact"/>
        <w:rPr>
          <w:rFonts w:ascii="Arial" w:cs="Arial" w:eastAsia="Arial" w:hAnsi="Arial"/>
          <w:sz w:val="20"/>
          <w:szCs w:val="20"/>
          <w:color w:val="auto"/>
        </w:rPr>
      </w:pPr>
    </w:p>
    <w:p>
      <w:pPr>
        <w:ind w:left="1100" w:right="24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 material adverse effect on our results of operations because of the depreciation and amortization of amounts related to acquired intangible assets, fixed assets and deferred compensation;</w:t>
      </w:r>
    </w:p>
    <w:p>
      <w:pPr>
        <w:spacing w:after="0" w:line="60" w:lineRule="exact"/>
        <w:rPr>
          <w:rFonts w:ascii="Arial" w:cs="Arial" w:eastAsia="Arial" w:hAnsi="Arial"/>
          <w:sz w:val="20"/>
          <w:szCs w:val="20"/>
          <w:color w:val="auto"/>
        </w:rPr>
      </w:pPr>
    </w:p>
    <w:p>
      <w:pPr>
        <w:ind w:left="1100" w:hanging="488"/>
        <w:spacing w:after="0"/>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additional stock-based compensation;</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loss of acquired unearned revenue and unbilled unearned revenue;</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customer purchases due to uncertainty related to any acquisition;</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ineffective or inadequate controls, procedures and policies at the acquired company;</w:t>
      </w:r>
    </w:p>
    <w:p>
      <w:pPr>
        <w:spacing w:after="0" w:line="133" w:lineRule="exact"/>
        <w:rPr>
          <w:rFonts w:ascii="Arial" w:cs="Arial" w:eastAsia="Arial" w:hAnsi="Arial"/>
          <w:sz w:val="20"/>
          <w:szCs w:val="20"/>
          <w:color w:val="auto"/>
        </w:rPr>
      </w:pPr>
    </w:p>
    <w:p>
      <w:pPr>
        <w:ind w:left="110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 the case of foreign acquisitions, challenges caused by integrating operations over distance and across different languages, cultures and political environments;</w:t>
      </w:r>
    </w:p>
    <w:p>
      <w:pPr>
        <w:spacing w:after="0" w:line="60" w:lineRule="exact"/>
        <w:rPr>
          <w:rFonts w:ascii="Arial" w:cs="Arial" w:eastAsia="Arial" w:hAnsi="Arial"/>
          <w:sz w:val="20"/>
          <w:szCs w:val="20"/>
          <w:color w:val="auto"/>
        </w:rPr>
      </w:pPr>
    </w:p>
    <w:p>
      <w:pPr>
        <w:ind w:left="1100" w:right="22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currency and regulatory risks and potential additional cybersecurity and compliance risks resulting from entry into new markets;</w:t>
      </w:r>
    </w:p>
    <w:p>
      <w:pPr>
        <w:spacing w:after="0" w:line="60" w:lineRule="exact"/>
        <w:rPr>
          <w:rFonts w:ascii="Arial" w:cs="Arial" w:eastAsia="Arial" w:hAnsi="Arial"/>
          <w:sz w:val="20"/>
          <w:szCs w:val="20"/>
          <w:color w:val="auto"/>
        </w:rPr>
      </w:pPr>
    </w:p>
    <w:p>
      <w:pPr>
        <w:ind w:left="1100" w:right="70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tax effects and costs of any such acquisitions, including the related integration into our tax structure and assessment of the impact on the realizability of our future tax assets or liabilities; and</w:t>
      </w:r>
    </w:p>
    <w:p>
      <w:pPr>
        <w:spacing w:after="0" w:line="60" w:lineRule="exact"/>
        <w:rPr>
          <w:rFonts w:ascii="Arial" w:cs="Arial" w:eastAsia="Arial" w:hAnsi="Arial"/>
          <w:sz w:val="20"/>
          <w:szCs w:val="20"/>
          <w:color w:val="auto"/>
        </w:rPr>
      </w:pPr>
    </w:p>
    <w:p>
      <w:pPr>
        <w:ind w:left="1100" w:right="80" w:hanging="488"/>
        <w:spacing w:after="0" w:line="278"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challenges by governmental authorities, including the U.S. Department of Justice, for anti-competitive or other reasons.</w:t>
      </w:r>
    </w:p>
    <w:p>
      <w:pPr>
        <w:sectPr>
          <w:pgSz w:w="11880" w:h="15480" w:orient="portrait"/>
          <w:cols w:equalWidth="0" w:num="1">
            <w:col w:w="10120"/>
          </w:cols>
          <w:pgMar w:left="820" w:top="806" w:right="940" w:bottom="0" w:gutter="0" w:footer="0" w:header="0"/>
        </w:sectPr>
      </w:pP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120"/>
          </w:cols>
          <w:pgMar w:left="820" w:top="806" w:right="940" w:bottom="0" w:gutter="0" w:footer="0" w:header="0"/>
          <w:type w:val="continuous"/>
        </w:sectPr>
      </w:pPr>
    </w:p>
    <w:bookmarkStart w:id="20" w:name="page21"/>
    <w:bookmarkEnd w:id="20"/>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Any of these risks could harm our business. In addition, to facilitate these acquisitions or investments, we may seek additional equity or debt financing, which may not be available on terms favorable to us or at all, including in light of difficult macroeconomic conditions such as high interest rates and volatility in the capital markets, and may affect our ability to complete subsequent acquisitions or investments and increase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321"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adequate operational and financial resources, particularly if we grow rapidly, we may be unable to execute our business plan or maintain high levels of service and customer satisfaction.</w:t>
      </w:r>
    </w:p>
    <w:p>
      <w:pPr>
        <w:spacing w:after="0" w:line="4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We have experienced rapid growth in the past, and may experience rapid growth again, which has placed, and may again place, significant demands on our management and our operational and financial resources. In addition, our organizational structure has become more complex as we scale our reporting systems and procedures and our operational, financial and management controls with international expansion. As we grow, we have faced, and may continue to face, challenges of integrating, developing, training, and motivating a growing employee base in our various offices and maintaining our company culture across multiple offices. Certain members of our management have not previously worked together for an extended period of time,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8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To manage future growth in our operations and personnel, we may need to expand and improve our operational, financial, and management controls and our reporting systems and procedures. We may require significant capital expenditures and the allocation of valuable management resources to grow and change in these areas. Our expansion has placed, and our potential future growth may continue to place, a significant strain on our management, customer experience, innovation, sales and marketing, administrative, financial, and other resources. In light of macroeconomic conditions and their actual and potential future impacts on our business, we have made and expect to continue to make efforts to contain our operating expenses, including the implementation of restructuring plans. These efforts have placed, and may again place, additional strain on our employees and other resources and divert attention from our operations, and may continue do so, which could impact our ability to operate our business effectively.</w:t>
      </w:r>
    </w:p>
    <w:p>
      <w:pPr>
        <w:spacing w:after="0" w:line="86"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Significant additional investments may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7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In addition, as we expand our business, it is important that we continue to maintain a high level of customer service and satisfaction. If our customer base continues to grow, we will need to increase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3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6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have been and may in the future be changes in our executive management team resulting from the hiring or departure of executives, which could disrupt our business. For example, we have recently experienced significant management turnover, including our appointment of Kevin Coop as our Chief Executive Officer. Additionally, following discussions regarding the scope of the role of Chief Financial Officer, Richard Booth, the Company’s Chief Financial Officer, and the Company agreed that Mr. Booth will be leaving the Company effective June 1, 2025. After a thorough search process, our board of directors appointed Casey Heller, our current Senior Vice President of Finance, to the role of Chief Financial Officer effective on June 2, 2025. While we seek to manage these transitions carefully, including by establishing strong processes and procedures and succession planning, such changes may result in a loss of institutional knowledge and cause disruption to our business. The loss of one or more of our executive officers or key employees could have a material adverse effect on our business, financial condition and results of operations.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220"/>
          </w:cols>
          <w:pgMar w:left="820" w:top="806" w:right="840" w:bottom="0" w:gutter="0" w:footer="0" w:header="0"/>
          <w:type w:val="continuous"/>
        </w:sectPr>
      </w:pPr>
    </w:p>
    <w:bookmarkStart w:id="21" w:name="page22"/>
    <w:bookmarkEnd w:id="21"/>
    <w:p>
      <w:pPr>
        <w:ind w:firstLine="490"/>
        <w:spacing w:after="0" w:line="244" w:lineRule="auto"/>
        <w:rPr>
          <w:sz w:val="20"/>
          <w:szCs w:val="20"/>
          <w:color w:val="auto"/>
        </w:rPr>
      </w:pPr>
      <w:r>
        <w:rPr>
          <w:rFonts w:ascii="Times New Roman" w:cs="Times New Roman" w:eastAsia="Times New Roman" w:hAnsi="Times New Roman"/>
          <w:sz w:val="20"/>
          <w:szCs w:val="20"/>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8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86"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and maintain our business.</w:t>
      </w:r>
    </w:p>
    <w:p>
      <w:pPr>
        <w:spacing w:after="0" w:line="31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protect and maintain our brand, our reputation may be harmed and our ability to attract and retain customers will be impaired.</w:t>
      </w:r>
    </w:p>
    <w:p>
      <w:pPr>
        <w:spacing w:after="0" w:line="4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77"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318"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 substantial portion of our revenue and cash flows from sales of our subscriptions to our platform to customers in the healthcare ecosystem, and factors that adversely affect it, including health reform measures and mergers within the healthcare ecosystem or regulatory changes, could also adversely affect us.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Demand for our solutions could be affected by factors that affect the healthcare ecosystem, including:</w:t>
      </w:r>
    </w:p>
    <w:p>
      <w:pPr>
        <w:spacing w:after="0" w:line="134" w:lineRule="exact"/>
        <w:rPr>
          <w:sz w:val="20"/>
          <w:szCs w:val="20"/>
          <w:color w:val="auto"/>
        </w:rPr>
      </w:pPr>
    </w:p>
    <w:p>
      <w:pPr>
        <w:ind w:left="1100" w:right="220" w:hanging="488"/>
        <w:spacing w:after="0" w:line="252" w:lineRule="auto"/>
        <w:tabs>
          <w:tab w:leader="none" w:pos="110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regulations could negatively impact the business environment for us, our data sources, 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220"/>
          </w:cols>
          <w:pgMar w:left="820" w:top="806" w:right="840" w:bottom="0" w:gutter="0" w:footer="0" w:header="0"/>
          <w:type w:val="continuous"/>
        </w:sectPr>
      </w:pPr>
    </w:p>
    <w:bookmarkStart w:id="22" w:name="page23"/>
    <w:bookmarkEnd w:id="22"/>
    <w:p>
      <w:pPr>
        <w:ind w:left="1100" w:right="100" w:hanging="488"/>
        <w:spacing w:after="0" w:line="243" w:lineRule="auto"/>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98" w:lineRule="exact"/>
        <w:rPr>
          <w:rFonts w:ascii="Arial" w:cs="Arial" w:eastAsia="Arial" w:hAnsi="Arial"/>
          <w:sz w:val="20"/>
          <w:szCs w:val="20"/>
          <w:color w:val="auto"/>
        </w:rPr>
      </w:pPr>
    </w:p>
    <w:p>
      <w:pPr>
        <w:jc w:val="both"/>
        <w:ind w:left="1100" w:right="200" w:hanging="488"/>
        <w:spacing w:after="0" w:line="259" w:lineRule="auto"/>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78" w:lineRule="exact"/>
        <w:rPr>
          <w:rFonts w:ascii="Arial" w:cs="Arial" w:eastAsia="Arial" w:hAnsi="Arial"/>
          <w:sz w:val="20"/>
          <w:szCs w:val="20"/>
          <w:color w:val="auto"/>
        </w:rPr>
      </w:pPr>
    </w:p>
    <w:p>
      <w:pPr>
        <w:ind w:left="1100" w:right="20" w:hanging="488"/>
        <w:spacing w:after="0" w:line="245" w:lineRule="auto"/>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implications of precision medicine treatments, changes in the practices of prescribing providers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public health crises,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95" w:lineRule="exact"/>
        <w:rPr>
          <w:rFonts w:ascii="Arial" w:cs="Arial" w:eastAsia="Arial" w:hAnsi="Arial"/>
          <w:sz w:val="20"/>
          <w:szCs w:val="20"/>
          <w:color w:val="auto"/>
        </w:rPr>
      </w:pPr>
    </w:p>
    <w:p>
      <w:pPr>
        <w:ind w:left="1100" w:hanging="488"/>
        <w:spacing w:after="0" w:line="243" w:lineRule="auto"/>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We have seen this happen in response to difficult macroeconomic conditions and expect it will continue until they improve. In particular, these trends have been more pronounced for our existing and prospective Life Science customers. For example, difficult macroeconomic conditions have impacted our existing and prospective customers and their business spendings, which has in some cases resulted in longer deal cycles, more stringent approval processes and deferred purchasing decisions, and we expect this to continue until macroeconomic conditions improve. Such macroeconomic conditions may also result in reductions in sales of our solutions, reductions in subscription duration and value, slower adoption of new solutions, and increased price competition.</w:t>
      </w:r>
    </w:p>
    <w:p>
      <w:pPr>
        <w:spacing w:after="0" w:line="85"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ectPr>
          <w:pgSz w:w="11880" w:h="15480" w:orient="portrait"/>
          <w:cols w:equalWidth="0" w:num="1">
            <w:col w:w="10220"/>
          </w:cols>
          <w:pgMar w:left="820" w:top="82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220"/>
          </w:cols>
          <w:pgMar w:left="820" w:top="821" w:right="840" w:bottom="0" w:gutter="0" w:footer="0" w:header="0"/>
          <w:type w:val="continuous"/>
        </w:sectPr>
      </w:pPr>
    </w:p>
    <w:bookmarkStart w:id="23" w:name="page24"/>
    <w:bookmarkEnd w:id="23"/>
    <w:p>
      <w:pPr>
        <w:ind w:right="3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46"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94" w:lineRule="exact"/>
        <w:rPr>
          <w:sz w:val="20"/>
          <w:szCs w:val="20"/>
          <w:color w:val="auto"/>
        </w:rPr>
      </w:pPr>
    </w:p>
    <w:p>
      <w:pPr>
        <w:ind w:left="1100" w:hanging="488"/>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need to educate prospective customers about the uses and benefits of our platform;</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discretionary nature of purchase and budget cycles and decisions;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evolving functionality demands;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planned introductions of new intelligence modules by us or our competitors; and</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lengthy and multi-faceted purchasing approval processes.</w:t>
      </w:r>
    </w:p>
    <w:p>
      <w:pPr>
        <w:spacing w:after="0" w:line="119" w:lineRule="exact"/>
        <w:rPr>
          <w:sz w:val="20"/>
          <w:szCs w:val="20"/>
          <w:color w:val="auto"/>
        </w:rPr>
      </w:pPr>
    </w:p>
    <w:p>
      <w:pPr>
        <w:jc w:val="both"/>
        <w:ind w:right="40" w:firstLine="490"/>
        <w:spacing w:after="0" w:line="279" w:lineRule="auto"/>
        <w:rPr>
          <w:sz w:val="20"/>
          <w:szCs w:val="20"/>
          <w:color w:val="auto"/>
        </w:rPr>
      </w:pPr>
      <w:r>
        <w:rPr>
          <w:rFonts w:ascii="Times New Roman" w:cs="Times New Roman" w:eastAsia="Times New Roman" w:hAnsi="Times New Roman"/>
          <w:sz w:val="20"/>
          <w:szCs w:val="20"/>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have overestimated the size of our total addressable market, our future growth rate may be limited.</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Annual Report.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8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Even if our total addressable market meets our size estimates and experiences growth, we may not continue to grow our share of the market. Our growth is subject to many factors, including our success in implementing our business strategy and the activities of our current and potential future competitors, which are subject to many risks and uncertainties. Accordingly, our estimates of our total addressable market should not be taken as indicative of our ability to grow our business.</w:t>
      </w:r>
    </w:p>
    <w:p>
      <w:pPr>
        <w:spacing w:after="0" w:line="31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negatively affected by changes in search engine algorithms and dynamics or other traffic-generating arrangements.</w:t>
      </w:r>
    </w:p>
    <w:p>
      <w:pPr>
        <w:spacing w:after="0" w:line="4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Operations outside the U.S. expose us to risks inherent in international operations.</w:t>
      </w:r>
    </w:p>
    <w:p>
      <w:pPr>
        <w:spacing w:after="0" w:line="118"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Our Monocl and AW businesses create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220"/>
          </w:cols>
          <w:pgMar w:left="820" w:top="808" w:right="840" w:bottom="0" w:gutter="0" w:footer="0" w:header="0"/>
          <w:type w:val="continuous"/>
        </w:sectPr>
      </w:pPr>
    </w:p>
    <w:bookmarkStart w:id="24" w:name="page25"/>
    <w:bookmarkEnd w:id="24"/>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in an evolving industry, which makes it difficult to forecast our revenue and evaluate our business and future prospects.</w:t>
      </w:r>
    </w:p>
    <w:p>
      <w:pPr>
        <w:spacing w:after="0" w:line="46"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We have a limited operating history at the current scale of our business in an evolving industry that may not develop as expected, if at all. As a result, our ability to forecast our future results of operations and plan for and model future growth is limited and subject to a number of uncertainties, and our historical operating results may not be indicative of our future operating results, making it difficult to assess our future prospects. We have encountered and expect to continue to encounter risks and uncertainties frequently experienced by growing companies in rapidly evolving industries, such as the risks and uncertainties described herein. In addition, we have faced and continue to face evolving macroeconomic conditions that negatively impact our business and future prospects, which are hard to predict. Accordingly, we may be unable to prepare accurate internal financial forecasts or replace anticipated revenue that we do not receive as a result of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330"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spacing w:after="0" w:line="64"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auto"/>
        </w:rPr>
        <w:t>We may require additional financing, and we may not be able to obtain debt or equity financing on favorable terms, if at all. The terms of any additional debt financing may be similar or more restrictive than our current debt facilities. Difficult macroeconomic conditions, including high interest rates and volatility in the capital markets, exacerbate this risk.</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If we need additional capital and cannot raise it on acceptable terms, or at all, we may not be able to, among other things:</w:t>
      </w:r>
    </w:p>
    <w:p>
      <w:pPr>
        <w:spacing w:after="0" w:line="134" w:lineRule="exact"/>
        <w:rPr>
          <w:sz w:val="20"/>
          <w:szCs w:val="20"/>
          <w:color w:val="auto"/>
        </w:rPr>
      </w:pPr>
    </w:p>
    <w:p>
      <w:pPr>
        <w:ind w:left="1100" w:hanging="488"/>
        <w:spacing w:after="0"/>
        <w:tabs>
          <w:tab w:leader="none" w:pos="11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develop new features, intelligence modules, updates, integrations, capabilities and enhancements;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provide synthesis of real-time data;</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hire, train and retain employees;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respond to competitive pressures or unanticipated working capital requirements; or</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pursue acquisition opportunities.</w:t>
      </w:r>
    </w:p>
    <w:p>
      <w:pPr>
        <w:spacing w:after="0" w:line="36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undertaken internal restructuring activities, and may do so again in the future. The assumptions underlying these activities may prove to be inaccurate, or we may fail to achieve the expected benefits therefrom.</w:t>
      </w:r>
    </w:p>
    <w:p>
      <w:pPr>
        <w:spacing w:after="0" w:line="46"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auto"/>
        </w:rPr>
        <w:t>In light of recent macroeconomic conditions, we have made, and will continue to make, judgments as to whether we should further reduce, relocate or otherwise change our workforce. For example, in January 2024, we took certain actions to reduce our global headcount by 154 employees. This reduction in force, and any other future reductions, and the attrition that may occur following them, result in the loss of institutional knowledge and expertise and the reallocation and combination of certain roles and responsibilities across the organization, all of which could adversely affect our operations. These restructurings and other additional measures we might take to reduce costs could strain our workforce, divert management attention, yield attrition beyond our intended reduction in force, reduce employee morale, cause us to delay, limit, reduce or eliminate certain development plans or otherwise interfere with our ability to operate and grow our business effectively, each of which could have an adverse impact on our business, operating results, and financial condition. Charges and costs incurred in connection with workforce reduction efforts may be significant and higher than estimated. In connection with these actions, we incurred pre-tax cash restructuring and related charges of approximately $8.1 million during the year ended December 31, 2024, consisting primarily of severance payments, employee benefits, and related cash expenses, as well as non-cash stock-based compensation charges related to the vesting of share-based awards for employees who were terminated. We may not complete the current or any future restructuring activities on the anticipated timetable, and even if successfully completed, we may not achieve the anticipated cost savings, operating efficiencies or other benefits of such activities.</w:t>
      </w:r>
    </w:p>
    <w:p>
      <w:pPr>
        <w:spacing w:after="0" w:line="333"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Catastrophic events and geopolitical and trade tensions could disrupt our business and adversely affect our operating results.</w:t>
      </w:r>
    </w:p>
    <w:p>
      <w:pPr>
        <w:spacing w:after="0" w:line="46" w:lineRule="exact"/>
        <w:rPr>
          <w:sz w:val="20"/>
          <w:szCs w:val="20"/>
          <w:color w:val="auto"/>
        </w:rPr>
      </w:pPr>
    </w:p>
    <w:p>
      <w:pPr>
        <w:ind w:right="60" w:firstLine="540"/>
        <w:spacing w:after="0" w:line="249" w:lineRule="auto"/>
        <w:rPr>
          <w:sz w:val="20"/>
          <w:szCs w:val="20"/>
          <w:color w:val="auto"/>
        </w:rPr>
      </w:pPr>
      <w:r>
        <w:rPr>
          <w:rFonts w:ascii="Times New Roman" w:cs="Times New Roman" w:eastAsia="Times New Roman" w:hAnsi="Times New Roman"/>
          <w:sz w:val="20"/>
          <w:szCs w:val="20"/>
          <w:color w:val="auto"/>
        </w:rPr>
        <w:t>We are a global technology company with a corporate headquarters located in Framingham, Massachusetts and international offices in Sweden and India. Instability and unforeseen changes in any of the markets in which we operate could result in business disruptions or operational challenges that may adversely affect the demand for our products and services, or our reputation, financial condition, results of operations or cash flows. Additionally, we rely on our network and third-party infrastructure and enterprise applications, internal technology systems and our website, for our product development, analytics</w:t>
      </w:r>
    </w:p>
    <w:p>
      <w:pPr>
        <w:sectPr>
          <w:pgSz w:w="11880" w:h="15480" w:orient="portrait"/>
          <w:cols w:equalWidth="0" w:num="1">
            <w:col w:w="10200"/>
          </w:cols>
          <w:pgMar w:left="820" w:top="808" w:right="860" w:bottom="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200"/>
          </w:cols>
          <w:pgMar w:left="820" w:top="808" w:right="860" w:bottom="0" w:gutter="0" w:footer="0" w:header="0"/>
          <w:type w:val="continuous"/>
        </w:sectPr>
      </w:pPr>
    </w:p>
    <w:bookmarkStart w:id="25" w:name="page26"/>
    <w:bookmarkEnd w:id="25"/>
    <w:p>
      <w:pPr>
        <w:ind w:right="40"/>
        <w:spacing w:after="0" w:line="249" w:lineRule="auto"/>
        <w:rPr>
          <w:sz w:val="20"/>
          <w:szCs w:val="20"/>
          <w:color w:val="auto"/>
        </w:rPr>
      </w:pPr>
      <w:r>
        <w:rPr>
          <w:rFonts w:ascii="Times New Roman" w:cs="Times New Roman" w:eastAsia="Times New Roman" w:hAnsi="Times New Roman"/>
          <w:sz w:val="20"/>
          <w:szCs w:val="20"/>
          <w:color w:val="auto"/>
        </w:rPr>
        <w:t>innovation, marketing, operational support, hosted services and sales activities. In the event of a major weather event or threatened public health emergency,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w:t>
      </w:r>
    </w:p>
    <w:p>
      <w:pPr>
        <w:spacing w:after="0" w:line="7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Global geopolitical and trade tensions may also be disruptive to our business, including as a result of the military conflict between Russia and Ukraine and the evolving conflict in Israel and surrounding areas. The sanctions announced by the U.S. and other countries against Russia to date include restrictions on selling or importing goods, services or technology in or from affected regions and travel bans and asset freezes impacting connected individuals and political, military, business and financial organizations in Russia. The U.S. and other countries could impose wider sanctions and take other actions should the conflict further escalate. It is not possible to predict the broader consequences of these conflicts, which have included or could include further sanctions, embargoes, regional instability, prolonged periods of higher inflation, geopolitical shifts, and adverse effects on macroeconomic conditions, currency exchange rates and financial markets, all of which could have a material adverse effect on our business, financial condition and results of operations.</w:t>
      </w:r>
    </w:p>
    <w:p>
      <w:pPr>
        <w:spacing w:after="0" w:line="327"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solutions utilize open-source software, and any failure to comply with the terms of one or more of these open-source licenses could adversely affect our business.</w:t>
      </w:r>
    </w:p>
    <w:p>
      <w:pPr>
        <w:spacing w:after="0" w:line="46"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Our solutions include software subject to open-source licenses and we may incorporate third-party open source software in our solutions in the future. Particular uses of open-source software and the terms of various open-source licenses have not been interpreted by U.S. courts, and there is a risk that such use or licenses could be construed in a manner that imposes unanticipated conditions or restrictions with respect to our platform and proprietary technology.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If we were to receive a claim of non-compliance with the terms of any of these open source licenses, we could be required to incur significant legal expenses defending against those allegations and could be subject to significant damages, enjoined from offering or selling our solutions that contained the open source software, and required to comply with the foregoing conditions. We could also be required to expend substantial time and resources to re-engineer some of our software. Any of the foregoing could disrupt and harm our business.</w:t>
      </w:r>
    </w:p>
    <w:p>
      <w:pPr>
        <w:spacing w:after="0" w:line="86"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Additionally, the use of certain open-source software in certain manners requires that other licensees be granted the right to make any derivative works of any proprietary software linked to or used with the open-source code, or make such proprietary software available to others on terms that are unfavorable to such licensee or at no cost. This can effectively render what was previously proprietary software open-source software.</w:t>
      </w:r>
    </w:p>
    <w:p>
      <w:pPr>
        <w:spacing w:after="0" w:line="7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and each of such instances could reduce or eliminate the value of our solutions. In addition to risks related to license requirements, use of open-source software can lead to greater risks than use of third-party commercial software, as open-source licensors generally do not provide warranties, controls on the origin of the software, bug fixing, or security scans. Use of open-source software may also present additional security risks because the public availability of such software may make it easier for hackers and other third parties to determine how to compromise our solutions. Any of the foregoing could harm our business and could help our competitors develop platforms and applications that are similar to or better than ours.</w:t>
      </w:r>
    </w:p>
    <w:p>
      <w:pPr>
        <w:spacing w:after="0" w:line="330"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4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ectPr>
          <w:pgSz w:w="11880" w:h="15480" w:orient="portrait"/>
          <w:cols w:equalWidth="0" w:num="1">
            <w:col w:w="10200"/>
          </w:cols>
          <w:pgMar w:left="820" w:top="806" w:right="860" w:bottom="0" w:gutter="0" w:footer="0" w:header="0"/>
        </w:sectPr>
      </w:pP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200"/>
          </w:cols>
          <w:pgMar w:left="820" w:top="806" w:right="86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Risks Related to Data Privacy and Cybersecurity</w:t>
      </w:r>
    </w:p>
    <w:p>
      <w:pPr>
        <w:spacing w:after="0" w:line="125"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our information technology systems or those of third parties with whom we work, or our data are or were compromised, we could experience material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72"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In the ordinary course of business, including when we provide our solutions to customers,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and financial information (collectively, sensitive data). As a result, our business, brand, reputation and ability to attract and retain customers depends upon the satisfactory performance, reliability, and availability of our platform and solutions.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88"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spacing w:after="0" w:line="77"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 flood, power loss, system failures, computer viruses, software errors, physical or electronic break-ins or malicious hacks or attacks on our systems (such as denial of service attacks), and other similar threats.</w:t>
      </w:r>
    </w:p>
    <w:p>
      <w:pPr>
        <w:spacing w:after="0" w:line="82"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auto"/>
        </w:rPr>
        <w:t>In addition, the software, internal applications and systems underlying our platform are complex and have not always been, and may not in the future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70"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In particular, severe ransomware attacks are becoming increasingly prevalent and can lead to significant interruptions in our operations, ability to provide our products or services, loss of sensitive data and income, and diversion of funds. Extortion payments may alleviate the negative impact of a ransomware attack, but we may be unwilling or unable to make such payments due to, for example, applicable laws or regulations prohibiting such payments.</w:t>
      </w:r>
    </w:p>
    <w:p>
      <w:pPr>
        <w:spacing w:after="0" w:line="70"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70" w:lineRule="exact"/>
        <w:rPr>
          <w:sz w:val="20"/>
          <w:szCs w:val="20"/>
          <w:color w:val="auto"/>
        </w:rPr>
      </w:pPr>
    </w:p>
    <w:p>
      <w:pPr>
        <w:ind w:right="600" w:firstLine="490"/>
        <w:spacing w:after="0" w:line="253" w:lineRule="auto"/>
        <w:rPr>
          <w:sz w:val="20"/>
          <w:szCs w:val="20"/>
          <w:color w:val="auto"/>
        </w:rPr>
      </w:pPr>
      <w:r>
        <w:rPr>
          <w:rFonts w:ascii="Times New Roman" w:cs="Times New Roman" w:eastAsia="Times New Roman" w:hAnsi="Times New Roman"/>
          <w:sz w:val="20"/>
          <w:szCs w:val="20"/>
          <w:color w:val="auto"/>
        </w:rPr>
        <w:t>Further, our platform utilizes certain A.I. technology to provide services, and this technology is integrated into the platform, making us susceptible to additional cybersecurity threats. Additionally, confidential and sensitive data of the Company and our customers may be leaked, disclosed, or revealed as a result of or in connection with our employees’, personnel’s, or vendors’ use of A.I. technologies.</w:t>
      </w:r>
    </w:p>
    <w:p>
      <w:pPr>
        <w:spacing w:after="0" w:line="7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Remote work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220"/>
          </w:cols>
          <w:pgMar w:left="820" w:top="803" w:right="840" w:bottom="0" w:gutter="0" w:footer="0" w:header="0"/>
          <w:type w:val="continuous"/>
        </w:sectPr>
      </w:pPr>
    </w:p>
    <w:bookmarkStart w:id="27" w:name="page28"/>
    <w:bookmarkEnd w:id="27"/>
    <w:p>
      <w:pPr>
        <w:ind w:right="120" w:firstLine="490"/>
        <w:spacing w:after="0" w:line="245" w:lineRule="auto"/>
        <w:rPr>
          <w:sz w:val="20"/>
          <w:szCs w:val="20"/>
          <w:color w:val="auto"/>
        </w:rPr>
      </w:pPr>
      <w:r>
        <w:rPr>
          <w:rFonts w:ascii="Times New Roman" w:cs="Times New Roman" w:eastAsia="Times New Roman" w:hAnsi="Times New Roman"/>
          <w:sz w:val="20"/>
          <w:szCs w:val="20"/>
          <w:color w:val="auto"/>
        </w:rPr>
        <w:t>Furthermore, because the techniques used to obtain unauthorized access to, or to sabotage, systems change frequently and often are not recognized until launched against a target, we have in the past been, and may in the future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 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pacing w:after="0" w:line="8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have also outsourced elements of our information technology infrastructure to third parties, including, without limitation, cloud-based infrastructure, data center facilities, encryption and authentication technology, employee email, content delivery to customers, and other functions. We also rely on third parties to provide other products, services, parts, or otherwise to operate our business. Our reliance on these third parties introduces new cybersecurity risks and vulnerabilities, including supply-chain attacks, and other threats to our business operations.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8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have not and may not in the future, however, detect and remediate all such vulnerabilities including on a timely basis. Further, we have experienced, and may in the future experience, delays in developing and deploying remedial measures and patches designed to address identified vulnerabilities.</w:t>
      </w:r>
    </w:p>
    <w:p>
      <w:pPr>
        <w:spacing w:after="0" w:line="8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We operate under a shared responsibility model, where both we and our customers play a role in maintaining security. While we provide a secure platform, services, and products, customers are responsible for properly configuring, implementing, and managing security controls to align with cybersecurity standards, comply with regulations, and mitigate their own security risks. As part of this model, we offer security features and best practices to help customers strengthen their security posture. However, the effective use of these features remains the customer’s responsibility. Failure to properly configure or utilize security settings, misusing our services, or experiencing security incidents due to policy violations, credential exposure, or other vulnerabilities on the customer’s side can lead to security issues independent of our platform. While we are not the cause of such customer-side security incidents, they may still negatively impact our customer relationships, reputation, and revenue.</w:t>
      </w:r>
    </w:p>
    <w:p>
      <w:pPr>
        <w:spacing w:after="0" w:line="82"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Certain of the previously identified or similar threats have in the past and may in the future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with whom we work. For example, we have been the target of successful phishing attacks in the past and expect such attacks will continue in the future. Security incidents or other interruptions have caused, and may in the future cause, disruptions in our ability (and that of third parties with whom we work) to provide our services.</w:t>
      </w:r>
    </w:p>
    <w:p>
      <w:pPr>
        <w:spacing w:after="0" w:line="80" w:lineRule="exact"/>
        <w:rPr>
          <w:sz w:val="20"/>
          <w:szCs w:val="20"/>
          <w:color w:val="auto"/>
        </w:rPr>
      </w:pPr>
    </w:p>
    <w:p>
      <w:pPr>
        <w:ind w:right="380" w:firstLine="490"/>
        <w:spacing w:after="0" w:line="253" w:lineRule="auto"/>
        <w:rPr>
          <w:sz w:val="20"/>
          <w:szCs w:val="20"/>
          <w:color w:val="auto"/>
        </w:rPr>
      </w:pPr>
      <w:r>
        <w:rPr>
          <w:rFonts w:ascii="Times New Roman" w:cs="Times New Roman" w:eastAsia="Times New Roman" w:hAnsi="Times New Roman"/>
          <w:sz w:val="20"/>
          <w:szCs w:val="20"/>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70"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7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If we (or a third party with whom we work) experience a security incident or are unable to protect our computer systems, software, networks, sensitive data and other technology assets, or there is a perception that we have failed to do so, we may experience material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These events may have a material adverse effect on our business, financial condition, and results of operations.</w:t>
      </w:r>
    </w:p>
    <w:p>
      <w:pPr>
        <w:sectPr>
          <w:pgSz w:w="11880" w:h="15480" w:orient="portrait"/>
          <w:cols w:equalWidth="0" w:num="1">
            <w:col w:w="10220"/>
          </w:cols>
          <w:pgMar w:left="820" w:top="806" w:right="840" w:bottom="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220"/>
          </w:cols>
          <w:pgMar w:left="820" w:top="806" w:right="840" w:bottom="0" w:gutter="0" w:footer="0" w:header="0"/>
          <w:type w:val="continuous"/>
        </w:sectPr>
      </w:pPr>
    </w:p>
    <w:bookmarkStart w:id="28" w:name="page29"/>
    <w:bookmarkEnd w:id="28"/>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Our contracts may not contain limitations of liability, and even where they do, there can be no assurance that limitations of liability in our contracts are sufficient to protect us from regulatory fines and sanctions, liabilities, damages, or claims related to our data privacy and security obligations. We maintain insurance policies that cover certain security and privacy damages. However, we cannot guarantee that our coverage will be adequate for liabilities actually incurred or that insurance will continue to be available to us on economically reasonable terms, or at all.</w:t>
      </w:r>
    </w:p>
    <w:p>
      <w:pPr>
        <w:spacing w:after="0" w:line="77" w:lineRule="exact"/>
        <w:rPr>
          <w:sz w:val="20"/>
          <w:szCs w:val="20"/>
          <w:color w:val="auto"/>
        </w:rPr>
      </w:pPr>
    </w:p>
    <w:p>
      <w:pPr>
        <w:jc w:val="both"/>
        <w:ind w:right="320" w:firstLine="490"/>
        <w:spacing w:after="0" w:line="259" w:lineRule="auto"/>
        <w:rPr>
          <w:sz w:val="20"/>
          <w:szCs w:val="20"/>
          <w:color w:val="auto"/>
        </w:rPr>
      </w:pPr>
      <w:r>
        <w:rPr>
          <w:rFonts w:ascii="Times New Roman" w:cs="Times New Roman" w:eastAsia="Times New Roman" w:hAnsi="Times New Roman"/>
          <w:sz w:val="20"/>
          <w:szCs w:val="20"/>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30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applicable U.S. and foreign privacy and security laws, regulations, industry standards, contractual obligations, and other requirements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7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Our customers use our solutions to understand and navigate the healthcare ecosystem. As a result, we process sensitive data that subjects us to a variety of laws, regulations, guidance, industry standards, external and internal privacy and security policies, contractual requirements, and other obligations relating to data privacy and security. In the United States, federal, state, and local governments have enacted numerous data privacy and security laws, including data breach notification laws, data privacy laws, consumer protection laws (e.g., Section 5 of the Federal Trade Commission Act), and other similar laws (e.g., wiretapping laws). These laws and regulations are constantly evolving and may be interpreted, applied, created, or amended in a manner that could harm our current or future business and operations. Implementation standards and enforcement practices are likely to remain uncertain for the foreseeable future, and we cannot yet determine the impact future laws, regulations, standards, or perception of their requirements may have on our business. This evolution creates uncertainty in our business and may affect our ability to operate in certain jurisdictions or to process personal data, necessitate the acceptance of more onerous obligations in our contracts, or result in liability or impose additional costs on us. These laws, regulations, and other obligations may also be interpreted and applied inconsistently from jurisdiction to jurisdiction which may make compliance difficult or impossible in certain circumstances.</w:t>
      </w:r>
    </w:p>
    <w:p>
      <w:pPr>
        <w:spacing w:after="0" w:line="8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 There is also a risk that customers and third-party vendors who are subject to HIPAA and interface with us may misunderstand the limits of our ability to conform to HIPAA given our posture that we remain outside of the HIPAA regulation by virtue of de-identifying our data, and may expose us inadvertently to PHI that we need to then make efforts to excise from our systems. We are also required to ensure that such information remains de-identified and our failure to do so could result in non-compliance with privacy laws and contractual obligations.</w:t>
      </w:r>
    </w:p>
    <w:p>
      <w:pPr>
        <w:spacing w:after="0" w:line="80" w:lineRule="exact"/>
        <w:rPr>
          <w:sz w:val="20"/>
          <w:szCs w:val="20"/>
          <w:color w:val="auto"/>
        </w:rPr>
      </w:pPr>
    </w:p>
    <w:p>
      <w:pPr>
        <w:ind w:right="240" w:firstLine="490"/>
        <w:spacing w:after="0" w:line="253" w:lineRule="auto"/>
        <w:rPr>
          <w:sz w:val="20"/>
          <w:szCs w:val="20"/>
          <w:color w:val="auto"/>
        </w:rPr>
      </w:pPr>
      <w:r>
        <w:rPr>
          <w:rFonts w:ascii="Times New Roman" w:cs="Times New Roman" w:eastAsia="Times New Roman" w:hAnsi="Times New Roman"/>
          <w:sz w:val="20"/>
          <w:szCs w:val="20"/>
          <w:color w:val="auto"/>
        </w:rPr>
        <w:t>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 and their covered subcontractors.</w:t>
      </w:r>
    </w:p>
    <w:p>
      <w:pPr>
        <w:spacing w:after="0" w:line="7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Certain of our customers may be either “business associates” or “covered entities” under HIPAA, including certain of our customers that are not traditional healthcare providers. For example, some of our customers are medical device companies that may work with healthcare professionals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requirements of HIPAA. Penalties will vary significantly depending on factors such as the date of the violation, whether the business associate knew or should have known of the failure to comply, or</w:t>
      </w:r>
    </w:p>
    <w:p>
      <w:pPr>
        <w:sectPr>
          <w:pgSz w:w="11880" w:h="15480" w:orient="portrait"/>
          <w:cols w:equalWidth="0" w:num="1">
            <w:col w:w="10220"/>
          </w:cols>
          <w:pgMar w:left="820" w:top="806" w:right="840" w:bottom="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220"/>
          </w:cols>
          <w:pgMar w:left="820" w:top="806" w:right="840" w:bottom="0" w:gutter="0" w:footer="0" w:header="0"/>
          <w:type w:val="continuous"/>
        </w:sectPr>
      </w:pPr>
    </w:p>
    <w:bookmarkStart w:id="29" w:name="page30"/>
    <w:bookmarkEnd w:id="29"/>
    <w:p>
      <w:pPr>
        <w:ind w:right="200"/>
        <w:spacing w:after="0" w:line="249" w:lineRule="auto"/>
        <w:rPr>
          <w:sz w:val="20"/>
          <w:szCs w:val="20"/>
          <w:color w:val="auto"/>
        </w:rPr>
      </w:pPr>
      <w:r>
        <w:rPr>
          <w:rFonts w:ascii="Times New Roman" w:cs="Times New Roman" w:eastAsia="Times New Roman" w:hAnsi="Times New Roman"/>
          <w:sz w:val="20"/>
          <w:szCs w:val="20"/>
          <w:color w:val="auto"/>
        </w:rPr>
        <w:t>whether the business associate’s failure to comply was due to willful neglect. Penalties for HIPAA violations can be significant, including civil monetary penalties, fines, required remediation, and ongoing monitoring. A single breach incident can result in violations of multiple standards. If a person knowingly or intentionally obtains or discloses PHI in violation of HIPAA requirements, criminal penalties may also be imposed. Failure to comply with applicable HIPAA requirements could also give rise to breach of contract claims with our customers.</w:t>
      </w:r>
    </w:p>
    <w:p>
      <w:pPr>
        <w:spacing w:after="0" w:line="7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Further, our (and our employees’ and personnels’) use of A.I. technologies, and the disclosure and use of personal data in A.I. technologies, is subject to various laws and evolving regulations regarding the use of A.I., controlling for data bias, and antidiscrimination. For example, due to inaccuracies or flaws in the inputs, outputs, or logic of the A.I., the model could be biased and could lead us to make decisions that could bias certain individuals (or classes of individuals), and adversely impact their rights, employment, and ability to obtain certain pricing, products, services, or benefits. Several jurisdictions around the globe, including Europe and certain U.S. states, have proposed enacted, or are considering laws governing the development and use of A.I. technologies, such as the EU’s AI Act, and we expect other jurisdictions will adopt similar laws. Furthermore, the Federal Trade Commission (“FTC”) enforces consumer protection laws such as Section 5 of the FTC Act, the Fair Credit Reporting Act, and the Equal Credit Opportunity Act, which prohibit unfair and deceptive practices, including use of biased algorithms in AI. These obligations may make it harder for us to conduct our business using A.I. technologies, lead to regulatory fines or penalties, require us to change our business practices, retrain our A.I. technologies, or prevent or limit our use of A.I. technologies. For example, the FTC has required other companies to turn over (or disgorge) valuable insights or trainings generated through the use of A.I. where they allege the company has violated privacy and consumer protection laws. If we cannot use A.I. technologies or that use is restricted, our business may be less efficient, or we may be at a competitive disadvantage.</w:t>
      </w:r>
    </w:p>
    <w:p>
      <w:pPr>
        <w:spacing w:after="0" w:line="91"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 If we are unable to maintain these certifications or meet these standards, it could reduce demand for our solutions and adversely affect our business and operating results.</w:t>
      </w:r>
    </w:p>
    <w:p>
      <w:pPr>
        <w:spacing w:after="0" w:line="8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Many data privacy and security obligations protect more than health-related information, and although they vary by jurisdiction, these obligations can extend to employee information, business information, healthcare provider information and other information relating to individual consumers. Our actual or perceived failure to comply with these laws may result in, among other things, civil and criminal liability, vulnerability to class actions where private right of action is available to individuals, regulatory fines and sanctions, negative publicity, damage to our reputation and liability under contractual provisions. These obligations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8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data, such as further requirements for explicit opt-in consent in some cases, as well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for intentional violations and may allow private litigants affected by certain data breaches to recover significant statutory damages. Many similar laws have been proposed or enacted at the federal, state and local levels, and we expect more states to pass similar laws in the future. Further, some of these laws allow authorized agents or third parties to act on behalf of individuals who wish to exercise their privacy rights. In some cases, the legislation has made it easier for such third-party agents to provide evidence of their authority to make the necessary request (e.g., by use of a signed permission slip). This factor has contributed to a substantial increase in the volume of third party, authorized agent requests with associated risks, including potential risks to our systems, in the case of large volumes of requests, resources, and compliance costs. The designated response time for privacy requests is relatively short in certain jurisdictions resulting in great administrative and compliance challenges.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220"/>
          </w:cols>
          <w:pgMar w:left="820" w:top="806" w:right="840" w:bottom="0" w:gutter="0" w:footer="0" w:header="0"/>
          <w:type w:val="continuous"/>
        </w:sectPr>
      </w:pPr>
    </w:p>
    <w:bookmarkStart w:id="30" w:name="page31"/>
    <w:bookmarkEnd w:id="30"/>
    <w:p>
      <w:pPr>
        <w:ind w:firstLine="490"/>
        <w:spacing w:after="0" w:line="243" w:lineRule="auto"/>
        <w:rPr>
          <w:sz w:val="20"/>
          <w:szCs w:val="20"/>
          <w:color w:val="auto"/>
        </w:rPr>
      </w:pPr>
      <w:r>
        <w:rPr>
          <w:rFonts w:ascii="Times New Roman" w:cs="Times New Roman" w:eastAsia="Times New Roman" w:hAnsi="Times New Roman"/>
          <w:sz w:val="20"/>
          <w:szCs w:val="20"/>
          <w:color w:val="auto"/>
        </w:rPr>
        <w:t>Furthermore, our business relies on the acquisition and sale of data, including data obtained from third-party data suppliers. The acquisition and sale of data from or to third parties has become subject to increased regulatory scrutiny. Therefore, obtaining and selling data from third parties carries risk to us as a data purchaser and reseller. For example, as a data supplier, we are currently required to register as a data broker under California, Oregon, Texas, and Vermont law and file reports with regulators, which exposes us to increased scrutiny. Additionally, California’s Delete Act requires the California Privacy Protection Agency (“CPPA”) to establish, by January 1, 2026, a mechanism to allow California consumers to submit a single, verifiable request to delete all of their personal data held by all registered data brokers and their service providers. Moreover, third-party data suppliers have recently been subject to increased litigation under various claims of violating certain state privacy laws. These laws and challenges may make it so difficult for us and our suppliers to provide the data and the costs associated with the data materially increase or may materially decrease the availability of data that we or our data suppliers can provide.</w:t>
      </w:r>
    </w:p>
    <w:p>
      <w:pPr>
        <w:spacing w:after="0" w:line="8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Additionally, under various privacy laws and other obligations, we may be required to obtain certain consents to process personal data. For example, some of our information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80" w:lineRule="exact"/>
        <w:rPr>
          <w:sz w:val="20"/>
          <w:szCs w:val="20"/>
          <w:color w:val="auto"/>
        </w:rPr>
      </w:pPr>
    </w:p>
    <w:p>
      <w:pPr>
        <w:ind w:right="320" w:firstLine="490"/>
        <w:spacing w:after="0" w:line="249" w:lineRule="auto"/>
        <w:rPr>
          <w:sz w:val="20"/>
          <w:szCs w:val="20"/>
          <w:color w:val="auto"/>
        </w:rPr>
      </w:pPr>
      <w:r>
        <w:rPr>
          <w:rFonts w:ascii="Times New Roman" w:cs="Times New Roman" w:eastAsia="Times New Roman" w:hAnsi="Times New Roman"/>
          <w:sz w:val="20"/>
          <w:szCs w:val="20"/>
          <w:color w:val="auto"/>
        </w:rPr>
        <w:t>We may be subject to new laws governing the privacy of consumer health data, including reproductive, sexual orientation, and gender identity privacy rights.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w:t>
      </w:r>
    </w:p>
    <w:p>
      <w:pPr>
        <w:spacing w:after="0" w:line="77"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We are, or may become, subject to foreign laws, regulations, and industry standards that govern data privacy and security, such as the EU GDPR, the UK GDPR, Canada’s Personal Information Protection and Electronic Documents Act (“PIPEDA”), and China’s Personal Information Protection Law (“PIPL”), Brazil’s General Data Protection Law (Lei Geral de Proteção de Dados Pessoais, or “LGPD”) (Law No. 13,709/2018), India’s Information Technology Act and supplementary rules, and other foreign data privacy, security, data localization and similar national, state/provincial and local laws which impose strict requirements for processing personal data. 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Because our EU subsidiary, Monocl AB, operates under a Swedish publishing certificate (database protection) issued in accordance with Swedish national law, such processing of personal data by our EU subsidiary comes under the Swedish constitutional protection enshrining freedom of expression and consequently falls within the scope of Article 85 EU GDPR and is exempt from certain core provisions of the EU GDPR. Legal challenges against the general right to publish personal data based on the publishing certificate and consequent exemption from the GDPR, if upheld, may potentially result in the exemption being deemed invalid in certain circumstances. Further the database protection which offers our subsidiary the right to rely on the Article 85 exemption, is traditionally granted to news and media outlets and publications. Given the adjustments in our business and other commercial changes, it may be the case that the authority issuing the publishing certificate may not grant a renewal when the existing certificate expires. In such case alternative legal grounds for processing personal data subject to the GDPR and other privacy laws, will need to be established. This may impact our current data collection practices and could restrict our ability to collect, process and share personal data in certain products.</w:t>
      </w:r>
    </w:p>
    <w:p>
      <w:pPr>
        <w:spacing w:after="0" w:line="8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w:t>
      </w:r>
    </w:p>
    <w:p>
      <w:pPr>
        <w:sectPr>
          <w:pgSz w:w="11880" w:h="15480" w:orient="portrait"/>
          <w:cols w:equalWidth="0" w:num="1">
            <w:col w:w="10200"/>
          </w:cols>
          <w:pgMar w:left="820" w:top="806" w:right="860" w:bottom="0" w:gutter="0" w:footer="0" w:header="0"/>
        </w:sect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200"/>
          </w:cols>
          <w:pgMar w:left="820" w:top="806" w:right="860" w:bottom="0" w:gutter="0" w:footer="0" w:header="0"/>
          <w:type w:val="continuous"/>
        </w:sectPr>
      </w:pPr>
    </w:p>
    <w:bookmarkStart w:id="31" w:name="page32"/>
    <w:bookmarkEnd w:id="31"/>
    <w:p>
      <w:pPr>
        <w:ind w:right="280"/>
        <w:spacing w:after="0" w:line="247" w:lineRule="auto"/>
        <w:rPr>
          <w:sz w:val="20"/>
          <w:szCs w:val="20"/>
          <w:color w:val="auto"/>
        </w:rPr>
      </w:pPr>
      <w:r>
        <w:rPr>
          <w:rFonts w:ascii="Times New Roman" w:cs="Times New Roman" w:eastAsia="Times New Roman" w:hAnsi="Times New Roman"/>
          <w:sz w:val="20"/>
          <w:szCs w:val="20"/>
          <w:color w:val="auto"/>
        </w:rPr>
        <w:t>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EU GDPR’s cross-border data transfer limitations.</w:t>
      </w:r>
    </w:p>
    <w:p>
      <w:pPr>
        <w:spacing w:after="0" w:line="8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w:t>
      </w:r>
    </w:p>
    <w:p>
      <w:pPr>
        <w:spacing w:after="0" w:line="20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obligations has and will continue to require valuable management and employee time and resources, and failure to comply with these regulations could include severe penalties and could reduce demand for our solutions. Any failure or perceived failure by us to comply with federal, state or foreign laws or regulation, our internal policies and procedures or our contracts governing our processing of personal data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82"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We also publish privacy policies, marketing materials, whitepapers,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77"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Customers expect that our solutions can be used in compliance with privacy and security obligations. The functional and operational requirements and costs of compliance with such obligations may adversely impact our business, and failure to enable our solutions to comply with such obligations could lead to significant fines and penalties imposed by regulators, as well as claims by our customers or third parties. These domestic and foreign legislative and regulatory initiatives could adversely affect our customers’ ability or desire to collect, use, process, store and disclose personal data and health data using our solutions, or to license data products from us, which could reduce demand for our solutions.</w:t>
      </w:r>
    </w:p>
    <w:p>
      <w:pPr>
        <w:spacing w:after="0" w:line="8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We have established frameworks, models, processes and technologies designed to manage data privacy and security for many data types and from a variety of sources, though such measures may not always be effective. Due to the complex and evolving nature of privacy obligations, we cannot guarantee that the safeguards and controls employed by us, or third parties upon which we rely, will be sufficient to prevent a breach of these obligations, or that claims, complaints, investigations, or inquiries will not be filed or lodged against us or our data suppliers despite such safeguards and controls.</w:t>
      </w:r>
    </w:p>
    <w:p>
      <w:pPr>
        <w:spacing w:after="0" w:line="7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Furthermore, we are bound by contractual obligations and industry standards related to data privacy and security, and our efforts to comply with such obligations may not be successful. For example, certain privacy laws, such as the GDPR and CCPA, require our customers to impose specific contractual restrictions on their service providers. Failure to comply with such contractual obligations, certain certification/registration requirement, annual re-certification/registration requirements associated with various privacy obligations, and failure to resolve any serious data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8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77"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We may at times fail (or be perceived to have failed) in our efforts to comply with our data privacy and security obligations. Moreover, despite our efforts, our personnel or third parties upon which we rely may fail to comply with such obligations, which could negatively impact our business operations. If we or the third parties with whom we work fail, or are perceived to have failed, to address or comply with applicable data privacy and security obligations, we could face significant</w:t>
      </w:r>
    </w:p>
    <w:p>
      <w:pPr>
        <w:sectPr>
          <w:pgSz w:w="11880" w:h="15480" w:orient="portrait"/>
          <w:cols w:equalWidth="0" w:num="1">
            <w:col w:w="10220"/>
          </w:cols>
          <w:pgMar w:left="820" w:top="806" w:right="840" w:bottom="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220"/>
          </w:cols>
          <w:pgMar w:left="820" w:top="806" w:right="840" w:bottom="0" w:gutter="0" w:footer="0" w:header="0"/>
          <w:type w:val="continuous"/>
        </w:sectPr>
      </w:pPr>
    </w:p>
    <w:bookmarkStart w:id="32" w:name="page33"/>
    <w:bookmarkEnd w:id="32"/>
    <w:p>
      <w:pPr>
        <w:spacing w:after="0" w:line="244" w:lineRule="auto"/>
        <w:rPr>
          <w:sz w:val="20"/>
          <w:szCs w:val="20"/>
          <w:color w:val="auto"/>
        </w:rPr>
      </w:pPr>
      <w:r>
        <w:rPr>
          <w:rFonts w:ascii="Times New Roman" w:cs="Times New Roman" w:eastAsia="Times New Roman" w:hAnsi="Times New Roman"/>
          <w:sz w:val="20"/>
          <w:szCs w:val="20"/>
          <w:color w:val="auto"/>
        </w:rPr>
        <w:t>consequences, including but not limited to: government enforcement actions (e.g., investigations, fines (including regulatory fines and sanctions),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220"/>
          </w:cols>
          <w:pgMar w:left="820" w:top="806" w:right="84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Legal and Regulatory Risks</w:t>
      </w:r>
    </w:p>
    <w:p>
      <w:pPr>
        <w:spacing w:after="0" w:line="125" w:lineRule="exact"/>
        <w:rPr>
          <w:sz w:val="20"/>
          <w:szCs w:val="20"/>
          <w:color w:val="auto"/>
        </w:rPr>
      </w:pPr>
    </w:p>
    <w:p>
      <w:pPr>
        <w:jc w:val="both"/>
        <w:ind w:right="4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64"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healthcare fraud and abuse,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77"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auto"/>
        </w:rPr>
        <w:t>Additionally, Populi participates in the Centers for Medicare &amp; Medicaid Services (“CMS”) Qualified Entity Certification Program (“QECP”) as a qualified entity and is subject to the QECP participant requirements. Failure to comply with such requirements could result in removal from the QECP and penalties.</w:t>
      </w:r>
    </w:p>
    <w:p>
      <w:pPr>
        <w:spacing w:after="0" w:line="30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sanctions, export controls, anti-corruption, anti-bribery, anti-money laundering and similar laws, and non-compliance with such laws can subject us to criminal penalties or significant fines and have a material adverse effect on our business, financial condition and results of operations.</w:t>
      </w:r>
    </w:p>
    <w:p>
      <w:pPr>
        <w:spacing w:after="0" w:line="64"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 also are subject to applicable anti-money laundering laws, which prohibit engaging in certain transactions involving criminally-derived property or the proceeds of criminal activity. Our activities are also subject to applicable export controls, trade and economic sanctions laws and regulations, including those administered by the U.S. Treasury Department’s Office of Foreign Assets Control, the U.S. Department of Commerce, and the U.S. Department of State. These trade laws and regulations prohibit certain transactions involving sanctioned countries, governments, and persons without a license or other appropriate authorization. As we increase our international sales and business, our risks under these laws may increase. Changes to U.S. export and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220"/>
          </w:cols>
          <w:pgMar w:left="820" w:top="803" w:right="840" w:bottom="0" w:gutter="0" w:footer="0" w:header="0"/>
          <w:type w:val="continuous"/>
        </w:sectPr>
      </w:pPr>
    </w:p>
    <w:bookmarkStart w:id="34" w:name="page35"/>
    <w:bookmarkEnd w:id="34"/>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Any violation or allegation of violations of economic and trade sanctions laws, export controls,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be subject to claims brought by our customers, which could be costly and time consuming to defend.</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321"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4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the ordinary course of business, we may be involved in and subject to litigation for a variety of claims or disputes and receive regulatory inquiries. These claims, lawsuits and proceedings could include labor and employment, wage and hour, commercial, intellectual property, data privacy and security,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financial condition and results of operations. Any claims or litigation, even if fully indemnified or insured, could make it more difficult to effectively compete or to obtain adequate insurance in the future.</w:t>
      </w:r>
    </w:p>
    <w:p>
      <w:pPr>
        <w:spacing w:after="0" w:line="86"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In addition, we may be required to spend significant resources to monitor and protect our contractual, intellectual property and other rights, including collection of payments and fees and enforcement of intellectual property rights.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liability if we breach our contracts, and our insurance may be inadequate to cover our losses.</w:t>
      </w:r>
    </w:p>
    <w:p>
      <w:pPr>
        <w:spacing w:after="0" w:line="118"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80" w:lineRule="exact"/>
        <w:rPr>
          <w:sz w:val="20"/>
          <w:szCs w:val="20"/>
          <w:color w:val="auto"/>
        </w:rPr>
      </w:pPr>
    </w:p>
    <w:p>
      <w:pPr>
        <w:jc w:val="both"/>
        <w:ind w:right="100" w:firstLine="490"/>
        <w:spacing w:after="0" w:line="259" w:lineRule="auto"/>
        <w:rPr>
          <w:sz w:val="20"/>
          <w:szCs w:val="20"/>
          <w:color w:val="auto"/>
        </w:rPr>
      </w:pPr>
      <w:r>
        <w:rPr>
          <w:rFonts w:ascii="Times New Roman" w:cs="Times New Roman" w:eastAsia="Times New Roman" w:hAnsi="Times New Roman"/>
          <w:sz w:val="20"/>
          <w:szCs w:val="20"/>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ectPr>
          <w:pgSz w:w="11880" w:h="15480" w:orient="portrait"/>
          <w:cols w:equalWidth="0" w:num="1">
            <w:col w:w="10160"/>
          </w:cols>
          <w:pgMar w:left="820" w:top="80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160"/>
          </w:cols>
          <w:pgMar w:left="820" w:top="806" w:right="90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legal liability for collecting, displaying or distributing information.</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data privacy and security.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ectPr>
          <w:pgSz w:w="11880" w:h="15480" w:orient="portrait"/>
          <w:cols w:equalWidth="0" w:num="1">
            <w:col w:w="10160"/>
          </w:cols>
          <w:pgMar w:left="820" w:top="8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160"/>
          </w:cols>
          <w:pgMar w:left="820" w:top="808" w:right="90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125"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adequately protect our proprietary and intellectual property rights in our data analytics or data science.</w:t>
      </w:r>
    </w:p>
    <w:p>
      <w:pPr>
        <w:spacing w:after="0" w:line="46"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Our success is dependent, in part, upon protecting our proprietary information and technology including our trade secrets and other unregistered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protection, including by entering into confidentiality and non-disclosure agreements, and other contractual arrangements, along with copyright law, rather than on registered intellectual property such as patents, registered copyrights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While it is our policy to require our employees, contractors, and other partners who may be involved in the development of intellectual property for us to execute agreements assigning such intellectual property to us, we may be unsuccessful in executing such an agreement with each party that develops intellectual property that we regard as ours.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 we cannot guarantee that we have entered into such agreements with each party that has or may have had access to our trade secrets, confidential information, software (including our A.I. tools), or other proprietary technology. Further, these confidentiality, non-disclosure, or invention assignment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82" w:lineRule="exact"/>
        <w:rPr>
          <w:sz w:val="20"/>
          <w:szCs w:val="20"/>
          <w:color w:val="auto"/>
        </w:rPr>
      </w:pPr>
    </w:p>
    <w:p>
      <w:pPr>
        <w:ind w:right="440" w:firstLine="490"/>
        <w:spacing w:after="0" w:line="253" w:lineRule="auto"/>
        <w:rPr>
          <w:sz w:val="20"/>
          <w:szCs w:val="20"/>
          <w:color w:val="auto"/>
        </w:rPr>
      </w:pPr>
      <w:r>
        <w:rPr>
          <w:rFonts w:ascii="Times New Roman" w:cs="Times New Roman" w:eastAsia="Times New Roman" w:hAnsi="Times New Roman"/>
          <w:sz w:val="20"/>
          <w:szCs w:val="20"/>
          <w:color w:val="auto"/>
        </w:rPr>
        <w:t>Our registered or unregistered trademarks and tradenames, or other intellectual property rights, may be challenged, infringed, circumvented, misappropriated, or otherwise violated, or declared invalid or unenforceable, or determined to be infringing on other marks. Furthermore, even if we are able to obtain intellectual property rights, any challenge to our intellectual property rights could result in them being narrowed in scope or declared invalid or unenforceable.</w:t>
      </w:r>
    </w:p>
    <w:p>
      <w:pPr>
        <w:spacing w:after="0" w:line="7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Current law may not provide for adequate protection of our platform or proprietary information and technology.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proprietary information or technology,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To protect our intellectual property rights, we may be required to spend significant resources to monitor and protect these rights, and we may not be able to detect infringement or misappropriation by our customers, business partners, or other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and data from third parties to develop and market new features, integrations and capabilities, and we cannot be certain that we could license that technology or data on commercially reasonable terms or at all, and our inability to license this technology or data could harm our ability to compete and have a material adverse effect on our business, financial condition and results of operations.</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220"/>
          </w:cols>
          <w:pgMar w:left="820" w:top="803" w:right="840" w:bottom="0" w:gutter="0" w:footer="0" w:header="0"/>
          <w:type w:val="continuous"/>
        </w:sectPr>
      </w:pPr>
    </w:p>
    <w:bookmarkStart w:id="37" w:name="page38"/>
    <w:bookmarkEnd w:id="37"/>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Further, third parties may misappropriate our data or data analytics through website scraping, robots, or other means and aggregate and display this data or data analytics on their websites. Customers or partners may impermissibly retain our data in breach of our agreements with them, including past the expiration or termination of such agreements, and use our data or data analytics for purposes outside of the scope of our engagement with them.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In addition, third parties that provide A.I. products and services, including some which are publicly available, may have trained A.I. tools or technology from our data without our consent and it may be difficult to enforce our copyrights and other intellectual property rights in connection with such unauthorized use, which could reduce demand for our products and services. Any measures that we may take to enforce our rights could require us to expend significant financial or other resources.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by others that we are infringing on their intellectual property rights.</w:t>
      </w:r>
    </w:p>
    <w:p>
      <w:pPr>
        <w:spacing w:after="0" w:line="11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w:t>
      </w:r>
    </w:p>
    <w:p>
      <w:pPr>
        <w:spacing w:after="0" w:line="82"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Third parties may assert claims that we or our customers infringe or otherwise violate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products or services that infringe or allegedly infringe on the plaintiff’s intellectual property rights. To resolve these claims, we may enter into licensing agreements with restrictive terms or significant fees, stop making our technology, products or services available, be required to implement costly redesigns to the affected technology, or products or services, or pay damages to satisfy contractual obligations to others. If we do not resolve these claims in advance of a trial, there is no guarantee that we will be successful in court. These outcomes could have a material adverse effect on our business, financial condition and operations.</w:t>
      </w:r>
    </w:p>
    <w:p>
      <w:pPr>
        <w:spacing w:after="0" w:line="8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In addition, certain contracts with our suppliers or customers contain provisions whereby we are required to indemnify the counterparty for damages suffered as a result of claims related to intellectual property infringement and the use of data analytics by our technology, products, or services. Claims made under these provisions could be expensive to litigate and could result in significant payments. Even if we were to prevail in such a dispute, any litigation regarding our or others’ intellectual property could be costly and time-consuming and divert the attention of our management and key personnel from our business operations. The occurrence of infringement claims may grow as the market for our products grows.</w:t>
      </w:r>
    </w:p>
    <w:p>
      <w:pPr>
        <w:spacing w:after="0" w:line="32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adversely impacted by changes in laws and regulations related to the Internet or changes in access to the Internet generally.</w:t>
      </w:r>
    </w:p>
    <w:p>
      <w:pPr>
        <w:spacing w:after="0" w:line="4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82"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Federal, state, or foreign governmental bodies or agencies have in the past adopted, and may in the future adopt, laws or regulations affecting the use of the internet as a commercial medium, including with respect to the adoption and repeal of “net neutrality” rules. For example, net neutrality rules, which were designed to ensure that all online content is treated the same by Internet service providers and other companies that provide broadband services, were adopted by the Federal Communications Commission (“FCC”) on May 7, 2024, but those rules were overturned by the U.S.</w:t>
      </w:r>
    </w:p>
    <w:p>
      <w:pPr>
        <w:sectPr>
          <w:pgSz w:w="11880" w:h="15480" w:orient="portrait"/>
          <w:cols w:equalWidth="0" w:num="1">
            <w:col w:w="10220"/>
          </w:cols>
          <w:pgMar w:left="820" w:top="806" w:right="840" w:bottom="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220"/>
          </w:cols>
          <w:pgMar w:left="820" w:top="806" w:right="840" w:bottom="0" w:gutter="0" w:footer="0" w:header="0"/>
          <w:type w:val="continuous"/>
        </w:sectPr>
      </w:pPr>
    </w:p>
    <w:bookmarkStart w:id="38" w:name="page39"/>
    <w:bookmarkEnd w:id="38"/>
    <w:p>
      <w:pPr>
        <w:ind w:right="80"/>
        <w:spacing w:after="0" w:line="243" w:lineRule="auto"/>
        <w:rPr>
          <w:sz w:val="20"/>
          <w:szCs w:val="20"/>
          <w:color w:val="auto"/>
        </w:rPr>
      </w:pPr>
      <w:r>
        <w:rPr>
          <w:rFonts w:ascii="Times New Roman" w:cs="Times New Roman" w:eastAsia="Times New Roman" w:hAnsi="Times New Roman"/>
          <w:sz w:val="20"/>
          <w:szCs w:val="20"/>
          <w:color w:val="auto"/>
        </w:rPr>
        <w:t>Court of Appeals for the Sixth Circuit on January 2, 2025. Changes to the party in control of the U.S. presidency, Congress, statehouses, or state legislatures may create at least the possibility that those law makers may enact laws or regulations on net neutrality, though the prospects for such actions are uncertain. Certain states have adopted or are adopting or considering legislation or executive actions that would regulate the conduct of broadband providers. California’s net neutrality law took effect in 2021, and a similar law in Vermont is subject to a pending challenge but went into effect on April 20, 2022. In addition, legislation to impose state-level net neutrality requirements has been proposed in New York. We cannot predict whether future FCC net neutrality rules or other state initiatives will be enforced, modified, overturned, or vacated by legal action of a court, federal legislation, or the FCC. In addition, the status of state regimes may be affected by FCC action. Future repeals of the net neutrality rules or the failure to adopt such rules in the states could force us to incur greater operating expenses or our customers’ use of our platform could be adversely affected, either of which could harm our business and results of operations.</w:t>
      </w:r>
    </w:p>
    <w:p>
      <w:pPr>
        <w:spacing w:after="0" w:line="88"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323"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Regulatory and legislative developments related to the use of A.I. could adversely affect our use of such technologies in our products, services, and business and expose us to legal and regulatory risks.</w:t>
      </w:r>
    </w:p>
    <w:p>
      <w:pPr>
        <w:spacing w:after="0" w:line="4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regulatory framework for A.I. and similar technologies is changing rapidly. New laws and regulations, or the interpretation of existing laws and regulations, in any of the jurisdictions in which we operate may affect our ability to leverage A.I. and may expose us to legal and regulatory risks, government enforcement, or civil suits and may result in increases in our operational and development expenses that impact our ability to develop, earn revenue from, or utilize any products or services incorporating A.I. Furthermore, if we cannot use A.I. or that use is restricted, our business may be less efficient, or we may be at a competitive disadvantage. We may not be able to adequately anticipate or respond to these evolving laws and regulations, and we may need to expend additional resources to adjust our products or services in certain jurisdictions if applicable legal frameworks are inconsistent across jurisdictions. Because these technologies are rapidly developing, it is not possible to predict all of the legal or regulatory risks that may arise relating to our use of such technologies. The costs related to any litigation and to comply with such laws or regulations could be significant and would increase our operating expenses, which could adversely affect our business, financial condition, and results of operations.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220"/>
          </w:cols>
          <w:pgMar w:left="820" w:top="806" w:right="84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Risks Related to Certain Tax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Unanticipated changes in our effective tax rate and additional tax liabilities may impact our financial results.</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We are subject to taxes in the U.S. and certain foreign jurisdictions. Due to economic and political conditions, tax rates in various jurisdictions, including the U.S., may be subject to change.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8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321"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4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82"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220"/>
          </w:cols>
          <w:pgMar w:left="820" w:top="803" w:right="840" w:bottom="0" w:gutter="0" w:footer="0" w:header="0"/>
          <w:type w:val="continuous"/>
        </w:sectPr>
      </w:pPr>
    </w:p>
    <w:bookmarkStart w:id="40" w:name="page41"/>
    <w:bookmarkEnd w:id="40"/>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46" w:lineRule="exact"/>
        <w:rPr>
          <w:sz w:val="20"/>
          <w:szCs w:val="20"/>
          <w:color w:val="auto"/>
        </w:rPr>
      </w:pPr>
    </w:p>
    <w:p>
      <w:pPr>
        <w:ind w:right="240" w:firstLine="490"/>
        <w:spacing w:after="0" w:line="246" w:lineRule="auto"/>
        <w:rPr>
          <w:sz w:val="20"/>
          <w:szCs w:val="20"/>
          <w:color w:val="auto"/>
        </w:rPr>
      </w:pPr>
      <w:r>
        <w:rPr>
          <w:rFonts w:ascii="Times New Roman" w:cs="Times New Roman" w:eastAsia="Times New Roman" w:hAnsi="Times New Roman"/>
          <w:sz w:val="20"/>
          <w:szCs w:val="20"/>
          <w:color w:val="auto"/>
        </w:rPr>
        <w:t>States and some local taxing jurisdictions have differing rules and regulations governing sales and use taxes, and these rules and regulations are subject to varying interpretations that may change over time. The application of federal, state, local and foreign tax laws to services provided electronically is unclear and continually evolving. In particular, the applicability of sales taxes to our platform in various jurisdictions is unclear. For example, during the quarter ended June 30, 2023, we determined that sales in certain states were subject to sales tax and that we had not assessed such sales tax on sales of our services to customers. As a result, we entered into voluntary disclosure agreements with the applicable jurisdictions, which were settled as of December 31, 2024.</w:t>
      </w:r>
    </w:p>
    <w:p>
      <w:pPr>
        <w:spacing w:after="0" w:line="8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82"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220"/>
          </w:cols>
          <w:pgMar w:left="820" w:top="808" w:right="84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Risks Related to Accounting and Financial Reporting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 and change in deferred revenue may not be accurate indicators of our future financial results.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33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46"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80" w:lineRule="exact"/>
        <w:rPr>
          <w:sz w:val="20"/>
          <w:szCs w:val="20"/>
          <w:color w:val="auto"/>
        </w:rPr>
      </w:pPr>
    </w:p>
    <w:p>
      <w:pPr>
        <w:jc w:val="both"/>
        <w:ind w:right="100" w:firstLine="490"/>
        <w:spacing w:after="0" w:line="249" w:lineRule="auto"/>
        <w:rPr>
          <w:sz w:val="20"/>
          <w:szCs w:val="20"/>
          <w:color w:val="auto"/>
        </w:rPr>
      </w:pPr>
      <w:r>
        <w:rPr>
          <w:rFonts w:ascii="Times New Roman" w:cs="Times New Roman" w:eastAsia="Times New Roman" w:hAnsi="Times New Roman"/>
          <w:sz w:val="20"/>
          <w:szCs w:val="20"/>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broad discretion in the use of our cash and short-term investment balances and may not use them effectively.</w:t>
      </w:r>
    </w:p>
    <w:p>
      <w:pPr>
        <w:spacing w:after="0" w:line="118"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ectPr>
          <w:pgSz w:w="11880" w:h="15480" w:orient="portrait"/>
          <w:cols w:equalWidth="0" w:num="1">
            <w:col w:w="10200"/>
          </w:cols>
          <w:pgMar w:left="820" w:top="80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200"/>
          </w:cols>
          <w:pgMar w:left="820" w:top="803" w:right="860" w:bottom="0" w:gutter="0" w:footer="0" w:header="0"/>
          <w:type w:val="continuous"/>
        </w:sectPr>
      </w:pPr>
    </w:p>
    <w:bookmarkStart w:id="42" w:name="page43"/>
    <w:bookmarkEnd w:id="42"/>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a significant amount of goodwill and intangible assets on our balance sheet, and our results of operations have in the past been and may in the future be adversely affected if we fail to realize the full value of our goodwill and intangible assets.</w:t>
      </w:r>
    </w:p>
    <w:p>
      <w:pPr>
        <w:spacing w:after="0" w:line="64"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We have a significant amount of goodwill and intangible assets on our balance sheet, and our results of operations may be adversely affected if we fail to realize the full value of our goodwill and intangible assets. Our balance sheet reflects goodwill of $393.3 million and $1.1 billion as of December 31, 2024 and 2023, respectively, and intangible assets, net of accumulated amortization, of $297.9 million and $323.1 million as of December 31, 2024 and 2023, respectively. In accordance with accounting principles generally accepted in the United States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04" w:lineRule="exact"/>
        <w:rPr>
          <w:sz w:val="20"/>
          <w:szCs w:val="20"/>
          <w:color w:val="auto"/>
        </w:rPr>
      </w:pPr>
    </w:p>
    <w:p>
      <w:pPr>
        <w:ind w:left="1100" w:hanging="488"/>
        <w:spacing w:after="0"/>
        <w:tabs>
          <w:tab w:leader="none" w:pos="11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underperformance relative to historical or projected future operating results;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manner of our use of acquired assets or the strategy for our overall business;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negative industry or economic trends; or</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decline in our market capitalization relative to net book value for a sustained period.</w:t>
      </w:r>
    </w:p>
    <w:p>
      <w:pPr>
        <w:spacing w:after="0" w:line="119" w:lineRule="exact"/>
        <w:rPr>
          <w:sz w:val="20"/>
          <w:szCs w:val="20"/>
          <w:color w:val="auto"/>
        </w:rPr>
      </w:pPr>
    </w:p>
    <w:p>
      <w:pPr>
        <w:jc w:val="both"/>
        <w:ind w:right="560" w:firstLine="490"/>
        <w:spacing w:after="0" w:line="253" w:lineRule="auto"/>
        <w:rPr>
          <w:sz w:val="20"/>
          <w:szCs w:val="20"/>
          <w:color w:val="auto"/>
        </w:rPr>
      </w:pPr>
      <w:r>
        <w:rPr>
          <w:rFonts w:ascii="Times New Roman" w:cs="Times New Roman" w:eastAsia="Times New Roman" w:hAnsi="Times New Roman"/>
          <w:sz w:val="20"/>
          <w:szCs w:val="20"/>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7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 xml:space="preserve">We have recently experienced declines in our market capitalization as a result of sustained decreases in our stock price, which resulted in goodwill impairment charges of $688.9 million and $287.4 million during the years ended December 31, 2024 and 2023, respectively. Refer to Note 9. </w:t>
      </w:r>
      <w:r>
        <w:rPr>
          <w:rFonts w:ascii="Times New Roman" w:cs="Times New Roman" w:eastAsia="Times New Roman" w:hAnsi="Times New Roman"/>
          <w:sz w:val="20"/>
          <w:szCs w:val="20"/>
          <w:i w:val="1"/>
          <w:iCs w:val="1"/>
          <w:color w:val="auto"/>
        </w:rPr>
        <w:t>Goodwill and Intangible Assets</w:t>
      </w:r>
      <w:r>
        <w:rPr>
          <w:rFonts w:ascii="Times New Roman" w:cs="Times New Roman" w:eastAsia="Times New Roman" w:hAnsi="Times New Roman"/>
          <w:sz w:val="20"/>
          <w:szCs w:val="20"/>
          <w:color w:val="auto"/>
        </w:rPr>
        <w:t xml:space="preserve"> for further information. Our reporting unit is at risk of future goodwill impairments if we again experience a continued decline in our market capitalization or if macroeconomic conditions worsen, which could represent potential indicators of impairment requiring further impairment analysis in 2025. We continue to monitor for potential impairment should impairment indicators arise. If actual results in our single reporting unit are substantially lower than the projections used in our valuation methodology, or if market discount rates substantially increase or our market capitalization substantially decreases, then our future valuations could be adversely affected. We could be required to record a significant charge to earnings in our financial statements during the period in which any impairment of our goodwill or intangible assets is determined, negatively impacting our results of operations.</w:t>
      </w:r>
    </w:p>
    <w:p>
      <w:pPr>
        <w:spacing w:after="0" w:line="32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previously identified a material weakness in our internal control over financial reporting, and although we have remediated this material weakness, we cannot assure you that additional material weaknesses or significant deficiencies will not occur in the future. 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w:t>
      </w:r>
    </w:p>
    <w:p>
      <w:pPr>
        <w:spacing w:after="0" w:line="195"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We are required, pursuant to Section 404 of the Sarbanes-Oxley Act of 2002,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w:t>
      </w:r>
    </w:p>
    <w:p>
      <w:pPr>
        <w:sectPr>
          <w:pgSz w:w="11880" w:h="15480" w:orient="portrait"/>
          <w:cols w:equalWidth="0" w:num="1">
            <w:col w:w="10220"/>
          </w:cols>
          <w:pgMar w:left="820" w:top="808" w:right="840" w:bottom="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220"/>
          </w:cols>
          <w:pgMar w:left="820" w:top="808" w:right="840" w:bottom="0" w:gutter="0" w:footer="0" w:header="0"/>
          <w:type w:val="continuous"/>
        </w:sectPr>
      </w:pPr>
    </w:p>
    <w:bookmarkStart w:id="43" w:name="page44"/>
    <w:bookmarkEnd w:id="43"/>
    <w:p>
      <w:pPr>
        <w:spacing w:after="0" w:line="279" w:lineRule="auto"/>
        <w:rPr>
          <w:sz w:val="20"/>
          <w:szCs w:val="20"/>
          <w:color w:val="auto"/>
        </w:rPr>
      </w:pPr>
      <w:r>
        <w:rPr>
          <w:rFonts w:ascii="Times New Roman" w:cs="Times New Roman" w:eastAsia="Times New Roman" w:hAnsi="Times New Roman"/>
          <w:sz w:val="20"/>
          <w:szCs w:val="20"/>
          <w:color w:val="auto"/>
        </w:rPr>
        <w:t>harmed if we experience problems with any new systems and controls that result in delays in their implementation or increased costs to correct any post-implementation issues that may arise.</w:t>
      </w:r>
    </w:p>
    <w:p>
      <w:pPr>
        <w:spacing w:after="0" w:line="45"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As disclosed within this Annual Report on Form 10-K, management identified a material weakness in internal control related to the collection and remittance of sales tax and concluded that our internal control over financial reporting was not effective as of December 31, 2023. Although this material weakness has been remediated, these remediation measures have been time consuming and costly and may continue to incur additional time and expense. If other material weaknesses or other deficiencies arise in the future, we may be unable to accurately report our financial results, which could cause our financial results to be materially misstated and require restatement.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ectPr>
          <w:pgSz w:w="11880" w:h="15480" w:orient="portrait"/>
          <w:cols w:equalWidth="0" w:num="1">
            <w:col w:w="10180"/>
          </w:cols>
          <w:pgMar w:left="820" w:top="80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180"/>
          </w:cols>
          <w:pgMar w:left="820" w:top="806" w:right="88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secure sufficient additional financing on favorable terms, or at all, to meet our future capital needs.</w:t>
      </w:r>
    </w:p>
    <w:p>
      <w:pPr>
        <w:spacing w:after="0" w:line="11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Any default under our debt agreements could have significant consequences.</w:t>
      </w:r>
    </w:p>
    <w:p>
      <w:pPr>
        <w:spacing w:after="0" w:line="11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The 2021 Credit Agreement (as defined below) contains covenants imposing certain restrictions on our business. These restrictions may affect our ability to operate our business and may limit our ability to take advantage of potential business opportunities as they arise. The 2021 Credit Agreement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2021 Credit Agreement also requires us to, commencing on the last day of the fiscal quarter ended December 31, 2021, maintain a maximum total leverage ratio.</w:t>
      </w:r>
    </w:p>
    <w:p>
      <w:pPr>
        <w:spacing w:after="0" w:line="82"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Our ability to comply with these covenants under the 2021 Credit Agreement may be affected by events beyond our control, including prevailing economic, financial and industry conditions. The breach of any of these covenants could result in an event of default, which would permit Bank of America, N.A. (the “Administrative Agent”) or the specified threshold of lenders to declare all outstanding debt to be due and payable, together with accrued and unpaid interest. Our obligations under the 2021 Credit Agreement are secured by liens on substantially all of our assets, subject to agreed-upon exceptions. Any default by us under the 2021 Credit Agreement could have a material adverse effect on our business, financial condition and results of operations.</w:t>
      </w:r>
    </w:p>
    <w:p>
      <w:pPr>
        <w:spacing w:after="0" w:line="321" w:lineRule="exact"/>
        <w:rPr>
          <w:sz w:val="20"/>
          <w:szCs w:val="20"/>
          <w:color w:val="auto"/>
        </w:rPr>
      </w:pPr>
    </w:p>
    <w:p>
      <w:pPr>
        <w:ind w:right="9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level of indebtedness could have a material adverse effect on our business, financial condition and results of operations.</w:t>
      </w:r>
    </w:p>
    <w:p>
      <w:pPr>
        <w:spacing w:after="0" w:line="46" w:lineRule="exact"/>
        <w:rPr>
          <w:sz w:val="20"/>
          <w:szCs w:val="20"/>
          <w:color w:val="auto"/>
        </w:rPr>
      </w:pPr>
    </w:p>
    <w:p>
      <w:pPr>
        <w:ind w:right="640" w:firstLine="490"/>
        <w:spacing w:after="0" w:line="279" w:lineRule="auto"/>
        <w:rPr>
          <w:sz w:val="20"/>
          <w:szCs w:val="20"/>
          <w:color w:val="auto"/>
        </w:rPr>
      </w:pPr>
      <w:r>
        <w:rPr>
          <w:rFonts w:ascii="Times New Roman" w:cs="Times New Roman" w:eastAsia="Times New Roman" w:hAnsi="Times New Roman"/>
          <w:sz w:val="20"/>
          <w:szCs w:val="20"/>
          <w:color w:val="auto"/>
        </w:rPr>
        <w:t>The total principal amount of debt outstanding, excluding unamortized debt issuance costs, under the 2021 Credit Agreement as of December 31, 2024 was $244.1 million.</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indebtedness could have significant effects on our business, such as:</w:t>
      </w:r>
    </w:p>
    <w:p>
      <w:pPr>
        <w:spacing w:after="0" w:line="134" w:lineRule="exact"/>
        <w:rPr>
          <w:sz w:val="20"/>
          <w:szCs w:val="20"/>
          <w:color w:val="auto"/>
        </w:rPr>
      </w:pPr>
    </w:p>
    <w:p>
      <w:pPr>
        <w:ind w:left="1100" w:hanging="488"/>
        <w:spacing w:after="0" w:line="278" w:lineRule="auto"/>
        <w:tabs>
          <w:tab w:leader="none" w:pos="11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limiting our ability to borrow additional amounts to fund acquisitions, debt service requirements, execution of our growth strategy, capital expenditures and other purposes;</w:t>
      </w:r>
    </w:p>
    <w:p>
      <w:pPr>
        <w:spacing w:after="0" w:line="60" w:lineRule="exact"/>
        <w:rPr>
          <w:rFonts w:ascii="Arial" w:cs="Arial" w:eastAsia="Arial" w:hAnsi="Arial"/>
          <w:sz w:val="20"/>
          <w:szCs w:val="20"/>
          <w:color w:val="auto"/>
        </w:rPr>
      </w:pPr>
    </w:p>
    <w:p>
      <w:pPr>
        <w:ind w:left="1100" w:right="560" w:hanging="488"/>
        <w:spacing w:after="0" w:line="278" w:lineRule="auto"/>
        <w:tabs>
          <w:tab w:leader="none" w:pos="11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limiting our ability to make investments, including acquisitions, loans and advances, and to sell, transfer or otherwise dispose of assets;</w:t>
      </w:r>
    </w:p>
    <w:p>
      <w:pPr>
        <w:spacing w:after="0" w:line="60" w:lineRule="exact"/>
        <w:rPr>
          <w:rFonts w:ascii="Arial" w:cs="Arial" w:eastAsia="Arial" w:hAnsi="Arial"/>
          <w:sz w:val="20"/>
          <w:szCs w:val="20"/>
          <w:color w:val="auto"/>
        </w:rPr>
      </w:pPr>
    </w:p>
    <w:p>
      <w:pPr>
        <w:ind w:left="1100" w:right="40" w:hanging="488"/>
        <w:spacing w:after="0" w:line="259" w:lineRule="auto"/>
        <w:tabs>
          <w:tab w:leader="none" w:pos="11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78" w:lineRule="exact"/>
        <w:rPr>
          <w:rFonts w:ascii="Arial" w:cs="Arial" w:eastAsia="Arial" w:hAnsi="Arial"/>
          <w:sz w:val="20"/>
          <w:szCs w:val="20"/>
          <w:color w:val="auto"/>
        </w:rPr>
      </w:pPr>
    </w:p>
    <w:p>
      <w:pPr>
        <w:ind w:left="1100" w:right="320" w:hanging="488"/>
        <w:spacing w:after="0" w:line="306" w:lineRule="auto"/>
        <w:tabs>
          <w:tab w:leader="none" w:pos="110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making us more vulnerable to adverse changes in general economic, industry and competitive conditions, in government regulation and in our business by limiting our ability to plan for and react to changing conditions;</w:t>
      </w:r>
    </w:p>
    <w:p>
      <w:pPr>
        <w:spacing w:after="0" w:line="36" w:lineRule="exact"/>
        <w:rPr>
          <w:rFonts w:ascii="Arial" w:cs="Arial" w:eastAsia="Arial" w:hAnsi="Arial"/>
          <w:sz w:val="19"/>
          <w:szCs w:val="19"/>
          <w:color w:val="auto"/>
        </w:rPr>
      </w:pPr>
    </w:p>
    <w:p>
      <w:pPr>
        <w:ind w:left="1100" w:hanging="488"/>
        <w:spacing w:after="0"/>
        <w:tabs>
          <w:tab w:leader="none" w:pos="11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placing us at a competitive disadvantage compared with our competitors that have less debt; and</w:t>
      </w:r>
    </w:p>
    <w:p>
      <w:pPr>
        <w:spacing w:after="0" w:line="133" w:lineRule="exact"/>
        <w:rPr>
          <w:rFonts w:ascii="Arial" w:cs="Arial" w:eastAsia="Arial" w:hAnsi="Arial"/>
          <w:sz w:val="20"/>
          <w:szCs w:val="20"/>
          <w:color w:val="auto"/>
        </w:rPr>
      </w:pPr>
    </w:p>
    <w:p>
      <w:pPr>
        <w:ind w:left="1100" w:right="160" w:hanging="488"/>
        <w:spacing w:after="0" w:line="278" w:lineRule="auto"/>
        <w:tabs>
          <w:tab w:leader="none" w:pos="11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exposing us to risks inherent in interest rate fluctuations because our borrowings are at variable rates of interest, which could result in higher interest expense in the event of increases in interest rates.</w:t>
      </w:r>
    </w:p>
    <w:p>
      <w:pPr>
        <w:spacing w:after="0" w:line="166"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220"/>
          </w:cols>
          <w:pgMar w:left="820" w:top="803" w:right="840" w:bottom="0" w:gutter="0" w:footer="0" w:header="0"/>
          <w:type w:val="continuous"/>
        </w:sectPr>
      </w:pPr>
    </w:p>
    <w:bookmarkStart w:id="45" w:name="page46"/>
    <w:bookmarkEnd w:id="45"/>
    <w:p>
      <w:pPr>
        <w:ind w:firstLine="490"/>
        <w:spacing w:after="0" w:line="247" w:lineRule="auto"/>
        <w:rPr>
          <w:sz w:val="20"/>
          <w:szCs w:val="20"/>
          <w:color w:val="auto"/>
        </w:rPr>
      </w:pPr>
      <w:r>
        <w:rPr>
          <w:rFonts w:ascii="Times New Roman" w:cs="Times New Roman" w:eastAsia="Times New Roman" w:hAnsi="Times New Roman"/>
          <w:sz w:val="20"/>
          <w:szCs w:val="20"/>
          <w:color w:val="auto"/>
        </w:rPr>
        <w:t>Pursuant to our 2021 Credit Agreement, we are required to maintain, commencing on the last day of the fiscal quarter ending December 31, 2021, on a consolidated basis, a maximum ratio of consolidated net debt to consolidated EBITDA (with certain adjustments as set forth in the 2021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321"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failure to comply with the covenants under our credit agreements or volatility in the credit and capital markets could have a material adverse effect on our business, financial condition, liquidity and results of operation.</w:t>
      </w:r>
    </w:p>
    <w:p>
      <w:pPr>
        <w:spacing w:after="0" w:line="4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Our ability to manage our debt is dependent on our level of positive cash flow from the sale of our platform. An economic downturn may negatively impact our cash flows. Credit and capital markets can be volatile, and have recently experienced such volatility in light of global economic factors,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our credit agreements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220"/>
          </w:cols>
          <w:pgMar w:left="820" w:top="806" w:right="84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12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a holding company, and our principal asset is our 74.3% ownership interest in Definitive OpCo, and we are accordingly dependent upon distributions from Definitive OpCo to pay dividends, if any, and taxes, make payments under the Tax Receivable Agreement and pay other expenses.</w:t>
      </w:r>
    </w:p>
    <w:p>
      <w:pPr>
        <w:spacing w:after="0" w:line="64" w:lineRule="exact"/>
        <w:rPr>
          <w:sz w:val="20"/>
          <w:szCs w:val="20"/>
          <w:color w:val="auto"/>
        </w:rPr>
      </w:pPr>
    </w:p>
    <w:p>
      <w:pPr>
        <w:ind w:right="160" w:firstLine="490"/>
        <w:spacing w:after="0" w:line="243" w:lineRule="auto"/>
        <w:rPr>
          <w:sz w:val="20"/>
          <w:szCs w:val="20"/>
          <w:color w:val="auto"/>
        </w:rPr>
      </w:pPr>
      <w:r>
        <w:rPr>
          <w:rFonts w:ascii="Times New Roman" w:cs="Times New Roman" w:eastAsia="Times New Roman" w:hAnsi="Times New Roman"/>
          <w:sz w:val="20"/>
          <w:szCs w:val="20"/>
          <w:color w:val="auto"/>
        </w:rPr>
        <w:t>We are a holding company and our principal asset is our ownership of 74.3% of the outstanding LLC Units (as of December 31, 2024), exclusive of unvested LLC Units. We have no independent means of generating revenue. We anticipate that Definitive OpCo will continue to be treated as a partnership for U.S. federal and applicable state and local income tax purposes and, as such, will generally not be subject to entity-level U.S. federal and applicable state and local income tax. Instead, the taxable income of Definitive OpCo is allocated among its members, including us. Accordingly, we incur income taxes on our allocable share of any taxable income of Definitive OpCo. We also incur expenses related to our operations, and have obligations to make payments under the Tax Receivable Agreement. As the sole managing member of Definitive OpCo, we intend to cause Definitive OpCo to make distributions to the holders of LLC Units in amounts sufficient to (i) cover all of the income taxes payable by holders of LLC Units (including us) on such holders’ respective allocable shares of the taxable income of Definitive OpCo, (ii) allow us to make any payments required under the Tax Receivable Agreement, (iii) fund dividends to our stockholders in accordance with our dividend policy, to the extent that our board of directors declares such dividends and (iv) pay our expenses.</w:t>
      </w:r>
    </w:p>
    <w:p>
      <w:pPr>
        <w:spacing w:after="0" w:line="8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under applicable law or regulation, as a result of covenants in its debt agreements or otherwise, we may not be able to obtain such funds on terms acceptable to us, or at all, which could have a material adverse effect on our liquidity and financial condition. In addition, for taxable years beginning after December 31, 2017, liability for adjustments to a partnership’s tax return can be imposed on the partnership itself in certain circumstances, absent an election to the contrary. Definitive OpCo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32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4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Under the Amended LLC Agreement, Definitive OpCo is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 redemption or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w:t>
      </w:r>
    </w:p>
    <w:p>
      <w:pPr>
        <w:spacing w:after="0" w:line="32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 The Tax Receivable Agreement with the TRA Parties requires Definitive Healthcare Corp. to make cash payments to TRA Parties in respect of certain tax benefits to which it may become entitled, and we expect that such payments will be substantial.</w:t>
      </w:r>
    </w:p>
    <w:p>
      <w:pPr>
        <w:spacing w:after="0" w:line="72"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Our organizational structure, including the Tax Receivable Agreement, confers certain benefits upon the TRA Parties that will not benefit the holders of Class A Common Stock to the same extent that it will benefit the TRA Parties. Although Definitive Healthcare Corp. holds 15% of the amount of such tax benefits, this and other aspects of our organizational structure may adversely impact the future trading market for our Class A Common Stock. Under the Tax Receivable Agreement, we are</w:t>
      </w:r>
    </w:p>
    <w:p>
      <w:pPr>
        <w:sectPr>
          <w:pgSz w:w="11880" w:h="15480" w:orient="portrait"/>
          <w:cols w:equalWidth="0" w:num="1">
            <w:col w:w="10220"/>
          </w:cols>
          <w:pgMar w:left="820" w:top="803" w:right="840" w:bottom="0"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220"/>
          </w:cols>
          <w:pgMar w:left="820" w:top="803" w:right="840" w:bottom="0" w:gutter="0" w:footer="0" w:header="0"/>
          <w:type w:val="continuous"/>
        </w:sectPr>
      </w:pPr>
    </w:p>
    <w:bookmarkStart w:id="47" w:name="page48"/>
    <w:bookmarkEnd w:id="47"/>
    <w:p>
      <w:pPr>
        <w:ind w:right="20"/>
        <w:spacing w:after="0" w:line="243" w:lineRule="auto"/>
        <w:rPr>
          <w:sz w:val="20"/>
          <w:szCs w:val="20"/>
          <w:color w:val="auto"/>
        </w:rPr>
      </w:pPr>
      <w:r>
        <w:rPr>
          <w:rFonts w:ascii="Times New Roman" w:cs="Times New Roman" w:eastAsia="Times New Roman" w:hAnsi="Times New Roman"/>
          <w:sz w:val="20"/>
          <w:szCs w:val="20"/>
          <w:color w:val="auto"/>
        </w:rPr>
        <w:t>required to make cash payments to the TRA Parties equal to 85% of the tax benefits, if any, that Definitive Healthcare Corp. actually realizes, or in certain circumstances are deemed to realize, as a result of (i) certain tax attributes that Definitive Healthcare Corp. acquired from the Blocker Companies, (ii) certain tax basis adjustments resulting from (a) acquisitions by Definitive Healthcare Corp. of LLC Units from existing holders and (b) future redemptions or exchanges of LLC Units by holders of LLC Units for Class A Common Stock or other consideration and (iii) certain payments made under the Tax Receivable Agreement. The payment obligations under the Tax Receivable Agreement are obligations of Definitive Healthcare Corp. and we expect that the amount of the cash payments that we are required to make under the Tax Receivable Agreement will be significant. Any payments made by Definitive Healthcare Corp.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Definitive Healthcare Corp.’s future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324"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46"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LIBOR plus 100 basis points or a replacement rate) of all future payments that TRA Parties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p>
    <w:p>
      <w:pPr>
        <w:spacing w:after="0" w:line="8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3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64"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32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will not be reimbursed for any payments made to the TRA Parties under the Tax Receivable Agreement in the event that any tax benefits are disallowed.</w:t>
      </w:r>
    </w:p>
    <w:p>
      <w:pPr>
        <w:spacing w:after="0" w:line="4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Payments under the Tax Receivable Agreement will be based on the tax reporting positions that we determine, and the U.S. Internal Revenue Service, or the IRS, or another taxing authority may challenge all or part of the tax basis increases or other tax benefits that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w:t>
      </w:r>
    </w:p>
    <w:p>
      <w:pPr>
        <w:sectPr>
          <w:pgSz w:w="11880" w:h="15480" w:orient="portrait"/>
          <w:cols w:equalWidth="0" w:num="1">
            <w:col w:w="10220"/>
          </w:cols>
          <w:pgMar w:left="820" w:top="806" w:right="840" w:bottom="0" w:gutter="0" w:footer="0" w:header="0"/>
        </w:sectPr>
      </w:pP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220"/>
          </w:cols>
          <w:pgMar w:left="820" w:top="806" w:right="840" w:bottom="0" w:gutter="0" w:footer="0" w:header="0"/>
          <w:type w:val="continuous"/>
        </w:sectPr>
      </w:pPr>
    </w:p>
    <w:bookmarkStart w:id="48" w:name="page49"/>
    <w:bookmarkEnd w:id="48"/>
    <w:p>
      <w:pPr>
        <w:spacing w:after="0" w:line="245" w:lineRule="auto"/>
        <w:rPr>
          <w:sz w:val="20"/>
          <w:szCs w:val="20"/>
          <w:color w:val="auto"/>
        </w:rPr>
      </w:pPr>
      <w:r>
        <w:rPr>
          <w:rFonts w:ascii="Times New Roman" w:cs="Times New Roman" w:eastAsia="Times New Roman" w:hAnsi="Times New Roman"/>
          <w:sz w:val="20"/>
          <w:szCs w:val="20"/>
          <w:color w:val="auto"/>
        </w:rPr>
        <w:t>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w:t>
      </w:r>
    </w:p>
    <w:p>
      <w:pPr>
        <w:spacing w:after="0" w:line="32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6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8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As the sole managing member of Definitive OpCo, we control and operate Definitive OpCo. On that basis, we believe that our interest in Definitive OpCo is not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7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220"/>
          </w:cols>
          <w:pgMar w:left="820" w:top="806" w:right="84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125"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Future offerings of debt or equity securities by us may have a material adverse effect on the market price of our Class A Common Stock.</w:t>
      </w:r>
    </w:p>
    <w:p>
      <w:pPr>
        <w:spacing w:after="0" w:line="46"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 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333"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not realize the anticipated long-term stockholder value of our stock repurchase program, and any failure to repurchase our common stock after we have announced our intention to do so may negatively impact our stock price.</w:t>
      </w:r>
    </w:p>
    <w:p>
      <w:pPr>
        <w:spacing w:after="0" w:line="46" w:lineRule="exact"/>
        <w:rPr>
          <w:sz w:val="20"/>
          <w:szCs w:val="20"/>
          <w:color w:val="auto"/>
        </w:rPr>
      </w:pPr>
    </w:p>
    <w:p>
      <w:pPr>
        <w:ind w:right="240" w:firstLine="490"/>
        <w:spacing w:after="0" w:line="253" w:lineRule="auto"/>
        <w:rPr>
          <w:sz w:val="20"/>
          <w:szCs w:val="20"/>
          <w:color w:val="auto"/>
        </w:rPr>
      </w:pPr>
      <w:r>
        <w:rPr>
          <w:rFonts w:ascii="Times New Roman" w:cs="Times New Roman" w:eastAsia="Times New Roman" w:hAnsi="Times New Roman"/>
          <w:sz w:val="20"/>
          <w:szCs w:val="20"/>
          <w:color w:val="auto"/>
        </w:rPr>
        <w:t>In November 2024, our board of directors authorized a stock repurchase program for the repurchase of up to $100 million of the Company’s Class A common stock, which expires on December 31, 2025. Under the repurchase program, we may repurchase shares of our outstanding Class A common stock from time to time in the open market (including pre-set trading plans), through privately negotiated transactions and/or other means in compliance with applicable securities laws.</w:t>
      </w:r>
    </w:p>
    <w:p>
      <w:pPr>
        <w:spacing w:after="0" w:line="70"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The timing and amount of any repurchases will be determined by management based on an evaluation of market conditions and other factors. The program does not obligate us to acquire any particular amount of Class A common stock and may be suspended or discontinued at any time at our discretion. Any failure to repurchase stock after we have announced our intention to do so may negatively impact our reputation, investor confidence in us, or our stock price.</w:t>
      </w:r>
    </w:p>
    <w:p>
      <w:pPr>
        <w:spacing w:after="0" w:line="7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existence of our stock repurchase program could cause our stock price to be higher than it otherwise would be and could potentially reduce the market liquidity for our stock. Although our stock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Repurchasing our common stock reduces the amount of cash we have available to fund working capital, capital expenditures, strategic acquisitions or investments, other business opportunities, and other general corporate projects, and we may fail to realize the anticipated long-term stockholder value of any stock repurchase program.</w:t>
      </w:r>
    </w:p>
    <w:p>
      <w:pPr>
        <w:spacing w:after="0" w:line="321"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Certain of our directors and stockholders will not have any obligation to present business opportunities to us and may compete with us.</w:t>
      </w:r>
    </w:p>
    <w:p>
      <w:pPr>
        <w:spacing w:after="0" w:line="46"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our directors and stockholders affiliated with Advent and Spectrum Equity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77"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As a result, our directors and stockholders affiliated with Advent and Spectrum Equity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220"/>
          </w:cols>
          <w:pgMar w:left="820" w:top="803" w:right="840" w:bottom="0" w:gutter="0" w:footer="0" w:header="0"/>
          <w:type w:val="continuous"/>
        </w:sectPr>
      </w:pPr>
    </w:p>
    <w:bookmarkStart w:id="50" w:name="page51"/>
    <w:bookmarkEnd w:id="50"/>
    <w:p>
      <w:pPr>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6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Our quarterly results of operations may fluctuate due to seasonal and other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318"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market price and trading volume of our Class A Common Stock has been and may continue to be volatile, which could result in rapid and substantial losses for our stockholders, and you may lose all or part of your investment.</w:t>
      </w:r>
    </w:p>
    <w:p>
      <w:pPr>
        <w:spacing w:after="0" w:line="46"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Shares of our Class A Common Stock have experienced and may continue to experience significant volatility.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continue to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94" w:lineRule="exact"/>
        <w:rPr>
          <w:sz w:val="20"/>
          <w:szCs w:val="20"/>
          <w:color w:val="auto"/>
        </w:rPr>
      </w:pPr>
    </w:p>
    <w:p>
      <w:pPr>
        <w:ind w:left="1100" w:hanging="488"/>
        <w:spacing w:after="0"/>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variations in our quarterly or annual results of operations;</w:t>
      </w:r>
    </w:p>
    <w:p>
      <w:pPr>
        <w:spacing w:after="0" w:line="133" w:lineRule="exact"/>
        <w:rPr>
          <w:rFonts w:ascii="Arial" w:cs="Arial" w:eastAsia="Arial" w:hAnsi="Arial"/>
          <w:sz w:val="20"/>
          <w:szCs w:val="20"/>
          <w:color w:val="auto"/>
        </w:rPr>
      </w:pPr>
    </w:p>
    <w:p>
      <w:pPr>
        <w:ind w:left="1100" w:right="140" w:hanging="488"/>
        <w:spacing w:after="0" w:line="278" w:lineRule="auto"/>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earnings estimates (if provided) or differences between our actual results of operations and those expected by investors and analysts;</w:t>
      </w:r>
    </w:p>
    <w:p>
      <w:pPr>
        <w:spacing w:after="0" w:line="60" w:lineRule="exact"/>
        <w:rPr>
          <w:rFonts w:ascii="Arial" w:cs="Arial" w:eastAsia="Arial" w:hAnsi="Arial"/>
          <w:sz w:val="20"/>
          <w:szCs w:val="20"/>
          <w:color w:val="auto"/>
        </w:rPr>
      </w:pPr>
    </w:p>
    <w:p>
      <w:pPr>
        <w:ind w:left="1100" w:hanging="488"/>
        <w:spacing w:after="0" w:line="278" w:lineRule="auto"/>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contents of published research reports about us or our industry or the failure of securities analysts to cover our Class A Common Stock;</w:t>
      </w:r>
    </w:p>
    <w:p>
      <w:pPr>
        <w:spacing w:after="0" w:line="60" w:lineRule="exact"/>
        <w:rPr>
          <w:rFonts w:ascii="Arial" w:cs="Arial" w:eastAsia="Arial" w:hAnsi="Arial"/>
          <w:sz w:val="20"/>
          <w:szCs w:val="20"/>
          <w:color w:val="auto"/>
        </w:rPr>
      </w:pPr>
    </w:p>
    <w:p>
      <w:pPr>
        <w:ind w:left="1100" w:hanging="488"/>
        <w:spacing w:after="0"/>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additions or departures of key management personnel;</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any increased indebtedness we may incur in the future;</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us or others and developments affecting us;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actions by institutional stockholders;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and governmental investigations;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legislative or regulatory changes;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judicial pronouncements interpreting laws and regulations;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government programs;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market valuations of similar companies;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sales of substantial amounts of our Class A Common Stock in the public markets;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speculation or reports by the press or investment community with respect to us or our industry in general;</w:t>
      </w:r>
    </w:p>
    <w:p>
      <w:pPr>
        <w:spacing w:after="0" w:line="133" w:lineRule="exact"/>
        <w:rPr>
          <w:rFonts w:ascii="Arial" w:cs="Arial" w:eastAsia="Arial" w:hAnsi="Arial"/>
          <w:sz w:val="20"/>
          <w:szCs w:val="20"/>
          <w:color w:val="auto"/>
        </w:rPr>
      </w:pPr>
    </w:p>
    <w:p>
      <w:pPr>
        <w:ind w:left="1100" w:right="1080" w:hanging="488"/>
        <w:spacing w:after="0" w:line="278" w:lineRule="auto"/>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us or our competitors of significant contracts, acquisitions, dispositions, strategic relationships, joint ventures or capital commitments; and</w:t>
      </w:r>
    </w:p>
    <w:p>
      <w:pPr>
        <w:spacing w:after="0" w:line="60" w:lineRule="exact"/>
        <w:rPr>
          <w:rFonts w:ascii="Arial" w:cs="Arial" w:eastAsia="Arial" w:hAnsi="Arial"/>
          <w:sz w:val="20"/>
          <w:szCs w:val="20"/>
          <w:color w:val="auto"/>
        </w:rPr>
      </w:pPr>
    </w:p>
    <w:p>
      <w:pPr>
        <w:ind w:left="1100" w:hanging="488"/>
        <w:spacing w:after="0"/>
        <w:tabs>
          <w:tab w:leader="none" w:pos="11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general market, political and economic conditions, including local conditions in the markets in which we operate.</w:t>
      </w:r>
    </w:p>
    <w:p>
      <w:pPr>
        <w:spacing w:after="0" w:line="119"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These broad market and industry factors may decrease the market price of our Class A Common Stock, regardless of our actual financial performance. The stock market in general has from time to time experienced extreme price and volume fluctuations, and the trading prices of technology company securities have been highly volatile,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ectPr>
          <w:pgSz w:w="11880" w:h="15480" w:orient="portrait"/>
          <w:cols w:equalWidth="0" w:num="1">
            <w:col w:w="10200"/>
          </w:cols>
          <w:pgMar w:left="820" w:top="8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200"/>
          </w:cols>
          <w:pgMar w:left="820" w:top="808" w:right="860" w:bottom="0" w:gutter="0" w:footer="0" w:header="0"/>
          <w:type w:val="continuous"/>
        </w:sectPr>
      </w:pPr>
    </w:p>
    <w:bookmarkStart w:id="51" w:name="page52"/>
    <w:bookmarkEnd w:id="51"/>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could be negatively affected by sales of substantial amounts of our Class A Common Stock in the public markets.</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December 31, 2024, we had a total of 113,953,554 shares of Class A Common Stock outstanding. Of those shares,</w:t>
      </w:r>
    </w:p>
    <w:p>
      <w:pPr>
        <w:spacing w:after="0"/>
        <w:rPr>
          <w:sz w:val="20"/>
          <w:szCs w:val="20"/>
          <w:color w:val="auto"/>
        </w:rPr>
      </w:pPr>
      <w:r>
        <w:rPr>
          <w:rFonts w:ascii="Times New Roman" w:cs="Times New Roman" w:eastAsia="Times New Roman" w:hAnsi="Times New Roman"/>
          <w:sz w:val="20"/>
          <w:szCs w:val="20"/>
          <w:color w:val="auto"/>
        </w:rPr>
        <w:t>62,493,676 shares were held by Advent, our largest stockholder and one of our pre-IPO owners. In addition, as of</w:t>
      </w:r>
    </w:p>
    <w:p>
      <w:pPr>
        <w:spacing w:after="0"/>
        <w:rPr>
          <w:sz w:val="20"/>
          <w:szCs w:val="20"/>
          <w:color w:val="auto"/>
        </w:rPr>
      </w:pPr>
      <w:r>
        <w:rPr>
          <w:rFonts w:ascii="Times New Roman" w:cs="Times New Roman" w:eastAsia="Times New Roman" w:hAnsi="Times New Roman"/>
          <w:sz w:val="20"/>
          <w:szCs w:val="20"/>
          <w:color w:val="auto"/>
        </w:rPr>
        <w:t>December 31, 2024, our pre-IPO owners held directly or indirectly a total of 39,439,198 LLC Units that, subject to applicable</w:t>
      </w:r>
    </w:p>
    <w:p>
      <w:pPr>
        <w:spacing w:after="0"/>
        <w:rPr>
          <w:sz w:val="20"/>
          <w:szCs w:val="20"/>
          <w:color w:val="auto"/>
        </w:rPr>
      </w:pPr>
      <w:r>
        <w:rPr>
          <w:rFonts w:ascii="Times New Roman" w:cs="Times New Roman" w:eastAsia="Times New Roman" w:hAnsi="Times New Roman"/>
          <w:sz w:val="20"/>
          <w:szCs w:val="20"/>
          <w:color w:val="auto"/>
        </w:rPr>
        <w:t>time-vesting conditions (some of which have already been met), can ultimately be redeemed or exchanged for our Class A</w:t>
      </w:r>
    </w:p>
    <w:p>
      <w:pPr>
        <w:spacing w:after="0"/>
        <w:rPr>
          <w:sz w:val="20"/>
          <w:szCs w:val="20"/>
          <w:color w:val="auto"/>
        </w:rPr>
      </w:pPr>
      <w:r>
        <w:rPr>
          <w:rFonts w:ascii="Times New Roman" w:cs="Times New Roman" w:eastAsia="Times New Roman" w:hAnsi="Times New Roman"/>
          <w:sz w:val="20"/>
          <w:szCs w:val="20"/>
          <w:color w:val="auto"/>
        </w:rPr>
        <w:t>Common Stock. In connection with the completion of our IPO, we entered into a Registration Rights Agreement with certain</w:t>
      </w:r>
    </w:p>
    <w:p>
      <w:pPr>
        <w:spacing w:after="0"/>
        <w:rPr>
          <w:sz w:val="20"/>
          <w:szCs w:val="20"/>
          <w:color w:val="auto"/>
        </w:rPr>
      </w:pPr>
      <w:r>
        <w:rPr>
          <w:rFonts w:ascii="Times New Roman" w:cs="Times New Roman" w:eastAsia="Times New Roman" w:hAnsi="Times New Roman"/>
          <w:sz w:val="20"/>
          <w:szCs w:val="20"/>
          <w:color w:val="auto"/>
        </w:rPr>
        <w:t>pre-IPO owners, including Advent, Spectrum Equity, and our founder. Any sales in connection with the Registration Rights</w:t>
      </w:r>
    </w:p>
    <w:p>
      <w:pPr>
        <w:spacing w:after="0"/>
        <w:rPr>
          <w:sz w:val="20"/>
          <w:szCs w:val="20"/>
          <w:color w:val="auto"/>
        </w:rPr>
      </w:pPr>
      <w:r>
        <w:rPr>
          <w:rFonts w:ascii="Times New Roman" w:cs="Times New Roman" w:eastAsia="Times New Roman" w:hAnsi="Times New Roman"/>
          <w:sz w:val="20"/>
          <w:szCs w:val="20"/>
          <w:color w:val="auto"/>
        </w:rPr>
        <w:t>Agreement or otherwise in compliance with the Securities Act of 1933, as amended (the “Securities Act”), or the prospect of</w:t>
      </w:r>
    </w:p>
    <w:p>
      <w:pPr>
        <w:spacing w:after="0"/>
        <w:rPr>
          <w:sz w:val="20"/>
          <w:szCs w:val="20"/>
          <w:color w:val="auto"/>
        </w:rPr>
      </w:pPr>
      <w:r>
        <w:rPr>
          <w:rFonts w:ascii="Times New Roman" w:cs="Times New Roman" w:eastAsia="Times New Roman" w:hAnsi="Times New Roman"/>
          <w:sz w:val="20"/>
          <w:szCs w:val="20"/>
          <w:color w:val="auto"/>
        </w:rPr>
        <w:t>any such sales, could materially and adversely impact the market price of our Class A common stock and could impair our</w:t>
      </w:r>
    </w:p>
    <w:p>
      <w:pPr>
        <w:spacing w:after="0"/>
        <w:rPr>
          <w:sz w:val="20"/>
          <w:szCs w:val="20"/>
          <w:color w:val="auto"/>
        </w:rPr>
      </w:pPr>
      <w:r>
        <w:rPr>
          <w:rFonts w:ascii="Times New Roman" w:cs="Times New Roman" w:eastAsia="Times New Roman" w:hAnsi="Times New Roman"/>
          <w:sz w:val="20"/>
          <w:szCs w:val="20"/>
          <w:color w:val="auto"/>
        </w:rPr>
        <w:t>ability to raise capital through future sales of equity securities.</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In addition, as of December 31, 2024, up to 9,105,791 shares of our Class A common stock may be issued upon vesting and settlement of outstanding RSUs, and 10,600,545, 1,520,408, and 3,715,178 shares of our Class A common stock are available for future issuance under our 2021 Equity Incentive Plan, our 2023 Inducement Plan, and our 2021 Employee Stock Purchase Plan, respectively, and will become eligible for sale in the public market to the extent permitted by the provisions of various vesting schedules, exercise limitations and the securities laws. We have registered all of the shares of Class A Common Stock issuable upon vesting and settlement of restricted stock units, as well as other equity incentive awards we may grant in the future for public resale under the Securities Act. Shares of Class A Common Stock will become eligible for sale in the public market to the extent such restricted stock units settle, subject to compliance with applicable securities laws.</w:t>
      </w:r>
    </w:p>
    <w:p>
      <w:pPr>
        <w:spacing w:after="0" w:line="82"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w:t>
      </w:r>
    </w:p>
    <w:p>
      <w:pPr>
        <w:spacing w:after="0" w:line="31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future issuance of additional Class A Common Stock in connection with any equity plans, acquisitions or otherwise will dilute all other stockholdings.</w:t>
      </w:r>
    </w:p>
    <w:p>
      <w:pPr>
        <w:spacing w:after="0" w:line="4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As of December 31, 2024, we had an aggregate of 461,104,523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owners of our Class A Common Stock.</w:t>
      </w:r>
    </w:p>
    <w:p>
      <w:pPr>
        <w:spacing w:after="0" w:line="31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As a public company, we incur significant costs to comply with the laws and regulations affecting public companies, which could harm our business and results of operations.</w:t>
      </w:r>
    </w:p>
    <w:p>
      <w:pPr>
        <w:spacing w:after="0" w:line="4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We have experienced, and expect to continue to experience, costs associated with being a public company, including costs associated with compliance with the auditor attestation requirement of Section 404 of the Sarbanes-Oxley Act, or Section 404, the adoption of certain accounting standard updates, and additional disclosure requirements. These rules and regulations could also make it more difficult for us to attract and retain qualified persons to serve on our board or our board committees or as executive officers. Our management and other personnel devote a substantial amount of time to these compliance initiatives, diverting their attention from other business concerns, which could harm our business, financial condition and results of operations.</w:t>
      </w:r>
    </w:p>
    <w:p>
      <w:pPr>
        <w:spacing w:after="0" w:line="82"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To comply with the requirements of being a public company, including the Sarbanes-Oxley Act, we continue to undertake various actions, such as further developing and refining internal controls and procedures and hiring accounting or internal audit staff or outsourcing certain functions to third parties, which could have a material adverse effect on our business, financial condition and results of operations.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220"/>
          </w:cols>
          <w:pgMar w:left="820" w:top="808" w:right="840" w:bottom="0" w:gutter="0" w:footer="0" w:header="0"/>
          <w:type w:val="continuous"/>
        </w:sectPr>
      </w:pPr>
    </w:p>
    <w:bookmarkStart w:id="52" w:name="page53"/>
    <w:bookmarkEnd w:id="52"/>
    <w:p>
      <w:pPr>
        <w:ind w:right="9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46" w:lineRule="exact"/>
        <w:rPr>
          <w:sz w:val="20"/>
          <w:szCs w:val="20"/>
          <w:color w:val="auto"/>
        </w:rPr>
      </w:pPr>
    </w:p>
    <w:p>
      <w:pPr>
        <w:jc w:val="both"/>
        <w:ind w:right="80" w:firstLine="490"/>
        <w:spacing w:after="0" w:line="253" w:lineRule="auto"/>
        <w:rPr>
          <w:sz w:val="20"/>
          <w:szCs w:val="20"/>
          <w:color w:val="auto"/>
        </w:rPr>
      </w:pPr>
      <w:r>
        <w:rPr>
          <w:rFonts w:ascii="Times New Roman" w:cs="Times New Roman" w:eastAsia="Times New Roman" w:hAnsi="Times New Roman"/>
          <w:sz w:val="20"/>
          <w:szCs w:val="20"/>
          <w:color w:val="auto"/>
        </w:rPr>
        <w:t>Our executive officers, directors, and current beneficial owners of 5% or more of our common stock beneficially own a significant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312"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46"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Definitive Healthcare Corp. is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 restated bylaws may make it more difficult for, or prevent a third-party from, acquiring control of us without the approval of our Board. Among other things, these provisions generally:</w:t>
      </w:r>
    </w:p>
    <w:p>
      <w:pPr>
        <w:spacing w:after="0" w:line="91" w:lineRule="exact"/>
        <w:rPr>
          <w:sz w:val="20"/>
          <w:szCs w:val="20"/>
          <w:color w:val="auto"/>
        </w:rPr>
      </w:pPr>
    </w:p>
    <w:p>
      <w:pPr>
        <w:ind w:left="1100" w:hanging="488"/>
        <w:spacing w:after="0"/>
        <w:tabs>
          <w:tab w:leader="none" w:pos="11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provide for a classified Board with staggered three-year terms;</w:t>
      </w:r>
    </w:p>
    <w:p>
      <w:pPr>
        <w:spacing w:after="0" w:line="133" w:lineRule="exact"/>
        <w:rPr>
          <w:rFonts w:ascii="Arial" w:cs="Arial" w:eastAsia="Arial" w:hAnsi="Arial"/>
          <w:sz w:val="20"/>
          <w:szCs w:val="20"/>
          <w:color w:val="auto"/>
        </w:rPr>
      </w:pPr>
    </w:p>
    <w:p>
      <w:pPr>
        <w:ind w:left="1100" w:right="80" w:hanging="488"/>
        <w:spacing w:after="0" w:line="278" w:lineRule="auto"/>
        <w:tabs>
          <w:tab w:leader="none" w:pos="11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do not permit cumulative voting in the election of directors, which would otherwise allow less than a majority of stockholders to elect director candidates;</w:t>
      </w:r>
    </w:p>
    <w:p>
      <w:pPr>
        <w:spacing w:after="0" w:line="60" w:lineRule="exact"/>
        <w:rPr>
          <w:rFonts w:ascii="Arial" w:cs="Arial" w:eastAsia="Arial" w:hAnsi="Arial"/>
          <w:sz w:val="20"/>
          <w:szCs w:val="20"/>
          <w:color w:val="auto"/>
        </w:rPr>
      </w:pPr>
    </w:p>
    <w:p>
      <w:pPr>
        <w:ind w:left="1100" w:hanging="488"/>
        <w:spacing w:after="0"/>
        <w:tabs>
          <w:tab w:leader="none" w:pos="11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delegate the sole power of a majority of the Board to fix the number of directors;</w:t>
      </w:r>
    </w:p>
    <w:p>
      <w:pPr>
        <w:spacing w:after="0" w:line="133" w:lineRule="exact"/>
        <w:rPr>
          <w:rFonts w:ascii="Arial" w:cs="Arial" w:eastAsia="Arial" w:hAnsi="Arial"/>
          <w:sz w:val="20"/>
          <w:szCs w:val="20"/>
          <w:color w:val="auto"/>
        </w:rPr>
      </w:pPr>
    </w:p>
    <w:p>
      <w:pPr>
        <w:ind w:left="1100" w:right="340" w:hanging="488"/>
        <w:spacing w:after="0" w:line="278" w:lineRule="auto"/>
        <w:tabs>
          <w:tab w:leader="none" w:pos="11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provide that the Board has the sole power to fill any vacancy on our Board, whether such vacancy occurs as a result of an increase in the number of directors or otherwise;</w:t>
      </w:r>
    </w:p>
    <w:p>
      <w:pPr>
        <w:spacing w:after="0" w:line="60" w:lineRule="exact"/>
        <w:rPr>
          <w:rFonts w:ascii="Arial" w:cs="Arial" w:eastAsia="Arial" w:hAnsi="Arial"/>
          <w:sz w:val="20"/>
          <w:szCs w:val="20"/>
          <w:color w:val="auto"/>
        </w:rPr>
      </w:pPr>
    </w:p>
    <w:p>
      <w:pPr>
        <w:ind w:left="1100" w:hanging="488"/>
        <w:spacing w:after="0"/>
        <w:tabs>
          <w:tab w:leader="none" w:pos="11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the issuance of preferred stock without any need for action by stockholders;</w:t>
      </w:r>
    </w:p>
    <w:p>
      <w:pPr>
        <w:spacing w:after="0" w:line="133" w:lineRule="exact"/>
        <w:rPr>
          <w:rFonts w:ascii="Arial" w:cs="Arial" w:eastAsia="Arial" w:hAnsi="Arial"/>
          <w:sz w:val="20"/>
          <w:szCs w:val="20"/>
          <w:color w:val="auto"/>
        </w:rPr>
      </w:pPr>
    </w:p>
    <w:p>
      <w:pPr>
        <w:ind w:left="1100" w:hanging="488"/>
        <w:spacing w:after="0"/>
        <w:tabs>
          <w:tab w:leader="none" w:pos="11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do not permit stockholders to call special meetings of stockholders;</w:t>
      </w:r>
    </w:p>
    <w:p>
      <w:pPr>
        <w:spacing w:after="0" w:line="133" w:lineRule="exact"/>
        <w:rPr>
          <w:rFonts w:ascii="Arial" w:cs="Arial" w:eastAsia="Arial" w:hAnsi="Arial"/>
          <w:sz w:val="20"/>
          <w:szCs w:val="20"/>
          <w:color w:val="auto"/>
        </w:rPr>
      </w:pPr>
    </w:p>
    <w:p>
      <w:pPr>
        <w:ind w:left="1100" w:hanging="488"/>
        <w:spacing w:after="0" w:line="259" w:lineRule="auto"/>
        <w:tabs>
          <w:tab w:leader="none" w:pos="11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prohibit our stockholders from acting by written consent once Advent’s ownership falls below 30%; and establish advance notice requirements for nominations for election to our Board or for proposing matters that can be acted on by stockholders at stockholder meetings.</w:t>
      </w:r>
    </w:p>
    <w:p>
      <w:pPr>
        <w:spacing w:after="0" w:line="184" w:lineRule="exact"/>
        <w:rPr>
          <w:sz w:val="20"/>
          <w:szCs w:val="20"/>
          <w:color w:val="auto"/>
        </w:rPr>
      </w:pPr>
    </w:p>
    <w:p>
      <w:pPr>
        <w:ind w:right="220" w:firstLine="490"/>
        <w:spacing w:after="0" w:line="253" w:lineRule="auto"/>
        <w:rPr>
          <w:sz w:val="20"/>
          <w:szCs w:val="20"/>
          <w:color w:val="auto"/>
        </w:rPr>
      </w:pPr>
      <w:r>
        <w:rPr>
          <w:rFonts w:ascii="Times New Roman" w:cs="Times New Roman" w:eastAsia="Times New Roman" w:hAnsi="Times New Roman"/>
          <w:sz w:val="20"/>
          <w:szCs w:val="20"/>
          <w:color w:val="auto"/>
        </w:rPr>
        <w:t>In addition, our 2021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70"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w:t>
      </w:r>
    </w:p>
    <w:p>
      <w:pPr>
        <w:spacing w:after="0" w:line="307"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46"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19"/>
          <w:szCs w:val="19"/>
          <w:color w:val="auto"/>
        </w:rPr>
        <w:t>Our amended and restated certificate of incorporation and amended and restated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ectPr>
          <w:pgSz w:w="11880" w:h="15480" w:orient="portrait"/>
          <w:cols w:equalWidth="0" w:num="1">
            <w:col w:w="10200"/>
          </w:cols>
          <w:pgMar w:left="820" w:top="8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200"/>
          </w:cols>
          <w:pgMar w:left="820" w:top="808" w:right="860" w:bottom="0" w:gutter="0" w:footer="0" w:header="0"/>
          <w:type w:val="continuous"/>
        </w:sectPr>
      </w:pPr>
    </w:p>
    <w:bookmarkStart w:id="53" w:name="page54"/>
    <w:bookmarkEnd w:id="53"/>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p>
    <w:p>
      <w:pPr>
        <w:spacing w:after="0" w:line="75"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consent in writing to an alternative forum, the Court of Chancery of the State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88"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70"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w:t>
      </w:r>
    </w:p>
    <w:p>
      <w:pPr>
        <w:spacing w:after="0" w:line="80" w:lineRule="exact"/>
        <w:rPr>
          <w:sz w:val="20"/>
          <w:szCs w:val="20"/>
          <w:color w:val="auto"/>
        </w:rPr>
      </w:pPr>
    </w:p>
    <w:p>
      <w:pPr>
        <w:ind w:right="220" w:firstLine="490"/>
        <w:spacing w:after="0" w:line="246" w:lineRule="auto"/>
        <w:rPr>
          <w:sz w:val="20"/>
          <w:szCs w:val="20"/>
          <w:color w:val="auto"/>
        </w:rPr>
      </w:pPr>
      <w:r>
        <w:rPr>
          <w:rFonts w:ascii="Times New Roman" w:cs="Times New Roman" w:eastAsia="Times New Roman" w:hAnsi="Times New Roman"/>
          <w:sz w:val="20"/>
          <w:szCs w:val="20"/>
          <w:color w:val="auto"/>
        </w:rPr>
        <w:t>By agreeing to this provision, however, stockholders are not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issue preferred stock may deter takeover attempts.</w:t>
      </w:r>
    </w:p>
    <w:p>
      <w:pPr>
        <w:spacing w:after="0" w:line="11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 10 million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220"/>
          </w:cols>
          <w:pgMar w:left="820" w:top="808" w:right="84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18" w:lineRule="exact"/>
        <w:rPr>
          <w:sz w:val="20"/>
          <w:szCs w:val="20"/>
          <w:color w:val="auto"/>
        </w:rPr>
      </w:pPr>
    </w:p>
    <w:p>
      <w:pPr>
        <w:ind w:right="320" w:firstLine="490"/>
        <w:spacing w:after="0" w:line="253" w:lineRule="auto"/>
        <w:rPr>
          <w:sz w:val="20"/>
          <w:szCs w:val="20"/>
          <w:color w:val="auto"/>
        </w:rPr>
      </w:pPr>
      <w:r>
        <w:rPr>
          <w:rFonts w:ascii="Times New Roman" w:cs="Times New Roman" w:eastAsia="Times New Roman" w:hAnsi="Times New Roman"/>
          <w:sz w:val="20"/>
          <w:szCs w:val="20"/>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of our customers and employees (“Information Systems and Data”).</w:t>
      </w:r>
    </w:p>
    <w:p>
      <w:pPr>
        <w:spacing w:after="0" w:line="7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Our Information Security function is overseen by our Chief Technology Officer (“CTO”), our information security team, security management, engineering operations, legal, risk management, and various third-party service providers, including our virtual Chief Information Security Officer (“vCISO”). In doing so, they identify, assess and manage the Company’s cybersecurity threats and risks, using various methods including, for example, manual and automated tools, subscribing to reports and services that identify cybersecurity threats, analyzing reports of threats and actors, conducting scans of the threat environment, evaluating our and our industry’s risk profile, evaluating threats reported to us, coordinating with law enforcement concerning threats, conducting internal and/or external audits and threat assessments for internal and external threats, utilizing third-party threat assessments, conducting threat and vulnerability assessments, using external intelligence feeds, and using third parties to conduct tabletop incident response exercises and other tests.</w:t>
      </w:r>
    </w:p>
    <w:p>
      <w:pPr>
        <w:spacing w:after="0" w:line="86"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plan and incident response policy, incident detection and response capabilities, a vulnerability management policy, disaster recovery/business continuity plans, risk assessments, implementation of security standards and certifications for certain platforms, encryption of certain data, network security controls and data segregation for certain environments, access controls for certain systems, physical security, asset management, tracking and disposal, systems monitoring, incident response table-top exercises, vendor risk management program, employee training, penetration testing, cybersecurity insurance, and dedicated cybersecurity staff.</w:t>
      </w:r>
    </w:p>
    <w:p>
      <w:pPr>
        <w:spacing w:after="0" w:line="82"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Our assessment and management of material risks from cybersecurity threats are integrated into the Company’s overall risk management processes. Cyber risk is addressed as a critical component of the Company’s enterprise risk management program and is based upon entity-level controls found in our SOC2 compliance program, addressing all five trust service criteria: security, availability, confidentiality, privacy, and processing integrity. The Company recently received an unqualified opinion from an industry-recognized audit firm attesting to our SOC2 Type II compliance as of the date of such report.</w:t>
      </w:r>
    </w:p>
    <w:p>
      <w:pPr>
        <w:spacing w:after="0" w:line="77" w:lineRule="exact"/>
        <w:rPr>
          <w:sz w:val="20"/>
          <w:szCs w:val="20"/>
          <w:color w:val="auto"/>
        </w:rPr>
      </w:pPr>
    </w:p>
    <w:p>
      <w:pPr>
        <w:ind w:right="320" w:firstLine="490"/>
        <w:spacing w:after="0" w:line="253" w:lineRule="auto"/>
        <w:rPr>
          <w:sz w:val="20"/>
          <w:szCs w:val="20"/>
          <w:color w:val="auto"/>
        </w:rPr>
      </w:pPr>
      <w:r>
        <w:rPr>
          <w:rFonts w:ascii="Times New Roman" w:cs="Times New Roman" w:eastAsia="Times New Roman" w:hAnsi="Times New Roman"/>
          <w:sz w:val="20"/>
          <w:szCs w:val="20"/>
          <w:color w:val="auto"/>
        </w:rPr>
        <w:t>We use third-party service providers to assist us from time to time to identify, assess, and manage material risks from cybersecurity threats, including, for example, professional services firms (such as outside legal counsel), penetration testing firms, threat intelligence service providers, dark web monitoring services, forensic investigators, cybersecurity software providers, managed cybersecurity service providers, and cybersecurity consultants.</w:t>
      </w:r>
    </w:p>
    <w:p>
      <w:pPr>
        <w:spacing w:after="0" w:line="7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We use third-party service providers to perform a variety of functions throughout our business, such as application providers, hosting companies, and supply chain resources. We have a vendor management program to manage cybersecurity risks associated with our use of these providers. The program includes security questionnaires, risk assessments for each vendor, reviewing certain vendors’ security assessments and written information security programs, the imposition of information contractual obligations, and, in certain instances, security assessment calls with select vendors’ security personnel.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including providing third-party attestations of compliance with certain cybersecurity frameworks, such as SOC2 or ISO 27001.</w:t>
      </w:r>
    </w:p>
    <w:p>
      <w:pPr>
        <w:spacing w:after="0" w:line="86"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For a description of the risks from cybersecurity threats that may materially affect the Company and how they may do so, see our “Risks Related to Data Privacy and Cybersecurity” under Part 1. Item 1A. Risk Factors in this Annual Report.</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220"/>
          </w:cols>
          <w:pgMar w:left="820" w:top="803" w:right="84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18" w:lineRule="exact"/>
        <w:rPr>
          <w:sz w:val="20"/>
          <w:szCs w:val="20"/>
          <w:color w:val="auto"/>
        </w:rPr>
      </w:pPr>
    </w:p>
    <w:p>
      <w:pPr>
        <w:jc w:val="both"/>
        <w:ind w:right="420" w:firstLine="490"/>
        <w:spacing w:after="0" w:line="259" w:lineRule="auto"/>
        <w:rPr>
          <w:sz w:val="20"/>
          <w:szCs w:val="20"/>
          <w:color w:val="auto"/>
        </w:rPr>
      </w:pPr>
      <w:r>
        <w:rPr>
          <w:rFonts w:ascii="Times New Roman" w:cs="Times New Roman" w:eastAsia="Times New Roman" w:hAnsi="Times New Roman"/>
          <w:sz w:val="20"/>
          <w:szCs w:val="20"/>
          <w:color w:val="auto"/>
        </w:rPr>
        <w:t>Our audit committee of the board of directors addresses the Company’s cybersecurity risk management as part of its general oversight function. The audit committee is responsible for overseeing Company’s cybersecurity risk management processes, including oversight of risks from cybersecurity threats.</w:t>
      </w:r>
    </w:p>
    <w:p>
      <w:pPr>
        <w:spacing w:after="0" w:line="65" w:lineRule="exact"/>
        <w:rPr>
          <w:sz w:val="20"/>
          <w:szCs w:val="20"/>
          <w:color w:val="auto"/>
        </w:rPr>
      </w:pPr>
    </w:p>
    <w:p>
      <w:pPr>
        <w:ind w:right="420" w:firstLine="490"/>
        <w:spacing w:after="0" w:line="253"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certain Company management, including our Vice President of Information technology and Director of Information Security, each Senior Principal Security and Infrastructure Architect with over 20 years’ experience managing large scale enterprise information technology and security systems and programs.</w:t>
      </w:r>
    </w:p>
    <w:p>
      <w:pPr>
        <w:spacing w:after="0" w:line="70" w:lineRule="exact"/>
        <w:rPr>
          <w:sz w:val="20"/>
          <w:szCs w:val="20"/>
          <w:color w:val="auto"/>
        </w:rPr>
      </w:pPr>
    </w:p>
    <w:p>
      <w:pPr>
        <w:ind w:right="220" w:firstLine="490"/>
        <w:spacing w:after="0" w:line="253" w:lineRule="auto"/>
        <w:rPr>
          <w:sz w:val="20"/>
          <w:szCs w:val="20"/>
          <w:color w:val="auto"/>
        </w:rPr>
      </w:pPr>
      <w:r>
        <w:rPr>
          <w:rFonts w:ascii="Times New Roman" w:cs="Times New Roman" w:eastAsia="Times New Roman" w:hAnsi="Times New Roman"/>
          <w:sz w:val="20"/>
          <w:szCs w:val="20"/>
          <w:color w:val="auto"/>
        </w:rPr>
        <w:t>The CTO is responsible for hiring appropriate personnel, helping to integrate cybersecurity risk considerations into the Company’s overall risk management strategy, and communicating key priorities to relevant personnel. The CTO is also responsible for approving budgets, helping prepare for cybersecurity incidents, approving cybersecurity processes, and reviewing security assessments and other security-related reports.</w:t>
      </w:r>
    </w:p>
    <w:p>
      <w:pPr>
        <w:spacing w:after="0" w:line="7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Our cybersecurity incident response and vulnerability management policies are designed to escalate certain cybersecurity incidents to members of management depending on the circumstances, including the Chief Financial Officer, Chief Legal Officer and Chief Executive Officer in their role as executive leadership for the Incident Response Team. The executive leadership team will work with the Company’s incident response team to help the Company mitigate and remediate cybersecurity incidents of which they are notified. In addition, the Company’s incident response and vulnerability management policy include reporting to the audit committee for certain cybersecurity incidents.</w:t>
      </w:r>
    </w:p>
    <w:p>
      <w:pPr>
        <w:spacing w:after="0" w:line="80" w:lineRule="exact"/>
        <w:rPr>
          <w:sz w:val="20"/>
          <w:szCs w:val="20"/>
          <w:color w:val="auto"/>
        </w:rPr>
      </w:pPr>
    </w:p>
    <w:p>
      <w:pPr>
        <w:jc w:val="both"/>
        <w:ind w:right="60" w:firstLine="490"/>
        <w:spacing w:after="0" w:line="259" w:lineRule="auto"/>
        <w:rPr>
          <w:sz w:val="20"/>
          <w:szCs w:val="20"/>
          <w:color w:val="auto"/>
        </w:rPr>
      </w:pPr>
      <w:r>
        <w:rPr>
          <w:rFonts w:ascii="Times New Roman" w:cs="Times New Roman" w:eastAsia="Times New Roman" w:hAnsi="Times New Roman"/>
          <w:sz w:val="20"/>
          <w:szCs w:val="20"/>
          <w:color w:val="auto"/>
        </w:rPr>
        <w:t>The audit committee receives quarterly reports concerning the Company’s significant cybersecurity threats and risk and the processes the Company has implemented to address them. The audit committee also receives various reports, summaries or presentations related to cybersecurity threats, risk and mitigation.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3"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Our corporate headquarters is located in Framingham, Massachusetts and consists of approximately 40,500 square feet of space under a lease that expires in January 2029, with extension options. As of December 31, 2024, we have other offices in Sweden and India.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3"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220"/>
          </w:cols>
          <w:pgMar w:left="820" w:top="808" w:right="840" w:bottom="0" w:gutter="0" w:footer="0" w:header="0"/>
          <w:type w:val="continuous"/>
        </w:sectPr>
      </w:pPr>
    </w:p>
    <w:bookmarkStart w:id="56" w:name="page57"/>
    <w:bookmarkEnd w:id="56"/>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60"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for Common Stock</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 xml:space="preserve">Our Class A Common Stock is listed and traded on the Nasdaq Global Select Market under the trading symbol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DH</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is no established public trading market for our Class B Common Stock.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123" w:lineRule="exact"/>
        <w:rPr>
          <w:sz w:val="20"/>
          <w:szCs w:val="20"/>
          <w:color w:val="auto"/>
        </w:rPr>
      </w:pPr>
    </w:p>
    <w:p>
      <w:pPr>
        <w:ind w:right="260" w:firstLine="490"/>
        <w:spacing w:after="0" w:line="253" w:lineRule="auto"/>
        <w:rPr>
          <w:sz w:val="20"/>
          <w:szCs w:val="20"/>
          <w:color w:val="auto"/>
        </w:rPr>
      </w:pPr>
      <w:r>
        <w:rPr>
          <w:rFonts w:ascii="Times New Roman" w:cs="Times New Roman" w:eastAsia="Times New Roman" w:hAnsi="Times New Roman"/>
          <w:sz w:val="20"/>
          <w:szCs w:val="20"/>
          <w:color w:val="auto"/>
        </w:rPr>
        <w:t>As of February 24, 2025, there were 34 holders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23"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We have no current plans to pay dividends on our Class A common stock. The declaration, amount, and payment of any future dividends on shares of Class A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ectPr>
          <w:pgSz w:w="11880" w:h="15480" w:orient="portrait"/>
          <w:cols w:equalWidth="0" w:num="1">
            <w:col w:w="10120"/>
          </w:cols>
          <w:pgMar w:left="820" w:top="80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120"/>
          </w:cols>
          <w:pgMar w:left="820" w:top="803" w:right="94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27"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i w:val="1"/>
          <w:iCs w:val="1"/>
          <w:color w:val="auto"/>
        </w:rPr>
        <w:t>The following shall not be deemed “soliciting material” or to be “filed” with the SEC for purposes of Section 18 of the Exchange Act, or otherwise subject to the liabilities under that Section, and shall not be deemed to be incorporated by reference into any of our other filings under the Securities Act or the Exchange Act.</w:t>
      </w:r>
    </w:p>
    <w:p>
      <w:pPr>
        <w:spacing w:after="0" w:line="65"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graph below compares the cumulative total stockholder return on our Class A Common Stock with the cumulative total return on the Nasdaq Composite Total Return (^XCMP) and the S&amp;P 500 Internet Services &amp; Infrastructure Index, assuming an initial investment of $100 at the market close on September 15, 2021, the date our Class A Common Stock commenced trading on the Nasdaq Global Select Market. Data for the Nasdaq Composite Total Return and S&amp;P 500 Internet Services &amp; Infrastructure Index assume reinvestment of dividends.</w:t>
      </w:r>
    </w:p>
    <w:p>
      <w:pPr>
        <w:spacing w:after="0" w:line="77"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The comparisons in the graph below are based upon historical data and are not indicative of, nor intended to forecast, future performance of our Class A Common Stock. Information used in the graph was obtained from a source we believe to be reliable, but we do not assume responsibility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486525" cy="3476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6525" cy="3476625"/>
                    </a:xfrm>
                    <a:prstGeom prst="rect">
                      <a:avLst/>
                    </a:prstGeom>
                    <a:noFill/>
                  </pic:spPr>
                </pic:pic>
              </a:graphicData>
            </a:graphic>
          </wp:anchor>
        </w:drawing>
      </w:r>
    </w:p>
    <w:p>
      <w:pPr>
        <w:sectPr>
          <w:pgSz w:w="11880" w:h="15480" w:orient="portrait"/>
          <w:cols w:equalWidth="0" w:num="1">
            <w:col w:w="10140"/>
          </w:cols>
          <w:pgMar w:left="820" w:top="80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140"/>
          </w:cols>
          <w:pgMar w:left="820" w:top="803" w:right="920" w:bottom="0" w:gutter="0" w:footer="0" w:header="0"/>
          <w:type w:val="continuous"/>
        </w:sectPr>
      </w:pPr>
    </w:p>
    <w:bookmarkStart w:id="58" w:name="page59"/>
    <w:bookmarkEnd w:id="58"/>
    <w:p>
      <w:pPr>
        <w:ind w:right="1180"/>
        <w:spacing w:after="0" w:line="429" w:lineRule="auto"/>
        <w:rPr>
          <w:sz w:val="20"/>
          <w:szCs w:val="20"/>
          <w:color w:val="auto"/>
        </w:rPr>
      </w:pPr>
      <w:r>
        <w:rPr>
          <w:rFonts w:ascii="Times New Roman" w:cs="Times New Roman" w:eastAsia="Times New Roman" w:hAnsi="Times New Roman"/>
          <w:sz w:val="20"/>
          <w:szCs w:val="20"/>
          <w:b w:val="1"/>
          <w:bCs w:val="1"/>
          <w:color w:val="auto"/>
        </w:rPr>
        <w:t xml:space="preserve">Recent Sales of Unregistered Equity Securities, Issuer Purchases of Equity Securities, and Use of Proceeds </w:t>
      </w:r>
      <w:r>
        <w:rPr>
          <w:rFonts w:ascii="Times New Roman" w:cs="Times New Roman" w:eastAsia="Times New Roman" w:hAnsi="Times New Roman"/>
          <w:sz w:val="20"/>
          <w:szCs w:val="20"/>
          <w:b w:val="1"/>
          <w:bCs w:val="1"/>
          <w:i w:val="1"/>
          <w:iCs w:val="1"/>
          <w:color w:val="auto"/>
        </w:rPr>
        <w:t>Sales of Unregistered Equity Securities</w:t>
      </w:r>
    </w:p>
    <w:p>
      <w:pPr>
        <w:spacing w:after="0" w:line="1"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the LLC Unit holder are cancelled. Such exchanges executed in the fourth quarter of 2024 are as follows:</w:t>
      </w:r>
    </w:p>
    <w:p>
      <w:pPr>
        <w:spacing w:after="0" w:line="88" w:lineRule="exact"/>
        <w:rPr>
          <w:sz w:val="20"/>
          <w:szCs w:val="20"/>
          <w:color w:val="auto"/>
        </w:rPr>
      </w:pPr>
    </w:p>
    <w:tbl>
      <w:tblPr>
        <w:tblLayout w:type="fixed"/>
        <w:tblInd w:w="2560" w:type="dxa"/>
        <w:tblCellMar>
          <w:top w:w="0" w:type="dxa"/>
          <w:left w:w="0" w:type="dxa"/>
          <w:bottom w:w="0" w:type="dxa"/>
          <w:right w:w="0" w:type="dxa"/>
        </w:tblCellMar>
      </w:tblPr>
      <w:tr>
        <w:trPr>
          <w:trHeight w:val="230"/>
        </w:trPr>
        <w:tc>
          <w:tcPr>
            <w:tcW w:w="30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940" w:type="dxa"/>
            <w:vAlign w:val="bottom"/>
            <w:gridSpan w:val="2"/>
            <w:shd w:val="clear" w:color="auto" w:fill="FDFDFD"/>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Number of Shares</w:t>
            </w:r>
          </w:p>
        </w:tc>
      </w:tr>
      <w:tr>
        <w:trPr>
          <w:trHeight w:val="254"/>
        </w:trPr>
        <w:tc>
          <w:tcPr>
            <w:tcW w:w="3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auto"/>
              </w:rPr>
              <w:t>Date of Exchange</w:t>
            </w:r>
          </w:p>
        </w:tc>
        <w:tc>
          <w:tcPr>
            <w:tcW w:w="180" w:type="dxa"/>
            <w:vAlign w:val="bottom"/>
            <w:shd w:val="clear" w:color="auto" w:fill="FDFDFD"/>
          </w:tcPr>
          <w:p>
            <w:pPr>
              <w:spacing w:after="0"/>
              <w:rPr>
                <w:sz w:val="22"/>
                <w:szCs w:val="22"/>
                <w:color w:val="auto"/>
              </w:rPr>
            </w:pPr>
          </w:p>
        </w:tc>
        <w:tc>
          <w:tcPr>
            <w:tcW w:w="1940" w:type="dxa"/>
            <w:vAlign w:val="bottom"/>
            <w:gridSpan w:val="2"/>
            <w:shd w:val="clear" w:color="auto" w:fill="FDFDFD"/>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Exchanged</w:t>
            </w:r>
          </w:p>
        </w:tc>
      </w:tr>
      <w:tr>
        <w:trPr>
          <w:trHeight w:val="234"/>
        </w:trPr>
        <w:tc>
          <w:tcPr>
            <w:tcW w:w="3000" w:type="dxa"/>
            <w:vAlign w:val="bottom"/>
            <w:tcBorders>
              <w:top w:val="single" w:sz="8" w:color="auto"/>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November 4, 2024</w:t>
            </w:r>
          </w:p>
        </w:tc>
        <w:tc>
          <w:tcPr>
            <w:tcW w:w="180" w:type="dxa"/>
            <w:vAlign w:val="bottom"/>
            <w:tcBorders>
              <w:top w:val="single" w:sz="8" w:color="E3E3E3"/>
            </w:tcBorders>
            <w:shd w:val="clear" w:color="auto" w:fill="E3E3E3"/>
          </w:tcPr>
          <w:p>
            <w:pPr>
              <w:spacing w:after="0"/>
              <w:rPr>
                <w:sz w:val="20"/>
                <w:szCs w:val="20"/>
                <w:color w:val="auto"/>
              </w:rPr>
            </w:pPr>
          </w:p>
        </w:tc>
        <w:tc>
          <w:tcPr>
            <w:tcW w:w="188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3,330</w:t>
            </w:r>
          </w:p>
        </w:tc>
        <w:tc>
          <w:tcPr>
            <w:tcW w:w="60" w:type="dxa"/>
            <w:vAlign w:val="bottom"/>
            <w:tcBorders>
              <w:top w:val="single" w:sz="8" w:color="E3E3E3"/>
            </w:tcBorders>
            <w:shd w:val="clear" w:color="auto" w:fill="E3E3E3"/>
          </w:tcPr>
          <w:p>
            <w:pPr>
              <w:spacing w:after="0"/>
              <w:rPr>
                <w:sz w:val="20"/>
                <w:szCs w:val="20"/>
                <w:color w:val="auto"/>
              </w:rPr>
            </w:pPr>
          </w:p>
        </w:tc>
      </w:tr>
      <w:tr>
        <w:trPr>
          <w:trHeight w:val="244"/>
        </w:trPr>
        <w:tc>
          <w:tcPr>
            <w:tcW w:w="3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November 12, 2024</w:t>
            </w:r>
          </w:p>
        </w:tc>
        <w:tc>
          <w:tcPr>
            <w:tcW w:w="180" w:type="dxa"/>
            <w:vAlign w:val="bottom"/>
            <w:shd w:val="clear" w:color="auto" w:fill="FDFDFD"/>
          </w:tcPr>
          <w:p>
            <w:pPr>
              <w:spacing w:after="0"/>
              <w:rPr>
                <w:sz w:val="21"/>
                <w:szCs w:val="21"/>
                <w:color w:val="auto"/>
              </w:rPr>
            </w:pPr>
          </w:p>
        </w:tc>
        <w:tc>
          <w:tcPr>
            <w:tcW w:w="1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6,365</w:t>
            </w:r>
          </w:p>
        </w:tc>
        <w:tc>
          <w:tcPr>
            <w:tcW w:w="60" w:type="dxa"/>
            <w:vAlign w:val="bottom"/>
            <w:shd w:val="clear" w:color="auto" w:fill="FDFDFD"/>
          </w:tcPr>
          <w:p>
            <w:pPr>
              <w:spacing w:after="0"/>
              <w:rPr>
                <w:sz w:val="21"/>
                <w:szCs w:val="21"/>
                <w:color w:val="auto"/>
              </w:rPr>
            </w:pPr>
          </w:p>
        </w:tc>
      </w:tr>
      <w:tr>
        <w:trPr>
          <w:trHeight w:val="244"/>
        </w:trPr>
        <w:tc>
          <w:tcPr>
            <w:tcW w:w="30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December 2, 2024</w:t>
            </w:r>
          </w:p>
        </w:tc>
        <w:tc>
          <w:tcPr>
            <w:tcW w:w="20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1,331</w:t>
            </w:r>
          </w:p>
        </w:tc>
        <w:tc>
          <w:tcPr>
            <w:tcW w:w="60" w:type="dxa"/>
            <w:vAlign w:val="bottom"/>
            <w:shd w:val="clear" w:color="auto" w:fill="E3E3E3"/>
          </w:tcPr>
          <w:p>
            <w:pPr>
              <w:spacing w:after="0"/>
              <w:rPr>
                <w:sz w:val="21"/>
                <w:szCs w:val="21"/>
                <w:color w:val="auto"/>
              </w:rPr>
            </w:pPr>
          </w:p>
        </w:tc>
      </w:tr>
      <w:tr>
        <w:trPr>
          <w:trHeight w:val="244"/>
        </w:trPr>
        <w:tc>
          <w:tcPr>
            <w:tcW w:w="3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December 23, 2024</w:t>
            </w:r>
          </w:p>
        </w:tc>
        <w:tc>
          <w:tcPr>
            <w:tcW w:w="206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60" w:type="dxa"/>
            <w:vAlign w:val="bottom"/>
            <w:shd w:val="clear" w:color="auto" w:fill="FDFDFD"/>
          </w:tcPr>
          <w:p>
            <w:pPr>
              <w:spacing w:after="0"/>
              <w:rPr>
                <w:sz w:val="21"/>
                <w:szCs w:val="21"/>
                <w:color w:val="auto"/>
              </w:rPr>
            </w:pPr>
          </w:p>
        </w:tc>
      </w:tr>
      <w:tr>
        <w:trPr>
          <w:trHeight w:val="234"/>
        </w:trPr>
        <w:tc>
          <w:tcPr>
            <w:tcW w:w="300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top w:val="single" w:sz="8" w:color="E3E3E3"/>
            </w:tcBorders>
            <w:shd w:val="clear" w:color="auto" w:fill="E3E3E3"/>
          </w:tcPr>
          <w:p>
            <w:pPr>
              <w:spacing w:after="0"/>
              <w:rPr>
                <w:sz w:val="20"/>
                <w:szCs w:val="20"/>
                <w:color w:val="auto"/>
              </w:rPr>
            </w:pPr>
          </w:p>
        </w:tc>
        <w:tc>
          <w:tcPr>
            <w:tcW w:w="18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21,026</w:t>
            </w:r>
          </w:p>
        </w:tc>
        <w:tc>
          <w:tcPr>
            <w:tcW w:w="60" w:type="dxa"/>
            <w:vAlign w:val="bottom"/>
            <w:tcBorders>
              <w:top w:val="single" w:sz="8" w:color="E3E3E3"/>
            </w:tcBorders>
            <w:shd w:val="clear" w:color="auto" w:fill="E3E3E3"/>
          </w:tcPr>
          <w:p>
            <w:pPr>
              <w:spacing w:after="0"/>
              <w:rPr>
                <w:sz w:val="20"/>
                <w:szCs w:val="20"/>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Repurchases</w:t>
      </w:r>
    </w:p>
    <w:p>
      <w:pPr>
        <w:spacing w:after="0" w:line="118"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auto"/>
        </w:rPr>
        <w:t>The following table sets forth certain information with respect to repurchases of our Class A Common Stock during the quarter ended December 31, 2024.</w:t>
      </w:r>
    </w:p>
    <w:p>
      <w:pPr>
        <w:spacing w:after="0" w:line="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649224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224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2880" w:type="dxa"/>
            <w:vAlign w:val="bottom"/>
            <w:tcBorders>
              <w:top w:val="single" w:sz="8" w:color="auto"/>
            </w:tcBorders>
            <w:shd w:val="clear" w:color="auto" w:fill="FDFDFD"/>
          </w:tcPr>
          <w:p>
            <w:pPr>
              <w:spacing w:after="0"/>
              <w:rPr>
                <w:sz w:val="18"/>
                <w:szCs w:val="18"/>
                <w:color w:val="auto"/>
              </w:rPr>
            </w:pPr>
          </w:p>
        </w:tc>
        <w:tc>
          <w:tcPr>
            <w:tcW w:w="180" w:type="dxa"/>
            <w:vAlign w:val="bottom"/>
            <w:tcBorders>
              <w:top w:val="single" w:sz="8" w:color="auto"/>
            </w:tcBorders>
            <w:shd w:val="clear" w:color="auto" w:fill="FDFDFD"/>
          </w:tcPr>
          <w:p>
            <w:pPr>
              <w:spacing w:after="0"/>
              <w:rPr>
                <w:sz w:val="18"/>
                <w:szCs w:val="18"/>
                <w:color w:val="auto"/>
              </w:rPr>
            </w:pPr>
          </w:p>
        </w:tc>
        <w:tc>
          <w:tcPr>
            <w:tcW w:w="1360" w:type="dxa"/>
            <w:vAlign w:val="bottom"/>
            <w:tcBorders>
              <w:top w:val="single" w:sz="8" w:color="auto"/>
            </w:tcBorders>
            <w:shd w:val="clear" w:color="auto" w:fill="FDFDFD"/>
          </w:tcPr>
          <w:p>
            <w:pPr>
              <w:spacing w:after="0"/>
              <w:rPr>
                <w:sz w:val="18"/>
                <w:szCs w:val="18"/>
                <w:color w:val="auto"/>
              </w:rPr>
            </w:pPr>
          </w:p>
        </w:tc>
        <w:tc>
          <w:tcPr>
            <w:tcW w:w="100" w:type="dxa"/>
            <w:vAlign w:val="bottom"/>
            <w:tcBorders>
              <w:top w:val="single" w:sz="8" w:color="auto"/>
            </w:tcBorders>
            <w:shd w:val="clear" w:color="auto" w:fill="FDFDFD"/>
          </w:tcPr>
          <w:p>
            <w:pPr>
              <w:spacing w:after="0"/>
              <w:rPr>
                <w:sz w:val="18"/>
                <w:szCs w:val="18"/>
                <w:color w:val="auto"/>
              </w:rPr>
            </w:pPr>
          </w:p>
        </w:tc>
        <w:tc>
          <w:tcPr>
            <w:tcW w:w="160" w:type="dxa"/>
            <w:vAlign w:val="bottom"/>
            <w:tcBorders>
              <w:top w:val="single" w:sz="8" w:color="auto"/>
            </w:tcBorders>
            <w:shd w:val="clear" w:color="auto" w:fill="FDFDFD"/>
          </w:tcPr>
          <w:p>
            <w:pPr>
              <w:spacing w:after="0"/>
              <w:rPr>
                <w:sz w:val="18"/>
                <w:szCs w:val="18"/>
                <w:color w:val="auto"/>
              </w:rPr>
            </w:pPr>
          </w:p>
        </w:tc>
        <w:tc>
          <w:tcPr>
            <w:tcW w:w="560" w:type="dxa"/>
            <w:vAlign w:val="bottom"/>
            <w:tcBorders>
              <w:top w:val="single" w:sz="8" w:color="auto"/>
            </w:tcBorders>
            <w:shd w:val="clear" w:color="auto" w:fill="FDFDFD"/>
          </w:tcPr>
          <w:p>
            <w:pPr>
              <w:spacing w:after="0"/>
              <w:rPr>
                <w:sz w:val="18"/>
                <w:szCs w:val="18"/>
                <w:color w:val="auto"/>
              </w:rPr>
            </w:pPr>
          </w:p>
        </w:tc>
        <w:tc>
          <w:tcPr>
            <w:tcW w:w="800" w:type="dxa"/>
            <w:vAlign w:val="bottom"/>
            <w:tcBorders>
              <w:top w:val="single" w:sz="8" w:color="auto"/>
            </w:tcBorders>
            <w:shd w:val="clear" w:color="auto" w:fill="FDFDFD"/>
          </w:tcPr>
          <w:p>
            <w:pPr>
              <w:spacing w:after="0"/>
              <w:rPr>
                <w:sz w:val="18"/>
                <w:szCs w:val="18"/>
                <w:color w:val="auto"/>
              </w:rPr>
            </w:pPr>
          </w:p>
        </w:tc>
        <w:tc>
          <w:tcPr>
            <w:tcW w:w="120" w:type="dxa"/>
            <w:vAlign w:val="bottom"/>
            <w:tcBorders>
              <w:top w:val="single" w:sz="8" w:color="auto"/>
            </w:tcBorders>
            <w:shd w:val="clear" w:color="auto" w:fill="FDFDFD"/>
          </w:tcPr>
          <w:p>
            <w:pPr>
              <w:spacing w:after="0"/>
              <w:rPr>
                <w:sz w:val="18"/>
                <w:szCs w:val="18"/>
                <w:color w:val="auto"/>
              </w:rPr>
            </w:pPr>
          </w:p>
        </w:tc>
        <w:tc>
          <w:tcPr>
            <w:tcW w:w="140" w:type="dxa"/>
            <w:vAlign w:val="bottom"/>
            <w:tcBorders>
              <w:top w:val="single" w:sz="8" w:color="auto"/>
            </w:tcBorders>
            <w:shd w:val="clear" w:color="auto" w:fill="FDFDFD"/>
          </w:tcPr>
          <w:p>
            <w:pPr>
              <w:spacing w:after="0"/>
              <w:rPr>
                <w:sz w:val="18"/>
                <w:szCs w:val="18"/>
                <w:color w:val="auto"/>
              </w:rPr>
            </w:pPr>
          </w:p>
        </w:tc>
        <w:tc>
          <w:tcPr>
            <w:tcW w:w="1660" w:type="dxa"/>
            <w:vAlign w:val="bottom"/>
            <w:tcBorders>
              <w:top w:val="single" w:sz="8" w:color="auto"/>
            </w:tcBorders>
            <w:shd w:val="clear" w:color="auto" w:fill="FDFDFD"/>
          </w:tcPr>
          <w:p>
            <w:pPr>
              <w:spacing w:after="0"/>
              <w:rPr>
                <w:sz w:val="18"/>
                <w:szCs w:val="18"/>
                <w:color w:val="auto"/>
              </w:rPr>
            </w:pPr>
          </w:p>
        </w:tc>
        <w:tc>
          <w:tcPr>
            <w:tcW w:w="100" w:type="dxa"/>
            <w:vAlign w:val="bottom"/>
            <w:tcBorders>
              <w:top w:val="single" w:sz="8" w:color="auto"/>
            </w:tcBorders>
            <w:shd w:val="clear" w:color="auto" w:fill="FDFDFD"/>
          </w:tcPr>
          <w:p>
            <w:pPr>
              <w:spacing w:after="0"/>
              <w:rPr>
                <w:sz w:val="18"/>
                <w:szCs w:val="18"/>
                <w:color w:val="auto"/>
              </w:rPr>
            </w:pPr>
          </w:p>
        </w:tc>
        <w:tc>
          <w:tcPr>
            <w:tcW w:w="160" w:type="dxa"/>
            <w:vAlign w:val="bottom"/>
            <w:tcBorders>
              <w:top w:val="single" w:sz="8" w:color="auto"/>
            </w:tcBorders>
            <w:shd w:val="clear" w:color="auto" w:fill="FDFDFD"/>
          </w:tcPr>
          <w:p>
            <w:pPr>
              <w:spacing w:after="0"/>
              <w:rPr>
                <w:sz w:val="18"/>
                <w:szCs w:val="18"/>
                <w:color w:val="auto"/>
              </w:rPr>
            </w:pPr>
          </w:p>
        </w:tc>
        <w:tc>
          <w:tcPr>
            <w:tcW w:w="1920" w:type="dxa"/>
            <w:vAlign w:val="bottom"/>
            <w:tcBorders>
              <w:top w:val="single" w:sz="8" w:color="auto"/>
            </w:tcBorders>
            <w:gridSpan w:val="2"/>
            <w:shd w:val="clear" w:color="auto" w:fill="FDFDFD"/>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9"/>
              </w:rPr>
              <w:t>Approximate Dollar</w:t>
            </w:r>
          </w:p>
        </w:tc>
        <w:tc>
          <w:tcPr>
            <w:tcW w:w="100" w:type="dxa"/>
            <w:vAlign w:val="bottom"/>
            <w:tcBorders>
              <w:top w:val="single" w:sz="8" w:color="FDFDFD"/>
            </w:tcBorders>
            <w:shd w:val="clear" w:color="auto" w:fill="FDFDFD"/>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3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560" w:type="dxa"/>
            <w:vAlign w:val="bottom"/>
            <w:shd w:val="clear" w:color="auto" w:fill="FDFDFD"/>
          </w:tcPr>
          <w:p>
            <w:pPr>
              <w:spacing w:after="0"/>
              <w:rPr>
                <w:sz w:val="19"/>
                <w:szCs w:val="19"/>
                <w:color w:val="auto"/>
              </w:rPr>
            </w:pPr>
          </w:p>
        </w:tc>
        <w:tc>
          <w:tcPr>
            <w:tcW w:w="8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6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b w:val="1"/>
                <w:bCs w:val="1"/>
                <w:color w:val="auto"/>
              </w:rPr>
              <w:t>Total Number of</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192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20"/>
                <w:szCs w:val="20"/>
                <w:b w:val="1"/>
                <w:bCs w:val="1"/>
                <w:color w:val="auto"/>
              </w:rPr>
              <w:t>Value of Shares that</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3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Total Number</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1360" w:type="dxa"/>
            <w:vAlign w:val="bottom"/>
            <w:gridSpan w:val="2"/>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b w:val="1"/>
                <w:bCs w:val="1"/>
                <w:color w:val="auto"/>
              </w:rPr>
              <w:t>Average Price</w:t>
            </w:r>
          </w:p>
        </w:tc>
        <w:tc>
          <w:tcPr>
            <w:tcW w:w="1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6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Shares Purchased</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700" w:type="dxa"/>
            <w:vAlign w:val="bottom"/>
            <w:shd w:val="clear" w:color="auto" w:fill="FDFDFD"/>
          </w:tcPr>
          <w:p>
            <w:pPr>
              <w:jc w:val="center"/>
              <w:ind w:right="146"/>
              <w:spacing w:after="0"/>
              <w:rPr>
                <w:sz w:val="20"/>
                <w:szCs w:val="20"/>
                <w:color w:val="auto"/>
              </w:rPr>
            </w:pPr>
            <w:r>
              <w:rPr>
                <w:rFonts w:ascii="Times New Roman" w:cs="Times New Roman" w:eastAsia="Times New Roman" w:hAnsi="Times New Roman"/>
                <w:sz w:val="20"/>
                <w:szCs w:val="20"/>
                <w:b w:val="1"/>
                <w:bCs w:val="1"/>
                <w:color w:val="auto"/>
              </w:rPr>
              <w:t>May Yet Be</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880" w:type="dxa"/>
            <w:vAlign w:val="bottom"/>
            <w:shd w:val="clear" w:color="auto" w:fill="FDFDFD"/>
          </w:tcPr>
          <w:p>
            <w:pPr>
              <w:spacing w:after="0"/>
              <w:rPr>
                <w:sz w:val="9"/>
                <w:szCs w:val="9"/>
                <w:color w:val="auto"/>
              </w:rPr>
            </w:pPr>
          </w:p>
        </w:tc>
        <w:tc>
          <w:tcPr>
            <w:tcW w:w="180" w:type="dxa"/>
            <w:vAlign w:val="bottom"/>
            <w:shd w:val="clear" w:color="auto" w:fill="FDFDFD"/>
          </w:tcPr>
          <w:p>
            <w:pPr>
              <w:spacing w:after="0"/>
              <w:rPr>
                <w:sz w:val="9"/>
                <w:szCs w:val="9"/>
                <w:color w:val="auto"/>
              </w:rPr>
            </w:pPr>
          </w:p>
        </w:tc>
        <w:tc>
          <w:tcPr>
            <w:tcW w:w="1360" w:type="dxa"/>
            <w:vAlign w:val="bottom"/>
            <w:vMerge w:val="restart"/>
            <w:shd w:val="clear" w:color="auto" w:fill="FDFDFD"/>
          </w:tcPr>
          <w:p>
            <w:pPr>
              <w:jc w:val="center"/>
              <w:spacing w:after="0"/>
              <w:rPr>
                <w:sz w:val="20"/>
                <w:szCs w:val="20"/>
                <w:color w:val="auto"/>
              </w:rPr>
            </w:pPr>
            <w:r>
              <w:rPr>
                <w:rFonts w:ascii="Times New Roman" w:cs="Times New Roman" w:eastAsia="Times New Roman" w:hAnsi="Times New Roman"/>
                <w:sz w:val="20"/>
                <w:szCs w:val="20"/>
                <w:b w:val="1"/>
                <w:bCs w:val="1"/>
                <w:color w:val="auto"/>
              </w:rPr>
              <w:t>of Shares</w:t>
            </w:r>
          </w:p>
        </w:tc>
        <w:tc>
          <w:tcPr>
            <w:tcW w:w="100" w:type="dxa"/>
            <w:vAlign w:val="bottom"/>
            <w:shd w:val="clear" w:color="auto" w:fill="FDFDFD"/>
          </w:tcPr>
          <w:p>
            <w:pPr>
              <w:spacing w:after="0"/>
              <w:rPr>
                <w:sz w:val="9"/>
                <w:szCs w:val="9"/>
                <w:color w:val="auto"/>
              </w:rPr>
            </w:pPr>
          </w:p>
        </w:tc>
        <w:tc>
          <w:tcPr>
            <w:tcW w:w="160" w:type="dxa"/>
            <w:vAlign w:val="bottom"/>
            <w:shd w:val="clear" w:color="auto" w:fill="FDFDFD"/>
          </w:tcPr>
          <w:p>
            <w:pPr>
              <w:spacing w:after="0"/>
              <w:rPr>
                <w:sz w:val="9"/>
                <w:szCs w:val="9"/>
                <w:color w:val="auto"/>
              </w:rPr>
            </w:pPr>
          </w:p>
        </w:tc>
        <w:tc>
          <w:tcPr>
            <w:tcW w:w="1360" w:type="dxa"/>
            <w:vAlign w:val="bottom"/>
            <w:gridSpan w:val="2"/>
            <w:vMerge w:val="continue"/>
            <w:shd w:val="clear" w:color="auto" w:fill="FDFDFD"/>
          </w:tcPr>
          <w:p>
            <w:pPr>
              <w:spacing w:after="0"/>
              <w:rPr>
                <w:sz w:val="9"/>
                <w:szCs w:val="9"/>
                <w:color w:val="auto"/>
              </w:rPr>
            </w:pPr>
          </w:p>
        </w:tc>
        <w:tc>
          <w:tcPr>
            <w:tcW w:w="120" w:type="dxa"/>
            <w:vAlign w:val="bottom"/>
            <w:shd w:val="clear" w:color="auto" w:fill="FDFDFD"/>
          </w:tcPr>
          <w:p>
            <w:pPr>
              <w:spacing w:after="0"/>
              <w:rPr>
                <w:sz w:val="9"/>
                <w:szCs w:val="9"/>
                <w:color w:val="auto"/>
              </w:rPr>
            </w:pPr>
          </w:p>
        </w:tc>
        <w:tc>
          <w:tcPr>
            <w:tcW w:w="140" w:type="dxa"/>
            <w:vAlign w:val="bottom"/>
            <w:shd w:val="clear" w:color="auto" w:fill="FDFDFD"/>
          </w:tcPr>
          <w:p>
            <w:pPr>
              <w:spacing w:after="0"/>
              <w:rPr>
                <w:sz w:val="9"/>
                <w:szCs w:val="9"/>
                <w:color w:val="auto"/>
              </w:rPr>
            </w:pPr>
          </w:p>
        </w:tc>
        <w:tc>
          <w:tcPr>
            <w:tcW w:w="1660" w:type="dxa"/>
            <w:vAlign w:val="bottom"/>
            <w:vMerge w:val="restart"/>
            <w:shd w:val="clear" w:color="auto" w:fill="FDFDFD"/>
          </w:tcPr>
          <w:p>
            <w:pPr>
              <w:jc w:val="center"/>
              <w:spacing w:after="0"/>
              <w:rPr>
                <w:sz w:val="20"/>
                <w:szCs w:val="20"/>
                <w:color w:val="auto"/>
              </w:rPr>
            </w:pPr>
            <w:r>
              <w:rPr>
                <w:rFonts w:ascii="Times New Roman" w:cs="Times New Roman" w:eastAsia="Times New Roman" w:hAnsi="Times New Roman"/>
                <w:sz w:val="20"/>
                <w:szCs w:val="20"/>
                <w:b w:val="1"/>
                <w:bCs w:val="1"/>
                <w:color w:val="auto"/>
              </w:rPr>
              <w:t>as Part of Publicly</w:t>
            </w:r>
          </w:p>
        </w:tc>
        <w:tc>
          <w:tcPr>
            <w:tcW w:w="100" w:type="dxa"/>
            <w:vAlign w:val="bottom"/>
            <w:shd w:val="clear" w:color="auto" w:fill="FDFDFD"/>
          </w:tcPr>
          <w:p>
            <w:pPr>
              <w:spacing w:after="0"/>
              <w:rPr>
                <w:sz w:val="9"/>
                <w:szCs w:val="9"/>
                <w:color w:val="auto"/>
              </w:rPr>
            </w:pPr>
          </w:p>
        </w:tc>
        <w:tc>
          <w:tcPr>
            <w:tcW w:w="160" w:type="dxa"/>
            <w:vAlign w:val="bottom"/>
            <w:shd w:val="clear" w:color="auto" w:fill="FDFDFD"/>
          </w:tcPr>
          <w:p>
            <w:pPr>
              <w:spacing w:after="0"/>
              <w:rPr>
                <w:sz w:val="9"/>
                <w:szCs w:val="9"/>
                <w:color w:val="auto"/>
              </w:rPr>
            </w:pPr>
          </w:p>
        </w:tc>
        <w:tc>
          <w:tcPr>
            <w:tcW w:w="1920" w:type="dxa"/>
            <w:vAlign w:val="bottom"/>
            <w:gridSpan w:val="2"/>
            <w:vMerge w:val="restart"/>
            <w:shd w:val="clear" w:color="auto" w:fill="FDFDFD"/>
          </w:tcPr>
          <w:p>
            <w:pPr>
              <w:jc w:val="center"/>
              <w:spacing w:after="0"/>
              <w:rPr>
                <w:sz w:val="20"/>
                <w:szCs w:val="20"/>
                <w:color w:val="auto"/>
              </w:rPr>
            </w:pPr>
            <w:r>
              <w:rPr>
                <w:rFonts w:ascii="Times New Roman" w:cs="Times New Roman" w:eastAsia="Times New Roman" w:hAnsi="Times New Roman"/>
                <w:sz w:val="20"/>
                <w:szCs w:val="20"/>
                <w:b w:val="1"/>
                <w:bCs w:val="1"/>
                <w:color w:val="auto"/>
              </w:rPr>
              <w:t>Purchased Under the</w:t>
            </w:r>
          </w:p>
        </w:tc>
        <w:tc>
          <w:tcPr>
            <w:tcW w:w="100" w:type="dxa"/>
            <w:vAlign w:val="bottom"/>
            <w:shd w:val="clear" w:color="auto" w:fill="FDFDFD"/>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80" w:type="dxa"/>
            <w:vAlign w:val="bottom"/>
            <w:shd w:val="clear" w:color="auto" w:fill="FDFDFD"/>
          </w:tcPr>
          <w:p>
            <w:pPr>
              <w:spacing w:after="0"/>
              <w:rPr>
                <w:sz w:val="10"/>
                <w:szCs w:val="10"/>
                <w:color w:val="auto"/>
              </w:rPr>
            </w:pPr>
          </w:p>
        </w:tc>
        <w:tc>
          <w:tcPr>
            <w:tcW w:w="180" w:type="dxa"/>
            <w:vAlign w:val="bottom"/>
            <w:shd w:val="clear" w:color="auto" w:fill="FDFDFD"/>
          </w:tcPr>
          <w:p>
            <w:pPr>
              <w:spacing w:after="0"/>
              <w:rPr>
                <w:sz w:val="10"/>
                <w:szCs w:val="10"/>
                <w:color w:val="auto"/>
              </w:rPr>
            </w:pPr>
          </w:p>
        </w:tc>
        <w:tc>
          <w:tcPr>
            <w:tcW w:w="1360" w:type="dxa"/>
            <w:vAlign w:val="bottom"/>
            <w:vMerge w:val="continue"/>
            <w:shd w:val="clear" w:color="auto" w:fill="FDFDFD"/>
          </w:tcPr>
          <w:p>
            <w:pPr>
              <w:spacing w:after="0"/>
              <w:rPr>
                <w:sz w:val="10"/>
                <w:szCs w:val="10"/>
                <w:color w:val="auto"/>
              </w:rPr>
            </w:pPr>
          </w:p>
        </w:tc>
        <w:tc>
          <w:tcPr>
            <w:tcW w:w="100" w:type="dxa"/>
            <w:vAlign w:val="bottom"/>
            <w:shd w:val="clear" w:color="auto" w:fill="FDFDFD"/>
          </w:tcPr>
          <w:p>
            <w:pPr>
              <w:spacing w:after="0"/>
              <w:rPr>
                <w:sz w:val="10"/>
                <w:szCs w:val="10"/>
                <w:color w:val="auto"/>
              </w:rPr>
            </w:pPr>
          </w:p>
        </w:tc>
        <w:tc>
          <w:tcPr>
            <w:tcW w:w="160" w:type="dxa"/>
            <w:vAlign w:val="bottom"/>
            <w:shd w:val="clear" w:color="auto" w:fill="FDFDFD"/>
          </w:tcPr>
          <w:p>
            <w:pPr>
              <w:spacing w:after="0"/>
              <w:rPr>
                <w:sz w:val="10"/>
                <w:szCs w:val="10"/>
                <w:color w:val="auto"/>
              </w:rPr>
            </w:pPr>
          </w:p>
        </w:tc>
        <w:tc>
          <w:tcPr>
            <w:tcW w:w="1360" w:type="dxa"/>
            <w:vAlign w:val="bottom"/>
            <w:gridSpan w:val="2"/>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b w:val="1"/>
                <w:bCs w:val="1"/>
                <w:color w:val="auto"/>
              </w:rPr>
              <w:t>Paid Per Share</w:t>
            </w:r>
          </w:p>
        </w:tc>
        <w:tc>
          <w:tcPr>
            <w:tcW w:w="120" w:type="dxa"/>
            <w:vAlign w:val="bottom"/>
            <w:shd w:val="clear" w:color="auto" w:fill="FDFDFD"/>
          </w:tcPr>
          <w:p>
            <w:pPr>
              <w:spacing w:after="0"/>
              <w:rPr>
                <w:sz w:val="10"/>
                <w:szCs w:val="10"/>
                <w:color w:val="auto"/>
              </w:rPr>
            </w:pPr>
          </w:p>
        </w:tc>
        <w:tc>
          <w:tcPr>
            <w:tcW w:w="140" w:type="dxa"/>
            <w:vAlign w:val="bottom"/>
            <w:shd w:val="clear" w:color="auto" w:fill="FDFDFD"/>
          </w:tcPr>
          <w:p>
            <w:pPr>
              <w:spacing w:after="0"/>
              <w:rPr>
                <w:sz w:val="10"/>
                <w:szCs w:val="10"/>
                <w:color w:val="auto"/>
              </w:rPr>
            </w:pPr>
          </w:p>
        </w:tc>
        <w:tc>
          <w:tcPr>
            <w:tcW w:w="1660" w:type="dxa"/>
            <w:vAlign w:val="bottom"/>
            <w:vMerge w:val="continue"/>
            <w:shd w:val="clear" w:color="auto" w:fill="FDFDFD"/>
          </w:tcPr>
          <w:p>
            <w:pPr>
              <w:spacing w:after="0"/>
              <w:rPr>
                <w:sz w:val="10"/>
                <w:szCs w:val="10"/>
                <w:color w:val="auto"/>
              </w:rPr>
            </w:pPr>
          </w:p>
        </w:tc>
        <w:tc>
          <w:tcPr>
            <w:tcW w:w="100" w:type="dxa"/>
            <w:vAlign w:val="bottom"/>
            <w:shd w:val="clear" w:color="auto" w:fill="FDFDFD"/>
          </w:tcPr>
          <w:p>
            <w:pPr>
              <w:spacing w:after="0"/>
              <w:rPr>
                <w:sz w:val="10"/>
                <w:szCs w:val="10"/>
                <w:color w:val="auto"/>
              </w:rPr>
            </w:pPr>
          </w:p>
        </w:tc>
        <w:tc>
          <w:tcPr>
            <w:tcW w:w="160" w:type="dxa"/>
            <w:vAlign w:val="bottom"/>
            <w:shd w:val="clear" w:color="auto" w:fill="FDFDFD"/>
          </w:tcPr>
          <w:p>
            <w:pPr>
              <w:spacing w:after="0"/>
              <w:rPr>
                <w:sz w:val="10"/>
                <w:szCs w:val="10"/>
                <w:color w:val="auto"/>
              </w:rPr>
            </w:pPr>
          </w:p>
        </w:tc>
        <w:tc>
          <w:tcPr>
            <w:tcW w:w="1920" w:type="dxa"/>
            <w:vAlign w:val="bottom"/>
            <w:gridSpan w:val="2"/>
            <w:vMerge w:val="continue"/>
            <w:shd w:val="clear" w:color="auto" w:fill="FDFDFD"/>
          </w:tcPr>
          <w:p>
            <w:pPr>
              <w:spacing w:after="0"/>
              <w:rPr>
                <w:sz w:val="10"/>
                <w:szCs w:val="10"/>
                <w:color w:val="auto"/>
              </w:rPr>
            </w:pPr>
          </w:p>
        </w:tc>
        <w:tc>
          <w:tcPr>
            <w:tcW w:w="100" w:type="dxa"/>
            <w:vAlign w:val="bottom"/>
            <w:shd w:val="clear" w:color="auto" w:fill="FDFDFD"/>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1360" w:type="dxa"/>
            <w:vAlign w:val="bottom"/>
            <w:vMerge w:val="restart"/>
            <w:shd w:val="clear" w:color="auto" w:fill="FDFDFD"/>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Purchased</w:t>
            </w:r>
          </w:p>
        </w:tc>
        <w:tc>
          <w:tcPr>
            <w:tcW w:w="10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1360" w:type="dxa"/>
            <w:vAlign w:val="bottom"/>
            <w:gridSpan w:val="2"/>
            <w:vMerge w:val="continue"/>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660" w:type="dxa"/>
            <w:vAlign w:val="bottom"/>
            <w:vMerge w:val="restart"/>
            <w:shd w:val="clear" w:color="auto" w:fill="FDFDFD"/>
          </w:tcPr>
          <w:p>
            <w:pPr>
              <w:jc w:val="center"/>
              <w:spacing w:after="0"/>
              <w:rPr>
                <w:sz w:val="20"/>
                <w:szCs w:val="20"/>
                <w:color w:val="auto"/>
              </w:rPr>
            </w:pPr>
            <w:r>
              <w:rPr>
                <w:rFonts w:ascii="Times New Roman" w:cs="Times New Roman" w:eastAsia="Times New Roman" w:hAnsi="Times New Roman"/>
                <w:sz w:val="20"/>
                <w:szCs w:val="20"/>
                <w:b w:val="1"/>
                <w:bCs w:val="1"/>
                <w:color w:val="auto"/>
              </w:rPr>
              <w:t>Announced Plans</w:t>
            </w:r>
          </w:p>
        </w:tc>
        <w:tc>
          <w:tcPr>
            <w:tcW w:w="10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1920" w:type="dxa"/>
            <w:vAlign w:val="bottom"/>
            <w:gridSpan w:val="2"/>
            <w:vMerge w:val="restart"/>
            <w:shd w:val="clear" w:color="auto" w:fill="FDFDFD"/>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 xml:space="preserve">Plans or Programs </w:t>
            </w:r>
            <w:r>
              <w:rPr>
                <w:rFonts w:ascii="Times New Roman" w:cs="Times New Roman" w:eastAsia="Times New Roman" w:hAnsi="Times New Roman"/>
                <w:sz w:val="13"/>
                <w:szCs w:val="13"/>
                <w:b w:val="1"/>
                <w:bCs w:val="1"/>
                <w:color w:val="auto"/>
                <w:w w:val="99"/>
              </w:rPr>
              <w:t>(1)</w:t>
            </w:r>
          </w:p>
        </w:tc>
        <w:tc>
          <w:tcPr>
            <w:tcW w:w="100" w:type="dxa"/>
            <w:vAlign w:val="bottom"/>
            <w:shd w:val="clear" w:color="auto" w:fill="FDFDFD"/>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880" w:type="dxa"/>
            <w:vAlign w:val="bottom"/>
            <w:shd w:val="clear" w:color="auto" w:fill="FDFDFD"/>
          </w:tcPr>
          <w:p>
            <w:pPr>
              <w:spacing w:after="0"/>
              <w:rPr>
                <w:sz w:val="6"/>
                <w:szCs w:val="6"/>
                <w:color w:val="auto"/>
              </w:rPr>
            </w:pPr>
          </w:p>
        </w:tc>
        <w:tc>
          <w:tcPr>
            <w:tcW w:w="180" w:type="dxa"/>
            <w:vAlign w:val="bottom"/>
            <w:shd w:val="clear" w:color="auto" w:fill="FDFDFD"/>
          </w:tcPr>
          <w:p>
            <w:pPr>
              <w:spacing w:after="0"/>
              <w:rPr>
                <w:sz w:val="6"/>
                <w:szCs w:val="6"/>
                <w:color w:val="auto"/>
              </w:rPr>
            </w:pPr>
          </w:p>
        </w:tc>
        <w:tc>
          <w:tcPr>
            <w:tcW w:w="1360" w:type="dxa"/>
            <w:vAlign w:val="bottom"/>
            <w:vMerge w:val="continue"/>
            <w:shd w:val="clear" w:color="auto" w:fill="FDFDFD"/>
          </w:tcPr>
          <w:p>
            <w:pPr>
              <w:spacing w:after="0"/>
              <w:rPr>
                <w:sz w:val="6"/>
                <w:szCs w:val="6"/>
                <w:color w:val="auto"/>
              </w:rPr>
            </w:pPr>
          </w:p>
        </w:tc>
        <w:tc>
          <w:tcPr>
            <w:tcW w:w="100" w:type="dxa"/>
            <w:vAlign w:val="bottom"/>
            <w:shd w:val="clear" w:color="auto" w:fill="FDFDFD"/>
          </w:tcPr>
          <w:p>
            <w:pPr>
              <w:spacing w:after="0"/>
              <w:rPr>
                <w:sz w:val="6"/>
                <w:szCs w:val="6"/>
                <w:color w:val="auto"/>
              </w:rPr>
            </w:pPr>
          </w:p>
        </w:tc>
        <w:tc>
          <w:tcPr>
            <w:tcW w:w="160" w:type="dxa"/>
            <w:vAlign w:val="bottom"/>
            <w:shd w:val="clear" w:color="auto" w:fill="FDFDFD"/>
          </w:tcPr>
          <w:p>
            <w:pPr>
              <w:spacing w:after="0"/>
              <w:rPr>
                <w:sz w:val="6"/>
                <w:szCs w:val="6"/>
                <w:color w:val="auto"/>
              </w:rPr>
            </w:pPr>
          </w:p>
        </w:tc>
        <w:tc>
          <w:tcPr>
            <w:tcW w:w="560" w:type="dxa"/>
            <w:vAlign w:val="bottom"/>
            <w:shd w:val="clear" w:color="auto" w:fill="FDFDFD"/>
          </w:tcPr>
          <w:p>
            <w:pPr>
              <w:spacing w:after="0"/>
              <w:rPr>
                <w:sz w:val="6"/>
                <w:szCs w:val="6"/>
                <w:color w:val="auto"/>
              </w:rPr>
            </w:pPr>
          </w:p>
        </w:tc>
        <w:tc>
          <w:tcPr>
            <w:tcW w:w="800" w:type="dxa"/>
            <w:vAlign w:val="bottom"/>
            <w:shd w:val="clear" w:color="auto" w:fill="FDFDFD"/>
          </w:tcPr>
          <w:p>
            <w:pPr>
              <w:spacing w:after="0"/>
              <w:rPr>
                <w:sz w:val="6"/>
                <w:szCs w:val="6"/>
                <w:color w:val="auto"/>
              </w:rPr>
            </w:pPr>
          </w:p>
        </w:tc>
        <w:tc>
          <w:tcPr>
            <w:tcW w:w="120" w:type="dxa"/>
            <w:vAlign w:val="bottom"/>
            <w:shd w:val="clear" w:color="auto" w:fill="FDFDFD"/>
          </w:tcPr>
          <w:p>
            <w:pPr>
              <w:spacing w:after="0"/>
              <w:rPr>
                <w:sz w:val="6"/>
                <w:szCs w:val="6"/>
                <w:color w:val="auto"/>
              </w:rPr>
            </w:pPr>
          </w:p>
        </w:tc>
        <w:tc>
          <w:tcPr>
            <w:tcW w:w="140" w:type="dxa"/>
            <w:vAlign w:val="bottom"/>
            <w:shd w:val="clear" w:color="auto" w:fill="FDFDFD"/>
          </w:tcPr>
          <w:p>
            <w:pPr>
              <w:spacing w:after="0"/>
              <w:rPr>
                <w:sz w:val="6"/>
                <w:szCs w:val="6"/>
                <w:color w:val="auto"/>
              </w:rPr>
            </w:pPr>
          </w:p>
        </w:tc>
        <w:tc>
          <w:tcPr>
            <w:tcW w:w="1660" w:type="dxa"/>
            <w:vAlign w:val="bottom"/>
            <w:vMerge w:val="continue"/>
            <w:shd w:val="clear" w:color="auto" w:fill="FDFDFD"/>
          </w:tcPr>
          <w:p>
            <w:pPr>
              <w:spacing w:after="0"/>
              <w:rPr>
                <w:sz w:val="6"/>
                <w:szCs w:val="6"/>
                <w:color w:val="auto"/>
              </w:rPr>
            </w:pPr>
          </w:p>
        </w:tc>
        <w:tc>
          <w:tcPr>
            <w:tcW w:w="100" w:type="dxa"/>
            <w:vAlign w:val="bottom"/>
            <w:shd w:val="clear" w:color="auto" w:fill="FDFDFD"/>
          </w:tcPr>
          <w:p>
            <w:pPr>
              <w:spacing w:after="0"/>
              <w:rPr>
                <w:sz w:val="6"/>
                <w:szCs w:val="6"/>
                <w:color w:val="auto"/>
              </w:rPr>
            </w:pPr>
          </w:p>
        </w:tc>
        <w:tc>
          <w:tcPr>
            <w:tcW w:w="160" w:type="dxa"/>
            <w:vAlign w:val="bottom"/>
            <w:shd w:val="clear" w:color="auto" w:fill="FDFDFD"/>
          </w:tcPr>
          <w:p>
            <w:pPr>
              <w:spacing w:after="0"/>
              <w:rPr>
                <w:sz w:val="6"/>
                <w:szCs w:val="6"/>
                <w:color w:val="auto"/>
              </w:rPr>
            </w:pPr>
          </w:p>
        </w:tc>
        <w:tc>
          <w:tcPr>
            <w:tcW w:w="1920" w:type="dxa"/>
            <w:vAlign w:val="bottom"/>
            <w:gridSpan w:val="2"/>
            <w:vMerge w:val="continue"/>
            <w:shd w:val="clear" w:color="auto" w:fill="FDFDFD"/>
          </w:tcPr>
          <w:p>
            <w:pPr>
              <w:spacing w:after="0"/>
              <w:rPr>
                <w:sz w:val="6"/>
                <w:szCs w:val="6"/>
                <w:color w:val="auto"/>
              </w:rPr>
            </w:pPr>
          </w:p>
        </w:tc>
        <w:tc>
          <w:tcPr>
            <w:tcW w:w="100" w:type="dxa"/>
            <w:vAlign w:val="bottom"/>
            <w:shd w:val="clear" w:color="auto" w:fill="FDFDFD"/>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3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560" w:type="dxa"/>
            <w:vAlign w:val="bottom"/>
            <w:shd w:val="clear" w:color="auto" w:fill="FDFDFD"/>
          </w:tcPr>
          <w:p>
            <w:pPr>
              <w:spacing w:after="0"/>
              <w:rPr>
                <w:sz w:val="19"/>
                <w:szCs w:val="19"/>
                <w:color w:val="auto"/>
              </w:rPr>
            </w:pPr>
          </w:p>
        </w:tc>
        <w:tc>
          <w:tcPr>
            <w:tcW w:w="8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6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or Programs </w:t>
            </w:r>
            <w:r>
              <w:rPr>
                <w:rFonts w:ascii="Times New Roman" w:cs="Times New Roman" w:eastAsia="Times New Roman" w:hAnsi="Times New Roman"/>
                <w:sz w:val="13"/>
                <w:szCs w:val="13"/>
                <w:b w:val="1"/>
                <w:bCs w:val="1"/>
                <w:color w:val="auto"/>
              </w:rPr>
              <w:t>(1) (2)</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700" w:type="dxa"/>
            <w:vAlign w:val="bottom"/>
            <w:shd w:val="clear" w:color="auto" w:fill="FDFDFD"/>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880" w:type="dxa"/>
            <w:vAlign w:val="bottom"/>
            <w:tcBorders>
              <w:bottom w:val="single" w:sz="8" w:color="auto"/>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Period</w:t>
            </w:r>
          </w:p>
        </w:tc>
        <w:tc>
          <w:tcPr>
            <w:tcW w:w="180" w:type="dxa"/>
            <w:vAlign w:val="bottom"/>
            <w:tcBorders>
              <w:bottom w:val="single" w:sz="8" w:color="E3E3E3"/>
            </w:tcBorders>
            <w:shd w:val="clear" w:color="auto" w:fill="FDFDFD"/>
          </w:tcPr>
          <w:p>
            <w:pPr>
              <w:spacing w:after="0"/>
              <w:rPr>
                <w:sz w:val="22"/>
                <w:szCs w:val="22"/>
                <w:color w:val="auto"/>
              </w:rPr>
            </w:pPr>
          </w:p>
        </w:tc>
        <w:tc>
          <w:tcPr>
            <w:tcW w:w="1360" w:type="dxa"/>
            <w:vAlign w:val="bottom"/>
            <w:tcBorders>
              <w:bottom w:val="single" w:sz="8" w:color="auto"/>
            </w:tcBorders>
            <w:shd w:val="clear" w:color="auto" w:fill="FDFDFD"/>
          </w:tcPr>
          <w:p>
            <w:pPr>
              <w:spacing w:after="0"/>
              <w:rPr>
                <w:sz w:val="22"/>
                <w:szCs w:val="22"/>
                <w:color w:val="auto"/>
              </w:rPr>
            </w:pPr>
          </w:p>
        </w:tc>
        <w:tc>
          <w:tcPr>
            <w:tcW w:w="100" w:type="dxa"/>
            <w:vAlign w:val="bottom"/>
            <w:tcBorders>
              <w:bottom w:val="single" w:sz="8" w:color="E3E3E3"/>
            </w:tcBorders>
            <w:shd w:val="clear" w:color="auto" w:fill="FDFDFD"/>
          </w:tcPr>
          <w:p>
            <w:pPr>
              <w:spacing w:after="0"/>
              <w:rPr>
                <w:sz w:val="22"/>
                <w:szCs w:val="22"/>
                <w:color w:val="auto"/>
              </w:rPr>
            </w:pPr>
          </w:p>
        </w:tc>
        <w:tc>
          <w:tcPr>
            <w:tcW w:w="160" w:type="dxa"/>
            <w:vAlign w:val="bottom"/>
            <w:tcBorders>
              <w:bottom w:val="single" w:sz="8" w:color="E3E3E3"/>
            </w:tcBorders>
            <w:shd w:val="clear" w:color="auto" w:fill="FDFDFD"/>
          </w:tcPr>
          <w:p>
            <w:pPr>
              <w:spacing w:after="0"/>
              <w:rPr>
                <w:sz w:val="22"/>
                <w:szCs w:val="22"/>
                <w:color w:val="auto"/>
              </w:rPr>
            </w:pPr>
          </w:p>
        </w:tc>
        <w:tc>
          <w:tcPr>
            <w:tcW w:w="560" w:type="dxa"/>
            <w:vAlign w:val="bottom"/>
            <w:tcBorders>
              <w:bottom w:val="single" w:sz="8" w:color="auto"/>
            </w:tcBorders>
            <w:shd w:val="clear" w:color="auto" w:fill="FDFDFD"/>
          </w:tcPr>
          <w:p>
            <w:pPr>
              <w:spacing w:after="0"/>
              <w:rPr>
                <w:sz w:val="22"/>
                <w:szCs w:val="22"/>
                <w:color w:val="auto"/>
              </w:rPr>
            </w:pPr>
          </w:p>
        </w:tc>
        <w:tc>
          <w:tcPr>
            <w:tcW w:w="800" w:type="dxa"/>
            <w:vAlign w:val="bottom"/>
            <w:tcBorders>
              <w:bottom w:val="single" w:sz="8" w:color="auto"/>
            </w:tcBorders>
            <w:shd w:val="clear" w:color="auto" w:fill="FDFDFD"/>
          </w:tcPr>
          <w:p>
            <w:pPr>
              <w:spacing w:after="0"/>
              <w:rPr>
                <w:sz w:val="22"/>
                <w:szCs w:val="22"/>
                <w:color w:val="auto"/>
              </w:rPr>
            </w:pPr>
          </w:p>
        </w:tc>
        <w:tc>
          <w:tcPr>
            <w:tcW w:w="120" w:type="dxa"/>
            <w:vAlign w:val="bottom"/>
            <w:tcBorders>
              <w:bottom w:val="single" w:sz="8" w:color="E3E3E3"/>
            </w:tcBorders>
            <w:shd w:val="clear" w:color="auto" w:fill="FDFDFD"/>
          </w:tcPr>
          <w:p>
            <w:pPr>
              <w:spacing w:after="0"/>
              <w:rPr>
                <w:sz w:val="22"/>
                <w:szCs w:val="22"/>
                <w:color w:val="auto"/>
              </w:rPr>
            </w:pPr>
          </w:p>
        </w:tc>
        <w:tc>
          <w:tcPr>
            <w:tcW w:w="140" w:type="dxa"/>
            <w:vAlign w:val="bottom"/>
            <w:tcBorders>
              <w:bottom w:val="single" w:sz="8" w:color="E3E3E3"/>
            </w:tcBorders>
            <w:shd w:val="clear" w:color="auto" w:fill="FDFDFD"/>
          </w:tcPr>
          <w:p>
            <w:pPr>
              <w:spacing w:after="0"/>
              <w:rPr>
                <w:sz w:val="22"/>
                <w:szCs w:val="22"/>
                <w:color w:val="auto"/>
              </w:rPr>
            </w:pPr>
          </w:p>
        </w:tc>
        <w:tc>
          <w:tcPr>
            <w:tcW w:w="1660" w:type="dxa"/>
            <w:vAlign w:val="bottom"/>
            <w:tcBorders>
              <w:bottom w:val="single" w:sz="8" w:color="auto"/>
            </w:tcBorders>
            <w:shd w:val="clear" w:color="auto" w:fill="FDFDFD"/>
          </w:tcPr>
          <w:p>
            <w:pPr>
              <w:spacing w:after="0"/>
              <w:rPr>
                <w:sz w:val="22"/>
                <w:szCs w:val="22"/>
                <w:color w:val="auto"/>
              </w:rPr>
            </w:pPr>
          </w:p>
        </w:tc>
        <w:tc>
          <w:tcPr>
            <w:tcW w:w="100" w:type="dxa"/>
            <w:vAlign w:val="bottom"/>
            <w:tcBorders>
              <w:bottom w:val="single" w:sz="8" w:color="E3E3E3"/>
            </w:tcBorders>
            <w:shd w:val="clear" w:color="auto" w:fill="FDFDFD"/>
          </w:tcPr>
          <w:p>
            <w:pPr>
              <w:spacing w:after="0"/>
              <w:rPr>
                <w:sz w:val="22"/>
                <w:szCs w:val="22"/>
                <w:color w:val="auto"/>
              </w:rPr>
            </w:pPr>
          </w:p>
        </w:tc>
        <w:tc>
          <w:tcPr>
            <w:tcW w:w="160" w:type="dxa"/>
            <w:vAlign w:val="bottom"/>
            <w:tcBorders>
              <w:bottom w:val="single" w:sz="8" w:color="E3E3E3"/>
            </w:tcBorders>
            <w:shd w:val="clear" w:color="auto" w:fill="FDFDFD"/>
          </w:tcPr>
          <w:p>
            <w:pPr>
              <w:spacing w:after="0"/>
              <w:rPr>
                <w:sz w:val="22"/>
                <w:szCs w:val="22"/>
                <w:color w:val="auto"/>
              </w:rPr>
            </w:pPr>
          </w:p>
        </w:tc>
        <w:tc>
          <w:tcPr>
            <w:tcW w:w="220" w:type="dxa"/>
            <w:vAlign w:val="bottom"/>
            <w:tcBorders>
              <w:bottom w:val="single" w:sz="8" w:color="auto"/>
            </w:tcBorders>
            <w:shd w:val="clear" w:color="auto" w:fill="FDFDFD"/>
          </w:tcPr>
          <w:p>
            <w:pPr>
              <w:spacing w:after="0"/>
              <w:rPr>
                <w:sz w:val="22"/>
                <w:szCs w:val="22"/>
                <w:color w:val="auto"/>
              </w:rPr>
            </w:pPr>
          </w:p>
        </w:tc>
        <w:tc>
          <w:tcPr>
            <w:tcW w:w="1700" w:type="dxa"/>
            <w:vAlign w:val="bottom"/>
            <w:tcBorders>
              <w:bottom w:val="single" w:sz="8" w:color="auto"/>
            </w:tcBorders>
            <w:shd w:val="clear" w:color="auto" w:fill="FDFDFD"/>
          </w:tcPr>
          <w:p>
            <w:pPr>
              <w:jc w:val="center"/>
              <w:ind w:right="146"/>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00" w:type="dxa"/>
            <w:vAlign w:val="bottom"/>
            <w:tcBorders>
              <w:bottom w:val="single" w:sz="8" w:color="E3E3E3"/>
            </w:tcBorders>
            <w:shd w:val="clear" w:color="auto" w:fill="FDFDFD"/>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October 1 - October 31, 2024</w:t>
            </w:r>
          </w:p>
        </w:tc>
        <w:tc>
          <w:tcPr>
            <w:tcW w:w="180" w:type="dxa"/>
            <w:vAlign w:val="bottom"/>
            <w:shd w:val="clear" w:color="auto" w:fill="E3E3E3"/>
          </w:tcPr>
          <w:p>
            <w:pPr>
              <w:spacing w:after="0"/>
              <w:rPr>
                <w:sz w:val="19"/>
                <w:szCs w:val="19"/>
                <w:color w:val="auto"/>
              </w:rPr>
            </w:pPr>
          </w:p>
        </w:tc>
        <w:tc>
          <w:tcPr>
            <w:tcW w:w="13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560" w:type="dxa"/>
            <w:vAlign w:val="bottom"/>
            <w:shd w:val="clear" w:color="auto" w:fill="E3E3E3"/>
          </w:tcPr>
          <w:p>
            <w:pPr>
              <w:jc w:val="right"/>
              <w:ind w:right="3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6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220" w:type="dxa"/>
            <w:vAlign w:val="bottom"/>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5,026</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November 1 - November 30, 2024</w:t>
            </w:r>
          </w:p>
        </w:tc>
        <w:tc>
          <w:tcPr>
            <w:tcW w:w="180" w:type="dxa"/>
            <w:vAlign w:val="bottom"/>
            <w:shd w:val="clear" w:color="auto" w:fill="FDFDFD"/>
          </w:tcPr>
          <w:p>
            <w:pPr>
              <w:spacing w:after="0"/>
              <w:rPr>
                <w:sz w:val="19"/>
                <w:szCs w:val="19"/>
                <w:color w:val="auto"/>
              </w:rPr>
            </w:pPr>
          </w:p>
        </w:tc>
        <w:tc>
          <w:tcPr>
            <w:tcW w:w="13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768,806</w:t>
            </w:r>
          </w:p>
        </w:tc>
        <w:tc>
          <w:tcPr>
            <w:tcW w:w="260" w:type="dxa"/>
            <w:vAlign w:val="bottom"/>
            <w:gridSpan w:val="2"/>
            <w:shd w:val="clear" w:color="auto" w:fill="FDFDFD"/>
          </w:tcPr>
          <w:p>
            <w:pPr>
              <w:spacing w:after="0"/>
              <w:rPr>
                <w:sz w:val="19"/>
                <w:szCs w:val="19"/>
                <w:color w:val="auto"/>
              </w:rPr>
            </w:pPr>
          </w:p>
        </w:tc>
        <w:tc>
          <w:tcPr>
            <w:tcW w:w="560" w:type="dxa"/>
            <w:vAlign w:val="bottom"/>
            <w:shd w:val="clear" w:color="auto" w:fill="FDFDFD"/>
          </w:tcPr>
          <w:p>
            <w:pPr>
              <w:jc w:val="right"/>
              <w:ind w:right="36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260" w:type="dxa"/>
            <w:vAlign w:val="bottom"/>
            <w:gridSpan w:val="2"/>
            <w:shd w:val="clear" w:color="auto" w:fill="FDFDFD"/>
          </w:tcPr>
          <w:p>
            <w:pPr>
              <w:spacing w:after="0"/>
              <w:rPr>
                <w:sz w:val="19"/>
                <w:szCs w:val="19"/>
                <w:color w:val="auto"/>
              </w:rPr>
            </w:pPr>
          </w:p>
        </w:tc>
        <w:tc>
          <w:tcPr>
            <w:tcW w:w="1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768,806</w:t>
            </w:r>
          </w:p>
        </w:tc>
        <w:tc>
          <w:tcPr>
            <w:tcW w:w="260" w:type="dxa"/>
            <w:vAlign w:val="bottom"/>
            <w:gridSpan w:val="2"/>
            <w:shd w:val="clear" w:color="auto" w:fill="FDFDFD"/>
          </w:tcPr>
          <w:p>
            <w:pPr>
              <w:spacing w:after="0"/>
              <w:rPr>
                <w:sz w:val="19"/>
                <w:szCs w:val="19"/>
                <w:color w:val="auto"/>
              </w:rPr>
            </w:pPr>
          </w:p>
        </w:tc>
        <w:tc>
          <w:tcPr>
            <w:tcW w:w="220" w:type="dxa"/>
            <w:vAlign w:val="bottom"/>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101,591</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December 1 - December 31, 2024</w:t>
            </w:r>
          </w:p>
        </w:tc>
        <w:tc>
          <w:tcPr>
            <w:tcW w:w="15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867,477</w:t>
            </w:r>
          </w:p>
        </w:tc>
        <w:tc>
          <w:tcPr>
            <w:tcW w:w="820" w:type="dxa"/>
            <w:vAlign w:val="bottom"/>
            <w:gridSpan w:val="3"/>
            <w:shd w:val="clear" w:color="auto" w:fill="E3E3E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4.45</w:t>
            </w:r>
          </w:p>
        </w:tc>
        <w:tc>
          <w:tcPr>
            <w:tcW w:w="192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867,477</w:t>
            </w:r>
          </w:p>
        </w:tc>
        <w:tc>
          <w:tcPr>
            <w:tcW w:w="48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97,730</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tcBorders>
              <w:top w:val="single" w:sz="8" w:color="FDFDFD"/>
              <w:bottom w:val="single" w:sz="8" w:color="FDFDFD"/>
            </w:tcBorders>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top w:val="single" w:sz="8" w:color="FDFDFD"/>
              <w:bottom w:val="single" w:sz="8" w:color="FDFDFD"/>
            </w:tcBorders>
            <w:shd w:val="clear" w:color="auto" w:fill="FDFDFD"/>
          </w:tcPr>
          <w:p>
            <w:pPr>
              <w:spacing w:after="0"/>
              <w:rPr>
                <w:sz w:val="19"/>
                <w:szCs w:val="19"/>
                <w:color w:val="auto"/>
              </w:rPr>
            </w:pPr>
          </w:p>
        </w:tc>
        <w:tc>
          <w:tcPr>
            <w:tcW w:w="136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1,636,283</w:t>
            </w:r>
          </w:p>
        </w:tc>
        <w:tc>
          <w:tcPr>
            <w:tcW w:w="100" w:type="dxa"/>
            <w:vAlign w:val="bottom"/>
            <w:tcBorders>
              <w:top w:val="single" w:sz="8" w:color="FDFDFD"/>
              <w:bottom w:val="single" w:sz="8" w:color="FDFDFD"/>
            </w:tcBorders>
            <w:shd w:val="clear" w:color="auto" w:fill="FDFDFD"/>
          </w:tcPr>
          <w:p>
            <w:pPr>
              <w:spacing w:after="0"/>
              <w:rPr>
                <w:sz w:val="19"/>
                <w:szCs w:val="19"/>
                <w:color w:val="auto"/>
              </w:rPr>
            </w:pPr>
          </w:p>
        </w:tc>
        <w:tc>
          <w:tcPr>
            <w:tcW w:w="160" w:type="dxa"/>
            <w:vAlign w:val="bottom"/>
            <w:tcBorders>
              <w:top w:val="single" w:sz="8" w:color="FDFDFD"/>
              <w:bottom w:val="single" w:sz="8" w:color="FDFDFD"/>
            </w:tcBorders>
            <w:shd w:val="clear" w:color="auto" w:fill="FDFDFD"/>
          </w:tcPr>
          <w:p>
            <w:pPr>
              <w:spacing w:after="0"/>
              <w:rPr>
                <w:sz w:val="19"/>
                <w:szCs w:val="19"/>
                <w:color w:val="auto"/>
              </w:rPr>
            </w:pPr>
          </w:p>
        </w:tc>
        <w:tc>
          <w:tcPr>
            <w:tcW w:w="560" w:type="dxa"/>
            <w:vAlign w:val="bottom"/>
            <w:tcBorders>
              <w:top w:val="single" w:sz="8" w:color="auto"/>
              <w:bottom w:val="single" w:sz="8" w:color="FDFDFD"/>
            </w:tcBorders>
            <w:shd w:val="clear" w:color="auto" w:fill="FDFDFD"/>
          </w:tcPr>
          <w:p>
            <w:pPr>
              <w:jc w:val="right"/>
              <w:ind w:right="3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FDFDFD"/>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4.46</w:t>
            </w:r>
          </w:p>
        </w:tc>
        <w:tc>
          <w:tcPr>
            <w:tcW w:w="120" w:type="dxa"/>
            <w:vAlign w:val="bottom"/>
            <w:tcBorders>
              <w:top w:val="single" w:sz="8" w:color="FDFDFD"/>
              <w:bottom w:val="single" w:sz="8" w:color="FDFDFD"/>
            </w:tcBorders>
            <w:shd w:val="clear" w:color="auto" w:fill="FDFDFD"/>
          </w:tcPr>
          <w:p>
            <w:pPr>
              <w:spacing w:after="0"/>
              <w:rPr>
                <w:sz w:val="19"/>
                <w:szCs w:val="19"/>
                <w:color w:val="auto"/>
              </w:rPr>
            </w:pPr>
          </w:p>
        </w:tc>
        <w:tc>
          <w:tcPr>
            <w:tcW w:w="140" w:type="dxa"/>
            <w:vAlign w:val="bottom"/>
            <w:tcBorders>
              <w:top w:val="single" w:sz="8" w:color="FDFDFD"/>
              <w:bottom w:val="single" w:sz="8" w:color="FDFDFD"/>
            </w:tcBorders>
            <w:shd w:val="clear" w:color="auto" w:fill="FDFDFD"/>
          </w:tcPr>
          <w:p>
            <w:pPr>
              <w:spacing w:after="0"/>
              <w:rPr>
                <w:sz w:val="19"/>
                <w:szCs w:val="19"/>
                <w:color w:val="auto"/>
              </w:rPr>
            </w:pPr>
          </w:p>
        </w:tc>
        <w:tc>
          <w:tcPr>
            <w:tcW w:w="166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1,636,283</w:t>
            </w:r>
          </w:p>
        </w:tc>
        <w:tc>
          <w:tcPr>
            <w:tcW w:w="100" w:type="dxa"/>
            <w:vAlign w:val="bottom"/>
            <w:tcBorders>
              <w:top w:val="single" w:sz="8" w:color="FDFDFD"/>
              <w:bottom w:val="single" w:sz="8" w:color="FDFDFD"/>
            </w:tcBorders>
            <w:shd w:val="clear" w:color="auto" w:fill="FDFDFD"/>
          </w:tcPr>
          <w:p>
            <w:pPr>
              <w:spacing w:after="0"/>
              <w:rPr>
                <w:sz w:val="19"/>
                <w:szCs w:val="19"/>
                <w:color w:val="auto"/>
              </w:rPr>
            </w:pPr>
          </w:p>
        </w:tc>
        <w:tc>
          <w:tcPr>
            <w:tcW w:w="160" w:type="dxa"/>
            <w:vAlign w:val="bottom"/>
            <w:tcBorders>
              <w:top w:val="single" w:sz="8" w:color="FDFDFD"/>
              <w:bottom w:val="single" w:sz="8" w:color="FDFDFD"/>
            </w:tcBorders>
            <w:shd w:val="clear" w:color="auto" w:fill="FDFDFD"/>
          </w:tcPr>
          <w:p>
            <w:pPr>
              <w:spacing w:after="0"/>
              <w:rPr>
                <w:sz w:val="19"/>
                <w:szCs w:val="19"/>
                <w:color w:val="auto"/>
              </w:rPr>
            </w:pPr>
          </w:p>
        </w:tc>
        <w:tc>
          <w:tcPr>
            <w:tcW w:w="220" w:type="dxa"/>
            <w:vAlign w:val="bottom"/>
            <w:tcBorders>
              <w:top w:val="single" w:sz="8" w:color="FDFDFD"/>
              <w:bottom w:val="single" w:sz="8" w:color="FDFDFD"/>
            </w:tcBorders>
            <w:shd w:val="clear" w:color="auto" w:fill="FDFDFD"/>
          </w:tcPr>
          <w:p>
            <w:pPr>
              <w:spacing w:after="0"/>
              <w:rPr>
                <w:sz w:val="19"/>
                <w:szCs w:val="19"/>
                <w:color w:val="auto"/>
              </w:rPr>
            </w:pPr>
          </w:p>
        </w:tc>
        <w:tc>
          <w:tcPr>
            <w:tcW w:w="1700" w:type="dxa"/>
            <w:vAlign w:val="bottom"/>
            <w:tcBorders>
              <w:top w:val="single" w:sz="8" w:color="FDFDFD"/>
              <w:bottom w:val="single" w:sz="8" w:color="FDFDFD"/>
            </w:tcBorders>
            <w:shd w:val="clear" w:color="auto" w:fill="FDFDFD"/>
          </w:tcPr>
          <w:p>
            <w:pPr>
              <w:spacing w:after="0"/>
              <w:rPr>
                <w:sz w:val="19"/>
                <w:szCs w:val="19"/>
                <w:color w:val="auto"/>
              </w:rPr>
            </w:pPr>
          </w:p>
        </w:tc>
        <w:tc>
          <w:tcPr>
            <w:tcW w:w="100" w:type="dxa"/>
            <w:vAlign w:val="bottom"/>
            <w:tcBorders>
              <w:top w:val="single" w:sz="8" w:color="FDFDFD"/>
              <w:bottom w:val="single" w:sz="8" w:color="FDFDFD"/>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Borders>
              <w:bottom w:val="single" w:sz="8" w:color="FDFDFD"/>
            </w:tcBorders>
            <w:shd w:val="clear" w:color="auto" w:fill="FDFDFD"/>
          </w:tcPr>
          <w:p>
            <w:pPr>
              <w:spacing w:after="0" w:line="20" w:lineRule="exact"/>
              <w:rPr>
                <w:sz w:val="1"/>
                <w:szCs w:val="1"/>
                <w:color w:val="auto"/>
              </w:rPr>
            </w:pPr>
          </w:p>
        </w:tc>
        <w:tc>
          <w:tcPr>
            <w:tcW w:w="180" w:type="dxa"/>
            <w:vAlign w:val="bottom"/>
            <w:tcBorders>
              <w:bottom w:val="single" w:sz="8" w:color="FDFDFD"/>
            </w:tcBorders>
            <w:shd w:val="clear" w:color="auto" w:fill="FDFDFD"/>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160" w:type="dxa"/>
            <w:vAlign w:val="bottom"/>
            <w:tcBorders>
              <w:bottom w:val="single" w:sz="8" w:color="FDFDFD"/>
            </w:tcBorders>
            <w:shd w:val="clear" w:color="auto" w:fill="FDFDFD"/>
          </w:tcPr>
          <w:p>
            <w:pPr>
              <w:spacing w:after="0" w:line="20" w:lineRule="exact"/>
              <w:rPr>
                <w:sz w:val="1"/>
                <w:szCs w:val="1"/>
                <w:color w:val="auto"/>
              </w:rPr>
            </w:pPr>
          </w:p>
        </w:tc>
        <w:tc>
          <w:tcPr>
            <w:tcW w:w="560" w:type="dxa"/>
            <w:vAlign w:val="bottom"/>
            <w:tcBorders>
              <w:bottom w:val="single" w:sz="8" w:color="FDFDFD"/>
            </w:tcBorders>
            <w:shd w:val="clear" w:color="auto" w:fill="FDFDFD"/>
          </w:tcPr>
          <w:p>
            <w:pPr>
              <w:spacing w:after="0" w:line="20" w:lineRule="exact"/>
              <w:rPr>
                <w:sz w:val="1"/>
                <w:szCs w:val="1"/>
                <w:color w:val="auto"/>
              </w:rPr>
            </w:pPr>
          </w:p>
        </w:tc>
        <w:tc>
          <w:tcPr>
            <w:tcW w:w="800" w:type="dxa"/>
            <w:vAlign w:val="bottom"/>
            <w:tcBorders>
              <w:bottom w:val="single" w:sz="8" w:color="FDFDFD"/>
            </w:tcBorders>
            <w:shd w:val="clear" w:color="auto" w:fill="FDFDFD"/>
          </w:tcPr>
          <w:p>
            <w:pPr>
              <w:spacing w:after="0" w:line="20" w:lineRule="exact"/>
              <w:rPr>
                <w:sz w:val="1"/>
                <w:szCs w:val="1"/>
                <w:color w:val="auto"/>
              </w:rPr>
            </w:pPr>
          </w:p>
        </w:tc>
        <w:tc>
          <w:tcPr>
            <w:tcW w:w="120" w:type="dxa"/>
            <w:vAlign w:val="bottom"/>
            <w:tcBorders>
              <w:bottom w:val="single" w:sz="8" w:color="FDFDFD"/>
            </w:tcBorders>
            <w:shd w:val="clear" w:color="auto" w:fill="FDFDFD"/>
          </w:tcPr>
          <w:p>
            <w:pPr>
              <w:spacing w:after="0" w:line="20" w:lineRule="exact"/>
              <w:rPr>
                <w:sz w:val="1"/>
                <w:szCs w:val="1"/>
                <w:color w:val="auto"/>
              </w:rPr>
            </w:pPr>
          </w:p>
        </w:tc>
        <w:tc>
          <w:tcPr>
            <w:tcW w:w="140" w:type="dxa"/>
            <w:vAlign w:val="bottom"/>
            <w:tcBorders>
              <w:bottom w:val="single" w:sz="8" w:color="FDFDFD"/>
            </w:tcBorders>
            <w:shd w:val="clear" w:color="auto" w:fill="FDFDFD"/>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160" w:type="dxa"/>
            <w:vAlign w:val="bottom"/>
            <w:tcBorders>
              <w:bottom w:val="single" w:sz="8" w:color="FDFDFD"/>
            </w:tcBorders>
            <w:shd w:val="clear" w:color="auto" w:fill="FDFDFD"/>
          </w:tcPr>
          <w:p>
            <w:pPr>
              <w:spacing w:after="0" w:line="20" w:lineRule="exact"/>
              <w:rPr>
                <w:sz w:val="1"/>
                <w:szCs w:val="1"/>
                <w:color w:val="auto"/>
              </w:rPr>
            </w:pPr>
          </w:p>
        </w:tc>
        <w:tc>
          <w:tcPr>
            <w:tcW w:w="220" w:type="dxa"/>
            <w:vAlign w:val="bottom"/>
            <w:tcBorders>
              <w:bottom w:val="single" w:sz="8" w:color="FDFDFD"/>
            </w:tcBorders>
            <w:shd w:val="clear" w:color="auto" w:fill="FDFDFD"/>
          </w:tcPr>
          <w:p>
            <w:pPr>
              <w:spacing w:after="0" w:line="20" w:lineRule="exact"/>
              <w:rPr>
                <w:sz w:val="1"/>
                <w:szCs w:val="1"/>
                <w:color w:val="auto"/>
              </w:rPr>
            </w:pPr>
          </w:p>
        </w:tc>
        <w:tc>
          <w:tcPr>
            <w:tcW w:w="1700" w:type="dxa"/>
            <w:vAlign w:val="bottom"/>
            <w:tcBorders>
              <w:bottom w:val="single" w:sz="8" w:color="FDFDFD"/>
            </w:tcBorders>
            <w:shd w:val="clear" w:color="auto" w:fill="FDFDFD"/>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880" w:type="dxa"/>
            <w:vAlign w:val="bottom"/>
            <w:tcBorders>
              <w:bottom w:val="single" w:sz="8" w:color="auto"/>
            </w:tcBorders>
            <w:shd w:val="clear" w:color="auto" w:fill="FDFDFD"/>
          </w:tcPr>
          <w:p>
            <w:pPr>
              <w:spacing w:after="0"/>
              <w:rPr>
                <w:sz w:val="22"/>
                <w:szCs w:val="22"/>
                <w:color w:val="auto"/>
              </w:rPr>
            </w:pPr>
          </w:p>
        </w:tc>
        <w:tc>
          <w:tcPr>
            <w:tcW w:w="180" w:type="dxa"/>
            <w:vAlign w:val="bottom"/>
            <w:tcBorders>
              <w:bottom w:val="single" w:sz="8" w:color="auto"/>
            </w:tcBorders>
            <w:shd w:val="clear" w:color="auto" w:fill="FDFDFD"/>
          </w:tcPr>
          <w:p>
            <w:pPr>
              <w:spacing w:after="0"/>
              <w:rPr>
                <w:sz w:val="22"/>
                <w:szCs w:val="22"/>
                <w:color w:val="auto"/>
              </w:rPr>
            </w:pPr>
          </w:p>
        </w:tc>
        <w:tc>
          <w:tcPr>
            <w:tcW w:w="1360" w:type="dxa"/>
            <w:vAlign w:val="bottom"/>
            <w:tcBorders>
              <w:bottom w:val="single" w:sz="8" w:color="auto"/>
            </w:tcBorders>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160" w:type="dxa"/>
            <w:vAlign w:val="bottom"/>
            <w:shd w:val="clear" w:color="auto" w:fill="FDFDFD"/>
          </w:tcPr>
          <w:p>
            <w:pPr>
              <w:spacing w:after="0"/>
              <w:rPr>
                <w:sz w:val="22"/>
                <w:szCs w:val="22"/>
                <w:color w:val="auto"/>
              </w:rPr>
            </w:pPr>
          </w:p>
        </w:tc>
        <w:tc>
          <w:tcPr>
            <w:tcW w:w="560" w:type="dxa"/>
            <w:vAlign w:val="bottom"/>
            <w:shd w:val="clear" w:color="auto" w:fill="FDFDFD"/>
          </w:tcPr>
          <w:p>
            <w:pPr>
              <w:spacing w:after="0"/>
              <w:rPr>
                <w:sz w:val="22"/>
                <w:szCs w:val="22"/>
                <w:color w:val="auto"/>
              </w:rPr>
            </w:pPr>
          </w:p>
        </w:tc>
        <w:tc>
          <w:tcPr>
            <w:tcW w:w="800" w:type="dxa"/>
            <w:vAlign w:val="bottom"/>
            <w:shd w:val="clear" w:color="auto" w:fill="FDFDFD"/>
          </w:tcPr>
          <w:p>
            <w:pPr>
              <w:spacing w:after="0"/>
              <w:rPr>
                <w:sz w:val="22"/>
                <w:szCs w:val="22"/>
                <w:color w:val="auto"/>
              </w:rPr>
            </w:pPr>
          </w:p>
        </w:tc>
        <w:tc>
          <w:tcPr>
            <w:tcW w:w="120" w:type="dxa"/>
            <w:vAlign w:val="bottom"/>
            <w:shd w:val="clear" w:color="auto" w:fill="FDFDFD"/>
          </w:tcPr>
          <w:p>
            <w:pPr>
              <w:spacing w:after="0"/>
              <w:rPr>
                <w:sz w:val="22"/>
                <w:szCs w:val="22"/>
                <w:color w:val="auto"/>
              </w:rPr>
            </w:pPr>
          </w:p>
        </w:tc>
        <w:tc>
          <w:tcPr>
            <w:tcW w:w="140" w:type="dxa"/>
            <w:vAlign w:val="bottom"/>
            <w:shd w:val="clear" w:color="auto" w:fill="FDFDFD"/>
          </w:tcPr>
          <w:p>
            <w:pPr>
              <w:spacing w:after="0"/>
              <w:rPr>
                <w:sz w:val="22"/>
                <w:szCs w:val="22"/>
                <w:color w:val="auto"/>
              </w:rPr>
            </w:pPr>
          </w:p>
        </w:tc>
        <w:tc>
          <w:tcPr>
            <w:tcW w:w="166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160" w:type="dxa"/>
            <w:vAlign w:val="bottom"/>
            <w:shd w:val="clear" w:color="auto" w:fill="FDFDFD"/>
          </w:tcPr>
          <w:p>
            <w:pPr>
              <w:spacing w:after="0"/>
              <w:rPr>
                <w:sz w:val="22"/>
                <w:szCs w:val="22"/>
                <w:color w:val="auto"/>
              </w:rPr>
            </w:pPr>
          </w:p>
        </w:tc>
        <w:tc>
          <w:tcPr>
            <w:tcW w:w="220" w:type="dxa"/>
            <w:vAlign w:val="bottom"/>
            <w:shd w:val="clear" w:color="auto" w:fill="FDFDFD"/>
          </w:tcPr>
          <w:p>
            <w:pPr>
              <w:spacing w:after="0"/>
              <w:rPr>
                <w:sz w:val="22"/>
                <w:szCs w:val="22"/>
                <w:color w:val="auto"/>
              </w:rPr>
            </w:pPr>
          </w:p>
        </w:tc>
        <w:tc>
          <w:tcPr>
            <w:tcW w:w="170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980" w:right="80" w:hanging="483"/>
        <w:spacing w:after="0" w:line="249" w:lineRule="auto"/>
        <w:tabs>
          <w:tab w:leader="none" w:pos="9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7, 2024, our board of directors announced a stock repurchase program (the “Repurchase Program”) of our Class A Common Stock authorizing up to $20.0 million in share repurchases. The Repurchase Program expires on December 31, 2024. Repurchases may be effected, from time to time, either on the open market (including pre-set trading plans), in privately negotiated transactions, and other transactions in accordance with applicable securities laws.</w:t>
      </w:r>
    </w:p>
    <w:p>
      <w:pPr>
        <w:spacing w:after="0" w:line="76" w:lineRule="exact"/>
        <w:rPr>
          <w:rFonts w:ascii="Times New Roman" w:cs="Times New Roman" w:eastAsia="Times New Roman" w:hAnsi="Times New Roman"/>
          <w:sz w:val="20"/>
          <w:szCs w:val="20"/>
          <w:color w:val="auto"/>
        </w:rPr>
      </w:pPr>
    </w:p>
    <w:p>
      <w:pPr>
        <w:ind w:left="980" w:right="60" w:hanging="483"/>
        <w:spacing w:after="0" w:line="247" w:lineRule="auto"/>
        <w:tabs>
          <w:tab w:leader="none" w:pos="9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November 1, 2024, our board of directors announced a stock repurchase program (the “2025 Repurchase Program”) of our Class A Common Stock authorizing up to $100.0 million in share repurchases. The Repurchase Program expires on December 31, 2025 and takes effect upon the expiration or completion of our previously announced $20.0 million Repurchase Program. Repurchases may be effected, from time to time, either on the open market (including pre-set trading plans), in privately negotiated transactions, and other transactions in accordance with applicable securities laws.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Proceeds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0" w:orient="portrait"/>
          <w:cols w:equalWidth="0" w:num="1">
            <w:col w:w="10240"/>
          </w:cols>
          <w:pgMar w:left="820" w:top="80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240"/>
          </w:cols>
          <w:pgMar w:left="820" w:top="803" w:right="82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The following discussion includes a comparison of our results of operations, financial condition, and liquidity and capital resources for fiscal years 2024, 2023 and 2022. This discussion is provided as a supplement to, and should be read in conjunction with, our consolidated financial statements and accompanying Notes to the Financial Statements found in Part II, Item 8 of this Form 10-K. It contains forward-looking statements that involve risks and uncertainties and our actual results may differ materially from those discussed. Factors that could cause or contribute to these differences include, but are not limited to, those identified below and those discussed in “Risk Factors” under Part I, Item 1A of this Annual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3"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approximately 2,500 customers as of December 31, 2024. We generally define a customer as a company that maintains one or more active paid subscriptions to our platform.</w:t>
      </w:r>
    </w:p>
    <w:p>
      <w:pPr>
        <w:spacing w:after="0" w:line="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We sell into three end markets: Life Sciences, Provider, and Diversified. Life Sciences is made up of biopharmaceutical and medical device companies; Providers are the healthcare providers; and Diversified includes healthcare information technology companies and other organizations seeking commercial success in the attractive but complex healthcare ecosystem, such as staffing firms, commercial real estate firms, and financial institutions. Within these organizations, our platform is leveraged by a broad set of functional groups, including sales, marketing, clinical research and product development, strategy, talent acquisition, and physician network management. We offer access to our platform on a subscription basis, and we generate substantially all of our revenue from subscription fees.</w:t>
      </w:r>
    </w:p>
    <w:p>
      <w:pPr>
        <w:spacing w:after="0" w:line="80"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70"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We believe 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118"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auto"/>
        </w:rPr>
        <w:t>On January 16, 2024, we completed the purchase of assets comprising the Carevoyance business line of H1 Insights, Inc., a product that helps medical technology (“MedTech”) customers to improve segmentation, targeting, and prospect engagement for $13.7 million, subject to closing adjustments. We finalized the purchase price allocations of the Carevoyance acquisition during the fourth quarter of 2024.</w:t>
      </w:r>
    </w:p>
    <w:p>
      <w:pPr>
        <w:spacing w:after="0" w:line="7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 xml:space="preserve">On July 21, 2023, we completed the acquisition of Populi, Inc. (“Populi”), a provider-focused data and analytics company that works with healthcare organizations to optimize physician relationships, reduce network leakage, and expand market share, for total consideration of $54.1 million, consisting of approximately $46.4 million of cash paid at closing, a $0.1 million reimbursement from sellers for working capital adjustments, and up to $28.0 million of contingent consideration, with an initial estimated fair value of $7.8 million, subject to meeting certain revenue metrics during calendar years 2024 and 2025. We finalized the purchase price allocations of the Populi acquisition during the first quarter of 2024. See Note 3. </w:t>
      </w:r>
      <w:r>
        <w:rPr>
          <w:rFonts w:ascii="Times New Roman" w:cs="Times New Roman" w:eastAsia="Times New Roman" w:hAnsi="Times New Roman"/>
          <w:sz w:val="20"/>
          <w:szCs w:val="20"/>
          <w:i w:val="1"/>
          <w:iCs w:val="1"/>
          <w:color w:val="auto"/>
        </w:rPr>
        <w:t>Acquisitions</w:t>
      </w:r>
      <w:r>
        <w:rPr>
          <w:rFonts w:ascii="Times New Roman" w:cs="Times New Roman" w:eastAsia="Times New Roman" w:hAnsi="Times New Roman"/>
          <w:sz w:val="20"/>
          <w:szCs w:val="20"/>
          <w:color w:val="auto"/>
        </w:rPr>
        <w:t xml:space="preserve"> in the accompanying consolidated financial statements.</w:t>
      </w:r>
    </w:p>
    <w:p>
      <w:pPr>
        <w:sectPr>
          <w:pgSz w:w="11880" w:h="15480" w:orient="portrait"/>
          <w:cols w:equalWidth="0" w:num="1">
            <w:col w:w="10200"/>
          </w:cols>
          <w:pgMar w:left="820" w:top="80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200"/>
          </w:cols>
          <w:pgMar w:left="820" w:top="803" w:right="86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w:t>
      </w:r>
    </w:p>
    <w:p>
      <w:pPr>
        <w:spacing w:after="0" w:line="11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Recently, we have experienced declines in our market capitalization as a result of sustained decreases in our stock price, which represented triggering events requiring our management to perform quantitative goodwill impairment tests. As a result of each impairment test, we determined that the fair value of our single reporting unit was lower than its carrying value and, accordingly, recorded non-cash, pre-tax, goodwill impairment charges of $688.9 million and $287.4 million during the years ended December 31, 2024 and 2023, respectively. The goodwill impairment charges did not affect our liquidity or the financial covenants in our outstanding debt agreement.</w:t>
      </w:r>
    </w:p>
    <w:p>
      <w:pPr>
        <w:spacing w:after="0" w:line="80" w:lineRule="exact"/>
        <w:rPr>
          <w:sz w:val="20"/>
          <w:szCs w:val="20"/>
          <w:color w:val="auto"/>
        </w:rPr>
      </w:pPr>
    </w:p>
    <w:p>
      <w:pPr>
        <w:ind w:right="440" w:firstLine="490"/>
        <w:spacing w:after="0" w:line="259" w:lineRule="auto"/>
        <w:rPr>
          <w:sz w:val="20"/>
          <w:szCs w:val="20"/>
          <w:color w:val="auto"/>
        </w:rPr>
      </w:pPr>
      <w:r>
        <w:rPr>
          <w:rFonts w:ascii="Times New Roman" w:cs="Times New Roman" w:eastAsia="Times New Roman" w:hAnsi="Times New Roman"/>
          <w:sz w:val="20"/>
          <w:szCs w:val="20"/>
          <w:color w:val="auto"/>
        </w:rPr>
        <w:t xml:space="preserve">We will continue to monitor for potential impairment should impairment indicators arise. See Note 9. </w:t>
      </w:r>
      <w:r>
        <w:rPr>
          <w:rFonts w:ascii="Times New Roman" w:cs="Times New Roman" w:eastAsia="Times New Roman" w:hAnsi="Times New Roman"/>
          <w:sz w:val="20"/>
          <w:szCs w:val="20"/>
          <w:i w:val="1"/>
          <w:iCs w:val="1"/>
          <w:color w:val="auto"/>
        </w:rPr>
        <w:t>Goodwill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Intangible Assets </w:t>
      </w:r>
      <w:r>
        <w:rPr>
          <w:rFonts w:ascii="Times New Roman" w:cs="Times New Roman" w:eastAsia="Times New Roman" w:hAnsi="Times New Roman"/>
          <w:sz w:val="20"/>
          <w:szCs w:val="20"/>
          <w:color w:val="auto"/>
        </w:rPr>
        <w:t>in the accompanying consolidated financial statements. Our reporting unit is at risk for future goodwill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impairments if we experience a continued decline in our market capitalization or worsening macroeconomic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Charges</w:t>
      </w:r>
    </w:p>
    <w:p>
      <w:pPr>
        <w:spacing w:after="0" w:line="11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During the first quarter of 2024, we committed to a restructuring plan intended to reduce operating costs, improve operating margins, and continue advancing our ongoing commitment to profitable growth (the “2024 Restructuring Plan”). The 2024 Restructuring Plan provided for a reduction of the Company’s current workforce by approximately 150 people. During the year ended December 31, 2024, we incurred restructuring and related charges of $8.1 million, consisting primarily of severance payments, employee benefits, and related cash expenses. These charges were recognized within transaction, integration, and restructuring expenses in our consolidated statements of operations. We do not expect to incur any additional material charges associated with the 2024 Restructuring Plan.</w:t>
      </w:r>
    </w:p>
    <w:p>
      <w:pPr>
        <w:spacing w:after="0" w:line="80" w:lineRule="exact"/>
        <w:rPr>
          <w:sz w:val="20"/>
          <w:szCs w:val="20"/>
          <w:color w:val="auto"/>
        </w:rPr>
      </w:pPr>
    </w:p>
    <w:p>
      <w:pPr>
        <w:ind w:right="200" w:firstLine="490"/>
        <w:spacing w:after="0" w:line="253" w:lineRule="auto"/>
        <w:rPr>
          <w:sz w:val="20"/>
          <w:szCs w:val="20"/>
          <w:color w:val="auto"/>
        </w:rPr>
      </w:pPr>
      <w:r>
        <w:rPr>
          <w:rFonts w:ascii="Times New Roman" w:cs="Times New Roman" w:eastAsia="Times New Roman" w:hAnsi="Times New Roman"/>
          <w:sz w:val="20"/>
          <w:szCs w:val="20"/>
          <w:color w:val="auto"/>
        </w:rPr>
        <w:t>During the year ended 2024, we consolidated certain leased office space at our corporate headquarters and, as a result, recorded impairment charges of $1.2 million, comprised of $0.9 million related to the operating lease right-of-use asset and $0.3 million related to leasehold improvements. These non-cash charges were recognized within transaction, integration, and restructuring expenses in our consolidated statements of operations.</w:t>
      </w:r>
    </w:p>
    <w:p>
      <w:pPr>
        <w:spacing w:after="0" w:line="7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During the first and third quarters of 2023, we committed to restructuring plans intended to reduce operating costs, improve operating margins, and continue advancing our ongoing commitment to profitable growth by reducing our workforce by approximately 100 people and, as a result, incurred restructuring and related charges of $4.7 million during the year ended December 31, 2023. These charges consisted primarily of severance payments, employee benefits, and related cash expenses. These charges were recognized within Transaction, integration, and restructuring expenses in the accompanying consolidated statement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Execution Challenges</w:t>
      </w:r>
    </w:p>
    <w:p>
      <w:pPr>
        <w:spacing w:after="0" w:line="118"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auto"/>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coupled with continued macroeconomic headwinds, disrupted our sales efforts throughout 2024 impacting both new customer acquisition and upsell to existing customers and also causing heightened customer churn. As we moved through 2024, we did not see subscription renewals return to historical levels. Based on these impacts, we expect our revenue to decline in 2025 compared with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Transitions</w:t>
      </w:r>
    </w:p>
    <w:p>
      <w:pPr>
        <w:spacing w:after="0" w:line="118"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We have had significant executive transitions in 2024. On November 7, 2024, the Company announced that, following discussions regarding the scope of the role of Chief Financial Officer, Richard Booth, the Company’s Chief Financial Officer, and the Company agreed that Mr. Booth will be leaving the Company effective June 1, 2025. After a thorough search process, our board of directors appointed Casey Heller, our current Senior Vice President of Finance, to the role of Chief Financial Officer effective on June 2, 2025.</w:t>
      </w:r>
    </w:p>
    <w:p>
      <w:pPr>
        <w:sectPr>
          <w:pgSz w:w="11880" w:h="15480" w:orient="portrait"/>
          <w:cols w:equalWidth="0" w:num="1">
            <w:col w:w="10200"/>
          </w:cols>
          <w:pgMar w:left="820" w:top="8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200"/>
          </w:cols>
          <w:pgMar w:left="820" w:top="808" w:right="86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Macroeconomic Conditions</w:t>
      </w:r>
    </w:p>
    <w:p>
      <w:pPr>
        <w:spacing w:after="0" w:line="123"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Our current and prospective customers and their business spendings are impacted by difficult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for smaller customers and in the Life Science market. This churn has impacted our revenue growth since 2023, and we expect this will continue to have an impact on our growth into fiscal year 2025.</w:t>
      </w:r>
    </w:p>
    <w:p>
      <w:pPr>
        <w:spacing w:after="0" w:line="80" w:lineRule="exact"/>
        <w:rPr>
          <w:sz w:val="20"/>
          <w:szCs w:val="20"/>
          <w:color w:val="auto"/>
        </w:rPr>
      </w:pPr>
    </w:p>
    <w:p>
      <w:pPr>
        <w:ind w:right="120" w:firstLine="540"/>
        <w:spacing w:after="0" w:line="244" w:lineRule="auto"/>
        <w:rPr>
          <w:sz w:val="20"/>
          <w:szCs w:val="20"/>
          <w:color w:val="auto"/>
        </w:rPr>
      </w:pPr>
      <w:r>
        <w:rPr>
          <w:rFonts w:ascii="Times New Roman" w:cs="Times New Roman" w:eastAsia="Times New Roman" w:hAnsi="Times New Roman"/>
          <w:sz w:val="20"/>
          <w:szCs w:val="20"/>
          <w:color w:val="auto"/>
        </w:rPr>
        <w:t>As a corporation with a global footprint, we are subject to risks and exposures caused by significant events and their macroeconomic impacts, including, but not limited to, the Russia-Ukraine war, the conflict in Israel and surrounding areas, global geopolitical and trade tensions and more recently, inflation and high interest rates, volatility in the capital markets, liquidity concerns at, and failures of, banks and other financial institutions,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p>
    <w:p>
      <w:pPr>
        <w:spacing w:after="0" w:line="86" w:lineRule="exact"/>
        <w:rPr>
          <w:sz w:val="20"/>
          <w:szCs w:val="20"/>
          <w:color w:val="auto"/>
        </w:rPr>
      </w:pPr>
    </w:p>
    <w:p>
      <w:pPr>
        <w:ind w:right="280" w:firstLine="490"/>
        <w:spacing w:after="0" w:line="253" w:lineRule="auto"/>
        <w:rPr>
          <w:sz w:val="20"/>
          <w:szCs w:val="20"/>
          <w:color w:val="auto"/>
        </w:rPr>
      </w:pPr>
      <w:r>
        <w:rPr>
          <w:rFonts w:ascii="Times New Roman" w:cs="Times New Roman" w:eastAsia="Times New Roman" w:hAnsi="Times New Roman"/>
          <w:sz w:val="20"/>
          <w:szCs w:val="20"/>
          <w:color w:val="auto"/>
        </w:rPr>
        <w:t>We have been observing changes in the healthcare claims data market as a result of data source disruption earlier in calendar year 2024, including how data providers are reviewing pricing, data availability, and use terms, all of which may negatively impact the prices at which we acquire such data. We are continuing to evaluate these and other past and potential future direct and indirect impacts on our business and results of operations.</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220"/>
          </w:cols>
          <w:pgMar w:left="820" w:top="803" w:right="84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believe that the growth and future success of our business depend on many factors, including the following: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Acquiring New Customers</w:t>
      </w:r>
    </w:p>
    <w:p>
      <w:pPr>
        <w:spacing w:after="0" w:line="11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We plan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Annual Recurring Revenue (“ARR”), which we refer to as “Enterprise Customers”, represent the majority of our ARR and are a key focus of our go-to-market programs.</w:t>
      </w:r>
    </w:p>
    <w:p>
      <w:pPr>
        <w:spacing w:after="0" w:line="80"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In the second quarter of 2024, we completed a project to refresh our customer hierarchy methodology to reflect industry consolidation and to better reflect our go-to-market strategy as we increased resources and focus on Enterprise Customers. In some cases, this consolidated certain existing customer legal entities under larger parent accounts, and therefore reduced total customer count. As a result, our customer counts are not directly comparable to previously reported values and prior year customer counts have been revised to also reflect the updated customer hierarchy methodology. We believe this view of customer counts better reflects our updated selling and go-to-market strategy. Using the updated methodology, our total customer count, which includes smaller customers, was approximately 2,500 as of December 31, 2024 compared with approximately 2,750 customers as of December 31, 2023. Our smaller customers have churned at disproportionately higher rates, primarily due to current macroeconomic conditions.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table below presents the customer counts under the former and updated methodologies for the periods ended:</w:t>
      </w:r>
    </w:p>
    <w:p>
      <w:pPr>
        <w:spacing w:after="0" w:line="24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Total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492240" cy="140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2240" cy="14033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00" w:type="dxa"/>
            <w:vAlign w:val="bottom"/>
            <w:tcBorders>
              <w:top w:val="single" w:sz="8" w:color="E3E3E3"/>
            </w:tcBorders>
            <w:shd w:val="clear" w:color="auto" w:fill="E3E3E3"/>
          </w:tcPr>
          <w:p>
            <w:pPr>
              <w:spacing w:after="0"/>
              <w:rPr>
                <w:sz w:val="14"/>
                <w:szCs w:val="14"/>
                <w:color w:val="auto"/>
              </w:rPr>
            </w:pPr>
          </w:p>
        </w:tc>
        <w:tc>
          <w:tcPr>
            <w:tcW w:w="1060" w:type="dxa"/>
            <w:vAlign w:val="bottom"/>
            <w:tcBorders>
              <w:top w:val="single" w:sz="8" w:color="auto"/>
            </w:tcBorders>
            <w:shd w:val="clear" w:color="auto" w:fill="E3E3E3"/>
          </w:tcPr>
          <w:p>
            <w:pPr>
              <w:spacing w:after="0"/>
              <w:rPr>
                <w:sz w:val="14"/>
                <w:szCs w:val="14"/>
                <w:color w:val="auto"/>
              </w:rPr>
            </w:pPr>
          </w:p>
        </w:tc>
        <w:tc>
          <w:tcPr>
            <w:tcW w:w="120" w:type="dxa"/>
            <w:vAlign w:val="bottom"/>
            <w:tcBorders>
              <w:top w:val="single" w:sz="8" w:color="auto"/>
            </w:tcBorders>
            <w:shd w:val="clear" w:color="auto" w:fill="E3E3E3"/>
          </w:tcPr>
          <w:p>
            <w:pPr>
              <w:spacing w:after="0"/>
              <w:rPr>
                <w:sz w:val="14"/>
                <w:szCs w:val="14"/>
                <w:color w:val="auto"/>
              </w:rPr>
            </w:pPr>
          </w:p>
        </w:tc>
        <w:tc>
          <w:tcPr>
            <w:tcW w:w="1080" w:type="dxa"/>
            <w:vAlign w:val="bottom"/>
            <w:tcBorders>
              <w:top w:val="single" w:sz="8" w:color="auto"/>
            </w:tcBorders>
            <w:shd w:val="clear" w:color="auto" w:fill="E3E3E3"/>
          </w:tcPr>
          <w:p>
            <w:pPr>
              <w:spacing w:after="0"/>
              <w:rPr>
                <w:sz w:val="14"/>
                <w:szCs w:val="14"/>
                <w:color w:val="auto"/>
              </w:rPr>
            </w:pPr>
          </w:p>
        </w:tc>
        <w:tc>
          <w:tcPr>
            <w:tcW w:w="100" w:type="dxa"/>
            <w:vAlign w:val="bottom"/>
            <w:tcBorders>
              <w:top w:val="single" w:sz="8" w:color="auto"/>
            </w:tcBorders>
            <w:shd w:val="clear" w:color="auto" w:fill="E3E3E3"/>
          </w:tcPr>
          <w:p>
            <w:pPr>
              <w:spacing w:after="0"/>
              <w:rPr>
                <w:sz w:val="14"/>
                <w:szCs w:val="14"/>
                <w:color w:val="auto"/>
              </w:rPr>
            </w:pPr>
          </w:p>
        </w:tc>
        <w:tc>
          <w:tcPr>
            <w:tcW w:w="1080" w:type="dxa"/>
            <w:vAlign w:val="bottom"/>
            <w:tcBorders>
              <w:top w:val="single" w:sz="8" w:color="auto"/>
            </w:tcBorders>
            <w:shd w:val="clear" w:color="auto" w:fill="E3E3E3"/>
          </w:tcPr>
          <w:p>
            <w:pPr>
              <w:spacing w:after="0"/>
              <w:rPr>
                <w:sz w:val="14"/>
                <w:szCs w:val="14"/>
                <w:color w:val="auto"/>
              </w:rPr>
            </w:pPr>
          </w:p>
        </w:tc>
        <w:tc>
          <w:tcPr>
            <w:tcW w:w="100" w:type="dxa"/>
            <w:vAlign w:val="bottom"/>
            <w:tcBorders>
              <w:top w:val="single" w:sz="8" w:color="auto"/>
            </w:tcBorders>
            <w:shd w:val="clear" w:color="auto" w:fill="E3E3E3"/>
          </w:tcPr>
          <w:p>
            <w:pPr>
              <w:spacing w:after="0"/>
              <w:rPr>
                <w:sz w:val="14"/>
                <w:szCs w:val="14"/>
                <w:color w:val="auto"/>
              </w:rPr>
            </w:pPr>
          </w:p>
        </w:tc>
        <w:tc>
          <w:tcPr>
            <w:tcW w:w="1080" w:type="dxa"/>
            <w:vAlign w:val="bottom"/>
            <w:tcBorders>
              <w:top w:val="single" w:sz="8" w:color="auto"/>
            </w:tcBorders>
            <w:shd w:val="clear" w:color="auto" w:fill="E3E3E3"/>
          </w:tcPr>
          <w:p>
            <w:pPr>
              <w:spacing w:after="0"/>
              <w:rPr>
                <w:sz w:val="14"/>
                <w:szCs w:val="14"/>
                <w:color w:val="auto"/>
              </w:rPr>
            </w:pPr>
          </w:p>
        </w:tc>
        <w:tc>
          <w:tcPr>
            <w:tcW w:w="100" w:type="dxa"/>
            <w:vAlign w:val="bottom"/>
            <w:tcBorders>
              <w:top w:val="single" w:sz="8" w:color="auto"/>
            </w:tcBorders>
            <w:shd w:val="clear" w:color="auto" w:fill="E3E3E3"/>
          </w:tcPr>
          <w:p>
            <w:pPr>
              <w:spacing w:after="0"/>
              <w:rPr>
                <w:sz w:val="14"/>
                <w:szCs w:val="14"/>
                <w:color w:val="auto"/>
              </w:rPr>
            </w:pPr>
          </w:p>
        </w:tc>
        <w:tc>
          <w:tcPr>
            <w:tcW w:w="1040" w:type="dxa"/>
            <w:vAlign w:val="bottom"/>
            <w:tcBorders>
              <w:top w:val="single" w:sz="8" w:color="auto"/>
            </w:tcBorders>
            <w:shd w:val="clear" w:color="auto" w:fill="E3E3E3"/>
          </w:tcPr>
          <w:p>
            <w:pPr>
              <w:spacing w:after="0"/>
              <w:rPr>
                <w:sz w:val="14"/>
                <w:szCs w:val="14"/>
                <w:color w:val="auto"/>
              </w:rPr>
            </w:pPr>
          </w:p>
        </w:tc>
        <w:tc>
          <w:tcPr>
            <w:tcW w:w="100" w:type="dxa"/>
            <w:vAlign w:val="bottom"/>
            <w:tcBorders>
              <w:top w:val="single" w:sz="8" w:color="auto"/>
            </w:tcBorders>
            <w:shd w:val="clear" w:color="auto" w:fill="E3E3E3"/>
          </w:tcPr>
          <w:p>
            <w:pPr>
              <w:spacing w:after="0"/>
              <w:rPr>
                <w:sz w:val="14"/>
                <w:szCs w:val="14"/>
                <w:color w:val="auto"/>
              </w:rPr>
            </w:pPr>
          </w:p>
        </w:tc>
        <w:tc>
          <w:tcPr>
            <w:tcW w:w="980" w:type="dxa"/>
            <w:vAlign w:val="bottom"/>
            <w:tcBorders>
              <w:top w:val="single" w:sz="8" w:color="auto"/>
            </w:tcBorders>
            <w:shd w:val="clear" w:color="auto" w:fill="E3E3E3"/>
          </w:tcPr>
          <w:p>
            <w:pPr>
              <w:spacing w:after="0"/>
              <w:rPr>
                <w:sz w:val="14"/>
                <w:szCs w:val="14"/>
                <w:color w:val="auto"/>
              </w:rPr>
            </w:pPr>
          </w:p>
        </w:tc>
        <w:tc>
          <w:tcPr>
            <w:tcW w:w="100" w:type="dxa"/>
            <w:vAlign w:val="bottom"/>
            <w:tcBorders>
              <w:top w:val="single" w:sz="8" w:color="auto"/>
            </w:tcBorders>
            <w:shd w:val="clear" w:color="auto" w:fill="E3E3E3"/>
          </w:tcPr>
          <w:p>
            <w:pPr>
              <w:spacing w:after="0"/>
              <w:rPr>
                <w:sz w:val="14"/>
                <w:szCs w:val="14"/>
                <w:color w:val="auto"/>
              </w:rPr>
            </w:pPr>
          </w:p>
        </w:tc>
        <w:tc>
          <w:tcPr>
            <w:tcW w:w="100" w:type="dxa"/>
            <w:vAlign w:val="bottom"/>
            <w:tcBorders>
              <w:top w:val="single" w:sz="8" w:color="auto"/>
            </w:tcBorders>
            <w:shd w:val="clear" w:color="auto" w:fill="E3E3E3"/>
          </w:tcPr>
          <w:p>
            <w:pPr>
              <w:spacing w:after="0"/>
              <w:rPr>
                <w:sz w:val="14"/>
                <w:szCs w:val="14"/>
                <w:color w:val="auto"/>
              </w:rPr>
            </w:pPr>
          </w:p>
        </w:tc>
        <w:tc>
          <w:tcPr>
            <w:tcW w:w="980" w:type="dxa"/>
            <w:vAlign w:val="bottom"/>
            <w:tcBorders>
              <w:top w:val="single" w:sz="8" w:color="auto"/>
            </w:tcBorders>
            <w:shd w:val="clear" w:color="auto" w:fill="E3E3E3"/>
          </w:tcPr>
          <w:p>
            <w:pPr>
              <w:jc w:val="right"/>
              <w:ind w:right="30"/>
              <w:spacing w:after="0" w:line="16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00" w:type="dxa"/>
            <w:vAlign w:val="bottom"/>
            <w:tcBorders>
              <w:top w:val="single" w:sz="8" w:color="auto"/>
            </w:tcBorders>
            <w:shd w:val="clear" w:color="auto" w:fill="E3E3E3"/>
          </w:tcPr>
          <w:p>
            <w:pPr>
              <w:spacing w:after="0"/>
              <w:rPr>
                <w:sz w:val="14"/>
                <w:szCs w:val="14"/>
                <w:color w:val="auto"/>
              </w:rPr>
            </w:pPr>
          </w:p>
        </w:tc>
        <w:tc>
          <w:tcPr>
            <w:tcW w:w="100" w:type="dxa"/>
            <w:vAlign w:val="bottom"/>
            <w:tcBorders>
              <w:top w:val="single" w:sz="8" w:color="auto"/>
            </w:tcBorders>
            <w:shd w:val="clear" w:color="auto" w:fill="E3E3E3"/>
          </w:tcPr>
          <w:p>
            <w:pPr>
              <w:spacing w:after="0"/>
              <w:rPr>
                <w:sz w:val="14"/>
                <w:szCs w:val="14"/>
                <w:color w:val="auto"/>
              </w:rPr>
            </w:pPr>
          </w:p>
        </w:tc>
        <w:tc>
          <w:tcPr>
            <w:tcW w:w="1020" w:type="dxa"/>
            <w:vAlign w:val="bottom"/>
            <w:tcBorders>
              <w:top w:val="single" w:sz="8" w:color="auto"/>
            </w:tcBorders>
            <w:shd w:val="clear" w:color="auto" w:fill="E3E3E3"/>
          </w:tcPr>
          <w:p>
            <w:pPr>
              <w:spacing w:after="0"/>
              <w:rPr>
                <w:sz w:val="14"/>
                <w:szCs w:val="14"/>
                <w:color w:val="auto"/>
              </w:rPr>
            </w:pPr>
          </w:p>
        </w:tc>
        <w:tc>
          <w:tcPr>
            <w:tcW w:w="100" w:type="dxa"/>
            <w:vAlign w:val="bottom"/>
            <w:tcBorders>
              <w:top w:val="single" w:sz="8" w:color="E3E3E3"/>
            </w:tcBorders>
            <w:shd w:val="clear" w:color="auto" w:fill="E3E3E3"/>
          </w:tcPr>
          <w:p>
            <w:pPr>
              <w:spacing w:after="0"/>
              <w:rPr>
                <w:sz w:val="14"/>
                <w:szCs w:val="14"/>
                <w:color w:val="auto"/>
              </w:rPr>
            </w:pPr>
          </w:p>
        </w:tc>
      </w:tr>
      <w:tr>
        <w:trPr>
          <w:trHeight w:val="184"/>
        </w:trPr>
        <w:tc>
          <w:tcPr>
            <w:tcW w:w="900" w:type="dxa"/>
            <w:vAlign w:val="bottom"/>
            <w:shd w:val="clear" w:color="auto" w:fill="E3E3E3"/>
          </w:tcPr>
          <w:p>
            <w:pPr>
              <w:spacing w:after="0"/>
              <w:rPr>
                <w:sz w:val="15"/>
                <w:szCs w:val="15"/>
                <w:color w:val="auto"/>
              </w:rPr>
            </w:pPr>
          </w:p>
        </w:tc>
        <w:tc>
          <w:tcPr>
            <w:tcW w:w="10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shd w:val="clear" w:color="auto" w:fill="E3E3E3"/>
          </w:tcPr>
          <w:p>
            <w:pPr>
              <w:spacing w:after="0"/>
              <w:rPr>
                <w:sz w:val="15"/>
                <w:szCs w:val="15"/>
                <w:color w:val="auto"/>
              </w:rPr>
            </w:pPr>
          </w:p>
        </w:tc>
        <w:tc>
          <w:tcPr>
            <w:tcW w:w="10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shd w:val="clear" w:color="auto" w:fill="E3E3E3"/>
          </w:tcPr>
          <w:p>
            <w:pPr>
              <w:spacing w:after="0"/>
              <w:rPr>
                <w:sz w:val="15"/>
                <w:szCs w:val="15"/>
                <w:color w:val="auto"/>
              </w:rPr>
            </w:pPr>
          </w:p>
        </w:tc>
        <w:tc>
          <w:tcPr>
            <w:tcW w:w="10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0" w:type="dxa"/>
            <w:vAlign w:val="bottom"/>
            <w:shd w:val="clear" w:color="auto" w:fill="E3E3E3"/>
          </w:tcPr>
          <w:p>
            <w:pPr>
              <w:spacing w:after="0"/>
              <w:rPr>
                <w:sz w:val="15"/>
                <w:szCs w:val="15"/>
                <w:color w:val="auto"/>
              </w:rPr>
            </w:pPr>
          </w:p>
        </w:tc>
        <w:tc>
          <w:tcPr>
            <w:tcW w:w="9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0" w:type="dxa"/>
            <w:vAlign w:val="bottom"/>
            <w:shd w:val="clear" w:color="auto" w:fill="E3E3E3"/>
          </w:tcPr>
          <w:p>
            <w:pPr>
              <w:spacing w:after="0"/>
              <w:rPr>
                <w:sz w:val="15"/>
                <w:szCs w:val="15"/>
                <w:color w:val="auto"/>
              </w:rPr>
            </w:pPr>
          </w:p>
        </w:tc>
        <w:tc>
          <w:tcPr>
            <w:tcW w:w="10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0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shd w:val="clear" w:color="auto" w:fill="E3E3E3"/>
          </w:tcPr>
          <w:p>
            <w:pPr>
              <w:spacing w:after="0"/>
              <w:rPr>
                <w:sz w:val="15"/>
                <w:szCs w:val="15"/>
                <w:color w:val="auto"/>
              </w:rPr>
            </w:pPr>
          </w:p>
        </w:tc>
      </w:tr>
      <w:tr>
        <w:trPr>
          <w:trHeight w:val="204"/>
        </w:trPr>
        <w:tc>
          <w:tcPr>
            <w:tcW w:w="900" w:type="dxa"/>
            <w:vAlign w:val="bottom"/>
            <w:shd w:val="clear" w:color="auto" w:fill="E3E3E3"/>
          </w:tcPr>
          <w:p>
            <w:pPr>
              <w:spacing w:after="0"/>
              <w:rPr>
                <w:sz w:val="17"/>
                <w:szCs w:val="17"/>
                <w:color w:val="auto"/>
              </w:rPr>
            </w:pPr>
          </w:p>
        </w:tc>
        <w:tc>
          <w:tcPr>
            <w:tcW w:w="10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0" w:type="dxa"/>
            <w:vAlign w:val="bottom"/>
            <w:gridSpan w:val="2"/>
            <w:shd w:val="clear" w:color="auto" w:fill="E3E3E3"/>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180" w:type="dxa"/>
            <w:vAlign w:val="bottom"/>
            <w:gridSpan w:val="2"/>
            <w:shd w:val="clear" w:color="auto" w:fill="E3E3E3"/>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180" w:type="dxa"/>
            <w:vAlign w:val="bottom"/>
            <w:gridSpan w:val="2"/>
            <w:shd w:val="clear" w:color="auto" w:fill="E3E3E3"/>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140" w:type="dxa"/>
            <w:vAlign w:val="bottom"/>
            <w:gridSpan w:val="2"/>
            <w:shd w:val="clear" w:color="auto" w:fill="E3E3E3"/>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shd w:val="clear" w:color="auto" w:fill="E3E3E3"/>
          </w:tcPr>
          <w:p>
            <w:pPr>
              <w:spacing w:after="0"/>
              <w:rPr>
                <w:sz w:val="17"/>
                <w:szCs w:val="17"/>
                <w:color w:val="auto"/>
              </w:rPr>
            </w:pPr>
          </w:p>
        </w:tc>
        <w:tc>
          <w:tcPr>
            <w:tcW w:w="10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shd w:val="clear" w:color="auto" w:fill="E3E3E3"/>
          </w:tcPr>
          <w:p>
            <w:pPr>
              <w:spacing w:after="0"/>
              <w:rPr>
                <w:sz w:val="17"/>
                <w:szCs w:val="17"/>
                <w:color w:val="auto"/>
              </w:rPr>
            </w:pPr>
          </w:p>
        </w:tc>
        <w:tc>
          <w:tcPr>
            <w:tcW w:w="112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shd w:val="clear" w:color="auto" w:fill="E3E3E3"/>
          </w:tcPr>
          <w:p>
            <w:pPr>
              <w:spacing w:after="0"/>
              <w:rPr>
                <w:sz w:val="17"/>
                <w:szCs w:val="17"/>
                <w:color w:val="auto"/>
              </w:rPr>
            </w:pPr>
          </w:p>
        </w:tc>
      </w:tr>
      <w:tr>
        <w:trPr>
          <w:trHeight w:val="234"/>
        </w:trPr>
        <w:tc>
          <w:tcPr>
            <w:tcW w:w="900" w:type="dxa"/>
            <w:vAlign w:val="bottom"/>
            <w:tcBorders>
              <w:top w:val="single" w:sz="8" w:color="FDFDFD"/>
            </w:tcBorders>
            <w:shd w:val="clear" w:color="auto" w:fill="FDFDFD"/>
          </w:tcPr>
          <w:p>
            <w:pPr>
              <w:spacing w:after="0"/>
              <w:rPr>
                <w:sz w:val="20"/>
                <w:szCs w:val="20"/>
                <w:color w:val="auto"/>
              </w:rPr>
            </w:pPr>
            <w:r>
              <w:rPr>
                <w:rFonts w:ascii="Times New Roman" w:cs="Times New Roman" w:eastAsia="Times New Roman" w:hAnsi="Times New Roman"/>
                <w:sz w:val="18"/>
                <w:szCs w:val="18"/>
                <w:color w:val="auto"/>
              </w:rPr>
              <w:t>Prior</w:t>
            </w:r>
          </w:p>
        </w:tc>
        <w:tc>
          <w:tcPr>
            <w:tcW w:w="106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&gt;3,000</w:t>
            </w:r>
          </w:p>
        </w:tc>
        <w:tc>
          <w:tcPr>
            <w:tcW w:w="120" w:type="dxa"/>
            <w:vAlign w:val="bottom"/>
            <w:tcBorders>
              <w:top w:val="single" w:sz="8" w:color="FDFDFD"/>
            </w:tcBorders>
            <w:shd w:val="clear" w:color="auto" w:fill="FDFDFD"/>
          </w:tcPr>
          <w:p>
            <w:pPr>
              <w:spacing w:after="0"/>
              <w:rPr>
                <w:sz w:val="20"/>
                <w:szCs w:val="20"/>
                <w:color w:val="auto"/>
              </w:rPr>
            </w:pPr>
          </w:p>
        </w:tc>
        <w:tc>
          <w:tcPr>
            <w:tcW w:w="108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top w:val="single" w:sz="8" w:color="FDFDFD"/>
            </w:tcBorders>
            <w:shd w:val="clear" w:color="auto" w:fill="FDFDFD"/>
          </w:tcPr>
          <w:p>
            <w:pPr>
              <w:spacing w:after="0"/>
              <w:rPr>
                <w:sz w:val="20"/>
                <w:szCs w:val="20"/>
                <w:color w:val="auto"/>
              </w:rPr>
            </w:pPr>
          </w:p>
        </w:tc>
        <w:tc>
          <w:tcPr>
            <w:tcW w:w="108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top w:val="single" w:sz="8" w:color="FDFDFD"/>
            </w:tcBorders>
            <w:shd w:val="clear" w:color="auto" w:fill="FDFDFD"/>
          </w:tcPr>
          <w:p>
            <w:pPr>
              <w:spacing w:after="0"/>
              <w:rPr>
                <w:sz w:val="20"/>
                <w:szCs w:val="20"/>
                <w:color w:val="auto"/>
              </w:rPr>
            </w:pPr>
          </w:p>
        </w:tc>
        <w:tc>
          <w:tcPr>
            <w:tcW w:w="108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top w:val="single" w:sz="8" w:color="FDFDFD"/>
            </w:tcBorders>
            <w:shd w:val="clear" w:color="auto" w:fill="FDFDFD"/>
          </w:tcPr>
          <w:p>
            <w:pPr>
              <w:spacing w:after="0"/>
              <w:rPr>
                <w:sz w:val="20"/>
                <w:szCs w:val="20"/>
                <w:color w:val="auto"/>
              </w:rPr>
            </w:pPr>
          </w:p>
        </w:tc>
        <w:tc>
          <w:tcPr>
            <w:tcW w:w="104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Borders>
              <w:top w:val="single" w:sz="8" w:color="FDFDFD"/>
            </w:tcBorders>
            <w:shd w:val="clear" w:color="auto" w:fill="FDFDFD"/>
          </w:tcPr>
          <w:p>
            <w:pPr>
              <w:spacing w:after="0"/>
              <w:rPr>
                <w:sz w:val="20"/>
                <w:szCs w:val="20"/>
                <w:color w:val="auto"/>
              </w:rPr>
            </w:pPr>
          </w:p>
        </w:tc>
        <w:tc>
          <w:tcPr>
            <w:tcW w:w="98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FDFDFD"/>
            </w:tcBorders>
            <w:shd w:val="clear" w:color="auto" w:fill="FDFDFD"/>
          </w:tcPr>
          <w:p>
            <w:pPr>
              <w:spacing w:after="0"/>
              <w:rPr>
                <w:sz w:val="20"/>
                <w:szCs w:val="20"/>
                <w:color w:val="auto"/>
              </w:rPr>
            </w:pPr>
          </w:p>
        </w:tc>
        <w:tc>
          <w:tcPr>
            <w:tcW w:w="100" w:type="dxa"/>
            <w:vAlign w:val="bottom"/>
            <w:tcBorders>
              <w:top w:val="single" w:sz="8" w:color="FDFDFD"/>
            </w:tcBorders>
            <w:shd w:val="clear" w:color="auto" w:fill="FDFDFD"/>
          </w:tcPr>
          <w:p>
            <w:pPr>
              <w:spacing w:after="0"/>
              <w:rPr>
                <w:sz w:val="20"/>
                <w:szCs w:val="20"/>
                <w:color w:val="auto"/>
              </w:rPr>
            </w:pPr>
          </w:p>
        </w:tc>
        <w:tc>
          <w:tcPr>
            <w:tcW w:w="98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FDFDFD"/>
            </w:tcBorders>
            <w:shd w:val="clear" w:color="auto" w:fill="FDFDFD"/>
          </w:tcPr>
          <w:p>
            <w:pPr>
              <w:spacing w:after="0"/>
              <w:rPr>
                <w:sz w:val="20"/>
                <w:szCs w:val="20"/>
                <w:color w:val="auto"/>
              </w:rPr>
            </w:pPr>
          </w:p>
        </w:tc>
        <w:tc>
          <w:tcPr>
            <w:tcW w:w="100" w:type="dxa"/>
            <w:vAlign w:val="bottom"/>
            <w:tcBorders>
              <w:top w:val="single" w:sz="8" w:color="FDFDFD"/>
            </w:tcBorders>
            <w:shd w:val="clear" w:color="auto" w:fill="FDFDFD"/>
          </w:tcPr>
          <w:p>
            <w:pPr>
              <w:spacing w:after="0"/>
              <w:rPr>
                <w:sz w:val="20"/>
                <w:szCs w:val="20"/>
                <w:color w:val="auto"/>
              </w:rPr>
            </w:pPr>
          </w:p>
        </w:tc>
        <w:tc>
          <w:tcPr>
            <w:tcW w:w="102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FDFDFD"/>
            </w:tcBorders>
            <w:shd w:val="clear" w:color="auto" w:fill="FDFDFD"/>
          </w:tcPr>
          <w:p>
            <w:pPr>
              <w:spacing w:after="0"/>
              <w:rPr>
                <w:sz w:val="20"/>
                <w:szCs w:val="20"/>
                <w:color w:val="auto"/>
              </w:rPr>
            </w:pPr>
          </w:p>
        </w:tc>
      </w:tr>
      <w:tr>
        <w:trPr>
          <w:trHeight w:val="221"/>
        </w:trPr>
        <w:tc>
          <w:tcPr>
            <w:tcW w:w="90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color w:val="auto"/>
              </w:rPr>
              <w:t>Updated</w:t>
            </w: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&gt;2,800</w:t>
            </w:r>
          </w:p>
        </w:tc>
        <w:tc>
          <w:tcPr>
            <w:tcW w:w="120" w:type="dxa"/>
            <w:vAlign w:val="bottom"/>
            <w:shd w:val="clear" w:color="auto" w:fill="E3E3E3"/>
          </w:tcPr>
          <w:p>
            <w:pPr>
              <w:spacing w:after="0"/>
              <w:rPr>
                <w:sz w:val="19"/>
                <w:szCs w:val="19"/>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shd w:val="clear" w:color="auto" w:fill="E3E3E3"/>
          </w:tcPr>
          <w:p>
            <w:pPr>
              <w:spacing w:after="0"/>
              <w:rPr>
                <w:sz w:val="19"/>
                <w:szCs w:val="19"/>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E3E3E3"/>
          </w:tcPr>
          <w:p>
            <w:pPr>
              <w:spacing w:after="0"/>
              <w:rPr>
                <w:sz w:val="19"/>
                <w:szCs w:val="19"/>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E3E3E3"/>
          </w:tcPr>
          <w:p>
            <w:pPr>
              <w:spacing w:after="0"/>
              <w:rPr>
                <w:sz w:val="19"/>
                <w:szCs w:val="19"/>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0" w:type="dxa"/>
            <w:vAlign w:val="bottom"/>
            <w:gridSpan w:val="2"/>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00" w:type="dxa"/>
            <w:vAlign w:val="bottom"/>
            <w:gridSpan w:val="2"/>
            <w:shd w:val="clear" w:color="auto" w:fill="E3E3E3"/>
          </w:tcPr>
          <w:p>
            <w:pPr>
              <w:spacing w:after="0"/>
              <w:rPr>
                <w:sz w:val="19"/>
                <w:szCs w:val="19"/>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E3E3E3"/>
          </w:tcPr>
          <w:p>
            <w:pPr>
              <w:spacing w:after="0"/>
              <w:rPr>
                <w:sz w:val="19"/>
                <w:szCs w:val="19"/>
                <w:color w:val="auto"/>
              </w:rPr>
            </w:pPr>
          </w:p>
        </w:tc>
      </w:tr>
      <w:tr>
        <w:trPr>
          <w:trHeight w:val="488"/>
        </w:trPr>
        <w:tc>
          <w:tcPr>
            <w:tcW w:w="900" w:type="dxa"/>
            <w:vAlign w:val="bottom"/>
            <w:tcBorders>
              <w:bottom w:val="single" w:sz="8" w:color="E3E3E3"/>
            </w:tcBorders>
            <w:shd w:val="clear" w:color="auto" w:fill="FDFDFD"/>
          </w:tcPr>
          <w:p>
            <w:pPr>
              <w:spacing w:after="0"/>
              <w:rPr>
                <w:sz w:val="24"/>
                <w:szCs w:val="24"/>
                <w:color w:val="auto"/>
              </w:rPr>
            </w:pPr>
          </w:p>
        </w:tc>
        <w:tc>
          <w:tcPr>
            <w:tcW w:w="1060" w:type="dxa"/>
            <w:vAlign w:val="bottom"/>
            <w:tcBorders>
              <w:bottom w:val="single" w:sz="8" w:color="auto"/>
            </w:tcBorders>
            <w:shd w:val="clear" w:color="auto" w:fill="FDFDFD"/>
          </w:tcPr>
          <w:p>
            <w:pPr>
              <w:spacing w:after="0"/>
              <w:rPr>
                <w:sz w:val="24"/>
                <w:szCs w:val="24"/>
                <w:color w:val="auto"/>
              </w:rPr>
            </w:pPr>
          </w:p>
        </w:tc>
        <w:tc>
          <w:tcPr>
            <w:tcW w:w="120" w:type="dxa"/>
            <w:vAlign w:val="bottom"/>
            <w:tcBorders>
              <w:bottom w:val="single" w:sz="8" w:color="auto"/>
            </w:tcBorders>
            <w:shd w:val="clear" w:color="auto" w:fill="FDFDFD"/>
          </w:tcPr>
          <w:p>
            <w:pPr>
              <w:spacing w:after="0"/>
              <w:rPr>
                <w:sz w:val="24"/>
                <w:szCs w:val="24"/>
                <w:color w:val="auto"/>
              </w:rPr>
            </w:pPr>
          </w:p>
        </w:tc>
        <w:tc>
          <w:tcPr>
            <w:tcW w:w="1080" w:type="dxa"/>
            <w:vAlign w:val="bottom"/>
            <w:tcBorders>
              <w:bottom w:val="single" w:sz="8" w:color="auto"/>
            </w:tcBorders>
            <w:shd w:val="clear" w:color="auto" w:fill="FDFDFD"/>
          </w:tcPr>
          <w:p>
            <w:pPr>
              <w:spacing w:after="0"/>
              <w:rPr>
                <w:sz w:val="24"/>
                <w:szCs w:val="24"/>
                <w:color w:val="auto"/>
              </w:rPr>
            </w:pPr>
          </w:p>
        </w:tc>
        <w:tc>
          <w:tcPr>
            <w:tcW w:w="100" w:type="dxa"/>
            <w:vAlign w:val="bottom"/>
            <w:tcBorders>
              <w:bottom w:val="single" w:sz="8" w:color="auto"/>
            </w:tcBorders>
            <w:shd w:val="clear" w:color="auto" w:fill="FDFDFD"/>
          </w:tcPr>
          <w:p>
            <w:pPr>
              <w:spacing w:after="0"/>
              <w:rPr>
                <w:sz w:val="24"/>
                <w:szCs w:val="24"/>
                <w:color w:val="auto"/>
              </w:rPr>
            </w:pPr>
          </w:p>
        </w:tc>
        <w:tc>
          <w:tcPr>
            <w:tcW w:w="1080" w:type="dxa"/>
            <w:vAlign w:val="bottom"/>
            <w:tcBorders>
              <w:bottom w:val="single" w:sz="8" w:color="auto"/>
            </w:tcBorders>
            <w:shd w:val="clear" w:color="auto" w:fill="FDFDFD"/>
          </w:tcPr>
          <w:p>
            <w:pPr>
              <w:spacing w:after="0"/>
              <w:rPr>
                <w:sz w:val="24"/>
                <w:szCs w:val="24"/>
                <w:color w:val="auto"/>
              </w:rPr>
            </w:pPr>
          </w:p>
        </w:tc>
        <w:tc>
          <w:tcPr>
            <w:tcW w:w="100" w:type="dxa"/>
            <w:vAlign w:val="bottom"/>
            <w:tcBorders>
              <w:bottom w:val="single" w:sz="8" w:color="auto"/>
            </w:tcBorders>
            <w:shd w:val="clear" w:color="auto" w:fill="FDFDFD"/>
          </w:tcPr>
          <w:p>
            <w:pPr>
              <w:spacing w:after="0"/>
              <w:rPr>
                <w:sz w:val="24"/>
                <w:szCs w:val="24"/>
                <w:color w:val="auto"/>
              </w:rPr>
            </w:pPr>
          </w:p>
        </w:tc>
        <w:tc>
          <w:tcPr>
            <w:tcW w:w="2220" w:type="dxa"/>
            <w:vAlign w:val="bottom"/>
            <w:tcBorders>
              <w:bottom w:val="single" w:sz="8" w:color="auto"/>
            </w:tcBorders>
            <w:gridSpan w:val="3"/>
            <w:shd w:val="clear" w:color="auto" w:fill="FDFDFD"/>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Enterprise Customers</w:t>
            </w:r>
          </w:p>
        </w:tc>
        <w:tc>
          <w:tcPr>
            <w:tcW w:w="100" w:type="dxa"/>
            <w:vAlign w:val="bottom"/>
            <w:tcBorders>
              <w:bottom w:val="single" w:sz="8" w:color="auto"/>
            </w:tcBorders>
            <w:shd w:val="clear" w:color="auto" w:fill="FDFDFD"/>
          </w:tcPr>
          <w:p>
            <w:pPr>
              <w:spacing w:after="0"/>
              <w:rPr>
                <w:sz w:val="24"/>
                <w:szCs w:val="24"/>
                <w:color w:val="auto"/>
              </w:rPr>
            </w:pPr>
          </w:p>
        </w:tc>
        <w:tc>
          <w:tcPr>
            <w:tcW w:w="980" w:type="dxa"/>
            <w:vAlign w:val="bottom"/>
            <w:tcBorders>
              <w:bottom w:val="single" w:sz="8" w:color="auto"/>
            </w:tcBorders>
            <w:shd w:val="clear" w:color="auto" w:fill="FDFDFD"/>
          </w:tcPr>
          <w:p>
            <w:pPr>
              <w:spacing w:after="0"/>
              <w:rPr>
                <w:sz w:val="24"/>
                <w:szCs w:val="24"/>
                <w:color w:val="auto"/>
              </w:rPr>
            </w:pPr>
          </w:p>
        </w:tc>
        <w:tc>
          <w:tcPr>
            <w:tcW w:w="100" w:type="dxa"/>
            <w:vAlign w:val="bottom"/>
            <w:tcBorders>
              <w:bottom w:val="single" w:sz="8" w:color="auto"/>
            </w:tcBorders>
            <w:shd w:val="clear" w:color="auto" w:fill="FDFDFD"/>
          </w:tcPr>
          <w:p>
            <w:pPr>
              <w:spacing w:after="0"/>
              <w:rPr>
                <w:sz w:val="24"/>
                <w:szCs w:val="24"/>
                <w:color w:val="auto"/>
              </w:rPr>
            </w:pPr>
          </w:p>
        </w:tc>
        <w:tc>
          <w:tcPr>
            <w:tcW w:w="100" w:type="dxa"/>
            <w:vAlign w:val="bottom"/>
            <w:tcBorders>
              <w:bottom w:val="single" w:sz="8" w:color="auto"/>
            </w:tcBorders>
            <w:shd w:val="clear" w:color="auto" w:fill="FDFDFD"/>
          </w:tcPr>
          <w:p>
            <w:pPr>
              <w:spacing w:after="0"/>
              <w:rPr>
                <w:sz w:val="24"/>
                <w:szCs w:val="24"/>
                <w:color w:val="auto"/>
              </w:rPr>
            </w:pPr>
          </w:p>
        </w:tc>
        <w:tc>
          <w:tcPr>
            <w:tcW w:w="980" w:type="dxa"/>
            <w:vAlign w:val="bottom"/>
            <w:tcBorders>
              <w:bottom w:val="single" w:sz="8" w:color="auto"/>
            </w:tcBorders>
            <w:shd w:val="clear" w:color="auto" w:fill="FDFDFD"/>
          </w:tcPr>
          <w:p>
            <w:pPr>
              <w:spacing w:after="0"/>
              <w:rPr>
                <w:sz w:val="24"/>
                <w:szCs w:val="24"/>
                <w:color w:val="auto"/>
              </w:rPr>
            </w:pPr>
          </w:p>
        </w:tc>
        <w:tc>
          <w:tcPr>
            <w:tcW w:w="100" w:type="dxa"/>
            <w:vAlign w:val="bottom"/>
            <w:tcBorders>
              <w:bottom w:val="single" w:sz="8" w:color="auto"/>
            </w:tcBorders>
            <w:shd w:val="clear" w:color="auto" w:fill="FDFDFD"/>
          </w:tcPr>
          <w:p>
            <w:pPr>
              <w:spacing w:after="0"/>
              <w:rPr>
                <w:sz w:val="24"/>
                <w:szCs w:val="24"/>
                <w:color w:val="auto"/>
              </w:rPr>
            </w:pPr>
          </w:p>
        </w:tc>
        <w:tc>
          <w:tcPr>
            <w:tcW w:w="100" w:type="dxa"/>
            <w:vAlign w:val="bottom"/>
            <w:tcBorders>
              <w:bottom w:val="single" w:sz="8" w:color="auto"/>
            </w:tcBorders>
            <w:shd w:val="clear" w:color="auto" w:fill="FDFDFD"/>
          </w:tcPr>
          <w:p>
            <w:pPr>
              <w:spacing w:after="0"/>
              <w:rPr>
                <w:sz w:val="24"/>
                <w:szCs w:val="24"/>
                <w:color w:val="auto"/>
              </w:rPr>
            </w:pPr>
          </w:p>
        </w:tc>
        <w:tc>
          <w:tcPr>
            <w:tcW w:w="1020" w:type="dxa"/>
            <w:vAlign w:val="bottom"/>
            <w:tcBorders>
              <w:bottom w:val="single" w:sz="8" w:color="auto"/>
            </w:tcBorders>
            <w:shd w:val="clear" w:color="auto" w:fill="FDFDFD"/>
          </w:tcPr>
          <w:p>
            <w:pPr>
              <w:spacing w:after="0"/>
              <w:rPr>
                <w:sz w:val="24"/>
                <w:szCs w:val="24"/>
                <w:color w:val="auto"/>
              </w:rPr>
            </w:pPr>
          </w:p>
        </w:tc>
        <w:tc>
          <w:tcPr>
            <w:tcW w:w="100" w:type="dxa"/>
            <w:vAlign w:val="bottom"/>
            <w:tcBorders>
              <w:bottom w:val="single" w:sz="8" w:color="E3E3E3"/>
            </w:tcBorders>
            <w:shd w:val="clear" w:color="auto" w:fill="FDFDFD"/>
          </w:tcPr>
          <w:p>
            <w:pPr>
              <w:spacing w:after="0"/>
              <w:rPr>
                <w:sz w:val="24"/>
                <w:szCs w:val="24"/>
                <w:color w:val="auto"/>
              </w:rPr>
            </w:pPr>
          </w:p>
        </w:tc>
      </w:tr>
      <w:tr>
        <w:trPr>
          <w:trHeight w:val="168"/>
        </w:trPr>
        <w:tc>
          <w:tcPr>
            <w:tcW w:w="900" w:type="dxa"/>
            <w:vAlign w:val="bottom"/>
            <w:shd w:val="clear" w:color="auto" w:fill="E3E3E3"/>
          </w:tcPr>
          <w:p>
            <w:pPr>
              <w:spacing w:after="0"/>
              <w:rPr>
                <w:sz w:val="14"/>
                <w:szCs w:val="14"/>
                <w:color w:val="auto"/>
              </w:rPr>
            </w:pPr>
          </w:p>
        </w:tc>
        <w:tc>
          <w:tcPr>
            <w:tcW w:w="106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108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08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08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04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98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980" w:type="dxa"/>
            <w:vAlign w:val="bottom"/>
            <w:shd w:val="clear" w:color="auto" w:fill="E3E3E3"/>
          </w:tcPr>
          <w:p>
            <w:pPr>
              <w:jc w:val="right"/>
              <w:ind w:right="30"/>
              <w:spacing w:after="0" w:line="16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0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02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r>
      <w:tr>
        <w:trPr>
          <w:trHeight w:val="184"/>
        </w:trPr>
        <w:tc>
          <w:tcPr>
            <w:tcW w:w="900" w:type="dxa"/>
            <w:vAlign w:val="bottom"/>
            <w:shd w:val="clear" w:color="auto" w:fill="E3E3E3"/>
          </w:tcPr>
          <w:p>
            <w:pPr>
              <w:spacing w:after="0"/>
              <w:rPr>
                <w:sz w:val="15"/>
                <w:szCs w:val="15"/>
                <w:color w:val="auto"/>
              </w:rPr>
            </w:pPr>
          </w:p>
        </w:tc>
        <w:tc>
          <w:tcPr>
            <w:tcW w:w="10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shd w:val="clear" w:color="auto" w:fill="E3E3E3"/>
          </w:tcPr>
          <w:p>
            <w:pPr>
              <w:spacing w:after="0"/>
              <w:rPr>
                <w:sz w:val="15"/>
                <w:szCs w:val="15"/>
                <w:color w:val="auto"/>
              </w:rPr>
            </w:pPr>
          </w:p>
        </w:tc>
        <w:tc>
          <w:tcPr>
            <w:tcW w:w="10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shd w:val="clear" w:color="auto" w:fill="E3E3E3"/>
          </w:tcPr>
          <w:p>
            <w:pPr>
              <w:spacing w:after="0"/>
              <w:rPr>
                <w:sz w:val="15"/>
                <w:szCs w:val="15"/>
                <w:color w:val="auto"/>
              </w:rPr>
            </w:pPr>
          </w:p>
        </w:tc>
        <w:tc>
          <w:tcPr>
            <w:tcW w:w="10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0" w:type="dxa"/>
            <w:vAlign w:val="bottom"/>
            <w:shd w:val="clear" w:color="auto" w:fill="E3E3E3"/>
          </w:tcPr>
          <w:p>
            <w:pPr>
              <w:spacing w:after="0"/>
              <w:rPr>
                <w:sz w:val="15"/>
                <w:szCs w:val="15"/>
                <w:color w:val="auto"/>
              </w:rPr>
            </w:pPr>
          </w:p>
        </w:tc>
        <w:tc>
          <w:tcPr>
            <w:tcW w:w="9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0" w:type="dxa"/>
            <w:vAlign w:val="bottom"/>
            <w:shd w:val="clear" w:color="auto" w:fill="E3E3E3"/>
          </w:tcPr>
          <w:p>
            <w:pPr>
              <w:spacing w:after="0"/>
              <w:rPr>
                <w:sz w:val="15"/>
                <w:szCs w:val="15"/>
                <w:color w:val="auto"/>
              </w:rPr>
            </w:pPr>
          </w:p>
        </w:tc>
        <w:tc>
          <w:tcPr>
            <w:tcW w:w="10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0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shd w:val="clear" w:color="auto" w:fill="E3E3E3"/>
          </w:tcPr>
          <w:p>
            <w:pPr>
              <w:spacing w:after="0"/>
              <w:rPr>
                <w:sz w:val="15"/>
                <w:szCs w:val="15"/>
                <w:color w:val="auto"/>
              </w:rPr>
            </w:pPr>
          </w:p>
        </w:tc>
      </w:tr>
      <w:tr>
        <w:trPr>
          <w:trHeight w:val="204"/>
        </w:trPr>
        <w:tc>
          <w:tcPr>
            <w:tcW w:w="900" w:type="dxa"/>
            <w:vAlign w:val="bottom"/>
            <w:shd w:val="clear" w:color="auto" w:fill="E3E3E3"/>
          </w:tcPr>
          <w:p>
            <w:pPr>
              <w:spacing w:after="0"/>
              <w:rPr>
                <w:sz w:val="17"/>
                <w:szCs w:val="17"/>
                <w:color w:val="auto"/>
              </w:rPr>
            </w:pPr>
          </w:p>
        </w:tc>
        <w:tc>
          <w:tcPr>
            <w:tcW w:w="10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0" w:type="dxa"/>
            <w:vAlign w:val="bottom"/>
            <w:gridSpan w:val="2"/>
            <w:shd w:val="clear" w:color="auto" w:fill="E3E3E3"/>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180" w:type="dxa"/>
            <w:vAlign w:val="bottom"/>
            <w:gridSpan w:val="2"/>
            <w:shd w:val="clear" w:color="auto" w:fill="E3E3E3"/>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180" w:type="dxa"/>
            <w:vAlign w:val="bottom"/>
            <w:gridSpan w:val="2"/>
            <w:shd w:val="clear" w:color="auto" w:fill="E3E3E3"/>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140" w:type="dxa"/>
            <w:vAlign w:val="bottom"/>
            <w:gridSpan w:val="2"/>
            <w:shd w:val="clear" w:color="auto" w:fill="E3E3E3"/>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shd w:val="clear" w:color="auto" w:fill="E3E3E3"/>
          </w:tcPr>
          <w:p>
            <w:pPr>
              <w:spacing w:after="0"/>
              <w:rPr>
                <w:sz w:val="17"/>
                <w:szCs w:val="17"/>
                <w:color w:val="auto"/>
              </w:rPr>
            </w:pPr>
          </w:p>
        </w:tc>
        <w:tc>
          <w:tcPr>
            <w:tcW w:w="10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shd w:val="clear" w:color="auto" w:fill="E3E3E3"/>
          </w:tcPr>
          <w:p>
            <w:pPr>
              <w:spacing w:after="0"/>
              <w:rPr>
                <w:sz w:val="17"/>
                <w:szCs w:val="17"/>
                <w:color w:val="auto"/>
              </w:rPr>
            </w:pPr>
          </w:p>
        </w:tc>
        <w:tc>
          <w:tcPr>
            <w:tcW w:w="112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shd w:val="clear" w:color="auto" w:fill="E3E3E3"/>
          </w:tcPr>
          <w:p>
            <w:pPr>
              <w:spacing w:after="0"/>
              <w:rPr>
                <w:sz w:val="17"/>
                <w:szCs w:val="17"/>
                <w:color w:val="auto"/>
              </w:rPr>
            </w:pPr>
          </w:p>
        </w:tc>
      </w:tr>
      <w:tr>
        <w:trPr>
          <w:trHeight w:val="234"/>
        </w:trPr>
        <w:tc>
          <w:tcPr>
            <w:tcW w:w="900" w:type="dxa"/>
            <w:vAlign w:val="bottom"/>
            <w:tcBorders>
              <w:top w:val="single" w:sz="8" w:color="FDFDFD"/>
            </w:tcBorders>
            <w:shd w:val="clear" w:color="auto" w:fill="FDFDFD"/>
          </w:tcPr>
          <w:p>
            <w:pPr>
              <w:spacing w:after="0"/>
              <w:rPr>
                <w:sz w:val="20"/>
                <w:szCs w:val="20"/>
                <w:color w:val="auto"/>
              </w:rPr>
            </w:pPr>
            <w:r>
              <w:rPr>
                <w:rFonts w:ascii="Times New Roman" w:cs="Times New Roman" w:eastAsia="Times New Roman" w:hAnsi="Times New Roman"/>
                <w:sz w:val="18"/>
                <w:szCs w:val="18"/>
                <w:color w:val="auto"/>
              </w:rPr>
              <w:t>Prior</w:t>
            </w:r>
          </w:p>
        </w:tc>
        <w:tc>
          <w:tcPr>
            <w:tcW w:w="106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top w:val="single" w:sz="8" w:color="FDFDFD"/>
            </w:tcBorders>
            <w:shd w:val="clear" w:color="auto" w:fill="FDFDFD"/>
          </w:tcPr>
          <w:p>
            <w:pPr>
              <w:spacing w:after="0"/>
              <w:rPr>
                <w:sz w:val="20"/>
                <w:szCs w:val="20"/>
                <w:color w:val="auto"/>
              </w:rPr>
            </w:pPr>
          </w:p>
        </w:tc>
        <w:tc>
          <w:tcPr>
            <w:tcW w:w="108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top w:val="single" w:sz="8" w:color="FDFDFD"/>
            </w:tcBorders>
            <w:shd w:val="clear" w:color="auto" w:fill="FDFDFD"/>
          </w:tcPr>
          <w:p>
            <w:pPr>
              <w:spacing w:after="0"/>
              <w:rPr>
                <w:sz w:val="20"/>
                <w:szCs w:val="20"/>
                <w:color w:val="auto"/>
              </w:rPr>
            </w:pPr>
          </w:p>
        </w:tc>
        <w:tc>
          <w:tcPr>
            <w:tcW w:w="108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top w:val="single" w:sz="8" w:color="FDFDFD"/>
            </w:tcBorders>
            <w:shd w:val="clear" w:color="auto" w:fill="FDFDFD"/>
          </w:tcPr>
          <w:p>
            <w:pPr>
              <w:spacing w:after="0"/>
              <w:rPr>
                <w:sz w:val="20"/>
                <w:szCs w:val="20"/>
                <w:color w:val="auto"/>
              </w:rPr>
            </w:pPr>
          </w:p>
        </w:tc>
        <w:tc>
          <w:tcPr>
            <w:tcW w:w="108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top w:val="single" w:sz="8" w:color="FDFDFD"/>
            </w:tcBorders>
            <w:shd w:val="clear" w:color="auto" w:fill="FDFDFD"/>
          </w:tcPr>
          <w:p>
            <w:pPr>
              <w:spacing w:after="0"/>
              <w:rPr>
                <w:sz w:val="20"/>
                <w:szCs w:val="20"/>
                <w:color w:val="auto"/>
              </w:rPr>
            </w:pPr>
          </w:p>
        </w:tc>
        <w:tc>
          <w:tcPr>
            <w:tcW w:w="104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top w:val="single" w:sz="8" w:color="FDFDFD"/>
            </w:tcBorders>
            <w:shd w:val="clear" w:color="auto" w:fill="FDFDFD"/>
          </w:tcPr>
          <w:p>
            <w:pPr>
              <w:spacing w:after="0"/>
              <w:rPr>
                <w:sz w:val="20"/>
                <w:szCs w:val="20"/>
                <w:color w:val="auto"/>
              </w:rPr>
            </w:pPr>
          </w:p>
        </w:tc>
        <w:tc>
          <w:tcPr>
            <w:tcW w:w="98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FDFDFD"/>
            </w:tcBorders>
            <w:shd w:val="clear" w:color="auto" w:fill="FDFDFD"/>
          </w:tcPr>
          <w:p>
            <w:pPr>
              <w:spacing w:after="0"/>
              <w:rPr>
                <w:sz w:val="20"/>
                <w:szCs w:val="20"/>
                <w:color w:val="auto"/>
              </w:rPr>
            </w:pPr>
          </w:p>
        </w:tc>
        <w:tc>
          <w:tcPr>
            <w:tcW w:w="100" w:type="dxa"/>
            <w:vAlign w:val="bottom"/>
            <w:tcBorders>
              <w:top w:val="single" w:sz="8" w:color="FDFDFD"/>
            </w:tcBorders>
            <w:shd w:val="clear" w:color="auto" w:fill="FDFDFD"/>
          </w:tcPr>
          <w:p>
            <w:pPr>
              <w:spacing w:after="0"/>
              <w:rPr>
                <w:sz w:val="20"/>
                <w:szCs w:val="20"/>
                <w:color w:val="auto"/>
              </w:rPr>
            </w:pPr>
          </w:p>
        </w:tc>
        <w:tc>
          <w:tcPr>
            <w:tcW w:w="98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FDFDFD"/>
            </w:tcBorders>
            <w:shd w:val="clear" w:color="auto" w:fill="FDFDFD"/>
          </w:tcPr>
          <w:p>
            <w:pPr>
              <w:spacing w:after="0"/>
              <w:rPr>
                <w:sz w:val="20"/>
                <w:szCs w:val="20"/>
                <w:color w:val="auto"/>
              </w:rPr>
            </w:pPr>
          </w:p>
        </w:tc>
        <w:tc>
          <w:tcPr>
            <w:tcW w:w="100" w:type="dxa"/>
            <w:vAlign w:val="bottom"/>
            <w:tcBorders>
              <w:top w:val="single" w:sz="8" w:color="FDFDFD"/>
            </w:tcBorders>
            <w:shd w:val="clear" w:color="auto" w:fill="FDFDFD"/>
          </w:tcPr>
          <w:p>
            <w:pPr>
              <w:spacing w:after="0"/>
              <w:rPr>
                <w:sz w:val="20"/>
                <w:szCs w:val="20"/>
                <w:color w:val="auto"/>
              </w:rPr>
            </w:pPr>
          </w:p>
        </w:tc>
        <w:tc>
          <w:tcPr>
            <w:tcW w:w="102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FDFDFD"/>
            </w:tcBorders>
            <w:shd w:val="clear" w:color="auto" w:fill="FDFDFD"/>
          </w:tcPr>
          <w:p>
            <w:pPr>
              <w:spacing w:after="0"/>
              <w:rPr>
                <w:sz w:val="20"/>
                <w:szCs w:val="20"/>
                <w:color w:val="auto"/>
              </w:rPr>
            </w:pPr>
          </w:p>
        </w:tc>
      </w:tr>
      <w:tr>
        <w:trPr>
          <w:trHeight w:val="221"/>
        </w:trPr>
        <w:tc>
          <w:tcPr>
            <w:tcW w:w="90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color w:val="auto"/>
              </w:rPr>
              <w:t>Updated</w:t>
            </w: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E3E3E3"/>
          </w:tcPr>
          <w:p>
            <w:pPr>
              <w:spacing w:after="0"/>
              <w:rPr>
                <w:sz w:val="19"/>
                <w:szCs w:val="19"/>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E3E3E3"/>
          </w:tcPr>
          <w:p>
            <w:pPr>
              <w:spacing w:after="0"/>
              <w:rPr>
                <w:sz w:val="19"/>
                <w:szCs w:val="19"/>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E3E3E3"/>
          </w:tcPr>
          <w:p>
            <w:pPr>
              <w:spacing w:after="0"/>
              <w:rPr>
                <w:sz w:val="19"/>
                <w:szCs w:val="19"/>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E3E3E3"/>
          </w:tcPr>
          <w:p>
            <w:pPr>
              <w:spacing w:after="0"/>
              <w:rPr>
                <w:sz w:val="19"/>
                <w:szCs w:val="19"/>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gridSpan w:val="2"/>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gridSpan w:val="2"/>
            <w:shd w:val="clear" w:color="auto" w:fill="E3E3E3"/>
          </w:tcPr>
          <w:p>
            <w:pPr>
              <w:spacing w:after="0"/>
              <w:rPr>
                <w:sz w:val="19"/>
                <w:szCs w:val="19"/>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E3E3E3"/>
          </w:tcPr>
          <w:p>
            <w:pPr>
              <w:spacing w:after="0"/>
              <w:rPr>
                <w:sz w:val="19"/>
                <w:szCs w:val="19"/>
                <w:color w:val="auto"/>
              </w:rPr>
            </w:pPr>
          </w:p>
        </w:tc>
      </w:tr>
    </w:tbl>
    <w:p>
      <w:pPr>
        <w:spacing w:after="0" w:line="219"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Expanding Relationships with Existing Customers</w:t>
      </w:r>
    </w:p>
    <w:p>
      <w:pPr>
        <w:spacing w:after="0" w:line="118" w:lineRule="exact"/>
        <w:rPr>
          <w:sz w:val="20"/>
          <w:szCs w:val="20"/>
          <w:color w:val="auto"/>
        </w:rPr>
      </w:pPr>
    </w:p>
    <w:p>
      <w:pPr>
        <w:ind w:right="880" w:firstLine="490"/>
        <w:spacing w:after="0" w:line="279" w:lineRule="auto"/>
        <w:rPr>
          <w:sz w:val="20"/>
          <w:szCs w:val="20"/>
          <w:color w:val="auto"/>
        </w:rPr>
      </w:pPr>
      <w:r>
        <w:rPr>
          <w:rFonts w:ascii="Times New Roman" w:cs="Times New Roman" w:eastAsia="Times New Roman" w:hAnsi="Times New Roman"/>
          <w:sz w:val="20"/>
          <w:szCs w:val="20"/>
          <w:color w:val="auto"/>
        </w:rPr>
        <w:t>We believe there is a significant opportunity to generate additional revenue from our existing customer base of approximately 2,500 customers, as adjusted, as of December 31, 2024.</w:t>
      </w:r>
    </w:p>
    <w:p>
      <w:pPr>
        <w:spacing w:after="0" w:line="45"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auto"/>
        </w:rPr>
        <w:t>Our customers have historically increased their spending by adding functionality and by expanding use-cases across departments. Our customers are typically assigned to one of our vertically 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spacing w:after="0" w:line="8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Our progress in expanding usage of our platform with our existing customers is demonstrated by our Net Dollar Retention (“NDR”) (see “Key Metrics”). For the year ended December 31, 2024, our NDR for Enterprise Customers was 90%. As of December 31, 2024, we had 519 Enterprise Customers, which represented approximately 68% of our ARR. Our NDR for all customers over $17,500 ARR was 85%. For the year ended December 31, 2023, our NDR for Enterprise Customers was 96% and our NDR for all customers over $17,500 ARR was 92%. For the year ended December 31, 2022, our NDR for Enterprise Customers was 110% and our NDR for all customers over $17,500 ARR was 103%.</w:t>
      </w:r>
    </w:p>
    <w:p>
      <w:pPr>
        <w:sectPr>
          <w:pgSz w:w="11880" w:h="15480" w:orient="portrait"/>
          <w:cols w:equalWidth="0" w:num="1">
            <w:col w:w="10240"/>
          </w:cols>
          <w:pgMar w:left="820" w:top="803" w:right="820" w:bottom="0" w:gutter="0" w:footer="0" w:header="0"/>
        </w:sect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240"/>
          </w:cols>
          <w:pgMar w:left="820" w:top="803" w:right="82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i w:val="1"/>
          <w:iCs w:val="1"/>
          <w:color w:val="auto"/>
        </w:rPr>
        <w:t>Continuing to Innovate and Expand Our Platform</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ectPr>
          <w:pgSz w:w="11880" w:h="15480" w:orient="portrait"/>
          <w:cols w:equalWidth="0" w:num="1">
            <w:col w:w="10140"/>
          </w:cols>
          <w:pgMar w:left="820" w:top="80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140"/>
          </w:cols>
          <w:pgMar w:left="820" w:top="808" w:right="92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auto"/>
        </w:rPr>
        <w:t>Key Metrics</w:t>
      </w:r>
    </w:p>
    <w:p>
      <w:pPr>
        <w:spacing w:after="0" w:line="123"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color w:val="auto"/>
        </w:rPr>
        <w:t>We monitor the following key metrics to help us evaluate our business performance, identify financial trends, formulate business plans, and make strategic operational decisions.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Dollar Retention Rate (“NDR”)</w:t>
      </w:r>
    </w:p>
    <w:p>
      <w:pPr>
        <w:spacing w:after="0" w:line="118"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the same period.</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Unfavorable macroeconomic challenges are elongating deal cycles as customers implement more stringent approval processes or delay spending decisions, which impacts revenue from our existing customers, including upsells. As previously discussed, we have also experienced a significant number of deferred purchasing decisions and heightened customer churn, particularly in the Life Science market, along with sales execution challenges impacting new customer acquisition and upsell to existing customers. As a result, our total NDR of 85% for the year ended December 31, 2024 is lower relative to our total NDR of 91% for the year ended December 31,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Remaining Performance Obligations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cRPO</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w:t>
      </w:r>
    </w:p>
    <w:p>
      <w:pPr>
        <w:spacing w:after="0" w:line="12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The value of contracts that included cancellation terms began to increase significantly during the third quarter of 2023 compared with prior periods as most of these contracts were inherited from the Populi acquisition. This precludes several millions of dollars of business from being included in the cRPO metric and puts further downward pressure on the cRPO growth rate. Due to these factors, it is important to review cRPO in conjunction with revenue and other financial metrics.</w:t>
      </w:r>
    </w:p>
    <w:p>
      <w:pPr>
        <w:spacing w:after="0" w:line="82"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Our cRPO will continue to be impacted by macroeconomic challenges, which have resulted in elongating deal cycles as customers implement more stringent approval processes or push out final decisions to later periods. We have also observed cancelations due to the impacts of such challenges on the financial condition of our customers, particularly in the Life Science market. We expect this trend will continue to reduce our revenue growth rate for 2025 relative to 2024.</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The following table presents our current and total remaining performance obligations as of December 31, 2024 and 2023:</w:t>
      </w:r>
    </w:p>
    <w:p>
      <w:pPr>
        <w:spacing w:after="0" w:line="289"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58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080" w:type="dxa"/>
            <w:vAlign w:val="bottom"/>
            <w:shd w:val="clear" w:color="auto" w:fill="FDFDFD"/>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2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180" w:type="dxa"/>
            <w:vAlign w:val="bottom"/>
            <w:gridSpan w:val="2"/>
            <w:shd w:val="clear" w:color="auto" w:fill="FDFDFD"/>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58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E3E3E3"/>
            </w:tcBorders>
            <w:shd w:val="clear" w:color="auto" w:fill="FDFDFD"/>
          </w:tcPr>
          <w:p>
            <w:pPr>
              <w:spacing w:after="0"/>
              <w:rPr>
                <w:sz w:val="17"/>
                <w:szCs w:val="17"/>
                <w:color w:val="auto"/>
              </w:rPr>
            </w:pPr>
          </w:p>
        </w:tc>
        <w:tc>
          <w:tcPr>
            <w:tcW w:w="120" w:type="dxa"/>
            <w:vAlign w:val="bottom"/>
            <w:tcBorders>
              <w:bottom w:val="single" w:sz="8" w:color="auto"/>
            </w:tcBorders>
            <w:shd w:val="clear" w:color="auto" w:fill="FDFDFD"/>
          </w:tcPr>
          <w:p>
            <w:pPr>
              <w:spacing w:after="0"/>
              <w:rPr>
                <w:sz w:val="17"/>
                <w:szCs w:val="17"/>
                <w:color w:val="auto"/>
              </w:rPr>
            </w:pPr>
          </w:p>
        </w:tc>
        <w:tc>
          <w:tcPr>
            <w:tcW w:w="1080" w:type="dxa"/>
            <w:vAlign w:val="bottom"/>
            <w:tcBorders>
              <w:bottom w:val="single" w:sz="8" w:color="auto"/>
            </w:tcBorders>
            <w:shd w:val="clear" w:color="auto" w:fill="FDFDFD"/>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E3E3E3"/>
            </w:tcBorders>
            <w:shd w:val="clear" w:color="auto" w:fill="FDFDFD"/>
          </w:tcPr>
          <w:p>
            <w:pPr>
              <w:spacing w:after="0"/>
              <w:rPr>
                <w:sz w:val="17"/>
                <w:szCs w:val="17"/>
                <w:color w:val="auto"/>
              </w:rPr>
            </w:pPr>
          </w:p>
        </w:tc>
        <w:tc>
          <w:tcPr>
            <w:tcW w:w="120" w:type="dxa"/>
            <w:vAlign w:val="bottom"/>
            <w:tcBorders>
              <w:bottom w:val="single" w:sz="8" w:color="auto"/>
            </w:tcBorders>
            <w:shd w:val="clear" w:color="auto" w:fill="FDFDFD"/>
          </w:tcPr>
          <w:p>
            <w:pPr>
              <w:spacing w:after="0"/>
              <w:rPr>
                <w:sz w:val="17"/>
                <w:szCs w:val="17"/>
                <w:color w:val="auto"/>
              </w:rPr>
            </w:pPr>
          </w:p>
        </w:tc>
        <w:tc>
          <w:tcPr>
            <w:tcW w:w="1100" w:type="dxa"/>
            <w:vAlign w:val="bottom"/>
            <w:tcBorders>
              <w:bottom w:val="single" w:sz="8" w:color="auto"/>
            </w:tcBorders>
            <w:shd w:val="clear" w:color="auto" w:fill="FDFDFD"/>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3E3E3"/>
            </w:tcBorders>
            <w:shd w:val="clear" w:color="auto" w:fill="FDFDFD"/>
          </w:tcPr>
          <w:p>
            <w:pPr>
              <w:spacing w:after="0"/>
              <w:rPr>
                <w:sz w:val="17"/>
                <w:szCs w:val="17"/>
                <w:color w:val="auto"/>
              </w:rPr>
            </w:pPr>
          </w:p>
        </w:tc>
      </w:tr>
      <w:tr>
        <w:trPr>
          <w:trHeight w:val="220"/>
        </w:trPr>
        <w:tc>
          <w:tcPr>
            <w:tcW w:w="58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Current</w:t>
            </w:r>
          </w:p>
        </w:tc>
        <w:tc>
          <w:tcPr>
            <w:tcW w:w="140" w:type="dxa"/>
            <w:vAlign w:val="bottom"/>
            <w:shd w:val="clear" w:color="auto" w:fill="E3E3E3"/>
          </w:tcPr>
          <w:p>
            <w:pPr>
              <w:spacing w:after="0"/>
              <w:rPr>
                <w:sz w:val="19"/>
                <w:szCs w:val="19"/>
                <w:color w:val="auto"/>
              </w:rPr>
            </w:pPr>
          </w:p>
        </w:tc>
        <w:tc>
          <w:tcPr>
            <w:tcW w:w="1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188,050</w:t>
            </w:r>
          </w:p>
        </w:tc>
        <w:tc>
          <w:tcPr>
            <w:tcW w:w="220" w:type="dxa"/>
            <w:vAlign w:val="bottom"/>
            <w:shd w:val="clear" w:color="auto" w:fill="E3E3E3"/>
          </w:tcPr>
          <w:p>
            <w:pPr>
              <w:spacing w:after="0"/>
              <w:rPr>
                <w:sz w:val="19"/>
                <w:szCs w:val="19"/>
                <w:color w:val="auto"/>
              </w:rPr>
            </w:pPr>
          </w:p>
        </w:tc>
        <w:tc>
          <w:tcPr>
            <w:tcW w:w="1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187,331</w:t>
            </w:r>
          </w:p>
        </w:tc>
        <w:tc>
          <w:tcPr>
            <w:tcW w:w="80" w:type="dxa"/>
            <w:vAlign w:val="bottom"/>
            <w:shd w:val="clear" w:color="auto" w:fill="E3E3E3"/>
          </w:tcPr>
          <w:p>
            <w:pPr>
              <w:spacing w:after="0"/>
              <w:rPr>
                <w:sz w:val="19"/>
                <w:szCs w:val="19"/>
                <w:color w:val="auto"/>
              </w:rPr>
            </w:pPr>
          </w:p>
        </w:tc>
      </w:tr>
      <w:tr>
        <w:trPr>
          <w:trHeight w:val="230"/>
        </w:trPr>
        <w:tc>
          <w:tcPr>
            <w:tcW w:w="58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Non-current</w:t>
            </w:r>
          </w:p>
        </w:tc>
        <w:tc>
          <w:tcPr>
            <w:tcW w:w="14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auto"/>
            </w:tcBorders>
            <w:shd w:val="clear" w:color="auto" w:fill="FDFDFD"/>
          </w:tcPr>
          <w:p>
            <w:pPr>
              <w:spacing w:after="0"/>
              <w:rPr>
                <w:sz w:val="19"/>
                <w:szCs w:val="19"/>
                <w:color w:val="auto"/>
              </w:rPr>
            </w:pPr>
          </w:p>
        </w:tc>
        <w:tc>
          <w:tcPr>
            <w:tcW w:w="108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105,673</w:t>
            </w:r>
          </w:p>
        </w:tc>
        <w:tc>
          <w:tcPr>
            <w:tcW w:w="22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auto"/>
            </w:tcBorders>
            <w:shd w:val="clear" w:color="auto" w:fill="FDFDFD"/>
          </w:tcPr>
          <w:p>
            <w:pPr>
              <w:spacing w:after="0"/>
              <w:rPr>
                <w:sz w:val="19"/>
                <w:szCs w:val="19"/>
                <w:color w:val="auto"/>
              </w:rPr>
            </w:pPr>
          </w:p>
        </w:tc>
        <w:tc>
          <w:tcPr>
            <w:tcW w:w="11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89,636</w:t>
            </w:r>
          </w:p>
        </w:tc>
        <w:tc>
          <w:tcPr>
            <w:tcW w:w="80" w:type="dxa"/>
            <w:vAlign w:val="bottom"/>
            <w:tcBorders>
              <w:bottom w:val="single" w:sz="8" w:color="E3E3E3"/>
            </w:tcBorders>
            <w:shd w:val="clear" w:color="auto" w:fill="FDFDFD"/>
          </w:tcPr>
          <w:p>
            <w:pPr>
              <w:spacing w:after="0"/>
              <w:rPr>
                <w:sz w:val="19"/>
                <w:szCs w:val="19"/>
                <w:color w:val="auto"/>
              </w:rPr>
            </w:pPr>
          </w:p>
        </w:tc>
      </w:tr>
      <w:tr>
        <w:trPr>
          <w:trHeight w:val="220"/>
        </w:trPr>
        <w:tc>
          <w:tcPr>
            <w:tcW w:w="5820" w:type="dxa"/>
            <w:vAlign w:val="bottom"/>
            <w:shd w:val="clear" w:color="auto" w:fill="E3E3E3"/>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40" w:type="dxa"/>
            <w:vAlign w:val="bottom"/>
            <w:shd w:val="clear" w:color="auto" w:fill="E3E3E3"/>
          </w:tcPr>
          <w:p>
            <w:pPr>
              <w:spacing w:after="0"/>
              <w:rPr>
                <w:sz w:val="19"/>
                <w:szCs w:val="19"/>
                <w:color w:val="auto"/>
              </w:rPr>
            </w:pPr>
          </w:p>
        </w:tc>
        <w:tc>
          <w:tcPr>
            <w:tcW w:w="1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293,723</w:t>
            </w:r>
          </w:p>
        </w:tc>
        <w:tc>
          <w:tcPr>
            <w:tcW w:w="220" w:type="dxa"/>
            <w:vAlign w:val="bottom"/>
            <w:shd w:val="clear" w:color="auto" w:fill="E3E3E3"/>
          </w:tcPr>
          <w:p>
            <w:pPr>
              <w:spacing w:after="0"/>
              <w:rPr>
                <w:sz w:val="19"/>
                <w:szCs w:val="19"/>
                <w:color w:val="auto"/>
              </w:rPr>
            </w:pPr>
          </w:p>
        </w:tc>
        <w:tc>
          <w:tcPr>
            <w:tcW w:w="1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276,967</w:t>
            </w:r>
          </w:p>
        </w:tc>
        <w:tc>
          <w:tcPr>
            <w:tcW w:w="80" w:type="dxa"/>
            <w:vAlign w:val="bottom"/>
            <w:shd w:val="clear" w:color="auto" w:fill="E3E3E3"/>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 of Acquisitions</w:t>
      </w:r>
    </w:p>
    <w:p>
      <w:pPr>
        <w:spacing w:after="0" w:line="12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 xml:space="preserve">We seek to enhance our platform, data and business through internal development and through acquisitions of and investments in businesses that broaden and strengthen our platform. On January 16, 2024, we completed the purchase of assets comprising the Carevoyance business line of H1 Insights, Inc., a product that helps MedTech customers to improve segmentation, targeting, and prospect engagement. In July 2023, we completed the acquisition of Populi, Inc., a provider-focused data and analytics company that works with healthcare organizations to optimize physician relationships, reduce network leakage, and expand market share. In February 2022, we completed our acquisition of Analytical Wizards Inc., a company that specializes in automating complex analytic models using tools that expedite efficient big data mining through A.I. power to uncover deep insights. These acquisitions have strengthened our data platform and our business. Acquisitions can result in transaction costs, amortization expense and other adjustments as purchase accounting requires that all assets acquired and liabilities assumed be recorded at fair value on the acquisition date. See Note 3. </w:t>
      </w:r>
      <w:r>
        <w:rPr>
          <w:rFonts w:ascii="Times New Roman" w:cs="Times New Roman" w:eastAsia="Times New Roman" w:hAnsi="Times New Roman"/>
          <w:sz w:val="20"/>
          <w:szCs w:val="20"/>
          <w:i w:val="1"/>
          <w:iCs w:val="1"/>
          <w:color w:val="auto"/>
        </w:rPr>
        <w:t>Acquisitions</w:t>
      </w:r>
      <w:r>
        <w:rPr>
          <w:rFonts w:ascii="Times New Roman" w:cs="Times New Roman" w:eastAsia="Times New Roman" w:hAnsi="Times New Roman"/>
          <w:sz w:val="20"/>
          <w:szCs w:val="20"/>
          <w:color w:val="auto"/>
        </w:rPr>
        <w:t xml:space="preserve"> in our consolidated financial statements included in Part II, Item 8 of this Form 10-K.</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220"/>
          </w:cols>
          <w:pgMar w:left="820" w:top="803" w:right="84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For the year ended December 31, 2024, we derived approximately 97% of our revenue from subscription services and the remainder from professional services. Our subscription services consist primarily of subscription fees for access to our platform and stand-ready support.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or from other one-time deliveries which are generally capable of being distinct and can be accounted for as separate performance obligations. Revenue related to these professional services is recognized at a point in time, when the performance obligations under the terms of the contract are satisfied and control has been transferred to the customer.</w:t>
      </w:r>
    </w:p>
    <w:p>
      <w:pPr>
        <w:spacing w:after="0" w:line="86"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disrupted our sales efforts in the first half of 2024, coupled with continued macroeconomic headwinds and sales execution challenges throughout 2024. As we moved through 2024, we did not see subscription renewals return to historical levels. Based on these impacts, we expect our revenue to decline in 2025 compared with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Cost of Revenue</w:t>
      </w:r>
      <w:r>
        <w:rPr>
          <w:rFonts w:ascii="Times New Roman" w:cs="Times New Roman" w:eastAsia="Times New Roman" w:hAnsi="Times New Roman"/>
          <w:sz w:val="20"/>
          <w:szCs w:val="20"/>
          <w:color w:val="auto"/>
        </w:rPr>
        <w:t>. Cost of revenue, excluding amortization of acquired technology and data, consists of direct expenses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related to the support and 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80" w:lineRule="exact"/>
        <w:rPr>
          <w:sz w:val="20"/>
          <w:szCs w:val="20"/>
          <w:color w:val="auto"/>
        </w:rPr>
      </w:pPr>
    </w:p>
    <w:p>
      <w:pPr>
        <w:jc w:val="both"/>
        <w:ind w:right="580" w:firstLine="490"/>
        <w:spacing w:after="0" w:line="279" w:lineRule="auto"/>
        <w:rPr>
          <w:sz w:val="20"/>
          <w:szCs w:val="20"/>
          <w:color w:val="auto"/>
        </w:rPr>
      </w:pPr>
      <w:r>
        <w:rPr>
          <w:rFonts w:ascii="Times New Roman" w:cs="Times New Roman" w:eastAsia="Times New Roman" w:hAnsi="Times New Roman"/>
          <w:sz w:val="20"/>
          <w:szCs w:val="20"/>
          <w:i w:val="1"/>
          <w:iCs w:val="1"/>
          <w:color w:val="auto"/>
        </w:rPr>
        <w:t>Amortization</w:t>
      </w:r>
      <w:r>
        <w:rPr>
          <w:rFonts w:ascii="Times New Roman" w:cs="Times New Roman" w:eastAsia="Times New Roman" w:hAnsi="Times New Roman"/>
          <w:sz w:val="20"/>
          <w:szCs w:val="20"/>
          <w:color w:val="auto"/>
        </w:rPr>
        <w:t>. Includes amortization expense for technology and data acquired in business combinations and asset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 agreements. We anticipate that amortization will increase only if we make additional acquisitions in the future.</w:t>
      </w:r>
    </w:p>
    <w:p>
      <w:pPr>
        <w:spacing w:after="0" w:line="45"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auto"/>
        </w:rPr>
        <w:t>Additional third-party data sources, inclusive of sources obtained through the acquisition of Populi, were rolled out to our customers during 2023, which resulted in, and is expected to continue to result in, an increase in cost of revenue, including amortization.</w:t>
      </w:r>
    </w:p>
    <w:p>
      <w:pPr>
        <w:spacing w:after="0" w:line="65"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auto"/>
        </w:rPr>
        <w:t>We have been observing changes in the healthcare claims data market as a result of data source disruption since early 2024, including how data providers are reviewing pricing, data availability, and use terms, all of which may negatively impact the prices at which we acquire such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Profit</w:t>
      </w:r>
    </w:p>
    <w:p>
      <w:pPr>
        <w:spacing w:after="0" w:line="11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80" w:lineRule="exact"/>
        <w:rPr>
          <w:sz w:val="20"/>
          <w:szCs w:val="20"/>
          <w:color w:val="auto"/>
        </w:rPr>
      </w:pPr>
    </w:p>
    <w:p>
      <w:pPr>
        <w:ind w:right="280" w:firstLine="490"/>
        <w:spacing w:after="0" w:line="259" w:lineRule="auto"/>
        <w:rPr>
          <w:sz w:val="20"/>
          <w:szCs w:val="20"/>
          <w:color w:val="auto"/>
        </w:rPr>
      </w:pPr>
      <w:r>
        <w:rPr>
          <w:rFonts w:ascii="Times New Roman" w:cs="Times New Roman" w:eastAsia="Times New Roman" w:hAnsi="Times New Roman"/>
          <w:sz w:val="20"/>
          <w:szCs w:val="20"/>
          <w:color w:val="auto"/>
        </w:rPr>
        <w:t>We expect that gross profit margin for 2025 will continue to be impacted by the expansion of data sources and the anticipated revenue declines, as described above. Revenue declines, in combination with our largely fixed cost structure, are expected to result in a decrease in gross profit margin in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sectPr>
          <w:pgSz w:w="11880" w:h="15480" w:orient="portrait"/>
          <w:cols w:equalWidth="0" w:num="1">
            <w:col w:w="10220"/>
          </w:cols>
          <w:pgMar w:left="820" w:top="803" w:right="840" w:bottom="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220"/>
          </w:cols>
          <w:pgMar w:left="820" w:top="803" w:right="840" w:bottom="0" w:gutter="0" w:footer="0" w:header="0"/>
          <w:type w:val="continuous"/>
        </w:sectPr>
      </w:pPr>
    </w:p>
    <w:bookmarkStart w:id="66" w:name="page67"/>
    <w:bookmarkEnd w:id="66"/>
    <w:p>
      <w:pPr>
        <w:ind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Sales and marketing. </w:t>
      </w:r>
      <w:r>
        <w:rPr>
          <w:rFonts w:ascii="Times New Roman" w:cs="Times New Roman" w:eastAsia="Times New Roman" w:hAnsi="Times New Roman"/>
          <w:sz w:val="20"/>
          <w:szCs w:val="20"/>
          <w:color w:val="auto"/>
        </w:rPr>
        <w:t>Sales and marketing expenses primarily consist of personnel costs such as salaries, bonuses, sales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commissions, stock-based compensation, and other employee-related benefits for our sales and marketing teams, as well as non-personnel costs including overhead costs, technology and advertising costs. While we have slowed hiring in response to macroeconomic conditions, and expect to maintain slower levels until macroeconomic conditions improve, we have continued to hire additional sales and marketing personnel, enhance our digital marketing infrastructure and invest in marketing programs targeting our major vertical markets.</w:t>
      </w:r>
    </w:p>
    <w:p>
      <w:pPr>
        <w:spacing w:after="0" w:line="20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Product development</w:t>
      </w:r>
      <w:r>
        <w:rPr>
          <w:rFonts w:ascii="Times New Roman" w:cs="Times New Roman" w:eastAsia="Times New Roman" w:hAnsi="Times New Roman"/>
          <w:sz w:val="20"/>
          <w:szCs w:val="20"/>
          <w:color w:val="auto"/>
        </w:rPr>
        <w:t>. Product development expenses primarily consist of personnel costs such as salaries, bonuses,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stock-based compensation, and 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A.I. to drive higher quality data and deeper insights.</w:t>
      </w:r>
    </w:p>
    <w:p>
      <w:pPr>
        <w:spacing w:after="0" w:line="8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i w:val="1"/>
          <w:iCs w:val="1"/>
          <w:color w:val="auto"/>
        </w:rPr>
        <w:t>General and administrative</w:t>
      </w:r>
      <w:r>
        <w:rPr>
          <w:rFonts w:ascii="Times New Roman" w:cs="Times New Roman" w:eastAsia="Times New Roman" w:hAnsi="Times New Roman"/>
          <w:sz w:val="20"/>
          <w:szCs w:val="20"/>
          <w:color w:val="auto"/>
        </w:rPr>
        <w:t>. General and administrative expenses primarily consist of personnel costs such as salaries,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bonuses, stock-based 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have completed voluntary disclosure agreements, registered with certain tax authorities, and commenced collection of sales taxes from customers in these tax jurisdictions. We have slowed hiring in response to macroeconomic conditions and do not expect to increase it until macroeconomic conditions improve.</w:t>
      </w:r>
    </w:p>
    <w:p>
      <w:pPr>
        <w:spacing w:after="0" w:line="86" w:lineRule="exact"/>
        <w:rPr>
          <w:sz w:val="20"/>
          <w:szCs w:val="20"/>
          <w:color w:val="auto"/>
        </w:rPr>
      </w:pPr>
    </w:p>
    <w:p>
      <w:pPr>
        <w:jc w:val="both"/>
        <w:ind w:right="60" w:firstLine="490"/>
        <w:spacing w:after="0" w:line="253" w:lineRule="auto"/>
        <w:rPr>
          <w:sz w:val="20"/>
          <w:szCs w:val="20"/>
          <w:color w:val="auto"/>
        </w:rPr>
      </w:pPr>
      <w:r>
        <w:rPr>
          <w:rFonts w:ascii="Times New Roman" w:cs="Times New Roman" w:eastAsia="Times New Roman" w:hAnsi="Times New Roman"/>
          <w:sz w:val="20"/>
          <w:szCs w:val="20"/>
          <w:i w:val="1"/>
          <w:iCs w:val="1"/>
          <w:color w:val="auto"/>
        </w:rPr>
        <w:t>Depreciation and Amortization</w:t>
      </w:r>
      <w:r>
        <w:rPr>
          <w:rFonts w:ascii="Times New Roman" w:cs="Times New Roman" w:eastAsia="Times New Roman" w:hAnsi="Times New Roman"/>
          <w:sz w:val="20"/>
          <w:szCs w:val="20"/>
          <w:color w:val="auto"/>
        </w:rPr>
        <w:t>. Depreciation and amortization expenses consist primarily of amortization of intangible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assets resulting from acquisitions, business combinations, and purchases of data assets, as well as depreciation of property and equipment. We anticipate depreciation of property and equipment as a percentage of revenue to moderately decrease, although amortization will increase if we make additional acquisitions and data asset purchases in the future.</w:t>
      </w:r>
    </w:p>
    <w:p>
      <w:pPr>
        <w:spacing w:after="0" w:line="70"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i w:val="1"/>
          <w:iCs w:val="1"/>
          <w:color w:val="auto"/>
        </w:rPr>
        <w:t>Transaction, integration and restructuring expenses</w:t>
      </w:r>
      <w:r>
        <w:rPr>
          <w:rFonts w:ascii="Times New Roman" w:cs="Times New Roman" w:eastAsia="Times New Roman" w:hAnsi="Times New Roman"/>
          <w:sz w:val="20"/>
          <w:szCs w:val="20"/>
          <w:color w:val="auto"/>
        </w:rPr>
        <w:t>. Transaction, integration, and restructuring expenses are costs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directly associated with various acquisition, strategic partnership, and integration activities we have undertaken, primarily accounting, legal due diligence, consulting, and advisory fees, as well as expenses related to our restructuring plans committed to in 2024 and 2023 and our office relocations and consolidations.</w:t>
      </w:r>
    </w:p>
    <w:p>
      <w:pPr>
        <w:spacing w:after="0" w:line="7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Goodwill impairment</w:t>
      </w:r>
      <w:r>
        <w:rPr>
          <w:rFonts w:ascii="Times New Roman" w:cs="Times New Roman" w:eastAsia="Times New Roman" w:hAnsi="Times New Roman"/>
          <w:sz w:val="20"/>
          <w:szCs w:val="20"/>
          <w:color w:val="auto"/>
        </w:rPr>
        <w:t>. Goodwill represents the excess of consideration transferred over the fair value of tangible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identifiable intangible net assets acquired and the liabilities assumed in a business combination. Substantially all of our goodwill was recognized in the purchase price allocations when our Company was acquired in 2019 by Advent, with smaller incremental amounts recognized in subsequent business combinations. Goodwill is not amortized, but is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w:t>
      </w:r>
    </w:p>
    <w:p>
      <w:pPr>
        <w:spacing w:after="0" w:line="8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Recently, we have experienced declines in our market capitalization as a result of sustained decreases in our stock price, which represented triggering events requiring our management to perform quantitative goodwill impairment tests. As a result of each impairment test, we determined that the fair value of our single reporting unit was lower than its carrying value and, accordingly, recorded non-cash, pre-tax, goodwill impairment charges of $688.9 million and $287.4 million during the years ended December 31, 2024 and 2023, respectively. The goodwill impairment charges did not affect our liquidity or the financial covenants in our outstanding debt agreement.</w:t>
      </w:r>
    </w:p>
    <w:p>
      <w:pPr>
        <w:sectPr>
          <w:pgSz w:w="11880" w:h="15480" w:orient="portrait"/>
          <w:cols w:equalWidth="0" w:num="1">
            <w:col w:w="10200"/>
          </w:cols>
          <w:pgMar w:left="820" w:top="80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200"/>
          </w:cols>
          <w:pgMar w:left="820" w:top="806" w:right="86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118" w:lineRule="exact"/>
        <w:rPr>
          <w:sz w:val="20"/>
          <w:szCs w:val="20"/>
          <w:color w:val="auto"/>
        </w:rPr>
      </w:pPr>
    </w:p>
    <w:p>
      <w:pPr>
        <w:ind w:right="300" w:firstLine="490"/>
        <w:spacing w:after="0" w:line="279" w:lineRule="auto"/>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consists of interest expense on our debt obligations and the amortization of debt discounts and debt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issuance costs.</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consists of earnings resulting from our short-term investments.</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Other income, net </w:t>
      </w:r>
      <w:r>
        <w:rPr>
          <w:rFonts w:ascii="Times New Roman" w:cs="Times New Roman" w:eastAsia="Times New Roman" w:hAnsi="Times New Roman"/>
          <w:sz w:val="20"/>
          <w:szCs w:val="20"/>
          <w:color w:val="auto"/>
        </w:rPr>
        <w:t>consists primarily of the revaluation of Tax Receivable Agreement liabilities and realized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unrealized gains and losses 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p>
    <w:p>
      <w:pPr>
        <w:sectPr>
          <w:pgSz w:w="11880" w:h="15480" w:orient="portrait"/>
          <w:cols w:equalWidth="0" w:num="1">
            <w:col w:w="10060"/>
          </w:cols>
          <w:pgMar w:left="820" w:top="8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060"/>
          </w:cols>
          <w:pgMar w:left="820" w:top="808" w:right="100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3" w:lineRule="exact"/>
        <w:rPr>
          <w:sz w:val="20"/>
          <w:szCs w:val="20"/>
          <w:color w:val="auto"/>
        </w:rPr>
      </w:pPr>
    </w:p>
    <w:p>
      <w:pPr>
        <w:jc w:val="both"/>
        <w:ind w:right="140" w:firstLine="490"/>
        <w:spacing w:after="0" w:line="253" w:lineRule="auto"/>
        <w:rPr>
          <w:sz w:val="20"/>
          <w:szCs w:val="20"/>
          <w:color w:val="auto"/>
        </w:rPr>
      </w:pPr>
      <w:r>
        <w:rPr>
          <w:rFonts w:ascii="Times New Roman" w:cs="Times New Roman" w:eastAsia="Times New Roman" w:hAnsi="Times New Roman"/>
          <w:sz w:val="20"/>
          <w:szCs w:val="20"/>
          <w:color w:val="auto"/>
        </w:rPr>
        <w:t>The discussion of our consolidated results of operations includes year-over-year comparisons of 2024 results compared to those in 2023. For a discussion of the 2023 results compared to those in 2022, see the discussion in Item 7, Management’s Discussion and Analysis of Financial Condition and Results of Operations in our 2023 Form 10-K, which is incorporated by reference herein.</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sets forth a summary of our consolidated statements of operations for the periods presented:</w:t>
      </w:r>
    </w:p>
    <w:p>
      <w:pPr>
        <w:spacing w:after="0" w:line="292"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528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Borders>
              <w:bottom w:val="single" w:sz="8" w:color="FDFDFD"/>
            </w:tcBorders>
            <w:shd w:val="clear" w:color="auto" w:fill="FDFDFD"/>
          </w:tcPr>
          <w:p>
            <w:pPr>
              <w:spacing w:after="0"/>
              <w:rPr>
                <w:sz w:val="17"/>
                <w:szCs w:val="17"/>
                <w:color w:val="auto"/>
              </w:rPr>
            </w:pPr>
          </w:p>
        </w:tc>
        <w:tc>
          <w:tcPr>
            <w:tcW w:w="240" w:type="dxa"/>
            <w:vAlign w:val="bottom"/>
            <w:tcBorders>
              <w:bottom w:val="single" w:sz="8" w:color="auto"/>
            </w:tcBorders>
            <w:shd w:val="clear" w:color="auto" w:fill="FDFDFD"/>
          </w:tcPr>
          <w:p>
            <w:pPr>
              <w:spacing w:after="0"/>
              <w:rPr>
                <w:sz w:val="17"/>
                <w:szCs w:val="17"/>
                <w:color w:val="auto"/>
              </w:rPr>
            </w:pPr>
          </w:p>
        </w:tc>
        <w:tc>
          <w:tcPr>
            <w:tcW w:w="2640" w:type="dxa"/>
            <w:vAlign w:val="bottom"/>
            <w:tcBorders>
              <w:bottom w:val="single" w:sz="8" w:color="auto"/>
            </w:tcBorders>
            <w:gridSpan w:val="8"/>
            <w:shd w:val="clear" w:color="auto" w:fill="FDFDFD"/>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bottom w:val="single" w:sz="8" w:color="auto"/>
            </w:tcBorders>
            <w:shd w:val="clear" w:color="auto" w:fill="FDFDFD"/>
          </w:tcPr>
          <w:p>
            <w:pPr>
              <w:spacing w:after="0"/>
              <w:rPr>
                <w:sz w:val="17"/>
                <w:szCs w:val="17"/>
                <w:color w:val="auto"/>
              </w:rPr>
            </w:pPr>
          </w:p>
        </w:tc>
        <w:tc>
          <w:tcPr>
            <w:tcW w:w="8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280" w:type="dxa"/>
            <w:vAlign w:val="bottom"/>
            <w:tcBorders>
              <w:bottom w:val="single" w:sz="8" w:color="E3E3E3"/>
            </w:tcBorders>
            <w:vMerge w:val="continue"/>
            <w:shd w:val="clear" w:color="auto" w:fill="FDFDFD"/>
          </w:tcPr>
          <w:p>
            <w:pPr>
              <w:spacing w:after="0"/>
              <w:rPr>
                <w:sz w:val="16"/>
                <w:szCs w:val="16"/>
                <w:color w:val="auto"/>
              </w:rPr>
            </w:pPr>
          </w:p>
        </w:tc>
        <w:tc>
          <w:tcPr>
            <w:tcW w:w="120" w:type="dxa"/>
            <w:vAlign w:val="bottom"/>
            <w:tcBorders>
              <w:bottom w:val="single" w:sz="8" w:color="E3E3E3"/>
            </w:tcBorders>
            <w:shd w:val="clear" w:color="auto" w:fill="FDFDFD"/>
          </w:tcPr>
          <w:p>
            <w:pPr>
              <w:spacing w:after="0"/>
              <w:rPr>
                <w:sz w:val="16"/>
                <w:szCs w:val="16"/>
                <w:color w:val="auto"/>
              </w:rPr>
            </w:pPr>
          </w:p>
        </w:tc>
        <w:tc>
          <w:tcPr>
            <w:tcW w:w="240" w:type="dxa"/>
            <w:vAlign w:val="bottom"/>
            <w:tcBorders>
              <w:bottom w:val="single" w:sz="8" w:color="auto"/>
            </w:tcBorders>
            <w:shd w:val="clear" w:color="auto" w:fill="FDFDFD"/>
          </w:tcPr>
          <w:p>
            <w:pPr>
              <w:spacing w:after="0"/>
              <w:rPr>
                <w:sz w:val="16"/>
                <w:szCs w:val="16"/>
                <w:color w:val="auto"/>
              </w:rPr>
            </w:pPr>
          </w:p>
        </w:tc>
        <w:tc>
          <w:tcPr>
            <w:tcW w:w="860" w:type="dxa"/>
            <w:vAlign w:val="bottom"/>
            <w:tcBorders>
              <w:bottom w:val="single" w:sz="8" w:color="auto"/>
            </w:tcBorders>
            <w:shd w:val="clear" w:color="auto" w:fill="FDFDFD"/>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3E3E3"/>
            </w:tcBorders>
            <w:shd w:val="clear" w:color="auto" w:fill="FDFDFD"/>
          </w:tcPr>
          <w:p>
            <w:pPr>
              <w:spacing w:after="0"/>
              <w:rPr>
                <w:sz w:val="16"/>
                <w:szCs w:val="16"/>
                <w:color w:val="auto"/>
              </w:rPr>
            </w:pPr>
          </w:p>
        </w:tc>
        <w:tc>
          <w:tcPr>
            <w:tcW w:w="120" w:type="dxa"/>
            <w:vAlign w:val="bottom"/>
            <w:tcBorders>
              <w:bottom w:val="single" w:sz="8" w:color="E3E3E3"/>
            </w:tcBorders>
            <w:shd w:val="clear" w:color="auto" w:fill="FDFDFD"/>
          </w:tcPr>
          <w:p>
            <w:pPr>
              <w:spacing w:after="0"/>
              <w:rPr>
                <w:sz w:val="16"/>
                <w:szCs w:val="16"/>
                <w:color w:val="auto"/>
              </w:rPr>
            </w:pPr>
          </w:p>
        </w:tc>
        <w:tc>
          <w:tcPr>
            <w:tcW w:w="220" w:type="dxa"/>
            <w:vAlign w:val="bottom"/>
            <w:tcBorders>
              <w:bottom w:val="single" w:sz="8" w:color="auto"/>
            </w:tcBorders>
            <w:shd w:val="clear" w:color="auto" w:fill="FDFDFD"/>
          </w:tcPr>
          <w:p>
            <w:pPr>
              <w:spacing w:after="0"/>
              <w:rPr>
                <w:sz w:val="16"/>
                <w:szCs w:val="16"/>
                <w:color w:val="auto"/>
              </w:rPr>
            </w:pPr>
          </w:p>
        </w:tc>
        <w:tc>
          <w:tcPr>
            <w:tcW w:w="880" w:type="dxa"/>
            <w:vAlign w:val="bottom"/>
            <w:tcBorders>
              <w:bottom w:val="single" w:sz="8" w:color="auto"/>
            </w:tcBorders>
            <w:shd w:val="clear" w:color="auto" w:fill="FDFDFD"/>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3E3E3"/>
            </w:tcBorders>
            <w:shd w:val="clear" w:color="auto" w:fill="FDFDFD"/>
          </w:tcPr>
          <w:p>
            <w:pPr>
              <w:spacing w:after="0"/>
              <w:rPr>
                <w:sz w:val="16"/>
                <w:szCs w:val="16"/>
                <w:color w:val="auto"/>
              </w:rPr>
            </w:pPr>
          </w:p>
        </w:tc>
        <w:tc>
          <w:tcPr>
            <w:tcW w:w="120" w:type="dxa"/>
            <w:vAlign w:val="bottom"/>
            <w:tcBorders>
              <w:bottom w:val="single" w:sz="8" w:color="E3E3E3"/>
            </w:tcBorders>
            <w:shd w:val="clear" w:color="auto" w:fill="FDFDFD"/>
          </w:tcPr>
          <w:p>
            <w:pPr>
              <w:spacing w:after="0"/>
              <w:rPr>
                <w:sz w:val="16"/>
                <w:szCs w:val="16"/>
                <w:color w:val="auto"/>
              </w:rPr>
            </w:pPr>
          </w:p>
        </w:tc>
        <w:tc>
          <w:tcPr>
            <w:tcW w:w="260" w:type="dxa"/>
            <w:vAlign w:val="bottom"/>
            <w:tcBorders>
              <w:bottom w:val="single" w:sz="8" w:color="auto"/>
            </w:tcBorders>
            <w:shd w:val="clear" w:color="auto" w:fill="FDFDFD"/>
          </w:tcPr>
          <w:p>
            <w:pPr>
              <w:spacing w:after="0"/>
              <w:rPr>
                <w:sz w:val="16"/>
                <w:szCs w:val="16"/>
                <w:color w:val="auto"/>
              </w:rPr>
            </w:pPr>
          </w:p>
        </w:tc>
        <w:tc>
          <w:tcPr>
            <w:tcW w:w="840" w:type="dxa"/>
            <w:vAlign w:val="bottom"/>
            <w:tcBorders>
              <w:bottom w:val="single" w:sz="8" w:color="auto"/>
            </w:tcBorders>
            <w:shd w:val="clear" w:color="auto" w:fill="FDFDFD"/>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3E3E3"/>
            </w:tcBorders>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Revenue</w:t>
            </w:r>
          </w:p>
        </w:tc>
        <w:tc>
          <w:tcPr>
            <w:tcW w:w="120" w:type="dxa"/>
            <w:vAlign w:val="bottom"/>
            <w:shd w:val="clear" w:color="auto" w:fill="E3E3E3"/>
          </w:tcPr>
          <w:p>
            <w:pPr>
              <w:spacing w:after="0"/>
              <w:rPr>
                <w:sz w:val="20"/>
                <w:szCs w:val="20"/>
                <w:color w:val="auto"/>
              </w:rPr>
            </w:pPr>
          </w:p>
        </w:tc>
        <w:tc>
          <w:tcPr>
            <w:tcW w:w="240" w:type="dxa"/>
            <w:vAlign w:val="bottom"/>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252,202</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251,415</w:t>
            </w: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260" w:type="dxa"/>
            <w:vAlign w:val="bottom"/>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222,653</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2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12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86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88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260" w:type="dxa"/>
            <w:vAlign w:val="bottom"/>
            <w:shd w:val="clear" w:color="auto" w:fill="FDFDFD"/>
          </w:tcPr>
          <w:p>
            <w:pPr>
              <w:spacing w:after="0"/>
              <w:rPr>
                <w:sz w:val="21"/>
                <w:szCs w:val="21"/>
                <w:color w:val="auto"/>
              </w:rPr>
            </w:pPr>
          </w:p>
        </w:tc>
        <w:tc>
          <w:tcPr>
            <w:tcW w:w="84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Cost of revenue</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40,684</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34,740</w:t>
            </w:r>
          </w:p>
        </w:tc>
        <w:tc>
          <w:tcPr>
            <w:tcW w:w="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25,866</w:t>
            </w: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E3E3E3"/>
            </w:tcBorders>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Amortization</w:t>
            </w:r>
          </w:p>
        </w:tc>
        <w:tc>
          <w:tcPr>
            <w:tcW w:w="120" w:type="dxa"/>
            <w:vAlign w:val="bottom"/>
            <w:tcBorders>
              <w:bottom w:val="single" w:sz="8" w:color="E3E3E3"/>
            </w:tcBorders>
            <w:shd w:val="clear" w:color="auto" w:fill="FDFDFD"/>
          </w:tcPr>
          <w:p>
            <w:pPr>
              <w:spacing w:after="0"/>
              <w:rPr>
                <w:sz w:val="21"/>
                <w:szCs w:val="21"/>
                <w:color w:val="auto"/>
              </w:rPr>
            </w:pPr>
          </w:p>
        </w:tc>
        <w:tc>
          <w:tcPr>
            <w:tcW w:w="240" w:type="dxa"/>
            <w:vAlign w:val="bottom"/>
            <w:tcBorders>
              <w:bottom w:val="single" w:sz="8" w:color="auto"/>
            </w:tcBorders>
            <w:shd w:val="clear" w:color="auto" w:fill="FDFDFD"/>
          </w:tcPr>
          <w:p>
            <w:pPr>
              <w:spacing w:after="0"/>
              <w:rPr>
                <w:sz w:val="21"/>
                <w:szCs w:val="21"/>
                <w:color w:val="auto"/>
              </w:rPr>
            </w:pPr>
          </w:p>
        </w:tc>
        <w:tc>
          <w:tcPr>
            <w:tcW w:w="8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14,049</w:t>
            </w:r>
          </w:p>
        </w:tc>
        <w:tc>
          <w:tcPr>
            <w:tcW w:w="100" w:type="dxa"/>
            <w:vAlign w:val="bottom"/>
            <w:tcBorders>
              <w:bottom w:val="single" w:sz="8" w:color="E3E3E3"/>
            </w:tcBorders>
            <w:shd w:val="clear" w:color="auto" w:fill="FDFDFD"/>
          </w:tcPr>
          <w:p>
            <w:pPr>
              <w:spacing w:after="0"/>
              <w:rPr>
                <w:sz w:val="21"/>
                <w:szCs w:val="21"/>
                <w:color w:val="auto"/>
              </w:rPr>
            </w:pPr>
          </w:p>
        </w:tc>
        <w:tc>
          <w:tcPr>
            <w:tcW w:w="120" w:type="dxa"/>
            <w:vAlign w:val="bottom"/>
            <w:tcBorders>
              <w:bottom w:val="single" w:sz="8" w:color="E3E3E3"/>
            </w:tcBorders>
            <w:shd w:val="clear" w:color="auto" w:fill="FDFDFD"/>
          </w:tcPr>
          <w:p>
            <w:pPr>
              <w:spacing w:after="0"/>
              <w:rPr>
                <w:sz w:val="21"/>
                <w:szCs w:val="21"/>
                <w:color w:val="auto"/>
              </w:rPr>
            </w:pPr>
          </w:p>
        </w:tc>
        <w:tc>
          <w:tcPr>
            <w:tcW w:w="220" w:type="dxa"/>
            <w:vAlign w:val="bottom"/>
            <w:tcBorders>
              <w:bottom w:val="single" w:sz="8" w:color="auto"/>
            </w:tcBorders>
            <w:shd w:val="clear" w:color="auto" w:fill="FDFDFD"/>
          </w:tcPr>
          <w:p>
            <w:pPr>
              <w:spacing w:after="0"/>
              <w:rPr>
                <w:sz w:val="21"/>
                <w:szCs w:val="21"/>
                <w:color w:val="auto"/>
              </w:rPr>
            </w:pPr>
          </w:p>
        </w:tc>
        <w:tc>
          <w:tcPr>
            <w:tcW w:w="88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12,742</w:t>
            </w:r>
          </w:p>
        </w:tc>
        <w:tc>
          <w:tcPr>
            <w:tcW w:w="80" w:type="dxa"/>
            <w:vAlign w:val="bottom"/>
            <w:tcBorders>
              <w:bottom w:val="single" w:sz="8" w:color="E3E3E3"/>
            </w:tcBorders>
            <w:shd w:val="clear" w:color="auto" w:fill="FDFDFD"/>
          </w:tcPr>
          <w:p>
            <w:pPr>
              <w:spacing w:after="0"/>
              <w:rPr>
                <w:sz w:val="21"/>
                <w:szCs w:val="21"/>
                <w:color w:val="auto"/>
              </w:rPr>
            </w:pPr>
          </w:p>
        </w:tc>
        <w:tc>
          <w:tcPr>
            <w:tcW w:w="120" w:type="dxa"/>
            <w:vAlign w:val="bottom"/>
            <w:tcBorders>
              <w:bottom w:val="single" w:sz="8" w:color="E3E3E3"/>
            </w:tcBorders>
            <w:shd w:val="clear" w:color="auto" w:fill="FDFDFD"/>
          </w:tcPr>
          <w:p>
            <w:pPr>
              <w:spacing w:after="0"/>
              <w:rPr>
                <w:sz w:val="21"/>
                <w:szCs w:val="21"/>
                <w:color w:val="auto"/>
              </w:rPr>
            </w:pPr>
          </w:p>
        </w:tc>
        <w:tc>
          <w:tcPr>
            <w:tcW w:w="260" w:type="dxa"/>
            <w:vAlign w:val="bottom"/>
            <w:tcBorders>
              <w:bottom w:val="single" w:sz="8" w:color="auto"/>
            </w:tcBorders>
            <w:shd w:val="clear" w:color="auto" w:fill="FDFDFD"/>
          </w:tcPr>
          <w:p>
            <w:pPr>
              <w:spacing w:after="0"/>
              <w:rPr>
                <w:sz w:val="21"/>
                <w:szCs w:val="21"/>
                <w:color w:val="auto"/>
              </w:rPr>
            </w:pPr>
          </w:p>
        </w:tc>
        <w:tc>
          <w:tcPr>
            <w:tcW w:w="84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16,759</w:t>
            </w:r>
          </w:p>
        </w:tc>
        <w:tc>
          <w:tcPr>
            <w:tcW w:w="80" w:type="dxa"/>
            <w:vAlign w:val="bottom"/>
            <w:tcBorders>
              <w:bottom w:val="single" w:sz="8" w:color="E3E3E3"/>
            </w:tcBorders>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280" w:type="dxa"/>
            <w:vAlign w:val="bottom"/>
            <w:tcBorders>
              <w:bottom w:val="single" w:sz="8" w:color="E3E3E3"/>
            </w:tcBorders>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Total cost of revenue</w:t>
            </w:r>
          </w:p>
        </w:tc>
        <w:tc>
          <w:tcPr>
            <w:tcW w:w="120" w:type="dxa"/>
            <w:vAlign w:val="bottom"/>
            <w:tcBorders>
              <w:bottom w:val="single" w:sz="8" w:color="E3E3E3"/>
            </w:tcBorders>
            <w:shd w:val="clear" w:color="auto" w:fill="E3E3E3"/>
          </w:tcPr>
          <w:p>
            <w:pPr>
              <w:spacing w:after="0"/>
              <w:rPr>
                <w:sz w:val="22"/>
                <w:szCs w:val="22"/>
                <w:color w:val="auto"/>
              </w:rPr>
            </w:pPr>
          </w:p>
        </w:tc>
        <w:tc>
          <w:tcPr>
            <w:tcW w:w="240" w:type="dxa"/>
            <w:vAlign w:val="bottom"/>
            <w:tcBorders>
              <w:bottom w:val="single" w:sz="8" w:color="auto"/>
            </w:tcBorders>
            <w:shd w:val="clear" w:color="auto" w:fill="E3E3E3"/>
          </w:tcPr>
          <w:p>
            <w:pPr>
              <w:spacing w:after="0"/>
              <w:rPr>
                <w:sz w:val="22"/>
                <w:szCs w:val="22"/>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54,733</w:t>
            </w:r>
          </w:p>
        </w:tc>
        <w:tc>
          <w:tcPr>
            <w:tcW w:w="100" w:type="dxa"/>
            <w:vAlign w:val="bottom"/>
            <w:tcBorders>
              <w:bottom w:val="single" w:sz="8" w:color="E3E3E3"/>
            </w:tcBorders>
            <w:shd w:val="clear" w:color="auto" w:fill="E3E3E3"/>
          </w:tcPr>
          <w:p>
            <w:pPr>
              <w:spacing w:after="0"/>
              <w:rPr>
                <w:sz w:val="22"/>
                <w:szCs w:val="22"/>
                <w:color w:val="auto"/>
              </w:rPr>
            </w:pPr>
          </w:p>
        </w:tc>
        <w:tc>
          <w:tcPr>
            <w:tcW w:w="120" w:type="dxa"/>
            <w:vAlign w:val="bottom"/>
            <w:tcBorders>
              <w:bottom w:val="single" w:sz="8" w:color="E3E3E3"/>
            </w:tcBorders>
            <w:shd w:val="clear" w:color="auto" w:fill="E3E3E3"/>
          </w:tcPr>
          <w:p>
            <w:pPr>
              <w:spacing w:after="0"/>
              <w:rPr>
                <w:sz w:val="22"/>
                <w:szCs w:val="22"/>
                <w:color w:val="auto"/>
              </w:rPr>
            </w:pPr>
          </w:p>
        </w:tc>
        <w:tc>
          <w:tcPr>
            <w:tcW w:w="220" w:type="dxa"/>
            <w:vAlign w:val="bottom"/>
            <w:tcBorders>
              <w:bottom w:val="single" w:sz="8" w:color="auto"/>
            </w:tcBorders>
            <w:shd w:val="clear" w:color="auto" w:fill="E3E3E3"/>
          </w:tcPr>
          <w:p>
            <w:pPr>
              <w:spacing w:after="0"/>
              <w:rPr>
                <w:sz w:val="22"/>
                <w:szCs w:val="22"/>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47,482</w:t>
            </w:r>
          </w:p>
        </w:tc>
        <w:tc>
          <w:tcPr>
            <w:tcW w:w="80" w:type="dxa"/>
            <w:vAlign w:val="bottom"/>
            <w:tcBorders>
              <w:bottom w:val="single" w:sz="8" w:color="E3E3E3"/>
            </w:tcBorders>
            <w:shd w:val="clear" w:color="auto" w:fill="E3E3E3"/>
          </w:tcPr>
          <w:p>
            <w:pPr>
              <w:spacing w:after="0"/>
              <w:rPr>
                <w:sz w:val="22"/>
                <w:szCs w:val="22"/>
                <w:color w:val="auto"/>
              </w:rPr>
            </w:pPr>
          </w:p>
        </w:tc>
        <w:tc>
          <w:tcPr>
            <w:tcW w:w="120" w:type="dxa"/>
            <w:vAlign w:val="bottom"/>
            <w:tcBorders>
              <w:bottom w:val="single" w:sz="8" w:color="E3E3E3"/>
            </w:tcBorders>
            <w:shd w:val="clear" w:color="auto" w:fill="E3E3E3"/>
          </w:tcPr>
          <w:p>
            <w:pPr>
              <w:spacing w:after="0"/>
              <w:rPr>
                <w:sz w:val="22"/>
                <w:szCs w:val="22"/>
                <w:color w:val="auto"/>
              </w:rPr>
            </w:pPr>
          </w:p>
        </w:tc>
        <w:tc>
          <w:tcPr>
            <w:tcW w:w="260" w:type="dxa"/>
            <w:vAlign w:val="bottom"/>
            <w:tcBorders>
              <w:bottom w:val="single" w:sz="8" w:color="auto"/>
            </w:tcBorders>
            <w:shd w:val="clear" w:color="auto" w:fill="E3E3E3"/>
          </w:tcPr>
          <w:p>
            <w:pPr>
              <w:spacing w:after="0"/>
              <w:rPr>
                <w:sz w:val="22"/>
                <w:szCs w:val="22"/>
                <w:color w:val="auto"/>
              </w:rPr>
            </w:pPr>
          </w:p>
        </w:tc>
        <w:tc>
          <w:tcPr>
            <w:tcW w:w="8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42,625</w:t>
            </w:r>
          </w:p>
        </w:tc>
        <w:tc>
          <w:tcPr>
            <w:tcW w:w="80" w:type="dxa"/>
            <w:vAlign w:val="bottom"/>
            <w:tcBorders>
              <w:bottom w:val="single" w:sz="8" w:color="E3E3E3"/>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280" w:type="dxa"/>
            <w:vAlign w:val="bottom"/>
            <w:tcBorders>
              <w:top w:val="single" w:sz="8" w:color="FDFDFD"/>
            </w:tcBorders>
            <w:shd w:val="clear" w:color="auto" w:fill="FDFDFD"/>
          </w:tcPr>
          <w:p>
            <w:pPr>
              <w:ind w:left="600"/>
              <w:spacing w:after="0" w:line="214" w:lineRule="exact"/>
              <w:rPr>
                <w:sz w:val="20"/>
                <w:szCs w:val="20"/>
                <w:color w:val="auto"/>
              </w:rPr>
            </w:pPr>
            <w:r>
              <w:rPr>
                <w:rFonts w:ascii="Times New Roman" w:cs="Times New Roman" w:eastAsia="Times New Roman" w:hAnsi="Times New Roman"/>
                <w:sz w:val="20"/>
                <w:szCs w:val="20"/>
                <w:color w:val="auto"/>
              </w:rPr>
              <w:t>Gross profit</w:t>
            </w:r>
          </w:p>
        </w:tc>
        <w:tc>
          <w:tcPr>
            <w:tcW w:w="120" w:type="dxa"/>
            <w:vAlign w:val="bottom"/>
            <w:tcBorders>
              <w:top w:val="single" w:sz="8" w:color="FDFDFD"/>
            </w:tcBorders>
            <w:shd w:val="clear" w:color="auto" w:fill="FDFDFD"/>
          </w:tcPr>
          <w:p>
            <w:pPr>
              <w:spacing w:after="0"/>
              <w:rPr>
                <w:sz w:val="18"/>
                <w:szCs w:val="18"/>
                <w:color w:val="auto"/>
              </w:rPr>
            </w:pPr>
          </w:p>
        </w:tc>
        <w:tc>
          <w:tcPr>
            <w:tcW w:w="240" w:type="dxa"/>
            <w:vAlign w:val="bottom"/>
            <w:tcBorders>
              <w:top w:val="single" w:sz="8" w:color="auto"/>
            </w:tcBorders>
            <w:shd w:val="clear" w:color="auto" w:fill="FDFDFD"/>
          </w:tcPr>
          <w:p>
            <w:pPr>
              <w:spacing w:after="0"/>
              <w:rPr>
                <w:sz w:val="18"/>
                <w:szCs w:val="18"/>
                <w:color w:val="auto"/>
              </w:rPr>
            </w:pPr>
          </w:p>
        </w:tc>
        <w:tc>
          <w:tcPr>
            <w:tcW w:w="860" w:type="dxa"/>
            <w:vAlign w:val="bottom"/>
            <w:tcBorders>
              <w:top w:val="single" w:sz="8" w:color="auto"/>
            </w:tcBorders>
            <w:shd w:val="clear" w:color="auto" w:fill="FDFDFD"/>
          </w:tcPr>
          <w:p>
            <w:pPr>
              <w:jc w:val="right"/>
              <w:spacing w:after="0" w:line="214" w:lineRule="exact"/>
              <w:rPr>
                <w:sz w:val="20"/>
                <w:szCs w:val="20"/>
                <w:color w:val="auto"/>
              </w:rPr>
            </w:pPr>
            <w:r>
              <w:rPr>
                <w:rFonts w:ascii="Times New Roman" w:cs="Times New Roman" w:eastAsia="Times New Roman" w:hAnsi="Times New Roman"/>
                <w:sz w:val="20"/>
                <w:szCs w:val="20"/>
                <w:color w:val="auto"/>
              </w:rPr>
              <w:t>197,469</w:t>
            </w:r>
          </w:p>
        </w:tc>
        <w:tc>
          <w:tcPr>
            <w:tcW w:w="100" w:type="dxa"/>
            <w:vAlign w:val="bottom"/>
            <w:tcBorders>
              <w:top w:val="single" w:sz="8" w:color="FDFDFD"/>
            </w:tcBorders>
            <w:shd w:val="clear" w:color="auto" w:fill="FDFDFD"/>
          </w:tcPr>
          <w:p>
            <w:pPr>
              <w:spacing w:after="0"/>
              <w:rPr>
                <w:sz w:val="18"/>
                <w:szCs w:val="18"/>
                <w:color w:val="auto"/>
              </w:rPr>
            </w:pPr>
          </w:p>
        </w:tc>
        <w:tc>
          <w:tcPr>
            <w:tcW w:w="120" w:type="dxa"/>
            <w:vAlign w:val="bottom"/>
            <w:tcBorders>
              <w:top w:val="single" w:sz="8" w:color="FDFDFD"/>
            </w:tcBorders>
            <w:shd w:val="clear" w:color="auto" w:fill="FDFDFD"/>
          </w:tcPr>
          <w:p>
            <w:pPr>
              <w:spacing w:after="0"/>
              <w:rPr>
                <w:sz w:val="18"/>
                <w:szCs w:val="18"/>
                <w:color w:val="auto"/>
              </w:rPr>
            </w:pPr>
          </w:p>
        </w:tc>
        <w:tc>
          <w:tcPr>
            <w:tcW w:w="220" w:type="dxa"/>
            <w:vAlign w:val="bottom"/>
            <w:tcBorders>
              <w:top w:val="single" w:sz="8" w:color="auto"/>
            </w:tcBorders>
            <w:shd w:val="clear" w:color="auto" w:fill="FDFDFD"/>
          </w:tcPr>
          <w:p>
            <w:pPr>
              <w:spacing w:after="0"/>
              <w:rPr>
                <w:sz w:val="18"/>
                <w:szCs w:val="18"/>
                <w:color w:val="auto"/>
              </w:rPr>
            </w:pPr>
          </w:p>
        </w:tc>
        <w:tc>
          <w:tcPr>
            <w:tcW w:w="880" w:type="dxa"/>
            <w:vAlign w:val="bottom"/>
            <w:tcBorders>
              <w:top w:val="single" w:sz="8" w:color="auto"/>
            </w:tcBorders>
            <w:shd w:val="clear" w:color="auto" w:fill="FDFDFD"/>
          </w:tcPr>
          <w:p>
            <w:pPr>
              <w:jc w:val="right"/>
              <w:spacing w:after="0" w:line="214" w:lineRule="exact"/>
              <w:rPr>
                <w:sz w:val="20"/>
                <w:szCs w:val="20"/>
                <w:color w:val="auto"/>
              </w:rPr>
            </w:pPr>
            <w:r>
              <w:rPr>
                <w:rFonts w:ascii="Times New Roman" w:cs="Times New Roman" w:eastAsia="Times New Roman" w:hAnsi="Times New Roman"/>
                <w:sz w:val="20"/>
                <w:szCs w:val="20"/>
                <w:color w:val="auto"/>
              </w:rPr>
              <w:t>203,933</w:t>
            </w:r>
          </w:p>
        </w:tc>
        <w:tc>
          <w:tcPr>
            <w:tcW w:w="80" w:type="dxa"/>
            <w:vAlign w:val="bottom"/>
            <w:tcBorders>
              <w:top w:val="single" w:sz="8" w:color="FDFDFD"/>
            </w:tcBorders>
            <w:shd w:val="clear" w:color="auto" w:fill="FDFDFD"/>
          </w:tcPr>
          <w:p>
            <w:pPr>
              <w:spacing w:after="0"/>
              <w:rPr>
                <w:sz w:val="18"/>
                <w:szCs w:val="18"/>
                <w:color w:val="auto"/>
              </w:rPr>
            </w:pPr>
          </w:p>
        </w:tc>
        <w:tc>
          <w:tcPr>
            <w:tcW w:w="120" w:type="dxa"/>
            <w:vAlign w:val="bottom"/>
            <w:tcBorders>
              <w:top w:val="single" w:sz="8" w:color="FDFDFD"/>
            </w:tcBorders>
            <w:shd w:val="clear" w:color="auto" w:fill="FDFDFD"/>
          </w:tcPr>
          <w:p>
            <w:pPr>
              <w:spacing w:after="0"/>
              <w:rPr>
                <w:sz w:val="18"/>
                <w:szCs w:val="18"/>
                <w:color w:val="auto"/>
              </w:rPr>
            </w:pPr>
          </w:p>
        </w:tc>
        <w:tc>
          <w:tcPr>
            <w:tcW w:w="260" w:type="dxa"/>
            <w:vAlign w:val="bottom"/>
            <w:tcBorders>
              <w:top w:val="single" w:sz="8" w:color="auto"/>
            </w:tcBorders>
            <w:shd w:val="clear" w:color="auto" w:fill="FDFDFD"/>
          </w:tcPr>
          <w:p>
            <w:pPr>
              <w:spacing w:after="0"/>
              <w:rPr>
                <w:sz w:val="18"/>
                <w:szCs w:val="18"/>
                <w:color w:val="auto"/>
              </w:rPr>
            </w:pPr>
          </w:p>
        </w:tc>
        <w:tc>
          <w:tcPr>
            <w:tcW w:w="840" w:type="dxa"/>
            <w:vAlign w:val="bottom"/>
            <w:tcBorders>
              <w:top w:val="single" w:sz="8" w:color="auto"/>
            </w:tcBorders>
            <w:shd w:val="clear" w:color="auto" w:fill="FDFDFD"/>
          </w:tcPr>
          <w:p>
            <w:pPr>
              <w:jc w:val="right"/>
              <w:spacing w:after="0" w:line="214" w:lineRule="exact"/>
              <w:rPr>
                <w:sz w:val="20"/>
                <w:szCs w:val="20"/>
                <w:color w:val="auto"/>
              </w:rPr>
            </w:pPr>
            <w:r>
              <w:rPr>
                <w:rFonts w:ascii="Times New Roman" w:cs="Times New Roman" w:eastAsia="Times New Roman" w:hAnsi="Times New Roman"/>
                <w:sz w:val="20"/>
                <w:szCs w:val="20"/>
                <w:color w:val="auto"/>
              </w:rPr>
              <w:t>180,028</w:t>
            </w:r>
          </w:p>
        </w:tc>
        <w:tc>
          <w:tcPr>
            <w:tcW w:w="80" w:type="dxa"/>
            <w:vAlign w:val="bottom"/>
            <w:tcBorders>
              <w:top w:val="single" w:sz="8" w:color="FDFDFD"/>
            </w:tcBorders>
            <w:shd w:val="clear" w:color="auto" w:fill="FDFDFD"/>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8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8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84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Sales and marketing</w:t>
            </w:r>
          </w:p>
        </w:tc>
        <w:tc>
          <w:tcPr>
            <w:tcW w:w="12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83,807</w:t>
            </w:r>
          </w:p>
        </w:tc>
        <w:tc>
          <w:tcPr>
            <w:tcW w:w="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94,534</w:t>
            </w:r>
          </w:p>
        </w:tc>
        <w:tc>
          <w:tcPr>
            <w:tcW w:w="8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260" w:type="dxa"/>
            <w:vAlign w:val="bottom"/>
            <w:shd w:val="clear" w:color="auto" w:fill="FDFDFD"/>
          </w:tcPr>
          <w:p>
            <w:pPr>
              <w:spacing w:after="0"/>
              <w:rPr>
                <w:sz w:val="21"/>
                <w:szCs w:val="21"/>
                <w:color w:val="auto"/>
              </w:rPr>
            </w:pPr>
          </w:p>
        </w:tc>
        <w:tc>
          <w:tcPr>
            <w:tcW w:w="8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89,585</w:t>
            </w:r>
          </w:p>
        </w:tc>
        <w:tc>
          <w:tcPr>
            <w:tcW w:w="8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Product development</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36,518</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42,441</w:t>
            </w:r>
          </w:p>
        </w:tc>
        <w:tc>
          <w:tcPr>
            <w:tcW w:w="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34,890</w:t>
            </w: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2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49,267</w:t>
            </w:r>
          </w:p>
        </w:tc>
        <w:tc>
          <w:tcPr>
            <w:tcW w:w="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58,861</w:t>
            </w:r>
          </w:p>
        </w:tc>
        <w:tc>
          <w:tcPr>
            <w:tcW w:w="8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260" w:type="dxa"/>
            <w:vAlign w:val="bottom"/>
            <w:shd w:val="clear" w:color="auto" w:fill="FDFDFD"/>
          </w:tcPr>
          <w:p>
            <w:pPr>
              <w:spacing w:after="0"/>
              <w:rPr>
                <w:sz w:val="21"/>
                <w:szCs w:val="21"/>
                <w:color w:val="auto"/>
              </w:rPr>
            </w:pPr>
          </w:p>
        </w:tc>
        <w:tc>
          <w:tcPr>
            <w:tcW w:w="8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51,561</w:t>
            </w:r>
          </w:p>
        </w:tc>
        <w:tc>
          <w:tcPr>
            <w:tcW w:w="8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37,618</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39,008</w:t>
            </w:r>
          </w:p>
        </w:tc>
        <w:tc>
          <w:tcPr>
            <w:tcW w:w="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40,145</w:t>
            </w: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Transaction, integration and restructuring expenses</w:t>
            </w:r>
          </w:p>
        </w:tc>
        <w:tc>
          <w:tcPr>
            <w:tcW w:w="12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12,225</w:t>
            </w:r>
          </w:p>
        </w:tc>
        <w:tc>
          <w:tcPr>
            <w:tcW w:w="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11,489</w:t>
            </w:r>
          </w:p>
        </w:tc>
        <w:tc>
          <w:tcPr>
            <w:tcW w:w="8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260" w:type="dxa"/>
            <w:vAlign w:val="bottom"/>
            <w:shd w:val="clear" w:color="auto" w:fill="FDFDFD"/>
          </w:tcPr>
          <w:p>
            <w:pPr>
              <w:spacing w:after="0"/>
              <w:rPr>
                <w:sz w:val="21"/>
                <w:szCs w:val="21"/>
                <w:color w:val="auto"/>
              </w:rPr>
            </w:pPr>
          </w:p>
        </w:tc>
        <w:tc>
          <w:tcPr>
            <w:tcW w:w="8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7,890</w:t>
            </w:r>
          </w:p>
        </w:tc>
        <w:tc>
          <w:tcPr>
            <w:tcW w:w="8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Goodwill impairment</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688,854</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287,400</w:t>
            </w:r>
          </w:p>
        </w:tc>
        <w:tc>
          <w:tcPr>
            <w:tcW w:w="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92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5280" w:type="dxa"/>
            <w:vAlign w:val="bottom"/>
            <w:tcBorders>
              <w:top w:val="single" w:sz="8" w:color="FDFDFD"/>
              <w:bottom w:val="single" w:sz="8" w:color="E3E3E3"/>
            </w:tcBorders>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120" w:type="dxa"/>
            <w:vAlign w:val="bottom"/>
            <w:tcBorders>
              <w:top w:val="single" w:sz="8" w:color="FDFDFD"/>
              <w:bottom w:val="single" w:sz="8" w:color="E3E3E3"/>
            </w:tcBorders>
            <w:shd w:val="clear" w:color="auto" w:fill="FDFDFD"/>
          </w:tcPr>
          <w:p>
            <w:pPr>
              <w:spacing w:after="0"/>
              <w:rPr>
                <w:sz w:val="20"/>
                <w:szCs w:val="20"/>
                <w:color w:val="auto"/>
              </w:rPr>
            </w:pPr>
          </w:p>
        </w:tc>
        <w:tc>
          <w:tcPr>
            <w:tcW w:w="240" w:type="dxa"/>
            <w:vAlign w:val="bottom"/>
            <w:tcBorders>
              <w:top w:val="single" w:sz="8" w:color="auto"/>
              <w:bottom w:val="single" w:sz="8" w:color="auto"/>
            </w:tcBorders>
            <w:shd w:val="clear" w:color="auto" w:fill="FDFDFD"/>
          </w:tcPr>
          <w:p>
            <w:pPr>
              <w:spacing w:after="0"/>
              <w:rPr>
                <w:sz w:val="20"/>
                <w:szCs w:val="20"/>
                <w:color w:val="auto"/>
              </w:rPr>
            </w:pPr>
          </w:p>
        </w:tc>
        <w:tc>
          <w:tcPr>
            <w:tcW w:w="86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908,289</w:t>
            </w:r>
          </w:p>
        </w:tc>
        <w:tc>
          <w:tcPr>
            <w:tcW w:w="100" w:type="dxa"/>
            <w:vAlign w:val="bottom"/>
            <w:tcBorders>
              <w:top w:val="single" w:sz="8" w:color="FDFDFD"/>
              <w:bottom w:val="single" w:sz="8" w:color="E3E3E3"/>
            </w:tcBorders>
            <w:shd w:val="clear" w:color="auto" w:fill="FDFDFD"/>
          </w:tcPr>
          <w:p>
            <w:pPr>
              <w:spacing w:after="0"/>
              <w:rPr>
                <w:sz w:val="20"/>
                <w:szCs w:val="20"/>
                <w:color w:val="auto"/>
              </w:rPr>
            </w:pPr>
          </w:p>
        </w:tc>
        <w:tc>
          <w:tcPr>
            <w:tcW w:w="120" w:type="dxa"/>
            <w:vAlign w:val="bottom"/>
            <w:tcBorders>
              <w:top w:val="single" w:sz="8" w:color="FDFDFD"/>
              <w:bottom w:val="single" w:sz="8" w:color="E3E3E3"/>
            </w:tcBorders>
            <w:shd w:val="clear" w:color="auto" w:fill="FDFDFD"/>
          </w:tcPr>
          <w:p>
            <w:pPr>
              <w:spacing w:after="0"/>
              <w:rPr>
                <w:sz w:val="20"/>
                <w:szCs w:val="20"/>
                <w:color w:val="auto"/>
              </w:rPr>
            </w:pPr>
          </w:p>
        </w:tc>
        <w:tc>
          <w:tcPr>
            <w:tcW w:w="220" w:type="dxa"/>
            <w:vAlign w:val="bottom"/>
            <w:tcBorders>
              <w:top w:val="single" w:sz="8" w:color="auto"/>
              <w:bottom w:val="single" w:sz="8" w:color="auto"/>
            </w:tcBorders>
            <w:shd w:val="clear" w:color="auto" w:fill="FDFDFD"/>
          </w:tcPr>
          <w:p>
            <w:pPr>
              <w:spacing w:after="0"/>
              <w:rPr>
                <w:sz w:val="20"/>
                <w:szCs w:val="20"/>
                <w:color w:val="auto"/>
              </w:rPr>
            </w:pPr>
          </w:p>
        </w:tc>
        <w:tc>
          <w:tcPr>
            <w:tcW w:w="88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533,733</w:t>
            </w:r>
          </w:p>
        </w:tc>
        <w:tc>
          <w:tcPr>
            <w:tcW w:w="80" w:type="dxa"/>
            <w:vAlign w:val="bottom"/>
            <w:tcBorders>
              <w:top w:val="single" w:sz="8" w:color="FDFDFD"/>
              <w:bottom w:val="single" w:sz="8" w:color="E3E3E3"/>
            </w:tcBorders>
            <w:shd w:val="clear" w:color="auto" w:fill="FDFDFD"/>
          </w:tcPr>
          <w:p>
            <w:pPr>
              <w:spacing w:after="0"/>
              <w:rPr>
                <w:sz w:val="20"/>
                <w:szCs w:val="20"/>
                <w:color w:val="auto"/>
              </w:rPr>
            </w:pPr>
          </w:p>
        </w:tc>
        <w:tc>
          <w:tcPr>
            <w:tcW w:w="120" w:type="dxa"/>
            <w:vAlign w:val="bottom"/>
            <w:tcBorders>
              <w:top w:val="single" w:sz="8" w:color="FDFDFD"/>
              <w:bottom w:val="single" w:sz="8" w:color="E3E3E3"/>
            </w:tcBorders>
            <w:shd w:val="clear" w:color="auto" w:fill="FDFDFD"/>
          </w:tcPr>
          <w:p>
            <w:pPr>
              <w:spacing w:after="0"/>
              <w:rPr>
                <w:sz w:val="20"/>
                <w:szCs w:val="20"/>
                <w:color w:val="auto"/>
              </w:rPr>
            </w:pPr>
          </w:p>
        </w:tc>
        <w:tc>
          <w:tcPr>
            <w:tcW w:w="260" w:type="dxa"/>
            <w:vAlign w:val="bottom"/>
            <w:tcBorders>
              <w:top w:val="single" w:sz="8" w:color="auto"/>
              <w:bottom w:val="single" w:sz="8" w:color="auto"/>
            </w:tcBorders>
            <w:shd w:val="clear" w:color="auto" w:fill="FDFDFD"/>
          </w:tcPr>
          <w:p>
            <w:pPr>
              <w:spacing w:after="0"/>
              <w:rPr>
                <w:sz w:val="20"/>
                <w:szCs w:val="20"/>
                <w:color w:val="auto"/>
              </w:rPr>
            </w:pPr>
          </w:p>
        </w:tc>
        <w:tc>
          <w:tcPr>
            <w:tcW w:w="84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224,071</w:t>
            </w:r>
          </w:p>
        </w:tc>
        <w:tc>
          <w:tcPr>
            <w:tcW w:w="80" w:type="dxa"/>
            <w:vAlign w:val="bottom"/>
            <w:tcBorders>
              <w:top w:val="single" w:sz="8" w:color="FDFDFD"/>
              <w:bottom w:val="single" w:sz="8" w:color="E3E3E3"/>
            </w:tcBorders>
            <w:shd w:val="clear" w:color="auto" w:fill="FDFDFD"/>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E3E3E3"/>
          </w:tcPr>
          <w:p>
            <w:pPr>
              <w:ind w:left="600"/>
              <w:spacing w:after="0"/>
              <w:rPr>
                <w:sz w:val="20"/>
                <w:szCs w:val="20"/>
                <w:color w:val="auto"/>
              </w:rPr>
            </w:pPr>
            <w:r>
              <w:rPr>
                <w:rFonts w:ascii="Times New Roman" w:cs="Times New Roman" w:eastAsia="Times New Roman" w:hAnsi="Times New Roman"/>
                <w:sz w:val="20"/>
                <w:szCs w:val="20"/>
                <w:color w:val="auto"/>
              </w:rPr>
              <w:t>Loss from operations</w:t>
            </w:r>
          </w:p>
        </w:tc>
        <w:tc>
          <w:tcPr>
            <w:tcW w:w="12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(710,820)</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(329,800)</w:t>
            </w: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(44,043)</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E3E3E3"/>
            </w:tcBorders>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Total other income, net</w:t>
            </w:r>
          </w:p>
        </w:tc>
        <w:tc>
          <w:tcPr>
            <w:tcW w:w="120" w:type="dxa"/>
            <w:vAlign w:val="bottom"/>
            <w:tcBorders>
              <w:bottom w:val="single" w:sz="8" w:color="E3E3E3"/>
            </w:tcBorders>
            <w:shd w:val="clear" w:color="auto" w:fill="FDFDFD"/>
          </w:tcPr>
          <w:p>
            <w:pPr>
              <w:spacing w:after="0"/>
              <w:rPr>
                <w:sz w:val="21"/>
                <w:szCs w:val="21"/>
                <w:color w:val="auto"/>
              </w:rPr>
            </w:pPr>
          </w:p>
        </w:tc>
        <w:tc>
          <w:tcPr>
            <w:tcW w:w="240" w:type="dxa"/>
            <w:vAlign w:val="bottom"/>
            <w:tcBorders>
              <w:bottom w:val="single" w:sz="8" w:color="auto"/>
            </w:tcBorders>
            <w:shd w:val="clear" w:color="auto" w:fill="FDFDFD"/>
          </w:tcPr>
          <w:p>
            <w:pPr>
              <w:spacing w:after="0"/>
              <w:rPr>
                <w:sz w:val="21"/>
                <w:szCs w:val="21"/>
                <w:color w:val="auto"/>
              </w:rPr>
            </w:pPr>
          </w:p>
        </w:tc>
        <w:tc>
          <w:tcPr>
            <w:tcW w:w="8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77,075</w:t>
            </w:r>
          </w:p>
        </w:tc>
        <w:tc>
          <w:tcPr>
            <w:tcW w:w="100" w:type="dxa"/>
            <w:vAlign w:val="bottom"/>
            <w:tcBorders>
              <w:bottom w:val="single" w:sz="8" w:color="E3E3E3"/>
            </w:tcBorders>
            <w:shd w:val="clear" w:color="auto" w:fill="FDFDFD"/>
          </w:tcPr>
          <w:p>
            <w:pPr>
              <w:spacing w:after="0"/>
              <w:rPr>
                <w:sz w:val="21"/>
                <w:szCs w:val="21"/>
                <w:color w:val="auto"/>
              </w:rPr>
            </w:pPr>
          </w:p>
        </w:tc>
        <w:tc>
          <w:tcPr>
            <w:tcW w:w="120" w:type="dxa"/>
            <w:vAlign w:val="bottom"/>
            <w:tcBorders>
              <w:bottom w:val="single" w:sz="8" w:color="E3E3E3"/>
            </w:tcBorders>
            <w:shd w:val="clear" w:color="auto" w:fill="FDFDFD"/>
          </w:tcPr>
          <w:p>
            <w:pPr>
              <w:spacing w:after="0"/>
              <w:rPr>
                <w:sz w:val="21"/>
                <w:szCs w:val="21"/>
                <w:color w:val="auto"/>
              </w:rPr>
            </w:pPr>
          </w:p>
        </w:tc>
        <w:tc>
          <w:tcPr>
            <w:tcW w:w="220" w:type="dxa"/>
            <w:vAlign w:val="bottom"/>
            <w:tcBorders>
              <w:bottom w:val="single" w:sz="8" w:color="auto"/>
            </w:tcBorders>
            <w:shd w:val="clear" w:color="auto" w:fill="FDFDFD"/>
          </w:tcPr>
          <w:p>
            <w:pPr>
              <w:spacing w:after="0"/>
              <w:rPr>
                <w:sz w:val="21"/>
                <w:szCs w:val="21"/>
                <w:color w:val="auto"/>
              </w:rPr>
            </w:pPr>
          </w:p>
        </w:tc>
        <w:tc>
          <w:tcPr>
            <w:tcW w:w="88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21,620</w:t>
            </w:r>
          </w:p>
        </w:tc>
        <w:tc>
          <w:tcPr>
            <w:tcW w:w="80" w:type="dxa"/>
            <w:vAlign w:val="bottom"/>
            <w:tcBorders>
              <w:bottom w:val="single" w:sz="8" w:color="E3E3E3"/>
            </w:tcBorders>
            <w:shd w:val="clear" w:color="auto" w:fill="FDFDFD"/>
          </w:tcPr>
          <w:p>
            <w:pPr>
              <w:spacing w:after="0"/>
              <w:rPr>
                <w:sz w:val="21"/>
                <w:szCs w:val="21"/>
                <w:color w:val="auto"/>
              </w:rPr>
            </w:pPr>
          </w:p>
        </w:tc>
        <w:tc>
          <w:tcPr>
            <w:tcW w:w="120" w:type="dxa"/>
            <w:vAlign w:val="bottom"/>
            <w:tcBorders>
              <w:bottom w:val="single" w:sz="8" w:color="E3E3E3"/>
            </w:tcBorders>
            <w:shd w:val="clear" w:color="auto" w:fill="FDFDFD"/>
          </w:tcPr>
          <w:p>
            <w:pPr>
              <w:spacing w:after="0"/>
              <w:rPr>
                <w:sz w:val="21"/>
                <w:szCs w:val="21"/>
                <w:color w:val="auto"/>
              </w:rPr>
            </w:pPr>
          </w:p>
        </w:tc>
        <w:tc>
          <w:tcPr>
            <w:tcW w:w="260" w:type="dxa"/>
            <w:vAlign w:val="bottom"/>
            <w:tcBorders>
              <w:bottom w:val="single" w:sz="8" w:color="auto"/>
            </w:tcBorders>
            <w:shd w:val="clear" w:color="auto" w:fill="FDFDFD"/>
          </w:tcPr>
          <w:p>
            <w:pPr>
              <w:spacing w:after="0"/>
              <w:rPr>
                <w:sz w:val="21"/>
                <w:szCs w:val="21"/>
                <w:color w:val="auto"/>
              </w:rPr>
            </w:pPr>
          </w:p>
        </w:tc>
        <w:tc>
          <w:tcPr>
            <w:tcW w:w="84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2,166</w:t>
            </w:r>
          </w:p>
        </w:tc>
        <w:tc>
          <w:tcPr>
            <w:tcW w:w="80" w:type="dxa"/>
            <w:vAlign w:val="bottom"/>
            <w:tcBorders>
              <w:bottom w:val="single" w:sz="8" w:color="E3E3E3"/>
            </w:tcBorders>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E3E3E3"/>
          </w:tcPr>
          <w:p>
            <w:pPr>
              <w:ind w:left="600"/>
              <w:spacing w:after="0"/>
              <w:rPr>
                <w:sz w:val="20"/>
                <w:szCs w:val="20"/>
                <w:color w:val="auto"/>
              </w:rPr>
            </w:pPr>
            <w:r>
              <w:rPr>
                <w:rFonts w:ascii="Times New Roman" w:cs="Times New Roman" w:eastAsia="Times New Roman" w:hAnsi="Times New Roman"/>
                <w:sz w:val="20"/>
                <w:szCs w:val="20"/>
                <w:color w:val="auto"/>
              </w:rPr>
              <w:t>Loss before income taxes</w:t>
            </w:r>
          </w:p>
        </w:tc>
        <w:tc>
          <w:tcPr>
            <w:tcW w:w="12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(633,745)</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(308,180)</w:t>
            </w: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(41,877)</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E3E3E3"/>
            </w:tcBorders>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Benefit from income taxes</w:t>
            </w:r>
          </w:p>
        </w:tc>
        <w:tc>
          <w:tcPr>
            <w:tcW w:w="120" w:type="dxa"/>
            <w:vAlign w:val="bottom"/>
            <w:tcBorders>
              <w:bottom w:val="single" w:sz="8" w:color="E3E3E3"/>
            </w:tcBorders>
            <w:shd w:val="clear" w:color="auto" w:fill="FDFDFD"/>
          </w:tcPr>
          <w:p>
            <w:pPr>
              <w:spacing w:after="0"/>
              <w:rPr>
                <w:sz w:val="21"/>
                <w:szCs w:val="21"/>
                <w:color w:val="auto"/>
              </w:rPr>
            </w:pPr>
          </w:p>
        </w:tc>
        <w:tc>
          <w:tcPr>
            <w:tcW w:w="240" w:type="dxa"/>
            <w:vAlign w:val="bottom"/>
            <w:tcBorders>
              <w:bottom w:val="single" w:sz="8" w:color="auto"/>
            </w:tcBorders>
            <w:shd w:val="clear" w:color="auto" w:fill="FDFDFD"/>
          </w:tcPr>
          <w:p>
            <w:pPr>
              <w:spacing w:after="0"/>
              <w:rPr>
                <w:sz w:val="21"/>
                <w:szCs w:val="21"/>
                <w:color w:val="auto"/>
              </w:rPr>
            </w:pPr>
          </w:p>
        </w:tc>
        <w:tc>
          <w:tcPr>
            <w:tcW w:w="8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42,299</w:t>
            </w:r>
          </w:p>
        </w:tc>
        <w:tc>
          <w:tcPr>
            <w:tcW w:w="100" w:type="dxa"/>
            <w:vAlign w:val="bottom"/>
            <w:tcBorders>
              <w:bottom w:val="single" w:sz="8" w:color="E3E3E3"/>
            </w:tcBorders>
            <w:shd w:val="clear" w:color="auto" w:fill="FDFDFD"/>
          </w:tcPr>
          <w:p>
            <w:pPr>
              <w:spacing w:after="0"/>
              <w:rPr>
                <w:sz w:val="21"/>
                <w:szCs w:val="21"/>
                <w:color w:val="auto"/>
              </w:rPr>
            </w:pPr>
          </w:p>
        </w:tc>
        <w:tc>
          <w:tcPr>
            <w:tcW w:w="120" w:type="dxa"/>
            <w:vAlign w:val="bottom"/>
            <w:tcBorders>
              <w:bottom w:val="single" w:sz="8" w:color="E3E3E3"/>
            </w:tcBorders>
            <w:shd w:val="clear" w:color="auto" w:fill="FDFDFD"/>
          </w:tcPr>
          <w:p>
            <w:pPr>
              <w:spacing w:after="0"/>
              <w:rPr>
                <w:sz w:val="21"/>
                <w:szCs w:val="21"/>
                <w:color w:val="auto"/>
              </w:rPr>
            </w:pPr>
          </w:p>
        </w:tc>
        <w:tc>
          <w:tcPr>
            <w:tcW w:w="220" w:type="dxa"/>
            <w:vAlign w:val="bottom"/>
            <w:tcBorders>
              <w:bottom w:val="single" w:sz="8" w:color="auto"/>
            </w:tcBorders>
            <w:shd w:val="clear" w:color="auto" w:fill="FDFDFD"/>
          </w:tcPr>
          <w:p>
            <w:pPr>
              <w:spacing w:after="0"/>
              <w:rPr>
                <w:sz w:val="21"/>
                <w:szCs w:val="21"/>
                <w:color w:val="auto"/>
              </w:rPr>
            </w:pPr>
          </w:p>
        </w:tc>
        <w:tc>
          <w:tcPr>
            <w:tcW w:w="88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18,553</w:t>
            </w:r>
          </w:p>
        </w:tc>
        <w:tc>
          <w:tcPr>
            <w:tcW w:w="80" w:type="dxa"/>
            <w:vAlign w:val="bottom"/>
            <w:tcBorders>
              <w:bottom w:val="single" w:sz="8" w:color="E3E3E3"/>
            </w:tcBorders>
            <w:shd w:val="clear" w:color="auto" w:fill="FDFDFD"/>
          </w:tcPr>
          <w:p>
            <w:pPr>
              <w:spacing w:after="0"/>
              <w:rPr>
                <w:sz w:val="21"/>
                <w:szCs w:val="21"/>
                <w:color w:val="auto"/>
              </w:rPr>
            </w:pPr>
          </w:p>
        </w:tc>
        <w:tc>
          <w:tcPr>
            <w:tcW w:w="120" w:type="dxa"/>
            <w:vAlign w:val="bottom"/>
            <w:tcBorders>
              <w:bottom w:val="single" w:sz="8" w:color="E3E3E3"/>
            </w:tcBorders>
            <w:shd w:val="clear" w:color="auto" w:fill="FDFDFD"/>
          </w:tcPr>
          <w:p>
            <w:pPr>
              <w:spacing w:after="0"/>
              <w:rPr>
                <w:sz w:val="21"/>
                <w:szCs w:val="21"/>
                <w:color w:val="auto"/>
              </w:rPr>
            </w:pPr>
          </w:p>
        </w:tc>
        <w:tc>
          <w:tcPr>
            <w:tcW w:w="260" w:type="dxa"/>
            <w:vAlign w:val="bottom"/>
            <w:tcBorders>
              <w:bottom w:val="single" w:sz="8" w:color="auto"/>
            </w:tcBorders>
            <w:shd w:val="clear" w:color="auto" w:fill="FDFDFD"/>
          </w:tcPr>
          <w:p>
            <w:pPr>
              <w:spacing w:after="0"/>
              <w:rPr>
                <w:sz w:val="21"/>
                <w:szCs w:val="21"/>
                <w:color w:val="auto"/>
              </w:rPr>
            </w:pPr>
          </w:p>
        </w:tc>
        <w:tc>
          <w:tcPr>
            <w:tcW w:w="84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17,698</w:t>
            </w:r>
          </w:p>
        </w:tc>
        <w:tc>
          <w:tcPr>
            <w:tcW w:w="80" w:type="dxa"/>
            <w:vAlign w:val="bottom"/>
            <w:tcBorders>
              <w:bottom w:val="single" w:sz="8" w:color="E3E3E3"/>
            </w:tcBorders>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FDFDFD"/>
            </w:tcBorders>
            <w:shd w:val="clear" w:color="auto" w:fill="E3E3E3"/>
          </w:tcPr>
          <w:p>
            <w:pPr>
              <w:ind w:left="600"/>
              <w:spacing w:after="0"/>
              <w:rPr>
                <w:sz w:val="20"/>
                <w:szCs w:val="20"/>
                <w:color w:val="auto"/>
              </w:rPr>
            </w:pPr>
            <w:r>
              <w:rPr>
                <w:rFonts w:ascii="Times New Roman" w:cs="Times New Roman" w:eastAsia="Times New Roman" w:hAnsi="Times New Roman"/>
                <w:sz w:val="20"/>
                <w:szCs w:val="20"/>
                <w:color w:val="auto"/>
              </w:rPr>
              <w:t>Net loss</w:t>
            </w:r>
          </w:p>
        </w:tc>
        <w:tc>
          <w:tcPr>
            <w:tcW w:w="120" w:type="dxa"/>
            <w:vAlign w:val="bottom"/>
            <w:tcBorders>
              <w:bottom w:val="single" w:sz="8" w:color="FDFDFD"/>
            </w:tcBorders>
            <w:shd w:val="clear" w:color="auto" w:fill="E3E3E3"/>
          </w:tcPr>
          <w:p>
            <w:pPr>
              <w:spacing w:after="0"/>
              <w:rPr>
                <w:sz w:val="20"/>
                <w:szCs w:val="20"/>
                <w:color w:val="auto"/>
              </w:rPr>
            </w:pPr>
          </w:p>
        </w:tc>
        <w:tc>
          <w:tcPr>
            <w:tcW w:w="240" w:type="dxa"/>
            <w:vAlign w:val="bottom"/>
            <w:tcBorders>
              <w:bottom w:val="single" w:sz="8" w:color="auto"/>
            </w:tcBorders>
            <w:shd w:val="clear" w:color="auto" w:fill="E3E3E3"/>
          </w:tcPr>
          <w:p>
            <w:pPr>
              <w:spacing w:after="0"/>
              <w:rPr>
                <w:sz w:val="20"/>
                <w:szCs w:val="20"/>
                <w:color w:val="auto"/>
              </w:rPr>
            </w:pPr>
          </w:p>
        </w:tc>
        <w:tc>
          <w:tcPr>
            <w:tcW w:w="8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(591,446)</w:t>
            </w:r>
          </w:p>
        </w:tc>
        <w:tc>
          <w:tcPr>
            <w:tcW w:w="100" w:type="dxa"/>
            <w:vAlign w:val="bottom"/>
            <w:tcBorders>
              <w:bottom w:val="single" w:sz="8" w:color="FDFDFD"/>
            </w:tcBorders>
            <w:shd w:val="clear" w:color="auto" w:fill="E3E3E3"/>
          </w:tcPr>
          <w:p>
            <w:pPr>
              <w:spacing w:after="0"/>
              <w:rPr>
                <w:sz w:val="20"/>
                <w:szCs w:val="20"/>
                <w:color w:val="auto"/>
              </w:rPr>
            </w:pPr>
          </w:p>
        </w:tc>
        <w:tc>
          <w:tcPr>
            <w:tcW w:w="120" w:type="dxa"/>
            <w:vAlign w:val="bottom"/>
            <w:tcBorders>
              <w:bottom w:val="single" w:sz="8" w:color="FDFDFD"/>
            </w:tcBorders>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spacing w:after="0"/>
              <w:rPr>
                <w:sz w:val="20"/>
                <w:szCs w:val="20"/>
                <w:color w:val="auto"/>
              </w:rPr>
            </w:pP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(289,627)</w:t>
            </w:r>
          </w:p>
        </w:tc>
        <w:tc>
          <w:tcPr>
            <w:tcW w:w="80" w:type="dxa"/>
            <w:vAlign w:val="bottom"/>
            <w:tcBorders>
              <w:bottom w:val="single" w:sz="8" w:color="FDFDFD"/>
            </w:tcBorders>
            <w:shd w:val="clear" w:color="auto" w:fill="E3E3E3"/>
          </w:tcPr>
          <w:p>
            <w:pPr>
              <w:spacing w:after="0"/>
              <w:rPr>
                <w:sz w:val="20"/>
                <w:szCs w:val="20"/>
                <w:color w:val="auto"/>
              </w:rPr>
            </w:pPr>
          </w:p>
        </w:tc>
        <w:tc>
          <w:tcPr>
            <w:tcW w:w="120" w:type="dxa"/>
            <w:vAlign w:val="bottom"/>
            <w:tcBorders>
              <w:bottom w:val="single" w:sz="8" w:color="FDFDFD"/>
            </w:tcBorders>
            <w:shd w:val="clear" w:color="auto" w:fill="E3E3E3"/>
          </w:tcPr>
          <w:p>
            <w:pPr>
              <w:spacing w:after="0"/>
              <w:rPr>
                <w:sz w:val="20"/>
                <w:szCs w:val="20"/>
                <w:color w:val="auto"/>
              </w:rPr>
            </w:pPr>
          </w:p>
        </w:tc>
        <w:tc>
          <w:tcPr>
            <w:tcW w:w="260" w:type="dxa"/>
            <w:vAlign w:val="bottom"/>
            <w:tcBorders>
              <w:bottom w:val="single" w:sz="8" w:color="auto"/>
            </w:tcBorders>
            <w:shd w:val="clear" w:color="auto" w:fill="E3E3E3"/>
          </w:tcPr>
          <w:p>
            <w:pPr>
              <w:spacing w:after="0"/>
              <w:rPr>
                <w:sz w:val="20"/>
                <w:szCs w:val="20"/>
                <w:color w:val="auto"/>
              </w:rPr>
            </w:pPr>
          </w:p>
        </w:tc>
        <w:tc>
          <w:tcPr>
            <w:tcW w:w="8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(24,179)</w:t>
            </w:r>
          </w:p>
        </w:tc>
        <w:tc>
          <w:tcPr>
            <w:tcW w:w="80" w:type="dxa"/>
            <w:vAlign w:val="bottom"/>
            <w:tcBorders>
              <w:bottom w:val="single" w:sz="8" w:color="FDFDFD"/>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80" w:type="dxa"/>
            <w:vAlign w:val="bottom"/>
            <w:tcBorders>
              <w:bottom w:val="single" w:sz="8" w:color="E3E3E3"/>
            </w:tcBorders>
            <w:shd w:val="clear" w:color="auto" w:fill="FDFDFD"/>
          </w:tcPr>
          <w:p>
            <w:pPr>
              <w:ind w:left="200"/>
              <w:spacing w:after="0" w:line="224" w:lineRule="exact"/>
              <w:rPr>
                <w:sz w:val="20"/>
                <w:szCs w:val="20"/>
                <w:color w:val="auto"/>
              </w:rPr>
            </w:pPr>
            <w:r>
              <w:rPr>
                <w:rFonts w:ascii="Times New Roman" w:cs="Times New Roman" w:eastAsia="Times New Roman" w:hAnsi="Times New Roman"/>
                <w:sz w:val="20"/>
                <w:szCs w:val="20"/>
                <w:color w:val="auto"/>
              </w:rPr>
              <w:t>Less: Net loss attributable to noncontrolling interests</w:t>
            </w:r>
          </w:p>
        </w:tc>
        <w:tc>
          <w:tcPr>
            <w:tcW w:w="120" w:type="dxa"/>
            <w:vAlign w:val="bottom"/>
            <w:tcBorders>
              <w:bottom w:val="single" w:sz="8" w:color="E3E3E3"/>
            </w:tcBorders>
            <w:shd w:val="clear" w:color="auto" w:fill="FDFDFD"/>
          </w:tcPr>
          <w:p>
            <w:pPr>
              <w:spacing w:after="0"/>
              <w:rPr>
                <w:sz w:val="19"/>
                <w:szCs w:val="19"/>
                <w:color w:val="auto"/>
              </w:rPr>
            </w:pPr>
          </w:p>
        </w:tc>
        <w:tc>
          <w:tcPr>
            <w:tcW w:w="240" w:type="dxa"/>
            <w:vAlign w:val="bottom"/>
            <w:tcBorders>
              <w:bottom w:val="single" w:sz="8" w:color="auto"/>
            </w:tcBorders>
            <w:shd w:val="clear" w:color="auto" w:fill="FDFDFD"/>
          </w:tcPr>
          <w:p>
            <w:pPr>
              <w:spacing w:after="0"/>
              <w:rPr>
                <w:sz w:val="19"/>
                <w:szCs w:val="19"/>
                <w:color w:val="auto"/>
              </w:rPr>
            </w:pPr>
          </w:p>
        </w:tc>
        <w:tc>
          <w:tcPr>
            <w:tcW w:w="860" w:type="dxa"/>
            <w:vAlign w:val="bottom"/>
            <w:tcBorders>
              <w:bottom w:val="single" w:sz="8" w:color="auto"/>
            </w:tcBorders>
            <w:shd w:val="clear" w:color="auto" w:fill="FDFDFD"/>
          </w:tcPr>
          <w:p>
            <w:pPr>
              <w:jc w:val="right"/>
              <w:spacing w:after="0" w:line="224" w:lineRule="exact"/>
              <w:rPr>
                <w:sz w:val="20"/>
                <w:szCs w:val="20"/>
                <w:color w:val="auto"/>
              </w:rPr>
            </w:pPr>
            <w:r>
              <w:rPr>
                <w:rFonts w:ascii="Times New Roman" w:cs="Times New Roman" w:eastAsia="Times New Roman" w:hAnsi="Times New Roman"/>
                <w:sz w:val="20"/>
                <w:szCs w:val="20"/>
                <w:color w:val="auto"/>
              </w:rPr>
              <w:t>(178,322)</w:t>
            </w:r>
          </w:p>
        </w:tc>
        <w:tc>
          <w:tcPr>
            <w:tcW w:w="10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220" w:type="dxa"/>
            <w:vAlign w:val="bottom"/>
            <w:tcBorders>
              <w:bottom w:val="single" w:sz="8" w:color="auto"/>
            </w:tcBorders>
            <w:shd w:val="clear" w:color="auto" w:fill="FDFDFD"/>
          </w:tcPr>
          <w:p>
            <w:pPr>
              <w:spacing w:after="0"/>
              <w:rPr>
                <w:sz w:val="19"/>
                <w:szCs w:val="19"/>
                <w:color w:val="auto"/>
              </w:rPr>
            </w:pPr>
          </w:p>
        </w:tc>
        <w:tc>
          <w:tcPr>
            <w:tcW w:w="880" w:type="dxa"/>
            <w:vAlign w:val="bottom"/>
            <w:tcBorders>
              <w:bottom w:val="single" w:sz="8" w:color="auto"/>
            </w:tcBorders>
            <w:shd w:val="clear" w:color="auto" w:fill="FDFDFD"/>
          </w:tcPr>
          <w:p>
            <w:pPr>
              <w:jc w:val="right"/>
              <w:spacing w:after="0" w:line="224" w:lineRule="exact"/>
              <w:rPr>
                <w:sz w:val="20"/>
                <w:szCs w:val="20"/>
                <w:color w:val="auto"/>
              </w:rPr>
            </w:pPr>
            <w:r>
              <w:rPr>
                <w:rFonts w:ascii="Times New Roman" w:cs="Times New Roman" w:eastAsia="Times New Roman" w:hAnsi="Times New Roman"/>
                <w:sz w:val="20"/>
                <w:szCs w:val="20"/>
                <w:color w:val="auto"/>
              </w:rPr>
              <w:t>(87,239)</w:t>
            </w:r>
          </w:p>
        </w:tc>
        <w:tc>
          <w:tcPr>
            <w:tcW w:w="8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260" w:type="dxa"/>
            <w:vAlign w:val="bottom"/>
            <w:tcBorders>
              <w:bottom w:val="single" w:sz="8" w:color="auto"/>
            </w:tcBorders>
            <w:shd w:val="clear" w:color="auto" w:fill="FDFDFD"/>
          </w:tcPr>
          <w:p>
            <w:pPr>
              <w:spacing w:after="0"/>
              <w:rPr>
                <w:sz w:val="19"/>
                <w:szCs w:val="19"/>
                <w:color w:val="auto"/>
              </w:rPr>
            </w:pPr>
          </w:p>
        </w:tc>
        <w:tc>
          <w:tcPr>
            <w:tcW w:w="840" w:type="dxa"/>
            <w:vAlign w:val="bottom"/>
            <w:tcBorders>
              <w:bottom w:val="single" w:sz="8" w:color="auto"/>
            </w:tcBorders>
            <w:shd w:val="clear" w:color="auto" w:fill="FDFDFD"/>
          </w:tcPr>
          <w:p>
            <w:pPr>
              <w:jc w:val="right"/>
              <w:spacing w:after="0" w:line="224" w:lineRule="exact"/>
              <w:rPr>
                <w:sz w:val="20"/>
                <w:szCs w:val="20"/>
                <w:color w:val="auto"/>
              </w:rPr>
            </w:pPr>
            <w:r>
              <w:rPr>
                <w:rFonts w:ascii="Times New Roman" w:cs="Times New Roman" w:eastAsia="Times New Roman" w:hAnsi="Times New Roman"/>
                <w:sz w:val="20"/>
                <w:szCs w:val="20"/>
                <w:color w:val="auto"/>
              </w:rPr>
              <w:t>(16,957)</w:t>
            </w:r>
          </w:p>
        </w:tc>
        <w:tc>
          <w:tcPr>
            <w:tcW w:w="80" w:type="dxa"/>
            <w:vAlign w:val="bottom"/>
            <w:tcBorders>
              <w:bottom w:val="single" w:sz="8" w:color="E3E3E3"/>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E3E3E3"/>
          </w:tcPr>
          <w:p>
            <w:pPr>
              <w:ind w:left="600"/>
              <w:spacing w:after="0"/>
              <w:rPr>
                <w:sz w:val="20"/>
                <w:szCs w:val="20"/>
                <w:color w:val="auto"/>
              </w:rPr>
            </w:pPr>
            <w:r>
              <w:rPr>
                <w:rFonts w:ascii="Times New Roman" w:cs="Times New Roman" w:eastAsia="Times New Roman" w:hAnsi="Times New Roman"/>
                <w:sz w:val="20"/>
                <w:szCs w:val="20"/>
                <w:color w:val="auto"/>
              </w:rPr>
              <w:t>Net loss attributable to Definitive Healthcare Corp.</w:t>
            </w:r>
          </w:p>
        </w:tc>
        <w:tc>
          <w:tcPr>
            <w:tcW w:w="120" w:type="dxa"/>
            <w:vAlign w:val="bottom"/>
            <w:shd w:val="clear" w:color="auto" w:fill="E3E3E3"/>
          </w:tcPr>
          <w:p>
            <w:pPr>
              <w:spacing w:after="0"/>
              <w:rPr>
                <w:sz w:val="20"/>
                <w:szCs w:val="20"/>
                <w:color w:val="auto"/>
              </w:rPr>
            </w:pPr>
          </w:p>
        </w:tc>
        <w:tc>
          <w:tcPr>
            <w:tcW w:w="240" w:type="dxa"/>
            <w:vAlign w:val="bottom"/>
            <w:tcBorders>
              <w:bottom w:val="single" w:sz="8" w:color="auto"/>
            </w:tcBorders>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8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(413,124</w:t>
            </w: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12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8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(202,388</w:t>
            </w:r>
          </w:p>
        </w:tc>
        <w:tc>
          <w:tcPr>
            <w:tcW w:w="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E3E3E3"/>
          </w:tcPr>
          <w:p>
            <w:pPr>
              <w:spacing w:after="0"/>
              <w:rPr>
                <w:sz w:val="20"/>
                <w:szCs w:val="20"/>
                <w:color w:val="auto"/>
              </w:rPr>
            </w:pPr>
          </w:p>
        </w:tc>
        <w:tc>
          <w:tcPr>
            <w:tcW w:w="260" w:type="dxa"/>
            <w:vAlign w:val="bottom"/>
            <w:tcBorders>
              <w:bottom w:val="single" w:sz="8" w:color="auto"/>
            </w:tcBorders>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(7,222)</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2024 compared to Year Ended December 31, 2023</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123"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Revenue was largely flat, increasing $0.8 million, or 0%, for the year ended December 31, 2024 compared with the same period in the prior year, resulting from higher subscription revenue of $1.8 million, partially offset by lower professional service revenue of $1.0 million. Revenue attributable to new customers in 2024 increased $17.1 million, which was partially offset by a $16.3 million decrease in revenue from customers that existed prior to the start of 2024.</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Total Cost of Revenue</w:t>
      </w:r>
    </w:p>
    <w:p>
      <w:pPr>
        <w:spacing w:after="0" w:line="123" w:lineRule="exact"/>
        <w:rPr>
          <w:sz w:val="20"/>
          <w:szCs w:val="20"/>
          <w:color w:val="auto"/>
        </w:rPr>
      </w:pPr>
    </w:p>
    <w:p>
      <w:pPr>
        <w:ind w:right="300" w:firstLine="490"/>
        <w:spacing w:after="0" w:line="247" w:lineRule="auto"/>
        <w:rPr>
          <w:sz w:val="20"/>
          <w:szCs w:val="20"/>
          <w:color w:val="auto"/>
        </w:rPr>
      </w:pPr>
      <w:r>
        <w:rPr>
          <w:rFonts w:ascii="Times New Roman" w:cs="Times New Roman" w:eastAsia="Times New Roman" w:hAnsi="Times New Roman"/>
          <w:sz w:val="20"/>
          <w:szCs w:val="20"/>
          <w:color w:val="auto"/>
        </w:rPr>
        <w:t>Total cost of revenue increased $7.3 million, or 15%, for the year ended December 31, 2024 compared with the same period in the prior year. This increase was driven primarily by a $6.0 million increase in hosting fees and data subscription costs as a result of expanded customer usage of our platform and the Populi acquisition and an increase of $1.3 million in amortization expense resulting from new data purchases. In addition, a $0.6 million decrease in personnel costs, driven primarily by the 2024 Restructuring Plan, was offset by a $0.6 million increase in other costs, of which there were no individually significant drivers.</w:t>
      </w:r>
    </w:p>
    <w:p>
      <w:pPr>
        <w:sectPr>
          <w:pgSz w:w="11880" w:h="15480" w:orient="portrait"/>
          <w:cols w:equalWidth="0" w:num="1">
            <w:col w:w="10180"/>
          </w:cols>
          <w:pgMar w:left="820" w:top="803"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180"/>
          </w:cols>
          <w:pgMar w:left="820" w:top="803" w:right="880" w:bottom="0" w:gutter="0" w:footer="0" w:header="0"/>
          <w:type w:val="continuous"/>
        </w:sectPr>
      </w:pPr>
    </w:p>
    <w:bookmarkStart w:id="69" w:name="page70"/>
    <w:bookmarkEnd w:id="69"/>
    <w:p>
      <w:pPr>
        <w:ind w:left="500"/>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123"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auto"/>
        </w:rPr>
        <w:t xml:space="preserve">Operating expenses, which include goodwill impairment charges of $688.9 million recorded during the year ended December 31, 2024 compared with $287.4 million incurred during the year ended December 31, 2023 (refer to Note 9. </w:t>
      </w:r>
      <w:r>
        <w:rPr>
          <w:rFonts w:ascii="Times New Roman" w:cs="Times New Roman" w:eastAsia="Times New Roman" w:hAnsi="Times New Roman"/>
          <w:sz w:val="20"/>
          <w:szCs w:val="20"/>
          <w:i w:val="1"/>
          <w:iCs w:val="1"/>
          <w:color w:val="auto"/>
        </w:rPr>
        <w:t xml:space="preserve">Goodwill and Intangible Assets </w:t>
      </w:r>
      <w:r>
        <w:rPr>
          <w:rFonts w:ascii="Times New Roman" w:cs="Times New Roman" w:eastAsia="Times New Roman" w:hAnsi="Times New Roman"/>
          <w:sz w:val="20"/>
          <w:szCs w:val="20"/>
          <w:color w:val="auto"/>
        </w:rPr>
        <w:t>in the accompanying consolidated financial statements for further details), increased $374.6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or 70%, for the year ended December 31, 2024 compared with the same period in the prior year. The increase to operating expenses as compared to the prior-year period was primarily driven by higher goodwill impairment charges in the current period, partially offset by:</w:t>
      </w:r>
    </w:p>
    <w:p>
      <w:pPr>
        <w:spacing w:after="0" w:line="94" w:lineRule="exact"/>
        <w:rPr>
          <w:sz w:val="20"/>
          <w:szCs w:val="20"/>
          <w:color w:val="auto"/>
        </w:rPr>
      </w:pPr>
    </w:p>
    <w:p>
      <w:pPr>
        <w:ind w:left="980" w:right="480" w:hanging="483"/>
        <w:spacing w:after="0" w:line="259"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 decrease in sales and marketing expense of $10.7 million for the year ended December 31, 2024, primarily driven by lower personnel costs, including stock-based compensation expense, resulting from the 2024 Restructuring Plan;</w:t>
      </w:r>
    </w:p>
    <w:p>
      <w:pPr>
        <w:spacing w:after="0" w:line="78" w:lineRule="exact"/>
        <w:rPr>
          <w:rFonts w:ascii="Arial" w:cs="Arial" w:eastAsia="Arial" w:hAnsi="Arial"/>
          <w:sz w:val="20"/>
          <w:szCs w:val="20"/>
          <w:color w:val="auto"/>
        </w:rPr>
      </w:pPr>
    </w:p>
    <w:p>
      <w:pPr>
        <w:ind w:left="980" w:right="480" w:hanging="483"/>
        <w:spacing w:after="0" w:line="259"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 decrease in product development expense of $5.9 million for the year ended December 31, 2024, primarily driven by lower personnel costs, including stock-based compensation expense, resulting from the 2024 Restructuring Plan and the departure of certain executive-level employees;</w:t>
      </w:r>
    </w:p>
    <w:p>
      <w:pPr>
        <w:spacing w:after="0" w:line="78" w:lineRule="exact"/>
        <w:rPr>
          <w:rFonts w:ascii="Arial" w:cs="Arial" w:eastAsia="Arial" w:hAnsi="Arial"/>
          <w:sz w:val="20"/>
          <w:szCs w:val="20"/>
          <w:color w:val="auto"/>
        </w:rPr>
      </w:pPr>
    </w:p>
    <w:p>
      <w:pPr>
        <w:ind w:left="980" w:right="40" w:hanging="483"/>
        <w:spacing w:after="0" w:line="249"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 decrease in general and administrative expense of $9.6 million for the year ended December 31, 2024, primarily driven by lower professional service fees, expense relief from sales tax exposure during the year resulting from voluntary disclosure agreements and finalized favorable rulings on the taxability of our products in certain states, lower personnel costs, including stock-based compensation expense, resulting from the 2024 Restructuring Plan and the departure of certain executive-level employees, and lower franchise taxes;</w:t>
      </w:r>
    </w:p>
    <w:p>
      <w:pPr>
        <w:spacing w:after="0" w:line="90" w:lineRule="exact"/>
        <w:rPr>
          <w:rFonts w:ascii="Arial" w:cs="Arial" w:eastAsia="Arial" w:hAnsi="Arial"/>
          <w:sz w:val="20"/>
          <w:szCs w:val="20"/>
          <w:color w:val="auto"/>
        </w:rPr>
      </w:pPr>
    </w:p>
    <w:p>
      <w:pPr>
        <w:ind w:left="980" w:right="240" w:hanging="483"/>
        <w:spacing w:after="0" w:line="259"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 decrease in depreciation and amortization expense of $1.4 million for the year ended December 31, 2024, primarily driven by certain customer relationship intangible assets utilizing economic consumption amortization methods with lower amortization in the current period; and</w:t>
      </w:r>
    </w:p>
    <w:p>
      <w:pPr>
        <w:spacing w:after="0" w:line="78" w:lineRule="exact"/>
        <w:rPr>
          <w:rFonts w:ascii="Arial" w:cs="Arial" w:eastAsia="Arial" w:hAnsi="Arial"/>
          <w:sz w:val="20"/>
          <w:szCs w:val="20"/>
          <w:color w:val="auto"/>
        </w:rPr>
      </w:pPr>
    </w:p>
    <w:p>
      <w:pPr>
        <w:ind w:left="980" w:right="60" w:hanging="483"/>
        <w:spacing w:after="0" w:line="252"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An increase in transaction, integration and restructuring expenses of $0.7 million for the year ended December 31, 2024, primarily driven by higher restructuring costs incurred in the current period associated with the 2024 Restructuring Plan and impairment charges resulting from the consolidation of certain leased office facilities, partially offset by lower acquisition related costs in the current period.</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Other Income, Net</w:t>
      </w:r>
    </w:p>
    <w:p>
      <w:pPr>
        <w:spacing w:after="0" w:line="12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Total other income, net was $77.1 million for the year ended December 31, 2024 compared to total other income, net of $21.6 million in the same period in the prior year. The overall change was primarily attributable to a $76.9 million Tax Receivable Agreement liability remeasurement gain in the year ended December 31, 2024, primarily driven by the impairment of goodwill, as well as changes in future realizability of tax attributes payable under the Tax Receivable Agreement, compared with a $23.5 million Tax Receivable Agreement liability remeasurement gain in the comparable prior year period. The increase in the Tax Receivable Agreement liability remeasurement gain year-over-year was primarily driven by an increase in the goodwill impairment charges of $401.5 million in the year ended December 31, 2024 compared with the same period in the prior year. Interest income earned from our short-term investments also increased by $0.9 million to $14.6 million in the year ended December 31, 2024 compared with $13.6 million in the comparable prior year period.</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Benefit From Income Taxes</w:t>
      </w:r>
    </w:p>
    <w:p>
      <w:pPr>
        <w:spacing w:after="0" w:line="123" w:lineRule="exact"/>
        <w:rPr>
          <w:sz w:val="20"/>
          <w:szCs w:val="20"/>
          <w:color w:val="auto"/>
        </w:rPr>
      </w:pPr>
    </w:p>
    <w:p>
      <w:pPr>
        <w:ind w:right="300" w:firstLine="490"/>
        <w:spacing w:after="0" w:line="259" w:lineRule="auto"/>
        <w:rPr>
          <w:sz w:val="20"/>
          <w:szCs w:val="20"/>
          <w:color w:val="auto"/>
        </w:rPr>
      </w:pPr>
      <w:r>
        <w:rPr>
          <w:rFonts w:ascii="Times New Roman" w:cs="Times New Roman" w:eastAsia="Times New Roman" w:hAnsi="Times New Roman"/>
          <w:sz w:val="20"/>
          <w:szCs w:val="20"/>
          <w:color w:val="auto"/>
        </w:rPr>
        <w:t>Benefit from income taxes for the year ended December 31, 2024 was $42.3 million compared to $18.6 million in the same period in the prior year. The overall increase was primarily attributed to a larger impairment of goodwill during the current period compared with the same period in the prior year.</w:t>
      </w:r>
    </w:p>
    <w:p>
      <w:pPr>
        <w:sectPr>
          <w:pgSz w:w="11880" w:h="15480" w:orient="portrait"/>
          <w:cols w:equalWidth="0" w:num="1">
            <w:col w:w="10200"/>
          </w:cols>
          <w:pgMar w:left="820" w:top="80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200"/>
          </w:cols>
          <w:pgMar w:left="820" w:top="803" w:right="86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23"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8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 to Adjusted EBITDA and Adjusted EBITDA Margin is GAAP net loss and GAAP net loss margin, respectively.</w:t>
      </w:r>
    </w:p>
    <w:p>
      <w:pPr>
        <w:spacing w:after="0" w:line="77"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Gross Profit and Adjusted Gross Margin</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 Gross Margin is defined as Gross Profit as a percentage of revenue and Adjusted Gross Margin is defined as Adjusted Gross Profit as a percentage of revenue. These are key metrics used by management and our board of directors to assess our operations.</w:t>
      </w:r>
    </w:p>
    <w:p>
      <w:pPr>
        <w:spacing w:after="0" w:line="80" w:lineRule="exact"/>
        <w:rPr>
          <w:sz w:val="20"/>
          <w:szCs w:val="20"/>
          <w:color w:val="auto"/>
        </w:rPr>
      </w:pPr>
    </w:p>
    <w:p>
      <w:pPr>
        <w:ind w:right="140" w:firstLine="490"/>
        <w:spacing w:after="0" w:line="279" w:lineRule="auto"/>
        <w:rPr>
          <w:sz w:val="20"/>
          <w:szCs w:val="20"/>
          <w:color w:val="auto"/>
        </w:rPr>
      </w:pPr>
      <w:r>
        <w:rPr>
          <w:rFonts w:ascii="Times New Roman" w:cs="Times New Roman" w:eastAsia="Times New Roman" w:hAnsi="Times New Roman"/>
          <w:sz w:val="20"/>
          <w:szCs w:val="20"/>
          <w:color w:val="auto"/>
        </w:rPr>
        <w:t>The following table presents a reconciliation of gross profit and gross margin to adjusted gross profit and adjusted gross margin, respectively,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60" w:type="dxa"/>
            <w:vAlign w:val="bottom"/>
            <w:tcBorders>
              <w:bottom w:val="single" w:sz="8" w:color="FDFDFD"/>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640" w:type="dxa"/>
            <w:vAlign w:val="bottom"/>
            <w:tcBorders>
              <w:bottom w:val="single" w:sz="8" w:color="auto"/>
            </w:tcBorders>
            <w:shd w:val="clear" w:color="auto" w:fill="FDFDFD"/>
          </w:tcPr>
          <w:p>
            <w:pPr>
              <w:spacing w:after="0"/>
              <w:rPr>
                <w:sz w:val="17"/>
                <w:szCs w:val="17"/>
                <w:color w:val="auto"/>
              </w:rPr>
            </w:pPr>
          </w:p>
        </w:tc>
        <w:tc>
          <w:tcPr>
            <w:tcW w:w="200" w:type="dxa"/>
            <w:vAlign w:val="bottom"/>
            <w:tcBorders>
              <w:bottom w:val="single" w:sz="8" w:color="auto"/>
            </w:tcBorders>
            <w:shd w:val="clear" w:color="auto" w:fill="FDFDFD"/>
          </w:tcPr>
          <w:p>
            <w:pPr>
              <w:spacing w:after="0"/>
              <w:rPr>
                <w:sz w:val="17"/>
                <w:szCs w:val="17"/>
                <w:color w:val="auto"/>
              </w:rPr>
            </w:pPr>
          </w:p>
        </w:tc>
        <w:tc>
          <w:tcPr>
            <w:tcW w:w="80" w:type="dxa"/>
            <w:vAlign w:val="bottom"/>
            <w:tcBorders>
              <w:bottom w:val="single" w:sz="8" w:color="auto"/>
            </w:tcBorders>
            <w:shd w:val="clear" w:color="auto" w:fill="FDFDFD"/>
          </w:tcPr>
          <w:p>
            <w:pPr>
              <w:spacing w:after="0"/>
              <w:rPr>
                <w:sz w:val="17"/>
                <w:szCs w:val="17"/>
                <w:color w:val="auto"/>
              </w:rPr>
            </w:pPr>
          </w:p>
        </w:tc>
        <w:tc>
          <w:tcPr>
            <w:tcW w:w="680" w:type="dxa"/>
            <w:vAlign w:val="bottom"/>
            <w:tcBorders>
              <w:bottom w:val="single" w:sz="8" w:color="auto"/>
            </w:tcBorders>
            <w:shd w:val="clear" w:color="auto" w:fill="FDFDFD"/>
          </w:tcPr>
          <w:p>
            <w:pPr>
              <w:spacing w:after="0"/>
              <w:rPr>
                <w:sz w:val="17"/>
                <w:szCs w:val="17"/>
                <w:color w:val="auto"/>
              </w:rPr>
            </w:pPr>
          </w:p>
        </w:tc>
        <w:tc>
          <w:tcPr>
            <w:tcW w:w="160" w:type="dxa"/>
            <w:vAlign w:val="bottom"/>
            <w:tcBorders>
              <w:bottom w:val="single" w:sz="8" w:color="auto"/>
            </w:tcBorders>
            <w:shd w:val="clear" w:color="auto" w:fill="FDFDFD"/>
          </w:tcPr>
          <w:p>
            <w:pPr>
              <w:spacing w:after="0"/>
              <w:rPr>
                <w:sz w:val="17"/>
                <w:szCs w:val="17"/>
                <w:color w:val="auto"/>
              </w:rPr>
            </w:pPr>
          </w:p>
        </w:tc>
        <w:tc>
          <w:tcPr>
            <w:tcW w:w="1960" w:type="dxa"/>
            <w:vAlign w:val="bottom"/>
            <w:tcBorders>
              <w:bottom w:val="single" w:sz="8" w:color="auto"/>
            </w:tcBorders>
            <w:gridSpan w:val="6"/>
            <w:shd w:val="clear" w:color="auto" w:fill="FDFDFD"/>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shd w:val="clear" w:color="auto" w:fill="FDFDFD"/>
          </w:tcPr>
          <w:p>
            <w:pPr>
              <w:spacing w:after="0"/>
              <w:rPr>
                <w:sz w:val="17"/>
                <w:szCs w:val="17"/>
                <w:color w:val="auto"/>
              </w:rPr>
            </w:pPr>
          </w:p>
        </w:tc>
        <w:tc>
          <w:tcPr>
            <w:tcW w:w="760" w:type="dxa"/>
            <w:vAlign w:val="bottom"/>
            <w:tcBorders>
              <w:bottom w:val="single" w:sz="8" w:color="auto"/>
            </w:tcBorders>
            <w:shd w:val="clear" w:color="auto" w:fill="FDFDFD"/>
          </w:tcPr>
          <w:p>
            <w:pPr>
              <w:spacing w:after="0"/>
              <w:rPr>
                <w:sz w:val="17"/>
                <w:szCs w:val="17"/>
                <w:color w:val="auto"/>
              </w:rPr>
            </w:pPr>
          </w:p>
        </w:tc>
        <w:tc>
          <w:tcPr>
            <w:tcW w:w="180" w:type="dxa"/>
            <w:vAlign w:val="bottom"/>
            <w:tcBorders>
              <w:bottom w:val="single" w:sz="8" w:color="auto"/>
            </w:tcBorders>
            <w:shd w:val="clear" w:color="auto" w:fill="FDFDFD"/>
          </w:tcPr>
          <w:p>
            <w:pPr>
              <w:spacing w:after="0"/>
              <w:rPr>
                <w:sz w:val="17"/>
                <w:szCs w:val="17"/>
                <w:color w:val="auto"/>
              </w:rPr>
            </w:pPr>
          </w:p>
        </w:tc>
        <w:tc>
          <w:tcPr>
            <w:tcW w:w="80" w:type="dxa"/>
            <w:vAlign w:val="bottom"/>
            <w:tcBorders>
              <w:bottom w:val="single" w:sz="8" w:color="auto"/>
            </w:tcBorders>
            <w:shd w:val="clear" w:color="auto" w:fill="FDFDFD"/>
          </w:tcPr>
          <w:p>
            <w:pPr>
              <w:spacing w:after="0"/>
              <w:rPr>
                <w:sz w:val="17"/>
                <w:szCs w:val="17"/>
                <w:color w:val="auto"/>
              </w:rPr>
            </w:pPr>
          </w:p>
        </w:tc>
        <w:tc>
          <w:tcPr>
            <w:tcW w:w="680" w:type="dxa"/>
            <w:vAlign w:val="bottom"/>
            <w:tcBorders>
              <w:bottom w:val="single" w:sz="8" w:color="auto"/>
            </w:tcBorders>
            <w:shd w:val="clear" w:color="auto" w:fill="FDFDFD"/>
          </w:tcPr>
          <w:p>
            <w:pPr>
              <w:spacing w:after="0"/>
              <w:rPr>
                <w:sz w:val="17"/>
                <w:szCs w:val="17"/>
                <w:color w:val="auto"/>
              </w:rPr>
            </w:pPr>
          </w:p>
        </w:tc>
        <w:tc>
          <w:tcPr>
            <w:tcW w:w="18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3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20" w:type="dxa"/>
            <w:vAlign w:val="bottom"/>
            <w:gridSpan w:val="4"/>
            <w:shd w:val="clear" w:color="auto" w:fill="FDFDFD"/>
          </w:tcPr>
          <w:p>
            <w:pPr>
              <w:jc w:val="right"/>
              <w:ind w:right="20"/>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1100" w:type="dxa"/>
            <w:vAlign w:val="bottom"/>
            <w:gridSpan w:val="4"/>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100" w:type="dxa"/>
            <w:vAlign w:val="bottom"/>
            <w:gridSpan w:val="4"/>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360" w:type="dxa"/>
            <w:vAlign w:val="bottom"/>
            <w:tcBorders>
              <w:top w:val="single" w:sz="8" w:color="FDFDFD"/>
            </w:tcBorders>
            <w:shd w:val="clear" w:color="auto" w:fill="FDFDFD"/>
          </w:tcPr>
          <w:p>
            <w:pPr>
              <w:spacing w:after="0"/>
              <w:rPr>
                <w:sz w:val="13"/>
                <w:szCs w:val="13"/>
                <w:color w:val="auto"/>
              </w:rPr>
            </w:pPr>
          </w:p>
        </w:tc>
        <w:tc>
          <w:tcPr>
            <w:tcW w:w="100" w:type="dxa"/>
            <w:vAlign w:val="bottom"/>
            <w:tcBorders>
              <w:top w:val="single" w:sz="8" w:color="FDFDFD"/>
            </w:tcBorders>
            <w:shd w:val="clear" w:color="auto" w:fill="FDFDFD"/>
          </w:tcPr>
          <w:p>
            <w:pPr>
              <w:spacing w:after="0"/>
              <w:rPr>
                <w:sz w:val="13"/>
                <w:szCs w:val="13"/>
                <w:color w:val="auto"/>
              </w:rPr>
            </w:pPr>
          </w:p>
        </w:tc>
        <w:tc>
          <w:tcPr>
            <w:tcW w:w="100" w:type="dxa"/>
            <w:vAlign w:val="bottom"/>
            <w:tcBorders>
              <w:top w:val="single" w:sz="8" w:color="auto"/>
            </w:tcBorders>
            <w:shd w:val="clear" w:color="auto" w:fill="FDFDFD"/>
          </w:tcPr>
          <w:p>
            <w:pPr>
              <w:spacing w:after="0"/>
              <w:rPr>
                <w:sz w:val="13"/>
                <w:szCs w:val="13"/>
                <w:color w:val="auto"/>
              </w:rPr>
            </w:pPr>
          </w:p>
        </w:tc>
        <w:tc>
          <w:tcPr>
            <w:tcW w:w="640" w:type="dxa"/>
            <w:vAlign w:val="bottom"/>
            <w:tcBorders>
              <w:top w:val="single" w:sz="8" w:color="auto"/>
            </w:tcBorders>
            <w:shd w:val="clear" w:color="auto" w:fill="FDFDFD"/>
          </w:tcPr>
          <w:p>
            <w:pPr>
              <w:spacing w:after="0"/>
              <w:rPr>
                <w:sz w:val="13"/>
                <w:szCs w:val="13"/>
                <w:color w:val="auto"/>
              </w:rPr>
            </w:pPr>
          </w:p>
        </w:tc>
        <w:tc>
          <w:tcPr>
            <w:tcW w:w="200" w:type="dxa"/>
            <w:vAlign w:val="bottom"/>
            <w:tcBorders>
              <w:top w:val="single" w:sz="8" w:color="auto"/>
            </w:tcBorders>
            <w:shd w:val="clear" w:color="auto" w:fill="FDFDFD"/>
          </w:tcPr>
          <w:p>
            <w:pPr>
              <w:spacing w:after="0"/>
              <w:rPr>
                <w:sz w:val="13"/>
                <w:szCs w:val="13"/>
                <w:color w:val="auto"/>
              </w:rPr>
            </w:pPr>
          </w:p>
        </w:tc>
        <w:tc>
          <w:tcPr>
            <w:tcW w:w="80" w:type="dxa"/>
            <w:vAlign w:val="bottom"/>
            <w:tcBorders>
              <w:top w:val="single" w:sz="8" w:color="auto"/>
            </w:tcBorders>
            <w:shd w:val="clear" w:color="auto" w:fill="FDFDFD"/>
          </w:tcPr>
          <w:p>
            <w:pPr>
              <w:spacing w:after="0"/>
              <w:rPr>
                <w:sz w:val="13"/>
                <w:szCs w:val="13"/>
                <w:color w:val="auto"/>
              </w:rPr>
            </w:pPr>
          </w:p>
        </w:tc>
        <w:tc>
          <w:tcPr>
            <w:tcW w:w="680" w:type="dxa"/>
            <w:vAlign w:val="bottom"/>
            <w:tcBorders>
              <w:top w:val="single" w:sz="8" w:color="auto"/>
            </w:tcBorders>
            <w:shd w:val="clear" w:color="auto" w:fill="FDFDFD"/>
          </w:tcPr>
          <w:p>
            <w:pPr>
              <w:jc w:val="center"/>
              <w:ind w:right="7"/>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tcBorders>
              <w:top w:val="single" w:sz="8" w:color="FDFDFD"/>
            </w:tcBorders>
            <w:shd w:val="clear" w:color="auto" w:fill="FDFDFD"/>
          </w:tcPr>
          <w:p>
            <w:pPr>
              <w:spacing w:after="0"/>
              <w:rPr>
                <w:sz w:val="13"/>
                <w:szCs w:val="13"/>
                <w:color w:val="auto"/>
              </w:rPr>
            </w:pPr>
          </w:p>
        </w:tc>
        <w:tc>
          <w:tcPr>
            <w:tcW w:w="100" w:type="dxa"/>
            <w:vAlign w:val="bottom"/>
            <w:tcBorders>
              <w:top w:val="single" w:sz="8" w:color="FDFDFD"/>
            </w:tcBorders>
            <w:shd w:val="clear" w:color="auto" w:fill="FDFDFD"/>
          </w:tcPr>
          <w:p>
            <w:pPr>
              <w:spacing w:after="0"/>
              <w:rPr>
                <w:sz w:val="13"/>
                <w:szCs w:val="13"/>
                <w:color w:val="auto"/>
              </w:rPr>
            </w:pPr>
          </w:p>
        </w:tc>
        <w:tc>
          <w:tcPr>
            <w:tcW w:w="740" w:type="dxa"/>
            <w:vAlign w:val="bottom"/>
            <w:tcBorders>
              <w:top w:val="single" w:sz="8" w:color="auto"/>
            </w:tcBorders>
            <w:shd w:val="clear" w:color="auto" w:fill="FDFDFD"/>
          </w:tcPr>
          <w:p>
            <w:pPr>
              <w:spacing w:after="0"/>
              <w:rPr>
                <w:sz w:val="13"/>
                <w:szCs w:val="13"/>
                <w:color w:val="auto"/>
              </w:rPr>
            </w:pPr>
          </w:p>
        </w:tc>
        <w:tc>
          <w:tcPr>
            <w:tcW w:w="180" w:type="dxa"/>
            <w:vAlign w:val="bottom"/>
            <w:tcBorders>
              <w:top w:val="single" w:sz="8" w:color="auto"/>
            </w:tcBorders>
            <w:shd w:val="clear" w:color="auto" w:fill="FDFDFD"/>
          </w:tcPr>
          <w:p>
            <w:pPr>
              <w:spacing w:after="0"/>
              <w:rPr>
                <w:sz w:val="13"/>
                <w:szCs w:val="13"/>
                <w:color w:val="auto"/>
              </w:rPr>
            </w:pPr>
          </w:p>
        </w:tc>
        <w:tc>
          <w:tcPr>
            <w:tcW w:w="80" w:type="dxa"/>
            <w:vAlign w:val="bottom"/>
            <w:tcBorders>
              <w:top w:val="single" w:sz="8" w:color="auto"/>
            </w:tcBorders>
            <w:shd w:val="clear" w:color="auto" w:fill="FDFDFD"/>
          </w:tcPr>
          <w:p>
            <w:pPr>
              <w:spacing w:after="0"/>
              <w:rPr>
                <w:sz w:val="13"/>
                <w:szCs w:val="13"/>
                <w:color w:val="auto"/>
              </w:rPr>
            </w:pPr>
          </w:p>
        </w:tc>
        <w:tc>
          <w:tcPr>
            <w:tcW w:w="680" w:type="dxa"/>
            <w:vAlign w:val="bottom"/>
            <w:tcBorders>
              <w:top w:val="single" w:sz="8" w:color="auto"/>
            </w:tcBorders>
            <w:shd w:val="clear" w:color="auto" w:fill="FDFDFD"/>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Borders>
              <w:top w:val="single" w:sz="8" w:color="FDFDFD"/>
            </w:tcBorders>
            <w:shd w:val="clear" w:color="auto" w:fill="FDFDFD"/>
          </w:tcPr>
          <w:p>
            <w:pPr>
              <w:spacing w:after="0"/>
              <w:rPr>
                <w:sz w:val="13"/>
                <w:szCs w:val="13"/>
                <w:color w:val="auto"/>
              </w:rPr>
            </w:pPr>
          </w:p>
        </w:tc>
        <w:tc>
          <w:tcPr>
            <w:tcW w:w="80" w:type="dxa"/>
            <w:vAlign w:val="bottom"/>
            <w:tcBorders>
              <w:top w:val="single" w:sz="8" w:color="FDFDFD"/>
            </w:tcBorders>
            <w:shd w:val="clear" w:color="auto" w:fill="FDFDFD"/>
          </w:tcPr>
          <w:p>
            <w:pPr>
              <w:spacing w:after="0"/>
              <w:rPr>
                <w:sz w:val="13"/>
                <w:szCs w:val="13"/>
                <w:color w:val="auto"/>
              </w:rPr>
            </w:pPr>
          </w:p>
        </w:tc>
        <w:tc>
          <w:tcPr>
            <w:tcW w:w="760" w:type="dxa"/>
            <w:vAlign w:val="bottom"/>
            <w:tcBorders>
              <w:top w:val="single" w:sz="8" w:color="auto"/>
            </w:tcBorders>
            <w:shd w:val="clear" w:color="auto" w:fill="FDFDFD"/>
          </w:tcPr>
          <w:p>
            <w:pPr>
              <w:spacing w:after="0"/>
              <w:rPr>
                <w:sz w:val="13"/>
                <w:szCs w:val="13"/>
                <w:color w:val="auto"/>
              </w:rPr>
            </w:pPr>
          </w:p>
        </w:tc>
        <w:tc>
          <w:tcPr>
            <w:tcW w:w="180" w:type="dxa"/>
            <w:vAlign w:val="bottom"/>
            <w:tcBorders>
              <w:top w:val="single" w:sz="8" w:color="auto"/>
            </w:tcBorders>
            <w:shd w:val="clear" w:color="auto" w:fill="FDFDFD"/>
          </w:tcPr>
          <w:p>
            <w:pPr>
              <w:spacing w:after="0"/>
              <w:rPr>
                <w:sz w:val="13"/>
                <w:szCs w:val="13"/>
                <w:color w:val="auto"/>
              </w:rPr>
            </w:pPr>
          </w:p>
        </w:tc>
        <w:tc>
          <w:tcPr>
            <w:tcW w:w="80" w:type="dxa"/>
            <w:vAlign w:val="bottom"/>
            <w:tcBorders>
              <w:top w:val="single" w:sz="8" w:color="auto"/>
            </w:tcBorders>
            <w:shd w:val="clear" w:color="auto" w:fill="FDFDFD"/>
          </w:tcPr>
          <w:p>
            <w:pPr>
              <w:spacing w:after="0"/>
              <w:rPr>
                <w:sz w:val="13"/>
                <w:szCs w:val="13"/>
                <w:color w:val="auto"/>
              </w:rPr>
            </w:pPr>
          </w:p>
        </w:tc>
        <w:tc>
          <w:tcPr>
            <w:tcW w:w="680" w:type="dxa"/>
            <w:vAlign w:val="bottom"/>
            <w:tcBorders>
              <w:top w:val="single" w:sz="8" w:color="auto"/>
            </w:tcBorders>
            <w:shd w:val="clear" w:color="auto" w:fill="FDFDFD"/>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180" w:type="dxa"/>
            <w:vAlign w:val="bottom"/>
            <w:tcBorders>
              <w:top w:val="single" w:sz="8" w:color="FDFDFD"/>
            </w:tcBorders>
            <w:shd w:val="clear" w:color="auto" w:fill="FDFDFD"/>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36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percentages)</w:t>
            </w:r>
          </w:p>
        </w:tc>
        <w:tc>
          <w:tcPr>
            <w:tcW w:w="100" w:type="dxa"/>
            <w:vAlign w:val="bottom"/>
            <w:tcBorders>
              <w:bottom w:val="single" w:sz="8" w:color="E3E3E3"/>
            </w:tcBorders>
            <w:shd w:val="clear" w:color="auto" w:fill="FDFDFD"/>
          </w:tcPr>
          <w:p>
            <w:pPr>
              <w:spacing w:after="0"/>
              <w:rPr>
                <w:sz w:val="17"/>
                <w:szCs w:val="17"/>
                <w:color w:val="auto"/>
              </w:rPr>
            </w:pPr>
          </w:p>
        </w:tc>
        <w:tc>
          <w:tcPr>
            <w:tcW w:w="740" w:type="dxa"/>
            <w:vAlign w:val="bottom"/>
            <w:tcBorders>
              <w:bottom w:val="single" w:sz="8" w:color="auto"/>
            </w:tcBorders>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Borders>
              <w:bottom w:val="single" w:sz="8" w:color="E3E3E3"/>
            </w:tcBorders>
            <w:shd w:val="clear" w:color="auto" w:fill="FDFDFD"/>
          </w:tcPr>
          <w:p>
            <w:pPr>
              <w:spacing w:after="0"/>
              <w:rPr>
                <w:sz w:val="17"/>
                <w:szCs w:val="17"/>
                <w:color w:val="auto"/>
              </w:rPr>
            </w:pPr>
          </w:p>
        </w:tc>
        <w:tc>
          <w:tcPr>
            <w:tcW w:w="80" w:type="dxa"/>
            <w:vAlign w:val="bottom"/>
            <w:tcBorders>
              <w:bottom w:val="single" w:sz="8" w:color="auto"/>
            </w:tcBorders>
            <w:shd w:val="clear" w:color="auto" w:fill="FDFDFD"/>
          </w:tcPr>
          <w:p>
            <w:pPr>
              <w:spacing w:after="0"/>
              <w:rPr>
                <w:sz w:val="17"/>
                <w:szCs w:val="17"/>
                <w:color w:val="auto"/>
              </w:rPr>
            </w:pPr>
          </w:p>
        </w:tc>
        <w:tc>
          <w:tcPr>
            <w:tcW w:w="680" w:type="dxa"/>
            <w:vAlign w:val="bottom"/>
            <w:tcBorders>
              <w:bottom w:val="single" w:sz="8" w:color="auto"/>
            </w:tcBorders>
            <w:shd w:val="clear" w:color="auto" w:fill="FDFDFD"/>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6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740" w:type="dxa"/>
            <w:vAlign w:val="bottom"/>
            <w:tcBorders>
              <w:bottom w:val="single" w:sz="8" w:color="auto"/>
            </w:tcBorders>
            <w:shd w:val="clear" w:color="auto" w:fill="FDFDFD"/>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E3E3E3"/>
            </w:tcBorders>
            <w:shd w:val="clear" w:color="auto" w:fill="FDFDFD"/>
          </w:tcPr>
          <w:p>
            <w:pPr>
              <w:spacing w:after="0"/>
              <w:rPr>
                <w:sz w:val="17"/>
                <w:szCs w:val="17"/>
                <w:color w:val="auto"/>
              </w:rPr>
            </w:pPr>
          </w:p>
        </w:tc>
        <w:tc>
          <w:tcPr>
            <w:tcW w:w="80" w:type="dxa"/>
            <w:vAlign w:val="bottom"/>
            <w:tcBorders>
              <w:bottom w:val="single" w:sz="8" w:color="auto"/>
            </w:tcBorders>
            <w:shd w:val="clear" w:color="auto" w:fill="FDFDFD"/>
          </w:tcPr>
          <w:p>
            <w:pPr>
              <w:spacing w:after="0"/>
              <w:rPr>
                <w:sz w:val="17"/>
                <w:szCs w:val="17"/>
                <w:color w:val="auto"/>
              </w:rPr>
            </w:pPr>
          </w:p>
        </w:tc>
        <w:tc>
          <w:tcPr>
            <w:tcW w:w="680" w:type="dxa"/>
            <w:vAlign w:val="bottom"/>
            <w:tcBorders>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8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760" w:type="dxa"/>
            <w:vAlign w:val="bottom"/>
            <w:tcBorders>
              <w:bottom w:val="single" w:sz="8" w:color="auto"/>
            </w:tcBorders>
            <w:shd w:val="clear" w:color="auto" w:fill="FDFDFD"/>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E3E3E3"/>
            </w:tcBorders>
            <w:shd w:val="clear" w:color="auto" w:fill="FDFDFD"/>
          </w:tcPr>
          <w:p>
            <w:pPr>
              <w:spacing w:after="0"/>
              <w:rPr>
                <w:sz w:val="17"/>
                <w:szCs w:val="17"/>
                <w:color w:val="auto"/>
              </w:rPr>
            </w:pPr>
          </w:p>
        </w:tc>
        <w:tc>
          <w:tcPr>
            <w:tcW w:w="80" w:type="dxa"/>
            <w:vAlign w:val="bottom"/>
            <w:tcBorders>
              <w:bottom w:val="single" w:sz="8" w:color="auto"/>
            </w:tcBorders>
            <w:shd w:val="clear" w:color="auto" w:fill="FDFDFD"/>
          </w:tcPr>
          <w:p>
            <w:pPr>
              <w:spacing w:after="0"/>
              <w:rPr>
                <w:sz w:val="17"/>
                <w:szCs w:val="17"/>
                <w:color w:val="auto"/>
              </w:rPr>
            </w:pPr>
          </w:p>
        </w:tc>
        <w:tc>
          <w:tcPr>
            <w:tcW w:w="680" w:type="dxa"/>
            <w:vAlign w:val="bottom"/>
            <w:tcBorders>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Reported gross profit and margin</w:t>
            </w: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6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95"/>
                <w:shd w:val="clear" w:color="auto" w:fill="E3E3E3"/>
              </w:rPr>
              <w:t>197,469</w:t>
            </w:r>
          </w:p>
        </w:tc>
        <w:tc>
          <w:tcPr>
            <w:tcW w:w="200" w:type="dxa"/>
            <w:vAlign w:val="bottom"/>
            <w:shd w:val="clear" w:color="auto" w:fill="E3E3E3"/>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78%</w:t>
            </w:r>
          </w:p>
        </w:tc>
        <w:tc>
          <w:tcPr>
            <w:tcW w:w="100" w:type="dxa"/>
            <w:vAlign w:val="bottom"/>
          </w:tcPr>
          <w:p>
            <w:pPr>
              <w:spacing w:after="0"/>
              <w:rPr>
                <w:sz w:val="19"/>
                <w:szCs w:val="19"/>
                <w:color w:val="auto"/>
              </w:rPr>
            </w:pPr>
          </w:p>
        </w:tc>
        <w:tc>
          <w:tcPr>
            <w:tcW w:w="7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95"/>
                <w:shd w:val="clear" w:color="auto" w:fill="E3E3E3"/>
              </w:rPr>
              <w:t>$203,933</w:t>
            </w:r>
          </w:p>
        </w:tc>
        <w:tc>
          <w:tcPr>
            <w:tcW w:w="180" w:type="dxa"/>
            <w:vAlign w:val="bottom"/>
            <w:shd w:val="clear" w:color="auto" w:fill="E3E3E3"/>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81%</w:t>
            </w:r>
          </w:p>
        </w:tc>
        <w:tc>
          <w:tcPr>
            <w:tcW w:w="80" w:type="dxa"/>
            <w:vAlign w:val="bottom"/>
          </w:tcPr>
          <w:p>
            <w:pPr>
              <w:spacing w:after="0"/>
              <w:rPr>
                <w:sz w:val="19"/>
                <w:szCs w:val="19"/>
                <w:color w:val="auto"/>
              </w:rPr>
            </w:pPr>
          </w:p>
        </w:tc>
        <w:tc>
          <w:tcPr>
            <w:tcW w:w="7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shd w:val="clear" w:color="auto" w:fill="E3E3E3"/>
              </w:rPr>
              <w:t>$180,028</w:t>
            </w:r>
          </w:p>
        </w:tc>
        <w:tc>
          <w:tcPr>
            <w:tcW w:w="180" w:type="dxa"/>
            <w:vAlign w:val="bottom"/>
            <w:shd w:val="clear" w:color="auto" w:fill="E3E3E3"/>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09"/>
        </w:trPr>
        <w:tc>
          <w:tcPr>
            <w:tcW w:w="4460" w:type="dxa"/>
            <w:vAlign w:val="bottom"/>
            <w:gridSpan w:val="2"/>
            <w:shd w:val="clear" w:color="auto" w:fill="FDFDFD"/>
          </w:tcPr>
          <w:p>
            <w:pPr>
              <w:spacing w:after="0" w:line="208" w:lineRule="exact"/>
              <w:rPr>
                <w:sz w:val="20"/>
                <w:szCs w:val="20"/>
                <w:color w:val="auto"/>
              </w:rPr>
            </w:pPr>
            <w:r>
              <w:rPr>
                <w:rFonts w:ascii="Times New Roman" w:cs="Times New Roman" w:eastAsia="Times New Roman" w:hAnsi="Times New Roman"/>
                <w:sz w:val="20"/>
                <w:szCs w:val="20"/>
                <w:color w:val="auto"/>
              </w:rPr>
              <w:t>Amortization of intangible assets resulting from</w:t>
            </w:r>
          </w:p>
        </w:tc>
        <w:tc>
          <w:tcPr>
            <w:tcW w:w="100" w:type="dxa"/>
            <w:vAlign w:val="bottom"/>
            <w:shd w:val="clear" w:color="auto" w:fill="FDFDFD"/>
          </w:tcPr>
          <w:p>
            <w:pPr>
              <w:spacing w:after="0"/>
              <w:rPr>
                <w:sz w:val="18"/>
                <w:szCs w:val="18"/>
                <w:color w:val="auto"/>
              </w:rPr>
            </w:pPr>
          </w:p>
        </w:tc>
        <w:tc>
          <w:tcPr>
            <w:tcW w:w="640" w:type="dxa"/>
            <w:vAlign w:val="bottom"/>
            <w:shd w:val="clear" w:color="auto" w:fill="FDFDFD"/>
          </w:tcPr>
          <w:p>
            <w:pPr>
              <w:spacing w:after="0"/>
              <w:rPr>
                <w:sz w:val="18"/>
                <w:szCs w:val="18"/>
                <w:color w:val="auto"/>
              </w:rPr>
            </w:pPr>
          </w:p>
        </w:tc>
        <w:tc>
          <w:tcPr>
            <w:tcW w:w="20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680" w:type="dxa"/>
            <w:vAlign w:val="bottom"/>
            <w:shd w:val="clear" w:color="auto" w:fill="FDFDFD"/>
          </w:tcPr>
          <w:p>
            <w:pPr>
              <w:spacing w:after="0"/>
              <w:rPr>
                <w:sz w:val="18"/>
                <w:szCs w:val="18"/>
                <w:color w:val="auto"/>
              </w:rPr>
            </w:pPr>
          </w:p>
        </w:tc>
        <w:tc>
          <w:tcPr>
            <w:tcW w:w="16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740" w:type="dxa"/>
            <w:vAlign w:val="bottom"/>
            <w:shd w:val="clear" w:color="auto" w:fill="FDFDFD"/>
          </w:tcPr>
          <w:p>
            <w:pPr>
              <w:spacing w:after="0"/>
              <w:rPr>
                <w:sz w:val="18"/>
                <w:szCs w:val="18"/>
                <w:color w:val="auto"/>
              </w:rPr>
            </w:pPr>
          </w:p>
        </w:tc>
        <w:tc>
          <w:tcPr>
            <w:tcW w:w="18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680" w:type="dxa"/>
            <w:vAlign w:val="bottom"/>
            <w:shd w:val="clear" w:color="auto" w:fill="FDFDFD"/>
          </w:tcPr>
          <w:p>
            <w:pPr>
              <w:spacing w:after="0"/>
              <w:rPr>
                <w:sz w:val="18"/>
                <w:szCs w:val="18"/>
                <w:color w:val="auto"/>
              </w:rPr>
            </w:pPr>
          </w:p>
        </w:tc>
        <w:tc>
          <w:tcPr>
            <w:tcW w:w="18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760" w:type="dxa"/>
            <w:vAlign w:val="bottom"/>
            <w:shd w:val="clear" w:color="auto" w:fill="FDFDFD"/>
          </w:tcPr>
          <w:p>
            <w:pPr>
              <w:spacing w:after="0"/>
              <w:rPr>
                <w:sz w:val="18"/>
                <w:szCs w:val="18"/>
                <w:color w:val="auto"/>
              </w:rPr>
            </w:pPr>
          </w:p>
        </w:tc>
        <w:tc>
          <w:tcPr>
            <w:tcW w:w="18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680" w:type="dxa"/>
            <w:vAlign w:val="bottom"/>
            <w:shd w:val="clear" w:color="auto" w:fill="FDFDFD"/>
          </w:tcPr>
          <w:p>
            <w:pPr>
              <w:spacing w:after="0"/>
              <w:rPr>
                <w:sz w:val="18"/>
                <w:szCs w:val="18"/>
                <w:color w:val="auto"/>
              </w:rPr>
            </w:pPr>
          </w:p>
        </w:tc>
        <w:tc>
          <w:tcPr>
            <w:tcW w:w="180" w:type="dxa"/>
            <w:vAlign w:val="bottom"/>
            <w:shd w:val="clear" w:color="auto" w:fill="FDFDFD"/>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4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auto"/>
              </w:rPr>
              <w:t>acquisition-related purchase accounting adjustments</w:t>
            </w:r>
          </w:p>
        </w:tc>
        <w:tc>
          <w:tcPr>
            <w:tcW w:w="740" w:type="dxa"/>
            <w:vAlign w:val="bottom"/>
            <w:gridSpan w:val="2"/>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9,866</w:t>
            </w:r>
          </w:p>
        </w:tc>
        <w:tc>
          <w:tcPr>
            <w:tcW w:w="20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840" w:type="dxa"/>
            <w:vAlign w:val="bottom"/>
            <w:gridSpan w:val="2"/>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40" w:type="dxa"/>
            <w:vAlign w:val="bottom"/>
            <w:gridSpan w:val="2"/>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9,044</w:t>
            </w:r>
          </w:p>
        </w:tc>
        <w:tc>
          <w:tcPr>
            <w:tcW w:w="18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860" w:type="dxa"/>
            <w:vAlign w:val="bottom"/>
            <w:gridSpan w:val="2"/>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40" w:type="dxa"/>
            <w:vAlign w:val="bottom"/>
            <w:gridSpan w:val="2"/>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15,715</w:t>
            </w:r>
          </w:p>
        </w:tc>
        <w:tc>
          <w:tcPr>
            <w:tcW w:w="18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860" w:type="dxa"/>
            <w:vAlign w:val="bottom"/>
            <w:gridSpan w:val="2"/>
            <w:vMerge w:val="restart"/>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39"/>
        </w:trPr>
        <w:tc>
          <w:tcPr>
            <w:tcW w:w="44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3"/>
                <w:szCs w:val="13"/>
                <w:color w:val="auto"/>
              </w:rPr>
              <w:t>(a)</w:t>
            </w:r>
          </w:p>
        </w:tc>
        <w:tc>
          <w:tcPr>
            <w:tcW w:w="740" w:type="dxa"/>
            <w:vAlign w:val="bottom"/>
            <w:gridSpan w:val="2"/>
            <w:vMerge w:val="continue"/>
            <w:shd w:val="clear" w:color="auto" w:fill="FDFDFD"/>
          </w:tcPr>
          <w:p>
            <w:pPr>
              <w:spacing w:after="0"/>
              <w:rPr>
                <w:sz w:val="20"/>
                <w:szCs w:val="20"/>
                <w:color w:val="auto"/>
              </w:rPr>
            </w:pPr>
          </w:p>
        </w:tc>
        <w:tc>
          <w:tcPr>
            <w:tcW w:w="20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840" w:type="dxa"/>
            <w:vAlign w:val="bottom"/>
            <w:gridSpan w:val="2"/>
            <w:vMerge w:val="continue"/>
            <w:shd w:val="clear" w:color="auto" w:fill="FDFDFD"/>
          </w:tcPr>
          <w:p>
            <w:pPr>
              <w:spacing w:after="0"/>
              <w:rPr>
                <w:sz w:val="20"/>
                <w:szCs w:val="20"/>
                <w:color w:val="auto"/>
              </w:rPr>
            </w:pPr>
          </w:p>
        </w:tc>
        <w:tc>
          <w:tcPr>
            <w:tcW w:w="840" w:type="dxa"/>
            <w:vAlign w:val="bottom"/>
            <w:gridSpan w:val="2"/>
            <w:vMerge w:val="continue"/>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860" w:type="dxa"/>
            <w:vAlign w:val="bottom"/>
            <w:gridSpan w:val="2"/>
            <w:vMerge w:val="continue"/>
            <w:shd w:val="clear" w:color="auto" w:fill="FDFDFD"/>
          </w:tcPr>
          <w:p>
            <w:pPr>
              <w:spacing w:after="0"/>
              <w:rPr>
                <w:sz w:val="20"/>
                <w:szCs w:val="20"/>
                <w:color w:val="auto"/>
              </w:rPr>
            </w:pPr>
          </w:p>
        </w:tc>
        <w:tc>
          <w:tcPr>
            <w:tcW w:w="840" w:type="dxa"/>
            <w:vAlign w:val="bottom"/>
            <w:gridSpan w:val="2"/>
            <w:vMerge w:val="continue"/>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860" w:type="dxa"/>
            <w:vAlign w:val="bottom"/>
            <w:gridSpan w:val="2"/>
            <w:vMerge w:val="continue"/>
            <w:shd w:val="clear" w:color="auto" w:fill="FDFDFD"/>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Equity-based compensation costs</w:t>
            </w:r>
          </w:p>
        </w:tc>
        <w:tc>
          <w:tcPr>
            <w:tcW w:w="7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839</w:t>
            </w:r>
          </w:p>
        </w:tc>
        <w:tc>
          <w:tcPr>
            <w:tcW w:w="20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8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8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1,097</w:t>
            </w:r>
          </w:p>
        </w:tc>
        <w:tc>
          <w:tcPr>
            <w:tcW w:w="18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8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8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942</w:t>
            </w:r>
          </w:p>
        </w:tc>
        <w:tc>
          <w:tcPr>
            <w:tcW w:w="18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86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auto"/>
              </w:rPr>
              <w:t>Adjusted gross profit and margin</w:t>
            </w:r>
          </w:p>
        </w:tc>
        <w:tc>
          <w:tcPr>
            <w:tcW w:w="100" w:type="dxa"/>
            <w:vAlign w:val="bottom"/>
            <w:shd w:val="clear" w:color="auto" w:fill="FDFDF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FDFDFD"/>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FDFDFD"/>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FDFDFD"/>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60" w:type="dxa"/>
            <w:vAlign w:val="bottom"/>
            <w:vMerge w:val="continue"/>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auto"/>
                <w:highlight w:val="white"/>
                <w:w w:val="79"/>
              </w:rPr>
              <w:t>$</w:t>
            </w:r>
          </w:p>
        </w:tc>
        <w:tc>
          <w:tcPr>
            <w:tcW w:w="640" w:type="dxa"/>
            <w:vAlign w:val="bottom"/>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white"/>
                <w:w w:val="95"/>
              </w:rPr>
              <w:t>208,174</w:t>
            </w:r>
          </w:p>
        </w:tc>
        <w:tc>
          <w:tcPr>
            <w:tcW w:w="200" w:type="dxa"/>
            <w:vAlign w:val="bottom"/>
            <w:shd w:val="clear" w:color="auto" w:fill="FDFDFD"/>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83%</w:t>
            </w:r>
          </w:p>
        </w:tc>
        <w:tc>
          <w:tcPr>
            <w:tcW w:w="100" w:type="dxa"/>
            <w:vAlign w:val="bottom"/>
            <w:vMerge w:val="continue"/>
          </w:tcPr>
          <w:p>
            <w:pPr>
              <w:spacing w:after="0"/>
              <w:rPr>
                <w:sz w:val="19"/>
                <w:szCs w:val="19"/>
                <w:color w:val="auto"/>
              </w:rPr>
            </w:pPr>
          </w:p>
        </w:tc>
        <w:tc>
          <w:tcPr>
            <w:tcW w:w="740" w:type="dxa"/>
            <w:vAlign w:val="bottom"/>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auto"/>
                <w:highlight w:val="white"/>
                <w:w w:val="95"/>
              </w:rPr>
              <w:t>$</w:t>
            </w:r>
            <w:r>
              <w:rPr>
                <w:rFonts w:ascii="Times New Roman" w:cs="Times New Roman" w:eastAsia="Times New Roman" w:hAnsi="Times New Roman"/>
                <w:sz w:val="20"/>
                <w:szCs w:val="20"/>
                <w:color w:val="auto"/>
                <w:highlight w:val="white"/>
                <w:w w:val="95"/>
              </w:rPr>
              <w:t>214,074</w:t>
            </w:r>
          </w:p>
        </w:tc>
        <w:tc>
          <w:tcPr>
            <w:tcW w:w="180" w:type="dxa"/>
            <w:vAlign w:val="bottom"/>
            <w:shd w:val="clear" w:color="auto" w:fill="FDFDFD"/>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85%</w:t>
            </w:r>
          </w:p>
        </w:tc>
        <w:tc>
          <w:tcPr>
            <w:tcW w:w="80" w:type="dxa"/>
            <w:vAlign w:val="bottom"/>
            <w:vMerge w:val="continue"/>
          </w:tcPr>
          <w:p>
            <w:pPr>
              <w:spacing w:after="0"/>
              <w:rPr>
                <w:sz w:val="19"/>
                <w:szCs w:val="19"/>
                <w:color w:val="auto"/>
              </w:rPr>
            </w:pPr>
          </w:p>
        </w:tc>
        <w:tc>
          <w:tcPr>
            <w:tcW w:w="760" w:type="dxa"/>
            <w:vAlign w:val="bottom"/>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auto"/>
                <w:highlight w:val="white"/>
                <w:w w:val="98"/>
              </w:rPr>
              <w:t>$</w:t>
            </w:r>
            <w:r>
              <w:rPr>
                <w:rFonts w:ascii="Times New Roman" w:cs="Times New Roman" w:eastAsia="Times New Roman" w:hAnsi="Times New Roman"/>
                <w:sz w:val="20"/>
                <w:szCs w:val="20"/>
                <w:color w:val="auto"/>
                <w:highlight w:val="white"/>
                <w:w w:val="98"/>
              </w:rPr>
              <w:t>196,685</w:t>
            </w:r>
          </w:p>
        </w:tc>
        <w:tc>
          <w:tcPr>
            <w:tcW w:w="180" w:type="dxa"/>
            <w:vAlign w:val="bottom"/>
            <w:shd w:val="clear" w:color="auto" w:fill="FDFDFD"/>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-916940</wp:posOffset>
            </wp:positionV>
            <wp:extent cx="648970" cy="152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8970" cy="1524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-916940</wp:posOffset>
            </wp:positionV>
            <wp:extent cx="648970" cy="152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8970" cy="152400"/>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-910590</wp:posOffset>
            </wp:positionV>
            <wp:extent cx="48450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4505"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-180340</wp:posOffset>
            </wp:positionV>
            <wp:extent cx="648970" cy="152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8970" cy="1524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-180340</wp:posOffset>
            </wp:positionV>
            <wp:extent cx="648970" cy="152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8970" cy="152400"/>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-173990</wp:posOffset>
            </wp:positionV>
            <wp:extent cx="48450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4505" cy="146050"/>
                    </a:xfrm>
                    <a:prstGeom prst="rect">
                      <a:avLst/>
                    </a:prstGeom>
                    <a:noFill/>
                  </pic:spPr>
                </pic:pic>
              </a:graphicData>
            </a:graphic>
          </wp:anchor>
        </w:drawing>
      </w:r>
    </w:p>
    <w:p>
      <w:pPr>
        <w:spacing w:after="0" w:line="79" w:lineRule="exact"/>
        <w:rPr>
          <w:sz w:val="20"/>
          <w:szCs w:val="20"/>
          <w:color w:val="auto"/>
        </w:rPr>
      </w:pPr>
    </w:p>
    <w:p>
      <w:pPr>
        <w:ind w:left="720" w:right="60" w:hanging="352"/>
        <w:spacing w:after="0" w:line="279"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intangible assets resulting from purchase accounting adjustments represents non-cash amortization of acquired intangibles, primarily resulting from the Advent Acquisition.</w:t>
      </w:r>
    </w:p>
    <w:p>
      <w:pPr>
        <w:sectPr>
          <w:pgSz w:w="11880" w:h="15480" w:orient="portrait"/>
          <w:cols w:equalWidth="0" w:num="1">
            <w:col w:w="10240"/>
          </w:cols>
          <w:pgMar w:left="820" w:top="80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240"/>
          </w:cols>
          <w:pgMar w:left="820" w:top="803" w:right="82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EBITDA and Adjusted EBITDA Margin</w:t>
      </w:r>
    </w:p>
    <w:p>
      <w:pPr>
        <w:spacing w:after="0" w:line="11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We present “Adjusted EBITDA” as a measure of our operating performance. EBITDA is defined as earnings before (i) debt-related costs, including interest expense, (ii) interest income, (iii) income taxes, and (iv) depreciation and amortization. Management further adjusts EBITDA in its presentation of Adjusted EBITDA to exclude (i) other income, (ii) equity-based compensation, (iii) transaction, integration, and restructuring expenses, (iv) goodwill impairments, and (v)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p>
    <w:p>
      <w:pPr>
        <w:spacing w:after="0" w:line="202" w:lineRule="exact"/>
        <w:rPr>
          <w:sz w:val="20"/>
          <w:szCs w:val="20"/>
          <w:color w:val="auto"/>
        </w:rPr>
      </w:pPr>
    </w:p>
    <w:p>
      <w:pPr>
        <w:ind w:right="140" w:firstLine="490"/>
        <w:spacing w:after="0" w:line="279" w:lineRule="auto"/>
        <w:rPr>
          <w:sz w:val="20"/>
          <w:szCs w:val="20"/>
          <w:color w:val="auto"/>
        </w:rPr>
      </w:pPr>
      <w:r>
        <w:rPr>
          <w:rFonts w:ascii="Times New Roman" w:cs="Times New Roman" w:eastAsia="Times New Roman" w:hAnsi="Times New Roman"/>
          <w:sz w:val="20"/>
          <w:szCs w:val="20"/>
          <w:color w:val="auto"/>
        </w:rPr>
        <w:t>The following table presents a reconciliation of net loss and margin to adjusted EBITDA and adjusted EBITDA margin, respectively, for the periods presented: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80" w:type="dxa"/>
            <w:vAlign w:val="bottom"/>
            <w:tcBorders>
              <w:bottom w:val="single" w:sz="8" w:color="FDFDFD"/>
            </w:tcBorders>
            <w:shd w:val="clear" w:color="auto" w:fill="FDFDFD"/>
          </w:tcPr>
          <w:p>
            <w:pPr>
              <w:spacing w:after="0"/>
              <w:rPr>
                <w:sz w:val="17"/>
                <w:szCs w:val="17"/>
                <w:color w:val="auto"/>
              </w:rPr>
            </w:pPr>
          </w:p>
        </w:tc>
        <w:tc>
          <w:tcPr>
            <w:tcW w:w="80" w:type="dxa"/>
            <w:vAlign w:val="bottom"/>
            <w:tcBorders>
              <w:bottom w:val="single" w:sz="8" w:color="FDFDFD"/>
            </w:tcBorders>
            <w:shd w:val="clear" w:color="auto" w:fill="FDFDFD"/>
          </w:tcPr>
          <w:p>
            <w:pPr>
              <w:spacing w:after="0"/>
              <w:rPr>
                <w:sz w:val="17"/>
                <w:szCs w:val="17"/>
                <w:color w:val="auto"/>
              </w:rPr>
            </w:pPr>
          </w:p>
        </w:tc>
        <w:tc>
          <w:tcPr>
            <w:tcW w:w="120" w:type="dxa"/>
            <w:vAlign w:val="bottom"/>
            <w:tcBorders>
              <w:bottom w:val="single" w:sz="8" w:color="auto"/>
            </w:tcBorders>
            <w:shd w:val="clear" w:color="auto" w:fill="FDFDFD"/>
          </w:tcPr>
          <w:p>
            <w:pPr>
              <w:spacing w:after="0"/>
              <w:rPr>
                <w:sz w:val="17"/>
                <w:szCs w:val="17"/>
                <w:color w:val="auto"/>
              </w:rPr>
            </w:pPr>
          </w:p>
        </w:tc>
        <w:tc>
          <w:tcPr>
            <w:tcW w:w="740" w:type="dxa"/>
            <w:vAlign w:val="bottom"/>
            <w:tcBorders>
              <w:bottom w:val="single" w:sz="8" w:color="auto"/>
            </w:tcBorders>
            <w:shd w:val="clear" w:color="auto" w:fill="FDFDFD"/>
          </w:tcPr>
          <w:p>
            <w:pPr>
              <w:spacing w:after="0"/>
              <w:rPr>
                <w:sz w:val="17"/>
                <w:szCs w:val="17"/>
                <w:color w:val="auto"/>
              </w:rPr>
            </w:pPr>
          </w:p>
        </w:tc>
        <w:tc>
          <w:tcPr>
            <w:tcW w:w="8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760" w:type="dxa"/>
            <w:vAlign w:val="bottom"/>
            <w:tcBorders>
              <w:left w:val="single" w:sz="8" w:color="FDFDFD"/>
              <w:bottom w:val="single" w:sz="8" w:color="auto"/>
            </w:tcBorders>
            <w:shd w:val="clear" w:color="auto" w:fill="FDFDFD"/>
          </w:tcPr>
          <w:p>
            <w:pPr>
              <w:spacing w:after="0"/>
              <w:rPr>
                <w:sz w:val="17"/>
                <w:szCs w:val="17"/>
                <w:color w:val="auto"/>
              </w:rPr>
            </w:pPr>
          </w:p>
        </w:tc>
        <w:tc>
          <w:tcPr>
            <w:tcW w:w="260" w:type="dxa"/>
            <w:vAlign w:val="bottom"/>
            <w:tcBorders>
              <w:bottom w:val="single" w:sz="8" w:color="auto"/>
            </w:tcBorders>
            <w:shd w:val="clear" w:color="auto" w:fill="FDFDFD"/>
          </w:tcPr>
          <w:p>
            <w:pPr>
              <w:spacing w:after="0"/>
              <w:rPr>
                <w:sz w:val="17"/>
                <w:szCs w:val="17"/>
                <w:color w:val="auto"/>
              </w:rPr>
            </w:pPr>
          </w:p>
        </w:tc>
        <w:tc>
          <w:tcPr>
            <w:tcW w:w="2120" w:type="dxa"/>
            <w:vAlign w:val="bottom"/>
            <w:tcBorders>
              <w:bottom w:val="single" w:sz="8" w:color="auto"/>
            </w:tcBorders>
            <w:gridSpan w:val="7"/>
            <w:shd w:val="clear" w:color="auto" w:fill="FDFDFD"/>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68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760" w:type="dxa"/>
            <w:vAlign w:val="bottom"/>
            <w:tcBorders>
              <w:left w:val="single" w:sz="8" w:color="FDFDFD"/>
              <w:bottom w:val="single" w:sz="8" w:color="auto"/>
            </w:tcBorders>
            <w:shd w:val="clear" w:color="auto" w:fill="FDFDFD"/>
          </w:tcPr>
          <w:p>
            <w:pPr>
              <w:spacing w:after="0"/>
              <w:rPr>
                <w:sz w:val="17"/>
                <w:szCs w:val="17"/>
                <w:color w:val="auto"/>
              </w:rPr>
            </w:pPr>
          </w:p>
        </w:tc>
        <w:tc>
          <w:tcPr>
            <w:tcW w:w="26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80" w:type="dxa"/>
            <w:vAlign w:val="bottom"/>
            <w:tcBorders>
              <w:bottom w:val="single" w:sz="8" w:color="FDFDFD"/>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c>
          <w:tcPr>
            <w:tcW w:w="120" w:type="dxa"/>
            <w:vAlign w:val="bottom"/>
            <w:tcBorders>
              <w:bottom w:val="single" w:sz="8" w:color="auto"/>
            </w:tcBorders>
            <w:shd w:val="clear" w:color="auto" w:fill="FDFDFD"/>
          </w:tcPr>
          <w:p>
            <w:pPr>
              <w:spacing w:after="0"/>
              <w:rPr>
                <w:sz w:val="16"/>
                <w:szCs w:val="16"/>
                <w:color w:val="auto"/>
              </w:rPr>
            </w:pPr>
          </w:p>
        </w:tc>
        <w:tc>
          <w:tcPr>
            <w:tcW w:w="920" w:type="dxa"/>
            <w:vAlign w:val="bottom"/>
            <w:tcBorders>
              <w:bottom w:val="single" w:sz="8" w:color="auto"/>
            </w:tcBorders>
            <w:gridSpan w:val="3"/>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left w:val="single" w:sz="8" w:color="FDFDFD"/>
              <w:bottom w:val="single" w:sz="8" w:color="auto"/>
            </w:tcBorders>
            <w:shd w:val="clear" w:color="auto" w:fill="FDFDFD"/>
          </w:tcPr>
          <w:p>
            <w:pPr>
              <w:spacing w:after="0"/>
              <w:rPr>
                <w:sz w:val="16"/>
                <w:szCs w:val="16"/>
                <w:color w:val="auto"/>
              </w:rPr>
            </w:pPr>
          </w:p>
        </w:tc>
        <w:tc>
          <w:tcPr>
            <w:tcW w:w="260" w:type="dxa"/>
            <w:vAlign w:val="bottom"/>
            <w:tcBorders>
              <w:bottom w:val="single" w:sz="8" w:color="FDFDFD"/>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920" w:type="dxa"/>
            <w:vAlign w:val="bottom"/>
            <w:tcBorders>
              <w:bottom w:val="single" w:sz="8" w:color="auto"/>
            </w:tcBorders>
            <w:gridSpan w:val="3"/>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left w:val="single" w:sz="8" w:color="FDFDFD"/>
              <w:bottom w:val="single" w:sz="8" w:color="auto"/>
            </w:tcBorders>
            <w:shd w:val="clear" w:color="auto" w:fill="FDFDFD"/>
          </w:tcPr>
          <w:p>
            <w:pPr>
              <w:spacing w:after="0"/>
              <w:rPr>
                <w:sz w:val="16"/>
                <w:szCs w:val="16"/>
                <w:color w:val="auto"/>
              </w:rPr>
            </w:pPr>
          </w:p>
        </w:tc>
        <w:tc>
          <w:tcPr>
            <w:tcW w:w="240" w:type="dxa"/>
            <w:vAlign w:val="bottom"/>
            <w:tcBorders>
              <w:bottom w:val="single" w:sz="8" w:color="FDFDFD"/>
            </w:tcBorders>
            <w:shd w:val="clear" w:color="auto" w:fill="FDFDFD"/>
          </w:tcPr>
          <w:p>
            <w:pPr>
              <w:spacing w:after="0"/>
              <w:rPr>
                <w:sz w:val="16"/>
                <w:szCs w:val="16"/>
                <w:color w:val="auto"/>
              </w:rPr>
            </w:pPr>
          </w:p>
        </w:tc>
        <w:tc>
          <w:tcPr>
            <w:tcW w:w="100" w:type="dxa"/>
            <w:vAlign w:val="bottom"/>
            <w:tcBorders>
              <w:bottom w:val="single" w:sz="8" w:color="FDFDF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80" w:type="dxa"/>
            <w:vAlign w:val="bottom"/>
            <w:tcBorders>
              <w:bottom w:val="single" w:sz="8" w:color="auto"/>
            </w:tcBorders>
            <w:gridSpan w:val="3"/>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tcBorders>
              <w:left w:val="single" w:sz="8" w:color="FDFDFD"/>
              <w:bottom w:val="single" w:sz="8" w:color="auto"/>
            </w:tcBorders>
            <w:shd w:val="clear" w:color="auto" w:fill="FDFDFD"/>
          </w:tcPr>
          <w:p>
            <w:pPr>
              <w:spacing w:after="0"/>
              <w:rPr>
                <w:sz w:val="16"/>
                <w:szCs w:val="16"/>
                <w:color w:val="auto"/>
              </w:rPr>
            </w:pPr>
          </w:p>
        </w:tc>
        <w:tc>
          <w:tcPr>
            <w:tcW w:w="260" w:type="dxa"/>
            <w:vAlign w:val="bottom"/>
            <w:tcBorders>
              <w:bottom w:val="single" w:sz="8" w:color="FDFDFD"/>
            </w:tcBorders>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88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c>
          <w:tcPr>
            <w:tcW w:w="120" w:type="dxa"/>
            <w:vAlign w:val="bottom"/>
            <w:shd w:val="clear" w:color="auto" w:fill="FDFDFD"/>
          </w:tcPr>
          <w:p>
            <w:pPr>
              <w:spacing w:after="0"/>
              <w:rPr>
                <w:sz w:val="14"/>
                <w:szCs w:val="14"/>
                <w:color w:val="auto"/>
              </w:rPr>
            </w:pPr>
          </w:p>
        </w:tc>
        <w:tc>
          <w:tcPr>
            <w:tcW w:w="74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760" w:type="dxa"/>
            <w:vAlign w:val="bottom"/>
            <w:tcBorders>
              <w:left w:val="single" w:sz="8" w:color="FDFDFD"/>
            </w:tcBorders>
            <w:shd w:val="clear" w:color="auto" w:fill="FDFDFD"/>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 of</w:t>
            </w:r>
          </w:p>
        </w:tc>
        <w:tc>
          <w:tcPr>
            <w:tcW w:w="26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74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c>
          <w:tcPr>
            <w:tcW w:w="780" w:type="dxa"/>
            <w:vAlign w:val="bottom"/>
            <w:tcBorders>
              <w:left w:val="single" w:sz="8" w:color="FDFDFD"/>
            </w:tcBorders>
            <w:shd w:val="clear" w:color="auto" w:fill="FDFDFD"/>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68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760" w:type="dxa"/>
            <w:vAlign w:val="bottom"/>
            <w:tcBorders>
              <w:left w:val="single" w:sz="8" w:color="FDFDFD"/>
            </w:tcBorders>
            <w:shd w:val="clear" w:color="auto" w:fill="FDFDFD"/>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 of</w:t>
            </w:r>
          </w:p>
        </w:tc>
        <w:tc>
          <w:tcPr>
            <w:tcW w:w="260" w:type="dxa"/>
            <w:vAlign w:val="bottom"/>
            <w:shd w:val="clear" w:color="auto" w:fill="FDFDFD"/>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88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percentages)</w:t>
            </w:r>
          </w:p>
        </w:tc>
        <w:tc>
          <w:tcPr>
            <w:tcW w:w="80" w:type="dxa"/>
            <w:vAlign w:val="bottom"/>
            <w:tcBorders>
              <w:bottom w:val="single" w:sz="8" w:color="E3E3E3"/>
            </w:tcBorders>
            <w:shd w:val="clear" w:color="auto" w:fill="FDFDFD"/>
          </w:tcPr>
          <w:p>
            <w:pPr>
              <w:spacing w:after="0"/>
              <w:rPr>
                <w:sz w:val="17"/>
                <w:szCs w:val="17"/>
                <w:color w:val="auto"/>
              </w:rPr>
            </w:pPr>
          </w:p>
        </w:tc>
        <w:tc>
          <w:tcPr>
            <w:tcW w:w="120" w:type="dxa"/>
            <w:vAlign w:val="bottom"/>
            <w:tcBorders>
              <w:bottom w:val="single" w:sz="8" w:color="auto"/>
            </w:tcBorders>
            <w:shd w:val="clear" w:color="auto" w:fill="FDFDFD"/>
          </w:tcPr>
          <w:p>
            <w:pPr>
              <w:spacing w:after="0"/>
              <w:rPr>
                <w:sz w:val="17"/>
                <w:szCs w:val="17"/>
                <w:color w:val="auto"/>
              </w:rPr>
            </w:pPr>
          </w:p>
        </w:tc>
        <w:tc>
          <w:tcPr>
            <w:tcW w:w="740" w:type="dxa"/>
            <w:vAlign w:val="bottom"/>
            <w:tcBorders>
              <w:bottom w:val="single" w:sz="8" w:color="auto"/>
            </w:tcBorders>
            <w:shd w:val="clear" w:color="auto" w:fill="FDFDFD"/>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bottom w:val="single" w:sz="8" w:color="E3E3E3"/>
            </w:tcBorders>
            <w:shd w:val="clear" w:color="auto" w:fill="FDFDFD"/>
          </w:tcPr>
          <w:p>
            <w:pPr>
              <w:spacing w:after="0"/>
              <w:rPr>
                <w:sz w:val="17"/>
                <w:szCs w:val="17"/>
                <w:color w:val="auto"/>
              </w:rPr>
            </w:pPr>
          </w:p>
        </w:tc>
        <w:tc>
          <w:tcPr>
            <w:tcW w:w="100" w:type="dxa"/>
            <w:vAlign w:val="bottom"/>
            <w:tcBorders>
              <w:bottom w:val="single" w:sz="8" w:color="E3E3E3"/>
            </w:tcBorders>
            <w:shd w:val="clear" w:color="auto" w:fill="FDFDFD"/>
          </w:tcPr>
          <w:p>
            <w:pPr>
              <w:spacing w:after="0"/>
              <w:rPr>
                <w:sz w:val="17"/>
                <w:szCs w:val="17"/>
                <w:color w:val="auto"/>
              </w:rPr>
            </w:pPr>
          </w:p>
        </w:tc>
        <w:tc>
          <w:tcPr>
            <w:tcW w:w="760" w:type="dxa"/>
            <w:vAlign w:val="bottom"/>
            <w:tcBorders>
              <w:left w:val="single" w:sz="8" w:color="FDFDFD"/>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6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740" w:type="dxa"/>
            <w:vAlign w:val="bottom"/>
            <w:tcBorders>
              <w:bottom w:val="single" w:sz="8" w:color="auto"/>
            </w:tcBorders>
            <w:shd w:val="clear" w:color="auto" w:fill="FDFDFD"/>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E3E3E3"/>
            </w:tcBorders>
            <w:shd w:val="clear" w:color="auto" w:fill="FDFDFD"/>
          </w:tcPr>
          <w:p>
            <w:pPr>
              <w:spacing w:after="0"/>
              <w:rPr>
                <w:sz w:val="17"/>
                <w:szCs w:val="17"/>
                <w:color w:val="auto"/>
              </w:rPr>
            </w:pPr>
          </w:p>
        </w:tc>
        <w:tc>
          <w:tcPr>
            <w:tcW w:w="80" w:type="dxa"/>
            <w:vAlign w:val="bottom"/>
            <w:tcBorders>
              <w:bottom w:val="single" w:sz="8" w:color="E3E3E3"/>
            </w:tcBorders>
            <w:shd w:val="clear" w:color="auto" w:fill="FDFDFD"/>
          </w:tcPr>
          <w:p>
            <w:pPr>
              <w:spacing w:after="0"/>
              <w:rPr>
                <w:sz w:val="17"/>
                <w:szCs w:val="17"/>
                <w:color w:val="auto"/>
              </w:rPr>
            </w:pPr>
          </w:p>
        </w:tc>
        <w:tc>
          <w:tcPr>
            <w:tcW w:w="780" w:type="dxa"/>
            <w:vAlign w:val="bottom"/>
            <w:tcBorders>
              <w:left w:val="single" w:sz="8" w:color="FDFDFD"/>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680" w:type="dxa"/>
            <w:vAlign w:val="bottom"/>
            <w:tcBorders>
              <w:bottom w:val="single" w:sz="8" w:color="auto"/>
            </w:tcBorders>
            <w:shd w:val="clear" w:color="auto" w:fill="FDFDFD"/>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Borders>
              <w:bottom w:val="single" w:sz="8" w:color="E3E3E3"/>
            </w:tcBorders>
            <w:shd w:val="clear" w:color="auto" w:fill="FDFDFD"/>
          </w:tcPr>
          <w:p>
            <w:pPr>
              <w:spacing w:after="0"/>
              <w:rPr>
                <w:sz w:val="17"/>
                <w:szCs w:val="17"/>
                <w:color w:val="auto"/>
              </w:rPr>
            </w:pPr>
          </w:p>
        </w:tc>
        <w:tc>
          <w:tcPr>
            <w:tcW w:w="100" w:type="dxa"/>
            <w:vAlign w:val="bottom"/>
            <w:tcBorders>
              <w:bottom w:val="single" w:sz="8" w:color="E3E3E3"/>
            </w:tcBorders>
            <w:shd w:val="clear" w:color="auto" w:fill="FDFDFD"/>
          </w:tcPr>
          <w:p>
            <w:pPr>
              <w:spacing w:after="0"/>
              <w:rPr>
                <w:sz w:val="17"/>
                <w:szCs w:val="17"/>
                <w:color w:val="auto"/>
              </w:rPr>
            </w:pPr>
          </w:p>
        </w:tc>
        <w:tc>
          <w:tcPr>
            <w:tcW w:w="760" w:type="dxa"/>
            <w:vAlign w:val="bottom"/>
            <w:tcBorders>
              <w:left w:val="single" w:sz="8" w:color="FDFDFD"/>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60" w:type="dxa"/>
            <w:vAlign w:val="bottom"/>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Net loss and margin</w:t>
            </w: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1"/>
                <w:shd w:val="clear" w:color="auto" w:fill="E3E3E3"/>
              </w:rPr>
              <w:t>(591,446)</w:t>
            </w:r>
          </w:p>
        </w:tc>
        <w:tc>
          <w:tcPr>
            <w:tcW w:w="8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(235)%</w:t>
            </w:r>
          </w:p>
        </w:tc>
        <w:tc>
          <w:tcPr>
            <w:tcW w:w="80" w:type="dxa"/>
            <w:vAlign w:val="bottom"/>
          </w:tcPr>
          <w:p>
            <w:pPr>
              <w:spacing w:after="0"/>
              <w:rPr>
                <w:sz w:val="20"/>
                <w:szCs w:val="20"/>
                <w:color w:val="auto"/>
              </w:rPr>
            </w:pPr>
          </w:p>
        </w:tc>
        <w:tc>
          <w:tcPr>
            <w:tcW w:w="1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1"/>
                <w:shd w:val="clear" w:color="auto" w:fill="E3E3E3"/>
              </w:rPr>
              <w:t>(289,627)</w:t>
            </w:r>
          </w:p>
        </w:tc>
        <w:tc>
          <w:tcPr>
            <w:tcW w:w="10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100" w:type="dxa"/>
            <w:vAlign w:val="bottom"/>
          </w:tcPr>
          <w:p>
            <w:pPr>
              <w:spacing w:after="0"/>
              <w:rPr>
                <w:sz w:val="20"/>
                <w:szCs w:val="20"/>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(24,179</w:t>
            </w: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shd w:val="clear" w:color="auto" w:fill="E3E3E3"/>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44"/>
        </w:trPr>
        <w:tc>
          <w:tcPr>
            <w:tcW w:w="39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120" w:type="dxa"/>
            <w:vAlign w:val="bottom"/>
            <w:shd w:val="clear" w:color="auto" w:fill="FDFDFD"/>
          </w:tcPr>
          <w:p>
            <w:pPr>
              <w:spacing w:after="0"/>
              <w:rPr>
                <w:sz w:val="21"/>
                <w:szCs w:val="21"/>
                <w:color w:val="auto"/>
              </w:rPr>
            </w:pP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8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1,559</w:t>
            </w:r>
          </w:p>
        </w:tc>
        <w:tc>
          <w:tcPr>
            <w:tcW w:w="10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8,413</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44"/>
        </w:trPr>
        <w:tc>
          <w:tcPr>
            <w:tcW w:w="39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120" w:type="dxa"/>
            <w:vAlign w:val="bottom"/>
            <w:shd w:val="clear" w:color="auto" w:fill="E3E3E3"/>
          </w:tcPr>
          <w:p>
            <w:pPr>
              <w:spacing w:after="0"/>
              <w:rPr>
                <w:sz w:val="21"/>
                <w:szCs w:val="21"/>
                <w:color w:val="auto"/>
              </w:rPr>
            </w:pPr>
          </w:p>
        </w:tc>
        <w:tc>
          <w:tcPr>
            <w:tcW w:w="82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(42,299)</w:t>
            </w:r>
          </w:p>
        </w:tc>
        <w:tc>
          <w:tcPr>
            <w:tcW w:w="100" w:type="dxa"/>
            <w:vAlign w:val="bottom"/>
            <w:shd w:val="clear" w:color="auto" w:fill="E3E3E3"/>
          </w:tcPr>
          <w:p>
            <w:pPr>
              <w:spacing w:after="0"/>
              <w:rPr>
                <w:sz w:val="21"/>
                <w:szCs w:val="21"/>
                <w:color w:val="auto"/>
              </w:rPr>
            </w:pPr>
          </w:p>
        </w:tc>
        <w:tc>
          <w:tcPr>
            <w:tcW w:w="1020" w:type="dxa"/>
            <w:vAlign w:val="bottom"/>
            <w:tcBorders>
              <w:left w:val="single" w:sz="8" w:color="E3E3E3"/>
            </w:tcBorders>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8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(18,553)</w:t>
            </w:r>
          </w:p>
        </w:tc>
        <w:tc>
          <w:tcPr>
            <w:tcW w:w="80" w:type="dxa"/>
            <w:vAlign w:val="bottom"/>
            <w:shd w:val="clear" w:color="auto" w:fill="E3E3E3"/>
          </w:tcPr>
          <w:p>
            <w:pPr>
              <w:spacing w:after="0"/>
              <w:rPr>
                <w:sz w:val="21"/>
                <w:szCs w:val="21"/>
                <w:color w:val="auto"/>
              </w:rPr>
            </w:pPr>
          </w:p>
        </w:tc>
        <w:tc>
          <w:tcPr>
            <w:tcW w:w="1020" w:type="dxa"/>
            <w:vAlign w:val="bottom"/>
            <w:tcBorders>
              <w:left w:val="single" w:sz="8" w:color="E3E3E3"/>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7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(17,698)</w:t>
            </w:r>
          </w:p>
        </w:tc>
        <w:tc>
          <w:tcPr>
            <w:tcW w:w="100" w:type="dxa"/>
            <w:vAlign w:val="bottom"/>
            <w:shd w:val="clear" w:color="auto" w:fill="E3E3E3"/>
          </w:tcPr>
          <w:p>
            <w:pPr>
              <w:spacing w:after="0"/>
              <w:rPr>
                <w:sz w:val="21"/>
                <w:szCs w:val="21"/>
                <w:color w:val="auto"/>
              </w:rPr>
            </w:pPr>
          </w:p>
        </w:tc>
        <w:tc>
          <w:tcPr>
            <w:tcW w:w="1020" w:type="dxa"/>
            <w:vAlign w:val="bottom"/>
            <w:tcBorders>
              <w:left w:val="single" w:sz="8" w:color="E3E3E3"/>
            </w:tcBorders>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44"/>
        </w:trPr>
        <w:tc>
          <w:tcPr>
            <w:tcW w:w="39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auto"/>
              </w:rPr>
              <w:t>Depreciation &amp; amortization</w:t>
            </w:r>
          </w:p>
        </w:tc>
        <w:tc>
          <w:tcPr>
            <w:tcW w:w="120" w:type="dxa"/>
            <w:vAlign w:val="bottom"/>
            <w:shd w:val="clear" w:color="auto" w:fill="FDFDFD"/>
          </w:tcPr>
          <w:p>
            <w:pPr>
              <w:spacing w:after="0"/>
              <w:rPr>
                <w:sz w:val="21"/>
                <w:szCs w:val="21"/>
                <w:color w:val="auto"/>
              </w:rPr>
            </w:pP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51,667</w:t>
            </w:r>
          </w:p>
        </w:tc>
        <w:tc>
          <w:tcPr>
            <w:tcW w:w="8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51,750</w:t>
            </w:r>
          </w:p>
        </w:tc>
        <w:tc>
          <w:tcPr>
            <w:tcW w:w="10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56,904</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EBITDA and margin</w:t>
            </w:r>
          </w:p>
        </w:tc>
        <w:tc>
          <w:tcPr>
            <w:tcW w:w="80" w:type="dxa"/>
            <w:vAlign w:val="bottom"/>
            <w:shd w:val="clear" w:color="auto" w:fill="E3E3E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E3E3E3"/>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FDFDFD"/>
          </w:tcPr>
          <w:p>
            <w:pPr>
              <w:spacing w:after="0" w:line="20" w:lineRule="exact"/>
              <w:rPr>
                <w:sz w:val="1"/>
                <w:szCs w:val="1"/>
                <w:color w:val="auto"/>
              </w:rPr>
            </w:pPr>
          </w:p>
        </w:tc>
        <w:tc>
          <w:tcPr>
            <w:tcW w:w="80" w:type="dxa"/>
            <w:vAlign w:val="bottom"/>
            <w:shd w:val="clear" w:color="auto" w:fill="FDFDF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80" w:type="dxa"/>
            <w:vAlign w:val="bottom"/>
            <w:shd w:val="clear" w:color="auto" w:fill="E3E3E3"/>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FDFDFD"/>
          </w:tcPr>
          <w:p>
            <w:pPr>
              <w:spacing w:after="0" w:line="20" w:lineRule="exact"/>
              <w:rPr>
                <w:sz w:val="1"/>
                <w:szCs w:val="1"/>
                <w:color w:val="auto"/>
              </w:rPr>
            </w:pPr>
          </w:p>
        </w:tc>
        <w:tc>
          <w:tcPr>
            <w:tcW w:w="100" w:type="dxa"/>
            <w:vAlign w:val="bottom"/>
            <w:shd w:val="clear" w:color="auto" w:fill="FDFDF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FDFDF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880" w:type="dxa"/>
            <w:vAlign w:val="bottom"/>
            <w:vMerge w:val="continue"/>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1"/>
                <w:shd w:val="clear" w:color="auto" w:fill="E3E3E3"/>
              </w:rPr>
              <w:t>(581,833)</w:t>
            </w:r>
          </w:p>
        </w:tc>
        <w:tc>
          <w:tcPr>
            <w:tcW w:w="8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(231)%</w:t>
            </w:r>
          </w:p>
        </w:tc>
        <w:tc>
          <w:tcPr>
            <w:tcW w:w="80" w:type="dxa"/>
            <w:vAlign w:val="bottom"/>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1"/>
                <w:shd w:val="clear" w:color="auto" w:fill="E3E3E3"/>
              </w:rPr>
              <w:t>(254,871)</w:t>
            </w:r>
          </w:p>
        </w:tc>
        <w:tc>
          <w:tcPr>
            <w:tcW w:w="10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23,440</w:t>
            </w: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44"/>
        </w:trPr>
        <w:tc>
          <w:tcPr>
            <w:tcW w:w="38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 xml:space="preserve">Other income, net </w:t>
            </w:r>
            <w:r>
              <w:rPr>
                <w:rFonts w:ascii="Times New Roman" w:cs="Times New Roman" w:eastAsia="Times New Roman" w:hAnsi="Times New Roman"/>
                <w:sz w:val="13"/>
                <w:szCs w:val="13"/>
                <w:color w:val="auto"/>
              </w:rPr>
              <w:t>(a)</w:t>
            </w:r>
          </w:p>
        </w:tc>
        <w:tc>
          <w:tcPr>
            <w:tcW w:w="8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(77,320)</w:t>
            </w:r>
          </w:p>
        </w:tc>
        <w:tc>
          <w:tcPr>
            <w:tcW w:w="8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(23,179)</w:t>
            </w:r>
          </w:p>
        </w:tc>
        <w:tc>
          <w:tcPr>
            <w:tcW w:w="10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96"/>
              </w:rPr>
              <w:t>(10,579)</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44"/>
        </w:trPr>
        <w:tc>
          <w:tcPr>
            <w:tcW w:w="39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 xml:space="preserve">Equity-based compensation </w:t>
            </w:r>
            <w:r>
              <w:rPr>
                <w:rFonts w:ascii="Times New Roman" w:cs="Times New Roman" w:eastAsia="Times New Roman" w:hAnsi="Times New Roman"/>
                <w:sz w:val="13"/>
                <w:szCs w:val="13"/>
                <w:color w:val="auto"/>
              </w:rPr>
              <w:t>(b)</w:t>
            </w:r>
          </w:p>
        </w:tc>
        <w:tc>
          <w:tcPr>
            <w:tcW w:w="120" w:type="dxa"/>
            <w:vAlign w:val="bottom"/>
            <w:shd w:val="clear" w:color="auto" w:fill="E3E3E3"/>
          </w:tcPr>
          <w:p>
            <w:pPr>
              <w:spacing w:after="0"/>
              <w:rPr>
                <w:sz w:val="21"/>
                <w:szCs w:val="21"/>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38,085</w:t>
            </w:r>
          </w:p>
        </w:tc>
        <w:tc>
          <w:tcPr>
            <w:tcW w:w="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tcBorders>
              <w:left w:val="single" w:sz="8" w:color="E3E3E3"/>
            </w:tcBorders>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48,739</w:t>
            </w:r>
          </w:p>
        </w:tc>
        <w:tc>
          <w:tcPr>
            <w:tcW w:w="10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1020" w:type="dxa"/>
            <w:vAlign w:val="bottom"/>
            <w:tcBorders>
              <w:left w:val="single" w:sz="8" w:color="E3E3E3"/>
            </w:tcBorders>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36,434</w:t>
            </w: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tcBorders>
              <w:left w:val="single" w:sz="8" w:color="E3E3E3"/>
            </w:tcBorders>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23"/>
        </w:trPr>
        <w:tc>
          <w:tcPr>
            <w:tcW w:w="3960" w:type="dxa"/>
            <w:vAlign w:val="bottom"/>
            <w:gridSpan w:val="2"/>
            <w:shd w:val="clear" w:color="auto" w:fill="FDFDFD"/>
          </w:tcPr>
          <w:p>
            <w:pPr>
              <w:spacing w:after="0" w:line="223" w:lineRule="exact"/>
              <w:rPr>
                <w:sz w:val="20"/>
                <w:szCs w:val="20"/>
                <w:color w:val="auto"/>
              </w:rPr>
            </w:pPr>
            <w:r>
              <w:rPr>
                <w:rFonts w:ascii="Times New Roman" w:cs="Times New Roman" w:eastAsia="Times New Roman" w:hAnsi="Times New Roman"/>
                <w:sz w:val="20"/>
                <w:szCs w:val="20"/>
                <w:color w:val="auto"/>
              </w:rPr>
              <w:t>Transaction, integration and restructuring</w:t>
            </w:r>
          </w:p>
        </w:tc>
        <w:tc>
          <w:tcPr>
            <w:tcW w:w="120" w:type="dxa"/>
            <w:vAlign w:val="bottom"/>
            <w:shd w:val="clear" w:color="auto" w:fill="FDFDFD"/>
          </w:tcPr>
          <w:p>
            <w:pPr>
              <w:spacing w:after="0"/>
              <w:rPr>
                <w:sz w:val="19"/>
                <w:szCs w:val="19"/>
                <w:color w:val="auto"/>
              </w:rPr>
            </w:pPr>
          </w:p>
        </w:tc>
        <w:tc>
          <w:tcPr>
            <w:tcW w:w="74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760" w:type="dxa"/>
            <w:vAlign w:val="bottom"/>
            <w:tcBorders>
              <w:left w:val="single" w:sz="8" w:color="FDFDFD"/>
            </w:tcBorders>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7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780" w:type="dxa"/>
            <w:vAlign w:val="bottom"/>
            <w:tcBorders>
              <w:left w:val="single" w:sz="8" w:color="FDFDFD"/>
            </w:tcBorders>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6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760" w:type="dxa"/>
            <w:vAlign w:val="bottom"/>
            <w:tcBorders>
              <w:left w:val="single" w:sz="8" w:color="FDFDFD"/>
            </w:tcBorders>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9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auto"/>
              </w:rPr>
              <w:t xml:space="preserve">expenses </w:t>
            </w:r>
            <w:r>
              <w:rPr>
                <w:rFonts w:ascii="Times New Roman" w:cs="Times New Roman" w:eastAsia="Times New Roman" w:hAnsi="Times New Roman"/>
                <w:sz w:val="13"/>
                <w:szCs w:val="13"/>
                <w:color w:val="auto"/>
              </w:rPr>
              <w:t>(c)</w:t>
            </w:r>
          </w:p>
        </w:tc>
        <w:tc>
          <w:tcPr>
            <w:tcW w:w="120" w:type="dxa"/>
            <w:vAlign w:val="bottom"/>
            <w:shd w:val="clear" w:color="auto" w:fill="FDFDFD"/>
          </w:tcPr>
          <w:p>
            <w:pPr>
              <w:spacing w:after="0"/>
              <w:rPr>
                <w:sz w:val="21"/>
                <w:szCs w:val="21"/>
                <w:color w:val="auto"/>
              </w:rPr>
            </w:pP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12,225</w:t>
            </w:r>
          </w:p>
        </w:tc>
        <w:tc>
          <w:tcPr>
            <w:tcW w:w="8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11,489</w:t>
            </w:r>
          </w:p>
        </w:tc>
        <w:tc>
          <w:tcPr>
            <w:tcW w:w="10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7,890</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44"/>
        </w:trPr>
        <w:tc>
          <w:tcPr>
            <w:tcW w:w="39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 xml:space="preserve">Goodwill impairment </w:t>
            </w:r>
            <w:r>
              <w:rPr>
                <w:rFonts w:ascii="Times New Roman" w:cs="Times New Roman" w:eastAsia="Times New Roman" w:hAnsi="Times New Roman"/>
                <w:sz w:val="13"/>
                <w:szCs w:val="13"/>
                <w:color w:val="auto"/>
              </w:rPr>
              <w:t>(d)</w:t>
            </w:r>
          </w:p>
        </w:tc>
        <w:tc>
          <w:tcPr>
            <w:tcW w:w="120" w:type="dxa"/>
            <w:vAlign w:val="bottom"/>
            <w:shd w:val="clear" w:color="auto" w:fill="E3E3E3"/>
          </w:tcPr>
          <w:p>
            <w:pPr>
              <w:spacing w:after="0"/>
              <w:rPr>
                <w:sz w:val="21"/>
                <w:szCs w:val="21"/>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688,854</w:t>
            </w:r>
          </w:p>
        </w:tc>
        <w:tc>
          <w:tcPr>
            <w:tcW w:w="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tcBorders>
              <w:left w:val="single" w:sz="8" w:color="E3E3E3"/>
            </w:tcBorders>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273%</w:t>
            </w:r>
          </w:p>
        </w:tc>
        <w:tc>
          <w:tcPr>
            <w:tcW w:w="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287,400</w:t>
            </w:r>
          </w:p>
        </w:tc>
        <w:tc>
          <w:tcPr>
            <w:tcW w:w="10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1020" w:type="dxa"/>
            <w:vAlign w:val="bottom"/>
            <w:tcBorders>
              <w:left w:val="single" w:sz="8" w:color="E3E3E3"/>
            </w:tcBorders>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114%</w:t>
            </w: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880" w:type="dxa"/>
            <w:vAlign w:val="bottom"/>
            <w:gridSpan w:val="3"/>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left w:val="single" w:sz="8" w:color="E3E3E3"/>
            </w:tcBorders>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44"/>
        </w:trPr>
        <w:tc>
          <w:tcPr>
            <w:tcW w:w="39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auto"/>
              </w:rPr>
              <w:t xml:space="preserve">Other non-core items </w:t>
            </w:r>
            <w:r>
              <w:rPr>
                <w:rFonts w:ascii="Times New Roman" w:cs="Times New Roman" w:eastAsia="Times New Roman" w:hAnsi="Times New Roman"/>
                <w:sz w:val="13"/>
                <w:szCs w:val="13"/>
                <w:color w:val="auto"/>
              </w:rPr>
              <w:t>(e)</w:t>
            </w:r>
          </w:p>
        </w:tc>
        <w:tc>
          <w:tcPr>
            <w:tcW w:w="120" w:type="dxa"/>
            <w:vAlign w:val="bottom"/>
            <w:shd w:val="clear" w:color="auto" w:fill="FDFDFD"/>
          </w:tcPr>
          <w:p>
            <w:pPr>
              <w:spacing w:after="0"/>
              <w:rPr>
                <w:sz w:val="21"/>
                <w:szCs w:val="21"/>
                <w:color w:val="auto"/>
              </w:rPr>
            </w:pPr>
          </w:p>
        </w:tc>
        <w:tc>
          <w:tcPr>
            <w:tcW w:w="820" w:type="dxa"/>
            <w:vAlign w:val="bottom"/>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(936)</w:t>
            </w:r>
          </w:p>
        </w:tc>
        <w:tc>
          <w:tcPr>
            <w:tcW w:w="10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4,875</w:t>
            </w:r>
          </w:p>
        </w:tc>
        <w:tc>
          <w:tcPr>
            <w:tcW w:w="10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6,561</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020" w:type="dxa"/>
            <w:vAlign w:val="bottom"/>
            <w:tcBorders>
              <w:left w:val="single" w:sz="8" w:color="FDFDFD"/>
            </w:tcBorders>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Adjusted EBITDA and margin</w:t>
            </w:r>
          </w:p>
        </w:tc>
        <w:tc>
          <w:tcPr>
            <w:tcW w:w="80" w:type="dxa"/>
            <w:vAlign w:val="bottom"/>
            <w:shd w:val="clear" w:color="auto" w:fill="E3E3E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E3E3E3"/>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80" w:type="dxa"/>
            <w:vAlign w:val="bottom"/>
            <w:shd w:val="clear" w:color="auto" w:fill="E3E3E3"/>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880" w:type="dxa"/>
            <w:vAlign w:val="bottom"/>
            <w:vMerge w:val="continue"/>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79,075</w:t>
            </w:r>
          </w:p>
        </w:tc>
        <w:tc>
          <w:tcPr>
            <w:tcW w:w="8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vMerge w:val="continue"/>
          </w:tcPr>
          <w:p>
            <w:pPr>
              <w:spacing w:after="0"/>
              <w:rPr>
                <w:sz w:val="20"/>
                <w:szCs w:val="20"/>
                <w:color w:val="auto"/>
              </w:rPr>
            </w:pPr>
          </w:p>
        </w:tc>
        <w:tc>
          <w:tcPr>
            <w:tcW w:w="1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74,453</w:t>
            </w:r>
          </w:p>
        </w:tc>
        <w:tc>
          <w:tcPr>
            <w:tcW w:w="10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vMerge w:val="continue"/>
          </w:tcPr>
          <w:p>
            <w:pPr>
              <w:spacing w:after="0"/>
              <w:rPr>
                <w:sz w:val="20"/>
                <w:szCs w:val="20"/>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63,746</w:t>
            </w: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-1868805</wp:posOffset>
            </wp:positionV>
            <wp:extent cx="704215" cy="161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4215" cy="16129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-1868805</wp:posOffset>
            </wp:positionV>
            <wp:extent cx="706120" cy="161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120" cy="161290"/>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-1862455</wp:posOffset>
            </wp:positionV>
            <wp:extent cx="490855" cy="154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0855" cy="15494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-1242695</wp:posOffset>
            </wp:positionV>
            <wp:extent cx="704215" cy="161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4215" cy="16129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-1242695</wp:posOffset>
            </wp:positionV>
            <wp:extent cx="706120" cy="161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120" cy="161290"/>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-1242695</wp:posOffset>
            </wp:positionV>
            <wp:extent cx="648335" cy="161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8335" cy="16129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-160655</wp:posOffset>
            </wp:positionV>
            <wp:extent cx="704215" cy="161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4215" cy="16129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-160655</wp:posOffset>
            </wp:positionV>
            <wp:extent cx="706120" cy="161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120" cy="161290"/>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-160655</wp:posOffset>
            </wp:positionV>
            <wp:extent cx="648335" cy="161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335" cy="161290"/>
                    </a:xfrm>
                    <a:prstGeom prst="rect">
                      <a:avLst/>
                    </a:prstGeom>
                    <a:noFill/>
                  </pic:spPr>
                </pic:pic>
              </a:graphicData>
            </a:graphic>
          </wp:anchor>
        </w:drawing>
      </w:r>
    </w:p>
    <w:p>
      <w:pPr>
        <w:spacing w:after="0" w:line="79" w:lineRule="exact"/>
        <w:rPr>
          <w:sz w:val="20"/>
          <w:szCs w:val="20"/>
          <w:color w:val="auto"/>
        </w:rPr>
      </w:pPr>
    </w:p>
    <w:p>
      <w:pPr>
        <w:ind w:left="720" w:hanging="35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Primarily represents foreign exchange and Tax Receivable Agreement liability remeasurement gains and losses.</w:t>
      </w:r>
    </w:p>
    <w:p>
      <w:pPr>
        <w:ind w:left="720" w:right="160" w:hanging="352"/>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Equity-based compensation represents non-cash compensation expense recognized in association with equity awards made to employees and directors.</w:t>
      </w:r>
    </w:p>
    <w:p>
      <w:pPr>
        <w:ind w:left="720" w:right="80" w:hanging="352"/>
        <w:spacing w:after="0" w:line="253"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and integration expenses primarily represent legal, accounting, and consulting expenses and fair value adjustments for contingent consideration related to our acquisitions and strategic partnerships. Restructuring expenses relate to the 2024 Restructuring Plan and those we committed to during the first and third quarters of 2023, as well as impairment and restructuring charges related to office closures, relocations, and consolidations.</w:t>
      </w:r>
    </w:p>
    <w:p>
      <w:pPr>
        <w:spacing w:after="0" w:line="182"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498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Borders>
              <w:bottom w:val="single" w:sz="8" w:color="FDFDFD"/>
            </w:tcBorders>
            <w:shd w:val="clear" w:color="auto" w:fill="FDFDFD"/>
          </w:tcPr>
          <w:p>
            <w:pPr>
              <w:spacing w:after="0"/>
              <w:rPr>
                <w:sz w:val="17"/>
                <w:szCs w:val="17"/>
                <w:color w:val="auto"/>
              </w:rPr>
            </w:pPr>
          </w:p>
        </w:tc>
        <w:tc>
          <w:tcPr>
            <w:tcW w:w="240" w:type="dxa"/>
            <w:vAlign w:val="bottom"/>
            <w:tcBorders>
              <w:bottom w:val="single" w:sz="8" w:color="auto"/>
            </w:tcBorders>
            <w:shd w:val="clear" w:color="auto" w:fill="FDFDFD"/>
          </w:tcPr>
          <w:p>
            <w:pPr>
              <w:spacing w:after="0"/>
              <w:rPr>
                <w:sz w:val="17"/>
                <w:szCs w:val="17"/>
                <w:color w:val="auto"/>
              </w:rPr>
            </w:pPr>
          </w:p>
        </w:tc>
        <w:tc>
          <w:tcPr>
            <w:tcW w:w="2500" w:type="dxa"/>
            <w:vAlign w:val="bottom"/>
            <w:tcBorders>
              <w:bottom w:val="single" w:sz="8" w:color="auto"/>
            </w:tcBorders>
            <w:gridSpan w:val="8"/>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shd w:val="clear" w:color="auto" w:fill="FDFDFD"/>
          </w:tcPr>
          <w:p>
            <w:pPr>
              <w:spacing w:after="0"/>
              <w:rPr>
                <w:sz w:val="17"/>
                <w:szCs w:val="17"/>
                <w:color w:val="auto"/>
              </w:rPr>
            </w:pPr>
          </w:p>
        </w:tc>
        <w:tc>
          <w:tcPr>
            <w:tcW w:w="8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980" w:type="dxa"/>
            <w:vAlign w:val="bottom"/>
            <w:tcBorders>
              <w:bottom w:val="single" w:sz="8" w:color="E3E3E3"/>
            </w:tcBorders>
            <w:vMerge w:val="continue"/>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240" w:type="dxa"/>
            <w:vAlign w:val="bottom"/>
            <w:tcBorders>
              <w:bottom w:val="single" w:sz="8" w:color="auto"/>
            </w:tcBorders>
            <w:shd w:val="clear" w:color="auto" w:fill="FDFDFD"/>
          </w:tcPr>
          <w:p>
            <w:pPr>
              <w:spacing w:after="0"/>
              <w:rPr>
                <w:sz w:val="15"/>
                <w:szCs w:val="15"/>
                <w:color w:val="auto"/>
              </w:rPr>
            </w:pPr>
          </w:p>
        </w:tc>
        <w:tc>
          <w:tcPr>
            <w:tcW w:w="800" w:type="dxa"/>
            <w:vAlign w:val="bottom"/>
            <w:tcBorders>
              <w:bottom w:val="single" w:sz="8" w:color="auto"/>
            </w:tcBorders>
            <w:shd w:val="clear" w:color="auto" w:fill="FDFDFD"/>
          </w:tcPr>
          <w:p>
            <w:pPr>
              <w:jc w:val="right"/>
              <w:ind w:right="265"/>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220" w:type="dxa"/>
            <w:vAlign w:val="bottom"/>
            <w:tcBorders>
              <w:bottom w:val="single" w:sz="8" w:color="auto"/>
            </w:tcBorders>
            <w:shd w:val="clear" w:color="auto" w:fill="FDFDFD"/>
          </w:tcPr>
          <w:p>
            <w:pPr>
              <w:spacing w:after="0"/>
              <w:rPr>
                <w:sz w:val="15"/>
                <w:szCs w:val="15"/>
                <w:color w:val="auto"/>
              </w:rPr>
            </w:pPr>
          </w:p>
        </w:tc>
        <w:tc>
          <w:tcPr>
            <w:tcW w:w="800" w:type="dxa"/>
            <w:vAlign w:val="bottom"/>
            <w:tcBorders>
              <w:bottom w:val="single" w:sz="8" w:color="auto"/>
            </w:tcBorders>
            <w:shd w:val="clear" w:color="auto" w:fill="FDFDFD"/>
          </w:tcPr>
          <w:p>
            <w:pPr>
              <w:jc w:val="right"/>
              <w:ind w:right="243"/>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260" w:type="dxa"/>
            <w:vAlign w:val="bottom"/>
            <w:tcBorders>
              <w:bottom w:val="single" w:sz="8" w:color="auto"/>
            </w:tcBorders>
            <w:shd w:val="clear" w:color="auto" w:fill="FDFDFD"/>
          </w:tcPr>
          <w:p>
            <w:pPr>
              <w:spacing w:after="0"/>
              <w:rPr>
                <w:sz w:val="15"/>
                <w:szCs w:val="15"/>
                <w:color w:val="auto"/>
              </w:rPr>
            </w:pPr>
          </w:p>
        </w:tc>
        <w:tc>
          <w:tcPr>
            <w:tcW w:w="760" w:type="dxa"/>
            <w:vAlign w:val="bottom"/>
            <w:tcBorders>
              <w:bottom w:val="single" w:sz="8" w:color="auto"/>
            </w:tcBorders>
            <w:shd w:val="clear" w:color="auto" w:fill="FDFDFD"/>
          </w:tcPr>
          <w:p>
            <w:pPr>
              <w:jc w:val="right"/>
              <w:ind w:right="263"/>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Merger and acquisition due diligence and transaction costs</w:t>
            </w:r>
          </w:p>
        </w:tc>
        <w:tc>
          <w:tcPr>
            <w:tcW w:w="120" w:type="dxa"/>
            <w:vAlign w:val="bottom"/>
            <w:shd w:val="clear" w:color="auto" w:fill="E3E3E3"/>
          </w:tcPr>
          <w:p>
            <w:pPr>
              <w:spacing w:after="0"/>
              <w:rPr>
                <w:sz w:val="19"/>
                <w:szCs w:val="19"/>
                <w:color w:val="auto"/>
              </w:rPr>
            </w:pPr>
          </w:p>
        </w:tc>
        <w:tc>
          <w:tcPr>
            <w:tcW w:w="240" w:type="dxa"/>
            <w:vAlign w:val="bottom"/>
            <w:shd w:val="clear" w:color="auto" w:fill="E3E3E3"/>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3,329</w:t>
            </w:r>
          </w:p>
        </w:tc>
        <w:tc>
          <w:tcPr>
            <w:tcW w:w="8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5,419</w:t>
            </w: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60" w:type="dxa"/>
            <w:vAlign w:val="bottom"/>
            <w:shd w:val="clear" w:color="auto" w:fill="E3E3E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1,580</w:t>
            </w:r>
          </w:p>
        </w:tc>
        <w:tc>
          <w:tcPr>
            <w:tcW w:w="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Integration costs</w:t>
            </w:r>
          </w:p>
        </w:tc>
        <w:tc>
          <w:tcPr>
            <w:tcW w:w="12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8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1,115</w:t>
            </w:r>
          </w:p>
        </w:tc>
        <w:tc>
          <w:tcPr>
            <w:tcW w:w="8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8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934</w:t>
            </w:r>
          </w:p>
        </w:tc>
        <w:tc>
          <w:tcPr>
            <w:tcW w:w="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3,765</w:t>
            </w:r>
          </w:p>
        </w:tc>
        <w:tc>
          <w:tcPr>
            <w:tcW w:w="8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Fair value adjustment for contingent consideration</w:t>
            </w:r>
          </w:p>
        </w:tc>
        <w:tc>
          <w:tcPr>
            <w:tcW w:w="1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88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(1,780)</w:t>
            </w: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w w:val="99"/>
              </w:rPr>
              <w:t>Restructuring charges for severance and other separation costs</w:t>
            </w:r>
          </w:p>
        </w:tc>
        <w:tc>
          <w:tcPr>
            <w:tcW w:w="12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8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8,097</w:t>
            </w:r>
          </w:p>
        </w:tc>
        <w:tc>
          <w:tcPr>
            <w:tcW w:w="8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8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4,679</w:t>
            </w:r>
          </w:p>
        </w:tc>
        <w:tc>
          <w:tcPr>
            <w:tcW w:w="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E3E3E3"/>
          </w:tcPr>
          <w:p>
            <w:pPr>
              <w:spacing w:after="0" w:line="208" w:lineRule="exact"/>
              <w:rPr>
                <w:sz w:val="20"/>
                <w:szCs w:val="20"/>
                <w:color w:val="auto"/>
              </w:rPr>
            </w:pPr>
            <w:r>
              <w:rPr>
                <w:rFonts w:ascii="Times New Roman" w:cs="Times New Roman" w:eastAsia="Times New Roman" w:hAnsi="Times New Roman"/>
                <w:sz w:val="20"/>
                <w:szCs w:val="20"/>
                <w:color w:val="auto"/>
              </w:rPr>
              <w:t>Office closure and relocation restructuring charges and</w:t>
            </w:r>
          </w:p>
        </w:tc>
        <w:tc>
          <w:tcPr>
            <w:tcW w:w="12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80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220" w:type="dxa"/>
            <w:vAlign w:val="bottom"/>
            <w:shd w:val="clear" w:color="auto" w:fill="E3E3E3"/>
          </w:tcPr>
          <w:p>
            <w:pPr>
              <w:spacing w:after="0"/>
              <w:rPr>
                <w:sz w:val="18"/>
                <w:szCs w:val="18"/>
                <w:color w:val="auto"/>
              </w:rPr>
            </w:pPr>
          </w:p>
        </w:tc>
        <w:tc>
          <w:tcPr>
            <w:tcW w:w="80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76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980" w:type="dxa"/>
            <w:vAlign w:val="bottom"/>
            <w:tcBorders>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impairments</w:t>
            </w:r>
          </w:p>
        </w:tc>
        <w:tc>
          <w:tcPr>
            <w:tcW w:w="120" w:type="dxa"/>
            <w:vAlign w:val="bottom"/>
            <w:tcBorders>
              <w:bottom w:val="single" w:sz="8" w:color="FDFDFD"/>
            </w:tcBorders>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8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1,464</w:t>
            </w:r>
          </w:p>
        </w:tc>
        <w:tc>
          <w:tcPr>
            <w:tcW w:w="80" w:type="dxa"/>
            <w:vAlign w:val="bottom"/>
            <w:tcBorders>
              <w:bottom w:val="single" w:sz="8" w:color="FDFDFD"/>
            </w:tcBorders>
            <w:shd w:val="clear" w:color="auto" w:fill="E3E3E3"/>
          </w:tcPr>
          <w:p>
            <w:pPr>
              <w:spacing w:after="0"/>
              <w:rPr>
                <w:sz w:val="21"/>
                <w:szCs w:val="21"/>
                <w:color w:val="auto"/>
              </w:rPr>
            </w:pPr>
          </w:p>
        </w:tc>
        <w:tc>
          <w:tcPr>
            <w:tcW w:w="120" w:type="dxa"/>
            <w:vAlign w:val="bottom"/>
            <w:tcBorders>
              <w:bottom w:val="single" w:sz="8" w:color="FDFDFD"/>
            </w:tcBorders>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spacing w:after="0"/>
              <w:rPr>
                <w:sz w:val="21"/>
                <w:szCs w:val="21"/>
                <w:color w:val="auto"/>
              </w:rPr>
            </w:pPr>
          </w:p>
        </w:tc>
        <w:tc>
          <w:tcPr>
            <w:tcW w:w="8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100" w:type="dxa"/>
            <w:vAlign w:val="bottom"/>
            <w:tcBorders>
              <w:bottom w:val="single" w:sz="8" w:color="FDFDFD"/>
            </w:tcBorders>
            <w:shd w:val="clear" w:color="auto" w:fill="E3E3E3"/>
          </w:tcPr>
          <w:p>
            <w:pPr>
              <w:spacing w:after="0"/>
              <w:rPr>
                <w:sz w:val="21"/>
                <w:szCs w:val="21"/>
                <w:color w:val="auto"/>
              </w:rPr>
            </w:pPr>
          </w:p>
        </w:tc>
        <w:tc>
          <w:tcPr>
            <w:tcW w:w="120" w:type="dxa"/>
            <w:vAlign w:val="bottom"/>
            <w:tcBorders>
              <w:bottom w:val="single" w:sz="8" w:color="FDFDFD"/>
            </w:tcBorders>
            <w:shd w:val="clear" w:color="auto" w:fill="E3E3E3"/>
          </w:tcPr>
          <w:p>
            <w:pPr>
              <w:spacing w:after="0"/>
              <w:rPr>
                <w:sz w:val="21"/>
                <w:szCs w:val="21"/>
                <w:color w:val="auto"/>
              </w:rPr>
            </w:pPr>
          </w:p>
        </w:tc>
        <w:tc>
          <w:tcPr>
            <w:tcW w:w="260" w:type="dxa"/>
            <w:vAlign w:val="bottom"/>
            <w:tcBorders>
              <w:bottom w:val="single" w:sz="8" w:color="auto"/>
            </w:tcBorders>
            <w:shd w:val="clear" w:color="auto" w:fill="E3E3E3"/>
          </w:tcPr>
          <w:p>
            <w:pPr>
              <w:spacing w:after="0"/>
              <w:rPr>
                <w:sz w:val="21"/>
                <w:szCs w:val="21"/>
                <w:color w:val="auto"/>
              </w:rPr>
            </w:pPr>
          </w:p>
        </w:tc>
        <w:tc>
          <w:tcPr>
            <w:tcW w:w="7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1,295</w:t>
            </w:r>
          </w:p>
        </w:tc>
        <w:tc>
          <w:tcPr>
            <w:tcW w:w="80" w:type="dxa"/>
            <w:vAlign w:val="bottom"/>
            <w:tcBorders>
              <w:bottom w:val="single" w:sz="8" w:color="FDFDFD"/>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Total transaction, integration and restructuring expense</w:t>
            </w:r>
          </w:p>
        </w:tc>
        <w:tc>
          <w:tcPr>
            <w:tcW w:w="120" w:type="dxa"/>
            <w:vAlign w:val="bottom"/>
            <w:shd w:val="clear" w:color="auto" w:fill="FDFDFD"/>
          </w:tcPr>
          <w:p>
            <w:pPr>
              <w:spacing w:after="0"/>
              <w:rPr>
                <w:sz w:val="19"/>
                <w:szCs w:val="19"/>
                <w:color w:val="auto"/>
              </w:rPr>
            </w:pPr>
          </w:p>
        </w:tc>
        <w:tc>
          <w:tcPr>
            <w:tcW w:w="240" w:type="dxa"/>
            <w:vAlign w:val="bottom"/>
            <w:tcBorders>
              <w:bottom w:val="single" w:sz="8" w:color="auto"/>
            </w:tcBorders>
            <w:shd w:val="clear" w:color="auto" w:fill="FDFDFD"/>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12,225</w:t>
            </w:r>
          </w:p>
        </w:tc>
        <w:tc>
          <w:tcPr>
            <w:tcW w:w="8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20" w:type="dxa"/>
            <w:vAlign w:val="bottom"/>
            <w:tcBorders>
              <w:bottom w:val="single" w:sz="8" w:color="auto"/>
            </w:tcBorders>
            <w:shd w:val="clear" w:color="auto" w:fill="FDFDFD"/>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11,489</w:t>
            </w:r>
          </w:p>
        </w:tc>
        <w:tc>
          <w:tcPr>
            <w:tcW w:w="220" w:type="dxa"/>
            <w:vAlign w:val="bottom"/>
            <w:gridSpan w:val="2"/>
            <w:shd w:val="clear" w:color="auto" w:fill="FDFDFD"/>
          </w:tcPr>
          <w:p>
            <w:pPr>
              <w:spacing w:after="0"/>
              <w:rPr>
                <w:sz w:val="19"/>
                <w:szCs w:val="19"/>
                <w:color w:val="auto"/>
              </w:rPr>
            </w:pPr>
          </w:p>
        </w:tc>
        <w:tc>
          <w:tcPr>
            <w:tcW w:w="260" w:type="dxa"/>
            <w:vAlign w:val="bottom"/>
            <w:tcBorders>
              <w:bottom w:val="single" w:sz="8" w:color="auto"/>
            </w:tcBorders>
            <w:shd w:val="clear" w:color="auto" w:fill="FDFDFD"/>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7,890</w:t>
            </w:r>
          </w:p>
        </w:tc>
        <w:tc>
          <w:tcPr>
            <w:tcW w:w="8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720" w:right="120" w:hanging="352"/>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impairment represents non-cash, pre-tax, goodwill impairment charges. We experienced declines in our market capitalization as a result of sustained decreases in our stock price, which represented triggering events requiring our management to perform quantitative goodwill impairment tests as of the end of the second, third, and fourth quarters of 2024 and the third quarter of 2023. As a result of the impairment tests conducted in each respective period, we determined that the fair value of our single reporting unit was lower than its carrying value and, accordingly, recorded these impairment charges.</w:t>
      </w:r>
    </w:p>
    <w:p>
      <w:pPr>
        <w:ind w:left="720" w:right="20" w:hanging="352"/>
        <w:spacing w:after="0" w:line="253"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w:t>
      </w:r>
    </w:p>
    <w:p>
      <w:pPr>
        <w:sectPr>
          <w:pgSz w:w="11880" w:h="15480" w:orient="portrait"/>
          <w:cols w:equalWidth="0" w:num="1">
            <w:col w:w="10240"/>
          </w:cols>
          <w:pgMar w:left="820" w:top="808" w:right="820" w:bottom="0" w:gutter="0" w:footer="0" w:header="0"/>
        </w:sectPr>
      </w:pP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240"/>
          </w:cols>
          <w:pgMar w:left="820" w:top="808" w:right="820" w:bottom="0" w:gutter="0" w:footer="0" w:header="0"/>
          <w:type w:val="continuous"/>
        </w:sectPr>
      </w:pPr>
    </w:p>
    <w:bookmarkStart w:id="72" w:name="page73"/>
    <w:bookmarkEnd w:id="72"/>
    <w:p>
      <w:pPr>
        <w:ind w:left="720" w:right="100"/>
        <w:spacing w:after="0" w:line="253" w:lineRule="auto"/>
        <w:rPr>
          <w:sz w:val="20"/>
          <w:szCs w:val="20"/>
          <w:color w:val="auto"/>
        </w:rPr>
      </w:pPr>
      <w:r>
        <w:rPr>
          <w:rFonts w:ascii="Times New Roman" w:cs="Times New Roman" w:eastAsia="Times New Roman" w:hAnsi="Times New Roman"/>
          <w:sz w:val="20"/>
          <w:szCs w:val="20"/>
          <w:color w:val="auto"/>
        </w:rPr>
        <w:t>have been required to collect from customers in 2024 and in certain previous years, and other non-recurring legal and regulatory matters. Other non-core items also include consulting fees and severance costs associated with strategic transition initiatives, as well as professional fees related to financing, capital structure changes, and other non-core items.</w:t>
      </w:r>
    </w:p>
    <w:p>
      <w:pPr>
        <w:spacing w:after="0" w:line="182"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498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Borders>
              <w:bottom w:val="single" w:sz="8" w:color="FDFDFD"/>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2640" w:type="dxa"/>
            <w:vAlign w:val="bottom"/>
            <w:tcBorders>
              <w:bottom w:val="single" w:sz="8" w:color="auto"/>
            </w:tcBorders>
            <w:gridSpan w:val="8"/>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shd w:val="clear" w:color="auto" w:fill="FDFDFD"/>
          </w:tcPr>
          <w:p>
            <w:pPr>
              <w:spacing w:after="0"/>
              <w:rPr>
                <w:sz w:val="17"/>
                <w:szCs w:val="17"/>
                <w:color w:val="auto"/>
              </w:rPr>
            </w:pPr>
          </w:p>
        </w:tc>
        <w:tc>
          <w:tcPr>
            <w:tcW w:w="8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980" w:type="dxa"/>
            <w:vAlign w:val="bottom"/>
            <w:tcBorders>
              <w:bottom w:val="single" w:sz="8" w:color="E3E3E3"/>
            </w:tcBorders>
            <w:vMerge w:val="continue"/>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auto"/>
            </w:tcBorders>
            <w:shd w:val="clear" w:color="auto" w:fill="FDFDFD"/>
          </w:tcPr>
          <w:p>
            <w:pPr>
              <w:spacing w:after="0"/>
              <w:rPr>
                <w:sz w:val="15"/>
                <w:szCs w:val="15"/>
                <w:color w:val="auto"/>
              </w:rPr>
            </w:pPr>
          </w:p>
        </w:tc>
        <w:tc>
          <w:tcPr>
            <w:tcW w:w="940" w:type="dxa"/>
            <w:vAlign w:val="bottom"/>
            <w:tcBorders>
              <w:bottom w:val="single" w:sz="8" w:color="auto"/>
            </w:tcBorders>
            <w:shd w:val="clear" w:color="auto" w:fill="FDFDFD"/>
          </w:tcPr>
          <w:p>
            <w:pPr>
              <w:jc w:val="right"/>
              <w:ind w:right="266"/>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220" w:type="dxa"/>
            <w:vAlign w:val="bottom"/>
            <w:tcBorders>
              <w:bottom w:val="single" w:sz="8" w:color="auto"/>
            </w:tcBorders>
            <w:shd w:val="clear" w:color="auto" w:fill="FDFDFD"/>
          </w:tcPr>
          <w:p>
            <w:pPr>
              <w:spacing w:after="0"/>
              <w:rPr>
                <w:sz w:val="15"/>
                <w:szCs w:val="15"/>
                <w:color w:val="auto"/>
              </w:rPr>
            </w:pPr>
          </w:p>
        </w:tc>
        <w:tc>
          <w:tcPr>
            <w:tcW w:w="800" w:type="dxa"/>
            <w:vAlign w:val="bottom"/>
            <w:tcBorders>
              <w:bottom w:val="single" w:sz="8" w:color="auto"/>
            </w:tcBorders>
            <w:shd w:val="clear" w:color="auto" w:fill="FDFDFD"/>
          </w:tcPr>
          <w:p>
            <w:pPr>
              <w:jc w:val="right"/>
              <w:ind w:right="243"/>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260" w:type="dxa"/>
            <w:vAlign w:val="bottom"/>
            <w:tcBorders>
              <w:bottom w:val="single" w:sz="8" w:color="auto"/>
            </w:tcBorders>
            <w:shd w:val="clear" w:color="auto" w:fill="FDFDFD"/>
          </w:tcPr>
          <w:p>
            <w:pPr>
              <w:spacing w:after="0"/>
              <w:rPr>
                <w:sz w:val="15"/>
                <w:szCs w:val="15"/>
                <w:color w:val="auto"/>
              </w:rPr>
            </w:pPr>
          </w:p>
        </w:tc>
        <w:tc>
          <w:tcPr>
            <w:tcW w:w="760" w:type="dxa"/>
            <w:vAlign w:val="bottom"/>
            <w:tcBorders>
              <w:bottom w:val="single" w:sz="8" w:color="auto"/>
            </w:tcBorders>
            <w:shd w:val="clear" w:color="auto" w:fill="FDFDFD"/>
          </w:tcPr>
          <w:p>
            <w:pPr>
              <w:jc w:val="right"/>
              <w:ind w:right="263"/>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Non-core legal and regulatory</w:t>
            </w:r>
          </w:p>
        </w:tc>
        <w:tc>
          <w:tcPr>
            <w:tcW w:w="120" w:type="dxa"/>
            <w:vAlign w:val="bottom"/>
            <w:shd w:val="clear" w:color="auto" w:fill="E3E3E3"/>
          </w:tcPr>
          <w:p>
            <w:pPr>
              <w:spacing w:after="0"/>
              <w:rPr>
                <w:sz w:val="19"/>
                <w:szCs w:val="19"/>
                <w:color w:val="auto"/>
              </w:rPr>
            </w:pPr>
          </w:p>
        </w:tc>
        <w:tc>
          <w:tcPr>
            <w:tcW w:w="1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(3,439)</w:t>
            </w:r>
          </w:p>
        </w:tc>
        <w:tc>
          <w:tcPr>
            <w:tcW w:w="8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2,370</w:t>
            </w: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60" w:type="dxa"/>
            <w:vAlign w:val="bottom"/>
            <w:shd w:val="clear" w:color="auto" w:fill="E3E3E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3,696</w:t>
            </w:r>
          </w:p>
        </w:tc>
        <w:tc>
          <w:tcPr>
            <w:tcW w:w="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FDFDFD"/>
          </w:tcPr>
          <w:p>
            <w:pPr>
              <w:spacing w:after="0" w:line="208" w:lineRule="exact"/>
              <w:rPr>
                <w:sz w:val="20"/>
                <w:szCs w:val="20"/>
                <w:color w:val="auto"/>
              </w:rPr>
            </w:pPr>
            <w:r>
              <w:rPr>
                <w:rFonts w:ascii="Times New Roman" w:cs="Times New Roman" w:eastAsia="Times New Roman" w:hAnsi="Times New Roman"/>
                <w:sz w:val="20"/>
                <w:szCs w:val="20"/>
                <w:color w:val="auto"/>
              </w:rPr>
              <w:t>Consulting and severance costs for strategic transition</w:t>
            </w:r>
          </w:p>
        </w:tc>
        <w:tc>
          <w:tcPr>
            <w:tcW w:w="12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94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120" w:type="dxa"/>
            <w:vAlign w:val="bottom"/>
            <w:shd w:val="clear" w:color="auto" w:fill="FDFDFD"/>
          </w:tcPr>
          <w:p>
            <w:pPr>
              <w:spacing w:after="0"/>
              <w:rPr>
                <w:sz w:val="18"/>
                <w:szCs w:val="18"/>
                <w:color w:val="auto"/>
              </w:rPr>
            </w:pPr>
          </w:p>
        </w:tc>
        <w:tc>
          <w:tcPr>
            <w:tcW w:w="220" w:type="dxa"/>
            <w:vAlign w:val="bottom"/>
            <w:shd w:val="clear" w:color="auto" w:fill="FDFDFD"/>
          </w:tcPr>
          <w:p>
            <w:pPr>
              <w:spacing w:after="0"/>
              <w:rPr>
                <w:sz w:val="18"/>
                <w:szCs w:val="18"/>
                <w:color w:val="auto"/>
              </w:rPr>
            </w:pPr>
          </w:p>
        </w:tc>
        <w:tc>
          <w:tcPr>
            <w:tcW w:w="80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20" w:type="dxa"/>
            <w:vAlign w:val="bottom"/>
            <w:shd w:val="clear" w:color="auto" w:fill="FDFDFD"/>
          </w:tcPr>
          <w:p>
            <w:pPr>
              <w:spacing w:after="0"/>
              <w:rPr>
                <w:sz w:val="18"/>
                <w:szCs w:val="18"/>
                <w:color w:val="auto"/>
              </w:rPr>
            </w:pPr>
          </w:p>
        </w:tc>
        <w:tc>
          <w:tcPr>
            <w:tcW w:w="260" w:type="dxa"/>
            <w:vAlign w:val="bottom"/>
            <w:shd w:val="clear" w:color="auto" w:fill="FDFDFD"/>
          </w:tcPr>
          <w:p>
            <w:pPr>
              <w:spacing w:after="0"/>
              <w:rPr>
                <w:sz w:val="18"/>
                <w:szCs w:val="18"/>
                <w:color w:val="auto"/>
              </w:rPr>
            </w:pPr>
          </w:p>
        </w:tc>
        <w:tc>
          <w:tcPr>
            <w:tcW w:w="76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9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initiatives</w:t>
            </w:r>
          </w:p>
        </w:tc>
        <w:tc>
          <w:tcPr>
            <w:tcW w:w="12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2,219</w:t>
            </w:r>
          </w:p>
        </w:tc>
        <w:tc>
          <w:tcPr>
            <w:tcW w:w="8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8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1,977</w:t>
            </w:r>
          </w:p>
        </w:tc>
        <w:tc>
          <w:tcPr>
            <w:tcW w:w="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260" w:type="dxa"/>
            <w:vAlign w:val="bottom"/>
            <w:shd w:val="clear" w:color="auto" w:fill="FDFDFD"/>
          </w:tcPr>
          <w:p>
            <w:pPr>
              <w:spacing w:after="0"/>
              <w:rPr>
                <w:sz w:val="21"/>
                <w:szCs w:val="21"/>
                <w:color w:val="auto"/>
              </w:rPr>
            </w:pPr>
          </w:p>
        </w:tc>
        <w:tc>
          <w:tcPr>
            <w:tcW w:w="7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E3E3E3"/>
          </w:tcPr>
          <w:p>
            <w:pPr>
              <w:spacing w:after="0" w:line="208" w:lineRule="exact"/>
              <w:rPr>
                <w:sz w:val="20"/>
                <w:szCs w:val="20"/>
                <w:color w:val="auto"/>
              </w:rPr>
            </w:pPr>
            <w:r>
              <w:rPr>
                <w:rFonts w:ascii="Times New Roman" w:cs="Times New Roman" w:eastAsia="Times New Roman" w:hAnsi="Times New Roman"/>
                <w:sz w:val="20"/>
                <w:szCs w:val="20"/>
                <w:color w:val="auto"/>
              </w:rPr>
              <w:t>Professional fees for set-up of Up-C, TRA, tax and public</w:t>
            </w:r>
          </w:p>
        </w:tc>
        <w:tc>
          <w:tcPr>
            <w:tcW w:w="1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94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220" w:type="dxa"/>
            <w:vAlign w:val="bottom"/>
            <w:shd w:val="clear" w:color="auto" w:fill="E3E3E3"/>
          </w:tcPr>
          <w:p>
            <w:pPr>
              <w:spacing w:after="0"/>
              <w:rPr>
                <w:sz w:val="18"/>
                <w:szCs w:val="18"/>
                <w:color w:val="auto"/>
              </w:rPr>
            </w:pPr>
          </w:p>
        </w:tc>
        <w:tc>
          <w:tcPr>
            <w:tcW w:w="80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76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9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company infrastructure</w:t>
            </w:r>
          </w:p>
        </w:tc>
        <w:tc>
          <w:tcPr>
            <w:tcW w:w="1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2,467</w:t>
            </w: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Other non-core expenses</w:t>
            </w:r>
          </w:p>
        </w:tc>
        <w:tc>
          <w:tcPr>
            <w:tcW w:w="120" w:type="dxa"/>
            <w:vAlign w:val="bottom"/>
            <w:tcBorders>
              <w:bottom w:val="single" w:sz="8" w:color="E3E3E3"/>
            </w:tcBorders>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spacing w:after="0"/>
              <w:rPr>
                <w:sz w:val="19"/>
                <w:szCs w:val="19"/>
                <w:color w:val="auto"/>
              </w:rPr>
            </w:pPr>
          </w:p>
        </w:tc>
        <w:tc>
          <w:tcPr>
            <w:tcW w:w="94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8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220" w:type="dxa"/>
            <w:vAlign w:val="bottom"/>
            <w:tcBorders>
              <w:bottom w:val="single" w:sz="8" w:color="auto"/>
            </w:tcBorders>
            <w:shd w:val="clear" w:color="auto" w:fill="FDFDFD"/>
          </w:tcPr>
          <w:p>
            <w:pPr>
              <w:spacing w:after="0"/>
              <w:rPr>
                <w:sz w:val="19"/>
                <w:szCs w:val="19"/>
                <w:color w:val="auto"/>
              </w:rPr>
            </w:pPr>
          </w:p>
        </w:tc>
        <w:tc>
          <w:tcPr>
            <w:tcW w:w="8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10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260" w:type="dxa"/>
            <w:vAlign w:val="bottom"/>
            <w:tcBorders>
              <w:bottom w:val="single" w:sz="8" w:color="auto"/>
            </w:tcBorders>
            <w:shd w:val="clear" w:color="auto" w:fill="FDFDFD"/>
          </w:tcPr>
          <w:p>
            <w:pPr>
              <w:spacing w:after="0"/>
              <w:rPr>
                <w:sz w:val="19"/>
                <w:szCs w:val="19"/>
                <w:color w:val="auto"/>
              </w:rPr>
            </w:pPr>
          </w:p>
        </w:tc>
        <w:tc>
          <w:tcPr>
            <w:tcW w:w="7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80" w:type="dxa"/>
            <w:vAlign w:val="bottom"/>
            <w:tcBorders>
              <w:bottom w:val="single" w:sz="8" w:color="E3E3E3"/>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Total other non-core items</w:t>
            </w:r>
          </w:p>
        </w:tc>
        <w:tc>
          <w:tcPr>
            <w:tcW w:w="120" w:type="dxa"/>
            <w:vAlign w:val="bottom"/>
            <w:shd w:val="clear" w:color="auto" w:fill="E3E3E3"/>
          </w:tcPr>
          <w:p>
            <w:pPr>
              <w:spacing w:after="0"/>
              <w:rPr>
                <w:sz w:val="19"/>
                <w:szCs w:val="19"/>
                <w:color w:val="auto"/>
              </w:rPr>
            </w:pPr>
          </w:p>
        </w:tc>
        <w:tc>
          <w:tcPr>
            <w:tcW w:w="1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(936)</w:t>
            </w:r>
          </w:p>
        </w:tc>
        <w:tc>
          <w:tcPr>
            <w:tcW w:w="8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20" w:type="dxa"/>
            <w:vAlign w:val="bottom"/>
            <w:tcBorders>
              <w:bottom w:val="single" w:sz="8" w:color="auto"/>
            </w:tcBorders>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4,875</w:t>
            </w:r>
          </w:p>
        </w:tc>
        <w:tc>
          <w:tcPr>
            <w:tcW w:w="220" w:type="dxa"/>
            <w:vAlign w:val="bottom"/>
            <w:gridSpan w:val="2"/>
            <w:shd w:val="clear" w:color="auto" w:fill="E3E3E3"/>
          </w:tcPr>
          <w:p>
            <w:pPr>
              <w:spacing w:after="0"/>
              <w:rPr>
                <w:sz w:val="19"/>
                <w:szCs w:val="19"/>
                <w:color w:val="auto"/>
              </w:rPr>
            </w:pPr>
          </w:p>
        </w:tc>
        <w:tc>
          <w:tcPr>
            <w:tcW w:w="260" w:type="dxa"/>
            <w:vAlign w:val="bottom"/>
            <w:tcBorders>
              <w:bottom w:val="single" w:sz="8" w:color="auto"/>
            </w:tcBorders>
            <w:shd w:val="clear" w:color="auto" w:fill="E3E3E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6,561</w:t>
            </w:r>
          </w:p>
        </w:tc>
        <w:tc>
          <w:tcPr>
            <w:tcW w:w="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11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 xml:space="preserve">As of December 31, 2024, we had $105.4 million of cash and cash equivalents, $184.8 million of short-term investments and $74.4 million available under our revolving credit facility. Our principal sources of liquidity are cash and cash equivalents and short-term investments on hand, primarily from our IPO and follow-on offering, as well as the cash flows we generate from operations. Our principal uses of liquidity have been, and are expected to continue to be, primarily for investment in long-term growth of the business through capital expenditures and acquisitions, as well as debt services (see Note 10. </w:t>
      </w:r>
      <w:r>
        <w:rPr>
          <w:rFonts w:ascii="Times New Roman" w:cs="Times New Roman" w:eastAsia="Times New Roman" w:hAnsi="Times New Roman"/>
          <w:sz w:val="20"/>
          <w:szCs w:val="20"/>
          <w:i w:val="1"/>
          <w:iCs w:val="1"/>
          <w:color w:val="auto"/>
        </w:rPr>
        <w:t>Long-Term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Debt </w:t>
      </w:r>
      <w:r>
        <w:rPr>
          <w:rFonts w:ascii="Times New Roman" w:cs="Times New Roman" w:eastAsia="Times New Roman" w:hAnsi="Times New Roman"/>
          <w:sz w:val="20"/>
          <w:szCs w:val="20"/>
          <w:color w:val="auto"/>
        </w:rPr>
        <w:t>in the accompanying consolidated financial statements for further details), stock repurchases, and distributions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members of Definitive OpCo.</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All of our business is conducted through Definitive OpCo and its consolidated subsidiaries and affiliates, and the financial results are included in the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7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Additionally, our liquidity and our ability to meet our obligations and fund our capital requirements are dependent on our future financial performance, which is subject to general economic, financial, and other factors that are beyond our control. See the “Risk Factors” section within this Annual Report and the factors described elsewhere in this “Management’s Discussion and Analysis of Financial Condition and Results of Operations.” Macroeconomic conditions, including inflation and a potential recession, could increase our anticipated funding requirements. In the event we need to seek additional funding, high interest rates, stock market volatility, or other unfavorable macroeconomic conditions may also prevent us from obtaining additional financing on favorable terms or at all. Additionally,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w:t>
      </w:r>
    </w:p>
    <w:p>
      <w:pPr>
        <w:sectPr>
          <w:pgSz w:w="11880" w:h="15480" w:orient="portrait"/>
          <w:cols w:equalWidth="0" w:num="1">
            <w:col w:w="10220"/>
          </w:cols>
          <w:pgMar w:left="820" w:top="806" w:right="840" w:bottom="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220"/>
          </w:cols>
          <w:pgMar w:left="820" w:top="806" w:right="840" w:bottom="0" w:gutter="0" w:footer="0" w:header="0"/>
          <w:type w:val="continuous"/>
        </w:sectPr>
      </w:pPr>
    </w:p>
    <w:bookmarkStart w:id="73" w:name="page74"/>
    <w:bookmarkEnd w:id="73"/>
    <w:p>
      <w:pPr>
        <w:ind w:right="60"/>
        <w:spacing w:after="0" w:line="259" w:lineRule="auto"/>
        <w:rPr>
          <w:sz w:val="20"/>
          <w:szCs w:val="20"/>
          <w:color w:val="auto"/>
        </w:rPr>
      </w:pPr>
      <w:r>
        <w:rPr>
          <w:rFonts w:ascii="Times New Roman" w:cs="Times New Roman" w:eastAsia="Times New Roman" w:hAnsi="Times New Roman"/>
          <w:sz w:val="20"/>
          <w:szCs w:val="20"/>
          <w:color w:val="auto"/>
        </w:rPr>
        <w:t>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Inflation</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While inflation and increases to the cost of and competition for labor have negatively impacted and continue to negatively impact our operating expenses, we do not believe inflation has had a material effect on our business, financial condition, or results of operations.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Our financial instruments that are exposed to concentrations of credit risk consist primarily of cash and cash equivalents, short-term investments, and trade and other receivables. We hold cash with reputable financial institutions that often exceed federally insured limits. We manage our credit risk by concentrating our cash deposits and short-term investments with high-quality financial institutions and periodically evaluating the credit quality of those institutions. The carrying value of cash approximates fair value.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18"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The discussion of our cash flows includes a year-over-year comparison of 2024 cash flows to those in 2023. For a discussion of our 2023 cash flows compared to 2022 cash flows, see the discussion in Item 7, Management’s Discussion and Analysis of Financial Condition and Results of Operations in our 2023 Form 10-K, which is incorporated by reference herein.</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periods presented:</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522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Borders>
              <w:bottom w:val="single" w:sz="8" w:color="FDFDFD"/>
            </w:tcBorders>
            <w:shd w:val="clear" w:color="auto" w:fill="FDFDFD"/>
          </w:tcPr>
          <w:p>
            <w:pPr>
              <w:spacing w:after="0"/>
              <w:rPr>
                <w:sz w:val="17"/>
                <w:szCs w:val="17"/>
                <w:color w:val="auto"/>
              </w:rPr>
            </w:pPr>
          </w:p>
        </w:tc>
        <w:tc>
          <w:tcPr>
            <w:tcW w:w="240" w:type="dxa"/>
            <w:vAlign w:val="bottom"/>
            <w:tcBorders>
              <w:bottom w:val="single" w:sz="8" w:color="auto"/>
            </w:tcBorders>
            <w:shd w:val="clear" w:color="auto" w:fill="FDFDFD"/>
          </w:tcPr>
          <w:p>
            <w:pPr>
              <w:spacing w:after="0"/>
              <w:rPr>
                <w:sz w:val="17"/>
                <w:szCs w:val="17"/>
                <w:color w:val="auto"/>
              </w:rPr>
            </w:pPr>
          </w:p>
        </w:tc>
        <w:tc>
          <w:tcPr>
            <w:tcW w:w="2600" w:type="dxa"/>
            <w:vAlign w:val="bottom"/>
            <w:tcBorders>
              <w:bottom w:val="single" w:sz="8" w:color="auto"/>
            </w:tcBorders>
            <w:gridSpan w:val="6"/>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shd w:val="clear" w:color="auto" w:fill="FDFDFD"/>
          </w:tcPr>
          <w:p>
            <w:pPr>
              <w:spacing w:after="0"/>
              <w:rPr>
                <w:sz w:val="17"/>
                <w:szCs w:val="17"/>
                <w:color w:val="auto"/>
              </w:rPr>
            </w:pPr>
          </w:p>
        </w:tc>
        <w:tc>
          <w:tcPr>
            <w:tcW w:w="8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220" w:type="dxa"/>
            <w:vAlign w:val="bottom"/>
            <w:tcBorders>
              <w:bottom w:val="single" w:sz="8" w:color="E3E3E3"/>
            </w:tcBorders>
            <w:vMerge w:val="continue"/>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240" w:type="dxa"/>
            <w:vAlign w:val="bottom"/>
            <w:tcBorders>
              <w:bottom w:val="single" w:sz="8" w:color="auto"/>
            </w:tcBorders>
            <w:shd w:val="clear" w:color="auto" w:fill="FDFDFD"/>
          </w:tcPr>
          <w:p>
            <w:pPr>
              <w:spacing w:after="0"/>
              <w:rPr>
                <w:sz w:val="15"/>
                <w:szCs w:val="15"/>
                <w:color w:val="auto"/>
              </w:rPr>
            </w:pPr>
          </w:p>
        </w:tc>
        <w:tc>
          <w:tcPr>
            <w:tcW w:w="840" w:type="dxa"/>
            <w:vAlign w:val="bottom"/>
            <w:tcBorders>
              <w:bottom w:val="single" w:sz="8" w:color="auto"/>
            </w:tcBorders>
            <w:shd w:val="clear" w:color="auto" w:fill="FDFDFD"/>
          </w:tcPr>
          <w:p>
            <w:pPr>
              <w:jc w:val="right"/>
              <w:ind w:right="287"/>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E3E3E3"/>
            </w:tcBorders>
            <w:shd w:val="clear" w:color="auto" w:fill="FDFDFD"/>
          </w:tcPr>
          <w:p>
            <w:pPr>
              <w:spacing w:after="0"/>
              <w:rPr>
                <w:sz w:val="15"/>
                <w:szCs w:val="15"/>
                <w:color w:val="auto"/>
              </w:rPr>
            </w:pPr>
          </w:p>
        </w:tc>
        <w:tc>
          <w:tcPr>
            <w:tcW w:w="240" w:type="dxa"/>
            <w:vAlign w:val="bottom"/>
            <w:tcBorders>
              <w:bottom w:val="single" w:sz="8" w:color="auto"/>
            </w:tcBorders>
            <w:shd w:val="clear" w:color="auto" w:fill="FDFDFD"/>
          </w:tcPr>
          <w:p>
            <w:pPr>
              <w:spacing w:after="0"/>
              <w:rPr>
                <w:sz w:val="15"/>
                <w:szCs w:val="15"/>
                <w:color w:val="auto"/>
              </w:rPr>
            </w:pPr>
          </w:p>
        </w:tc>
        <w:tc>
          <w:tcPr>
            <w:tcW w:w="840" w:type="dxa"/>
            <w:vAlign w:val="bottom"/>
            <w:tcBorders>
              <w:bottom w:val="single" w:sz="8" w:color="auto"/>
            </w:tcBorders>
            <w:shd w:val="clear" w:color="auto" w:fill="FDFDFD"/>
          </w:tcPr>
          <w:p>
            <w:pPr>
              <w:jc w:val="right"/>
              <w:ind w:right="284"/>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E3E3E3"/>
            </w:tcBorders>
            <w:shd w:val="clear" w:color="auto" w:fill="FDFDFD"/>
          </w:tcPr>
          <w:p>
            <w:pPr>
              <w:spacing w:after="0"/>
              <w:rPr>
                <w:sz w:val="15"/>
                <w:szCs w:val="15"/>
                <w:color w:val="auto"/>
              </w:rPr>
            </w:pPr>
          </w:p>
        </w:tc>
        <w:tc>
          <w:tcPr>
            <w:tcW w:w="260" w:type="dxa"/>
            <w:vAlign w:val="bottom"/>
            <w:tcBorders>
              <w:bottom w:val="single" w:sz="8" w:color="auto"/>
            </w:tcBorders>
            <w:shd w:val="clear" w:color="auto" w:fill="FDFDFD"/>
          </w:tcPr>
          <w:p>
            <w:pPr>
              <w:spacing w:after="0"/>
              <w:rPr>
                <w:sz w:val="15"/>
                <w:szCs w:val="15"/>
                <w:color w:val="auto"/>
              </w:rPr>
            </w:pPr>
          </w:p>
        </w:tc>
        <w:tc>
          <w:tcPr>
            <w:tcW w:w="820" w:type="dxa"/>
            <w:vAlign w:val="bottom"/>
            <w:tcBorders>
              <w:bottom w:val="single" w:sz="8" w:color="auto"/>
            </w:tcBorders>
            <w:shd w:val="clear" w:color="auto" w:fill="FDFDFD"/>
          </w:tcPr>
          <w:p>
            <w:pPr>
              <w:jc w:val="right"/>
              <w:ind w:right="284"/>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Cash provided by (used in):</w:t>
            </w:r>
          </w:p>
        </w:tc>
        <w:tc>
          <w:tcPr>
            <w:tcW w:w="1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84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84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8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Operating activities</w:t>
            </w:r>
          </w:p>
        </w:tc>
        <w:tc>
          <w:tcPr>
            <w:tcW w:w="120" w:type="dxa"/>
            <w:vAlign w:val="bottom"/>
            <w:shd w:val="clear" w:color="auto" w:fill="FDFDFD"/>
          </w:tcPr>
          <w:p>
            <w:pPr>
              <w:spacing w:after="0"/>
              <w:rPr>
                <w:sz w:val="19"/>
                <w:szCs w:val="19"/>
                <w:color w:val="auto"/>
              </w:rPr>
            </w:pPr>
          </w:p>
        </w:tc>
        <w:tc>
          <w:tcPr>
            <w:tcW w:w="240" w:type="dxa"/>
            <w:vAlign w:val="bottom"/>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58,196</w:t>
            </w:r>
          </w:p>
        </w:tc>
        <w:tc>
          <w:tcPr>
            <w:tcW w:w="220" w:type="dxa"/>
            <w:vAlign w:val="bottom"/>
            <w:shd w:val="clear" w:color="auto" w:fill="FDFDFD"/>
          </w:tcPr>
          <w:p>
            <w:pPr>
              <w:spacing w:after="0"/>
              <w:rPr>
                <w:sz w:val="19"/>
                <w:szCs w:val="19"/>
                <w:color w:val="auto"/>
              </w:rPr>
            </w:pPr>
          </w:p>
        </w:tc>
        <w:tc>
          <w:tcPr>
            <w:tcW w:w="240" w:type="dxa"/>
            <w:vAlign w:val="bottom"/>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41,190</w:t>
            </w:r>
          </w:p>
        </w:tc>
        <w:tc>
          <w:tcPr>
            <w:tcW w:w="200" w:type="dxa"/>
            <w:vAlign w:val="bottom"/>
            <w:shd w:val="clear" w:color="auto" w:fill="FDFDFD"/>
          </w:tcPr>
          <w:p>
            <w:pPr>
              <w:spacing w:after="0"/>
              <w:rPr>
                <w:sz w:val="19"/>
                <w:szCs w:val="19"/>
                <w:color w:val="auto"/>
              </w:rPr>
            </w:pPr>
          </w:p>
        </w:tc>
        <w:tc>
          <w:tcPr>
            <w:tcW w:w="260" w:type="dxa"/>
            <w:vAlign w:val="bottom"/>
            <w:shd w:val="clear" w:color="auto" w:fill="FDFDFD"/>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35,579</w:t>
            </w:r>
          </w:p>
        </w:tc>
        <w:tc>
          <w:tcPr>
            <w:tcW w:w="8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Investing activities</w:t>
            </w:r>
          </w:p>
        </w:tc>
        <w:tc>
          <w:tcPr>
            <w:tcW w:w="1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06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(26,409)</w:t>
            </w:r>
          </w:p>
        </w:tc>
        <w:tc>
          <w:tcPr>
            <w:tcW w:w="240" w:type="dxa"/>
            <w:vAlign w:val="bottom"/>
            <w:shd w:val="clear" w:color="auto" w:fill="E3E3E3"/>
          </w:tcPr>
          <w:p>
            <w:pPr>
              <w:spacing w:after="0"/>
              <w:rPr>
                <w:sz w:val="19"/>
                <w:szCs w:val="19"/>
                <w:color w:val="auto"/>
              </w:rPr>
            </w:pPr>
          </w:p>
        </w:tc>
        <w:tc>
          <w:tcPr>
            <w:tcW w:w="104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auto"/>
              </w:rPr>
              <w:t>(31,782)</w:t>
            </w:r>
          </w:p>
        </w:tc>
        <w:tc>
          <w:tcPr>
            <w:tcW w:w="260" w:type="dxa"/>
            <w:vAlign w:val="bottom"/>
            <w:shd w:val="clear" w:color="auto" w:fill="E3E3E3"/>
          </w:tcPr>
          <w:p>
            <w:pPr>
              <w:spacing w:after="0"/>
              <w:rPr>
                <w:sz w:val="19"/>
                <w:szCs w:val="19"/>
                <w:color w:val="auto"/>
              </w:rPr>
            </w:pPr>
          </w:p>
        </w:tc>
        <w:tc>
          <w:tcPr>
            <w:tcW w:w="9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(248,903)</w:t>
            </w:r>
          </w:p>
        </w:tc>
        <w:tc>
          <w:tcPr>
            <w:tcW w:w="0" w:type="dxa"/>
            <w:vAlign w:val="bottom"/>
          </w:tcPr>
          <w:p>
            <w:pPr>
              <w:spacing w:after="0"/>
              <w:rPr>
                <w:sz w:val="1"/>
                <w:szCs w:val="1"/>
                <w:color w:val="auto"/>
              </w:rPr>
            </w:pPr>
          </w:p>
        </w:tc>
      </w:tr>
      <w:tr>
        <w:trPr>
          <w:trHeight w:val="230"/>
        </w:trPr>
        <w:tc>
          <w:tcPr>
            <w:tcW w:w="522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Financing activities</w:t>
            </w:r>
          </w:p>
        </w:tc>
        <w:tc>
          <w:tcPr>
            <w:tcW w:w="12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060" w:type="dxa"/>
            <w:vAlign w:val="bottom"/>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20"/>
                <w:szCs w:val="20"/>
                <w:color w:val="auto"/>
              </w:rPr>
              <w:t>(56,749)</w:t>
            </w:r>
          </w:p>
        </w:tc>
        <w:tc>
          <w:tcPr>
            <w:tcW w:w="240" w:type="dxa"/>
            <w:vAlign w:val="bottom"/>
            <w:shd w:val="clear" w:color="auto" w:fill="FDFDFD"/>
          </w:tcPr>
          <w:p>
            <w:pPr>
              <w:spacing w:after="0"/>
              <w:rPr>
                <w:sz w:val="19"/>
                <w:szCs w:val="19"/>
                <w:color w:val="auto"/>
              </w:rPr>
            </w:pPr>
          </w:p>
        </w:tc>
        <w:tc>
          <w:tcPr>
            <w:tcW w:w="104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20"/>
                <w:szCs w:val="20"/>
                <w:color w:val="auto"/>
              </w:rPr>
              <w:t>(25,584)</w:t>
            </w:r>
          </w:p>
        </w:tc>
        <w:tc>
          <w:tcPr>
            <w:tcW w:w="260" w:type="dxa"/>
            <w:vAlign w:val="bottom"/>
            <w:shd w:val="clear" w:color="auto" w:fill="FDFDFD"/>
          </w:tcPr>
          <w:p>
            <w:pPr>
              <w:spacing w:after="0"/>
              <w:rPr>
                <w:sz w:val="19"/>
                <w:szCs w:val="19"/>
                <w:color w:val="auto"/>
              </w:rPr>
            </w:pPr>
          </w:p>
        </w:tc>
        <w:tc>
          <w:tcPr>
            <w:tcW w:w="9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(26,696)</w:t>
            </w:r>
          </w:p>
        </w:tc>
        <w:tc>
          <w:tcPr>
            <w:tcW w:w="0" w:type="dxa"/>
            <w:vAlign w:val="bottom"/>
          </w:tcPr>
          <w:p>
            <w:pPr>
              <w:spacing w:after="0"/>
              <w:rPr>
                <w:sz w:val="1"/>
                <w:szCs w:val="1"/>
                <w:color w:val="auto"/>
              </w:rPr>
            </w:pPr>
          </w:p>
        </w:tc>
      </w:tr>
      <w:tr>
        <w:trPr>
          <w:trHeight w:val="199"/>
        </w:trPr>
        <w:tc>
          <w:tcPr>
            <w:tcW w:w="5220" w:type="dxa"/>
            <w:vAlign w:val="bottom"/>
            <w:tcBorders>
              <w:top w:val="single" w:sz="8" w:color="E3E3E3"/>
            </w:tcBorders>
            <w:shd w:val="clear" w:color="auto" w:fill="E3E3E3"/>
          </w:tcPr>
          <w:p>
            <w:pPr>
              <w:spacing w:after="0" w:line="199" w:lineRule="exact"/>
              <w:rPr>
                <w:sz w:val="20"/>
                <w:szCs w:val="20"/>
                <w:color w:val="auto"/>
              </w:rPr>
            </w:pPr>
            <w:r>
              <w:rPr>
                <w:rFonts w:ascii="Times New Roman" w:cs="Times New Roman" w:eastAsia="Times New Roman" w:hAnsi="Times New Roman"/>
                <w:sz w:val="20"/>
                <w:szCs w:val="20"/>
                <w:color w:val="auto"/>
              </w:rPr>
              <w:t>Change in cash and cash equivalents (excluding effect of</w:t>
            </w:r>
          </w:p>
        </w:tc>
        <w:tc>
          <w:tcPr>
            <w:tcW w:w="120" w:type="dxa"/>
            <w:vAlign w:val="bottom"/>
            <w:tcBorders>
              <w:top w:val="single" w:sz="8" w:color="E3E3E3"/>
            </w:tcBorders>
            <w:shd w:val="clear" w:color="auto" w:fill="E3E3E3"/>
          </w:tcPr>
          <w:p>
            <w:pPr>
              <w:spacing w:after="0"/>
              <w:rPr>
                <w:sz w:val="17"/>
                <w:szCs w:val="17"/>
                <w:color w:val="auto"/>
              </w:rPr>
            </w:pPr>
          </w:p>
        </w:tc>
        <w:tc>
          <w:tcPr>
            <w:tcW w:w="240" w:type="dxa"/>
            <w:vAlign w:val="bottom"/>
            <w:tcBorders>
              <w:top w:val="single" w:sz="8" w:color="auto"/>
            </w:tcBorders>
            <w:shd w:val="clear" w:color="auto" w:fill="E3E3E3"/>
          </w:tcPr>
          <w:p>
            <w:pPr>
              <w:spacing w:after="0"/>
              <w:rPr>
                <w:sz w:val="17"/>
                <w:szCs w:val="17"/>
                <w:color w:val="auto"/>
              </w:rPr>
            </w:pPr>
          </w:p>
        </w:tc>
        <w:tc>
          <w:tcPr>
            <w:tcW w:w="840" w:type="dxa"/>
            <w:vAlign w:val="bottom"/>
            <w:tcBorders>
              <w:top w:val="single" w:sz="8" w:color="auto"/>
            </w:tcBorders>
            <w:shd w:val="clear" w:color="auto" w:fill="E3E3E3"/>
          </w:tcPr>
          <w:p>
            <w:pPr>
              <w:spacing w:after="0"/>
              <w:rPr>
                <w:sz w:val="17"/>
                <w:szCs w:val="17"/>
                <w:color w:val="auto"/>
              </w:rPr>
            </w:pPr>
          </w:p>
        </w:tc>
        <w:tc>
          <w:tcPr>
            <w:tcW w:w="220" w:type="dxa"/>
            <w:vAlign w:val="bottom"/>
            <w:tcBorders>
              <w:top w:val="single" w:sz="8" w:color="E3E3E3"/>
            </w:tcBorders>
            <w:shd w:val="clear" w:color="auto" w:fill="E3E3E3"/>
          </w:tcPr>
          <w:p>
            <w:pPr>
              <w:spacing w:after="0"/>
              <w:rPr>
                <w:sz w:val="17"/>
                <w:szCs w:val="17"/>
                <w:color w:val="auto"/>
              </w:rPr>
            </w:pPr>
          </w:p>
        </w:tc>
        <w:tc>
          <w:tcPr>
            <w:tcW w:w="240" w:type="dxa"/>
            <w:vAlign w:val="bottom"/>
            <w:tcBorders>
              <w:top w:val="single" w:sz="8" w:color="auto"/>
            </w:tcBorders>
            <w:shd w:val="clear" w:color="auto" w:fill="E3E3E3"/>
          </w:tcPr>
          <w:p>
            <w:pPr>
              <w:spacing w:after="0"/>
              <w:rPr>
                <w:sz w:val="17"/>
                <w:szCs w:val="17"/>
                <w:color w:val="auto"/>
              </w:rPr>
            </w:pPr>
          </w:p>
        </w:tc>
        <w:tc>
          <w:tcPr>
            <w:tcW w:w="840" w:type="dxa"/>
            <w:vAlign w:val="bottom"/>
            <w:tcBorders>
              <w:top w:val="single" w:sz="8" w:color="auto"/>
            </w:tcBorders>
            <w:shd w:val="clear" w:color="auto" w:fill="E3E3E3"/>
          </w:tcPr>
          <w:p>
            <w:pPr>
              <w:spacing w:after="0"/>
              <w:rPr>
                <w:sz w:val="17"/>
                <w:szCs w:val="17"/>
                <w:color w:val="auto"/>
              </w:rPr>
            </w:pPr>
          </w:p>
        </w:tc>
        <w:tc>
          <w:tcPr>
            <w:tcW w:w="200" w:type="dxa"/>
            <w:vAlign w:val="bottom"/>
            <w:tcBorders>
              <w:top w:val="single" w:sz="8" w:color="E3E3E3"/>
            </w:tcBorders>
            <w:shd w:val="clear" w:color="auto" w:fill="E3E3E3"/>
          </w:tcPr>
          <w:p>
            <w:pPr>
              <w:spacing w:after="0"/>
              <w:rPr>
                <w:sz w:val="17"/>
                <w:szCs w:val="17"/>
                <w:color w:val="auto"/>
              </w:rPr>
            </w:pPr>
          </w:p>
        </w:tc>
        <w:tc>
          <w:tcPr>
            <w:tcW w:w="260" w:type="dxa"/>
            <w:vAlign w:val="bottom"/>
            <w:tcBorders>
              <w:top w:val="single" w:sz="8" w:color="auto"/>
            </w:tcBorders>
            <w:shd w:val="clear" w:color="auto" w:fill="E3E3E3"/>
          </w:tcPr>
          <w:p>
            <w:pPr>
              <w:spacing w:after="0"/>
              <w:rPr>
                <w:sz w:val="17"/>
                <w:szCs w:val="17"/>
                <w:color w:val="auto"/>
              </w:rPr>
            </w:pPr>
          </w:p>
        </w:tc>
        <w:tc>
          <w:tcPr>
            <w:tcW w:w="820" w:type="dxa"/>
            <w:vAlign w:val="bottom"/>
            <w:tcBorders>
              <w:top w:val="single" w:sz="8" w:color="auto"/>
            </w:tcBorders>
            <w:shd w:val="clear" w:color="auto" w:fill="E3E3E3"/>
          </w:tcPr>
          <w:p>
            <w:pPr>
              <w:spacing w:after="0"/>
              <w:rPr>
                <w:sz w:val="17"/>
                <w:szCs w:val="17"/>
                <w:color w:val="auto"/>
              </w:rPr>
            </w:pPr>
          </w:p>
        </w:tc>
        <w:tc>
          <w:tcPr>
            <w:tcW w:w="80" w:type="dxa"/>
            <w:vAlign w:val="bottom"/>
            <w:tcBorders>
              <w:top w:val="single" w:sz="8" w:color="E3E3E3"/>
            </w:tcBorders>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2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exchange rate changes)</w:t>
            </w:r>
          </w:p>
        </w:tc>
        <w:tc>
          <w:tcPr>
            <w:tcW w:w="12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(24,962</w:t>
            </w:r>
          </w:p>
        </w:tc>
        <w:tc>
          <w:tcPr>
            <w:tcW w:w="220" w:type="dxa"/>
            <w:vAlign w:val="bottom"/>
            <w:shd w:val="clear" w:color="auto" w:fill="E3E3E3"/>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(16,176</w:t>
            </w:r>
          </w:p>
        </w:tc>
        <w:tc>
          <w:tcPr>
            <w:tcW w:w="200" w:type="dxa"/>
            <w:vAlign w:val="bottom"/>
            <w:shd w:val="clear" w:color="auto" w:fill="E3E3E3"/>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(240,020</w:t>
            </w:r>
          </w:p>
        </w:tc>
        <w:tc>
          <w:tcPr>
            <w:tcW w:w="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provided by Operating Activities</w:t>
      </w:r>
    </w:p>
    <w:p>
      <w:pPr>
        <w:spacing w:after="0" w:line="11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Net cash provided by operating activities was $58.2 million during the year ended December 31, 2024, primarily as a result of non-cash charges of $675.6 million, partially offset by a net loss of $591.4 million and a $25.9 million net decrease in our operating assets and liabilities. The non-cash charges were primarily comprised of $688.9 million in goodwill impairment charges recorded during the year, a gain on remeasurement of the Tax Receivable Agreement of $76.9 million, amortization of intangible assets of $49.4 million, equity compensation costs of $38.1 million, a decrease in deferred taxes of $42.7 million, and amortization of deferred contract costs of $15.4 million. The net decrease in operating assets and liabilities for the year was primarily driven by cash outflows resulting from an increase in deferred contract costs of $12.8 million, an increase in prepaid expenses and other assets of $7.8 million, lower accounts payable, accrued expenses, and other liabilities, collectively, of $5.5 million, and a decrease in deferred revenue of $5.0 million due to the timing of billings and cash received in advance of revenue recognition for subscription services. These factors were partially offset by a decrease in accounts receivable of $5.7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used in Investing Activities</w:t>
      </w:r>
    </w:p>
    <w:p>
      <w:pPr>
        <w:spacing w:after="0" w:line="117"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Cash used in investing activities during the year ended December 31, 2024 was $26.4 million, driven primarily by $304.3 million in purchases of short-term investments, $13.5 million in cash paid, net of cash acquired, for the acquisition of Carevoyance in the first quarter of 2024, and $12.3 million in purchases of property, equipment, and data assets, partially offset by $303.8 million in maturities of short-term investments.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used in Financing Activities</w:t>
      </w:r>
    </w:p>
    <w:p>
      <w:pPr>
        <w:spacing w:after="0" w:line="117" w:lineRule="exact"/>
        <w:rPr>
          <w:sz w:val="20"/>
          <w:szCs w:val="20"/>
          <w:color w:val="auto"/>
        </w:rPr>
      </w:pPr>
    </w:p>
    <w:p>
      <w:pPr>
        <w:ind w:right="460" w:firstLine="490"/>
        <w:spacing w:after="0" w:line="307" w:lineRule="auto"/>
        <w:rPr>
          <w:sz w:val="20"/>
          <w:szCs w:val="20"/>
          <w:color w:val="auto"/>
        </w:rPr>
      </w:pPr>
      <w:r>
        <w:rPr>
          <w:rFonts w:ascii="Times New Roman" w:cs="Times New Roman" w:eastAsia="Times New Roman" w:hAnsi="Times New Roman"/>
          <w:sz w:val="19"/>
          <w:szCs w:val="19"/>
          <w:color w:val="auto"/>
        </w:rPr>
        <w:t>Cash used in financing activities during the year ended December 31, 2024 was $56.7 million, primarily driven by payments of $22.4 million for repurchases of our Class A Common Stock, repayments of the 2021 Term Loan (as defined</w:t>
      </w:r>
    </w:p>
    <w:p>
      <w:pPr>
        <w:sectPr>
          <w:pgSz w:w="11880" w:h="15480" w:orient="portrait"/>
          <w:cols w:equalWidth="0" w:num="1">
            <w:col w:w="10220"/>
          </w:cols>
          <w:pgMar w:left="820" w:top="806" w:right="840" w:bottom="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220"/>
          </w:cols>
          <w:pgMar w:left="820" w:top="806" w:right="840" w:bottom="0" w:gutter="0" w:footer="0" w:header="0"/>
          <w:type w:val="continuous"/>
        </w:sectPr>
      </w:pPr>
    </w:p>
    <w:bookmarkStart w:id="74" w:name="page75"/>
    <w:bookmarkEnd w:id="74"/>
    <w:p>
      <w:pPr>
        <w:ind w:right="260"/>
        <w:spacing w:after="0" w:line="259" w:lineRule="auto"/>
        <w:rPr>
          <w:sz w:val="20"/>
          <w:szCs w:val="20"/>
          <w:color w:val="auto"/>
        </w:rPr>
      </w:pPr>
      <w:r>
        <w:rPr>
          <w:rFonts w:ascii="Times New Roman" w:cs="Times New Roman" w:eastAsia="Times New Roman" w:hAnsi="Times New Roman"/>
          <w:sz w:val="20"/>
          <w:szCs w:val="20"/>
          <w:color w:val="auto"/>
        </w:rPr>
        <w:t>below) of $13.8 million, taxes paid related to the net share settlement of equity awards of $7.5 million, payments of $7.0 million under the TRA, distribution payments to members of $5.1 million, and payments of contingent consideration of $1.0 million.</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 xml:space="preserve">Refer to </w:t>
      </w:r>
      <w:r>
        <w:rPr>
          <w:rFonts w:ascii="Times New Roman" w:cs="Times New Roman" w:eastAsia="Times New Roman" w:hAnsi="Times New Roman"/>
          <w:sz w:val="20"/>
          <w:szCs w:val="20"/>
          <w:i w:val="1"/>
          <w:iCs w:val="1"/>
          <w:color w:val="auto"/>
        </w:rPr>
        <w:t>Debt Obligations</w:t>
      </w:r>
      <w:r>
        <w:rPr>
          <w:rFonts w:ascii="Times New Roman" w:cs="Times New Roman" w:eastAsia="Times New Roman" w:hAnsi="Times New Roman"/>
          <w:sz w:val="20"/>
          <w:szCs w:val="20"/>
          <w:color w:val="auto"/>
        </w:rPr>
        <w:t xml:space="preserve"> for additional information related to our debt obligations.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 Obligations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2021 Credit Facilities</w:t>
      </w:r>
    </w:p>
    <w:p>
      <w:pPr>
        <w:spacing w:after="0" w:line="12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On September 17, 2021, DH Holdings entered into the 2021 Credit Agreement, providing for (i) a $275.0 million term loan A facility (the “2021 Term Loan”) and (ii) a $75.0 million revolving credit facility (the “2021 Revolving Line of Credit” and together with the 2021 Term Loan, collectively, the “2021 Credit Facilities”). The 2021 Credit Facilities thereunder are guaranteed by all of DH Holdings’ wholly owned domestic restricted subsidiaries and AIDH Buyer, the direct parent company of DH Holdings, in each case, subject to customary exceptions, and are secured by a lien on substantially all of the assets of DH Holdings and such guarantors, including a pledge of the equity of DH Holdings, in each case, subject to customary exceptions.</w:t>
      </w:r>
    </w:p>
    <w:p>
      <w:pPr>
        <w:spacing w:after="0" w:line="80"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auto"/>
        </w:rPr>
        <w:t>The 2021 Term Loan is for $275.0 million and has a maturity date of September 17, 2026. The 2021 Term Loan was recorded net of $3.5 million in issuance costs. The issuance costs are amortized to interest expense over the term of the 2021 Term Loan using the effective interest method.</w:t>
      </w:r>
    </w:p>
    <w:p>
      <w:pPr>
        <w:spacing w:after="0" w:line="65"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$244.1 million outstanding on the 2021 Term Loan at December 31, 2024.</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2021 Revolving Line of Credit is committed for $75.0 million and has a maturity date of September 17, 2026. There was no outstanding balance on the 2021 Revolving Line of Credit as of December 31, 2024 and 2023. During the quarter ended December 31, 2023, the lessor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s corporate headquarters transitioned from one entity to another. As a result, in lieu of a security deposit, the Company provided a standby letter of credit of $0.6 million, which reduces the amount available under our revolving credit facility to $74.4 million.</w:t>
      </w:r>
    </w:p>
    <w:p>
      <w:pPr>
        <w:spacing w:after="0" w:line="77" w:lineRule="exact"/>
        <w:rPr>
          <w:sz w:val="20"/>
          <w:szCs w:val="20"/>
          <w:color w:val="auto"/>
        </w:rPr>
      </w:pPr>
    </w:p>
    <w:p>
      <w:pPr>
        <w:ind w:right="40" w:firstLine="490"/>
        <w:spacing w:after="0" w:line="279" w:lineRule="auto"/>
        <w:rPr>
          <w:sz w:val="20"/>
          <w:szCs w:val="20"/>
          <w:color w:val="auto"/>
        </w:rPr>
      </w:pPr>
      <w:r>
        <w:rPr>
          <w:rFonts w:ascii="Times New Roman" w:cs="Times New Roman" w:eastAsia="Times New Roman" w:hAnsi="Times New Roman"/>
          <w:sz w:val="20"/>
          <w:szCs w:val="20"/>
          <w:color w:val="auto"/>
        </w:rPr>
        <w:t>On October 31, 2022, the Company amended the 2021 Credit Agreement to replace the LIBO rate with Term SOFR plus an applicable rate.</w:t>
      </w:r>
    </w:p>
    <w:p>
      <w:pPr>
        <w:spacing w:after="0" w:line="45" w:lineRule="exact"/>
        <w:rPr>
          <w:sz w:val="20"/>
          <w:szCs w:val="20"/>
          <w:color w:val="auto"/>
        </w:rPr>
      </w:pPr>
    </w:p>
    <w:p>
      <w:pPr>
        <w:ind w:right="320" w:firstLine="490"/>
        <w:spacing w:after="0" w:line="279" w:lineRule="auto"/>
        <w:rPr>
          <w:sz w:val="20"/>
          <w:szCs w:val="20"/>
          <w:color w:val="auto"/>
        </w:rPr>
      </w:pPr>
      <w:r>
        <w:rPr>
          <w:rFonts w:ascii="Times New Roman" w:cs="Times New Roman" w:eastAsia="Times New Roman" w:hAnsi="Times New Roman"/>
          <w:sz w:val="20"/>
          <w:szCs w:val="20"/>
          <w:color w:val="auto"/>
        </w:rPr>
        <w:t>The 2021 Credit Agreement includes certain customary financial covenants, and the Company was compliant with its financial covenants under the 2021 Credit Agreement as of December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Amendment to the 2021 Credit Facilities</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On January 16, 2025 (the “Closing Date”), DH Holdings entered into an amendment to the credit agreement (the “DH Holdings Credit Agreement Amendment”), dated as of September 17, 2021 (as amended by that certain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w:t>
      </w:r>
    </w:p>
    <w:p>
      <w:pPr>
        <w:spacing w:after="0" w:line="80"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The DH Holdings Credit Agreement Amendment provides for (i) a $175 million term loan facility (the “Term Facility”) and (ii) a $50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w:t>
      </w:r>
    </w:p>
    <w:p>
      <w:pPr>
        <w:spacing w:after="0" w:line="7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The loans under the Term Facility and the Revolving Credit Facility mature on January 16, 2030. The Facilities are guaranteed, subject to customary exceptions, by all of DH Holdings’s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w:t>
      </w:r>
    </w:p>
    <w:p>
      <w:pPr>
        <w:spacing w:after="0" w:line="77"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auto"/>
        </w:rPr>
        <w:t>The Term Facility is subject to amortization of principal, payable in quarterly installments on the last day of each fiscal quarter, commencing on the last day of the first full fiscal quarter after the Closing Date (the “Initial Amortization Date”),</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220"/>
          </w:cols>
          <w:pgMar w:left="820" w:top="806" w:right="84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color w:val="auto"/>
        </w:rPr>
        <w:t>equal to 5.0% of the original principal amount of the term loans for each of the five years after the Initial Amortization Date.</w:t>
      </w:r>
    </w:p>
    <w:p>
      <w:pPr>
        <w:spacing w:after="0"/>
        <w:rPr>
          <w:sz w:val="20"/>
          <w:szCs w:val="20"/>
          <w:color w:val="auto"/>
        </w:rPr>
      </w:pPr>
      <w:r>
        <w:rPr>
          <w:rFonts w:ascii="Times New Roman" w:cs="Times New Roman" w:eastAsia="Times New Roman" w:hAnsi="Times New Roman"/>
          <w:sz w:val="20"/>
          <w:szCs w:val="20"/>
          <w:color w:val="auto"/>
        </w:rPr>
        <w:t>The remaining initial aggregate advances under the Term Facility are payable at the maturity of the Term Facility.</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Term Facility and the Revolving Credit Facility bear interest at a rate per annum equal to (a) ABR (as defined in the DH Holdings Credit Agreement) or (b) Term SOFR (as defined in the DH Holdings Credit Agreement) for the interest period in effect for the applicable borrowing, in each case, plus an applicable margin based on a grid ranging from 1.00% to 1.50% for ABR borrowings and 2.00% to 2.50% for Term SOFR borrowings. The interest rates are subject to two step-ups of 0.25% based on the total net leverage ratio of DH Holdings and its restricted subsidiaries on a consolidated basis (the “Total Net Leverage Ratio”). In addition, DH Holdings will pay an unused commitment fee of between 0.25% and 0.30% on the undrawn commitments under the Revolving Credit Facility, also depending on the Total Net Leverage Ratio.</w:t>
      </w:r>
    </w:p>
    <w:p>
      <w:pPr>
        <w:spacing w:after="0" w:line="80" w:lineRule="exact"/>
        <w:rPr>
          <w:sz w:val="20"/>
          <w:szCs w:val="20"/>
          <w:color w:val="auto"/>
        </w:rPr>
      </w:pPr>
    </w:p>
    <w:p>
      <w:pPr>
        <w:ind w:right="260" w:firstLine="490"/>
        <w:spacing w:after="0" w:line="259" w:lineRule="auto"/>
        <w:rPr>
          <w:sz w:val="20"/>
          <w:szCs w:val="20"/>
          <w:color w:val="auto"/>
        </w:rPr>
      </w:pPr>
      <w:r>
        <w:rPr>
          <w:rFonts w:ascii="Times New Roman" w:cs="Times New Roman" w:eastAsia="Times New Roman" w:hAnsi="Times New Roman"/>
          <w:sz w:val="20"/>
          <w:szCs w:val="20"/>
          <w:color w:val="auto"/>
        </w:rPr>
        <w:t>Under the DH Holdings Credit Agreement, DH Holdings (and in certain circumstances, Holdings) and its restricted subsidiaries are subject to customary affirmative, negative and financial covenants, and events of default for facilities of this type (with customary grace periods, as applicable, and lender remedies).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Obligations</w:t>
      </w:r>
    </w:p>
    <w:p>
      <w:pPr>
        <w:spacing w:after="0" w:line="11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 xml:space="preserve">Financing obligations generally include repayment of principal amounts of our term loan (as detailed above in “Debt Obligations”), lease payments, and purchase obligations. The leases relate to office facilities and expire at various times through 2029. The lease obligations include $2.8 million to be paid in 2025 and $8.1 million thereafter. Refer to Note 5.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within the accompanying consolidated financial statements for further information. Estimated purchase commitments, which currently run through 2028, are $24.8 million in 2025 and $19.9 million thereafter. Refer to Note 14. </w:t>
      </w:r>
      <w:r>
        <w:rPr>
          <w:rFonts w:ascii="Times New Roman" w:cs="Times New Roman" w:eastAsia="Times New Roman" w:hAnsi="Times New Roman"/>
          <w:sz w:val="20"/>
          <w:szCs w:val="20"/>
          <w:i w:val="1"/>
          <w:iCs w:val="1"/>
          <w:color w:val="auto"/>
        </w:rPr>
        <w:t>Commitments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Contingencies </w:t>
      </w:r>
      <w:r>
        <w:rPr>
          <w:rFonts w:ascii="Times New Roman" w:cs="Times New Roman" w:eastAsia="Times New Roman" w:hAnsi="Times New Roman"/>
          <w:sz w:val="20"/>
          <w:szCs w:val="20"/>
          <w:color w:val="auto"/>
        </w:rPr>
        <w:t>within the accompanying consolidated financial statements for further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Repurchase Programs</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In May 2024, our board of directors authorized a stock repurchase program of up to $20.0 million of our Class A Common Stock, which expired on December 31, 2024 (the “2024 Repurchase Program”). On November 1, 2024, our board of directors announced a new stock repurchase program (the “2025 Repurchase Program” and, together with the 2024 Repurchase Program, the “Repurchase Programs”) of our Class A Common Stock authorizing up to $100.0 million in share repurchases. The 2025 Repurchase Program expires on December 31, 2025 and became effective upon the expiration or completion of the 2024 Repurchase Program. Repurchases may be effected, from time to time, either on the open market (including pre-set trading plans), in privately negotiated transactions, and other transactions in accordance with applicable securities laws.</w:t>
      </w:r>
    </w:p>
    <w:p>
      <w:pPr>
        <w:spacing w:after="0" w:line="8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As of December 31, 2024, 4,780,799 shares of our Class A Common Stock have been repurchased under the Repurchase Programs.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TRA</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w:t>
      </w:r>
    </w:p>
    <w:p>
      <w:pPr>
        <w:spacing w:after="0" w:line="123"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In connection with the Reorganization Transactions and the IPO, the Company entered into the TRA with certain of our pre- IPO holders of LLC Units and the former shareholders of certain Blocker Companies. The TRA provides for the payment by Definitive Healthcare Corp. of 85.0%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spacing w:after="0" w:line="8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w:t>
      </w:r>
    </w:p>
    <w:p>
      <w:pPr>
        <w:sectPr>
          <w:pgSz w:w="11880" w:h="15480" w:orient="portrait"/>
          <w:cols w:equalWidth="0" w:num="1">
            <w:col w:w="10220"/>
          </w:cols>
          <w:pgMar w:left="820" w:top="806" w:right="840" w:bottom="0" w:gutter="0" w:footer="0" w:header="0"/>
        </w:sectPr>
      </w:pP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220"/>
          </w:cols>
          <w:pgMar w:left="820" w:top="806" w:right="840" w:bottom="0" w:gutter="0" w:footer="0" w:header="0"/>
          <w:type w:val="continuous"/>
        </w:sectPr>
      </w:pPr>
    </w:p>
    <w:bookmarkStart w:id="76" w:name="page77"/>
    <w:bookmarkEnd w:id="76"/>
    <w:p>
      <w:pPr>
        <w:ind w:right="60"/>
        <w:spacing w:after="0" w:line="243" w:lineRule="auto"/>
        <w:rPr>
          <w:sz w:val="20"/>
          <w:szCs w:val="20"/>
          <w:color w:val="auto"/>
        </w:rPr>
      </w:pPr>
      <w:r>
        <w:rPr>
          <w:rFonts w:ascii="Times New Roman" w:cs="Times New Roman" w:eastAsia="Times New Roman" w:hAnsi="Times New Roman"/>
          <w:sz w:val="20"/>
          <w:szCs w:val="20"/>
          <w:color w:val="auto"/>
        </w:rPr>
        <w:t>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86"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19.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in our consolidated financial statements included in Part II, Item 8 of this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Expenditures</w:t>
      </w:r>
    </w:p>
    <w:p>
      <w:pPr>
        <w:spacing w:after="0" w:line="123" w:lineRule="exact"/>
        <w:rPr>
          <w:sz w:val="20"/>
          <w:szCs w:val="20"/>
          <w:color w:val="auto"/>
        </w:rPr>
      </w:pPr>
    </w:p>
    <w:p>
      <w:pPr>
        <w:ind w:firstLine="490"/>
        <w:spacing w:after="0" w:line="307" w:lineRule="auto"/>
        <w:rPr>
          <w:sz w:val="20"/>
          <w:szCs w:val="20"/>
          <w:color w:val="auto"/>
        </w:rPr>
      </w:pPr>
      <w:r>
        <w:rPr>
          <w:rFonts w:ascii="Times New Roman" w:cs="Times New Roman" w:eastAsia="Times New Roman" w:hAnsi="Times New Roman"/>
          <w:sz w:val="19"/>
          <w:szCs w:val="19"/>
          <w:color w:val="auto"/>
        </w:rPr>
        <w:t>Capital expenditures increased by $9.4 million to $12.3 million for the year ended December 31, 2024 compared to $3.0 million for the same period in the prior year, primarily driven by the purchase of a large data asset in the fourth quarter of 2024.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23" w:lineRule="exact"/>
        <w:rPr>
          <w:sz w:val="20"/>
          <w:szCs w:val="20"/>
          <w:color w:val="auto"/>
        </w:rPr>
      </w:pPr>
    </w:p>
    <w:p>
      <w:pPr>
        <w:ind w:right="500" w:firstLine="490"/>
        <w:spacing w:after="0" w:line="279" w:lineRule="auto"/>
        <w:rPr>
          <w:sz w:val="20"/>
          <w:szCs w:val="20"/>
          <w:color w:val="auto"/>
        </w:rPr>
      </w:pPr>
      <w:r>
        <w:rPr>
          <w:rFonts w:ascii="Times New Roman" w:cs="Times New Roman" w:eastAsia="Times New Roman" w:hAnsi="Times New Roman"/>
          <w:sz w:val="20"/>
          <w:szCs w:val="20"/>
          <w:color w:val="auto"/>
        </w:rPr>
        <w:t>As a requirement of our lease agreement for our corporate headquarters, in lieu of a security deposit, we provided a standby letter of credit of $0.6 million, which is effective through March 2038.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23" w:lineRule="exact"/>
        <w:rPr>
          <w:sz w:val="20"/>
          <w:szCs w:val="20"/>
          <w:color w:val="auto"/>
        </w:rPr>
      </w:pPr>
    </w:p>
    <w:p>
      <w:pPr>
        <w:jc w:val="both"/>
        <w:ind w:right="40" w:firstLine="490"/>
        <w:spacing w:after="0" w:line="253" w:lineRule="auto"/>
        <w:rPr>
          <w:sz w:val="20"/>
          <w:szCs w:val="20"/>
          <w:color w:val="auto"/>
        </w:rPr>
      </w:pPr>
      <w:r>
        <w:rPr>
          <w:rFonts w:ascii="Times New Roman" w:cs="Times New Roman" w:eastAsia="Times New Roman" w:hAnsi="Times New Roman"/>
          <w:sz w:val="20"/>
          <w:szCs w:val="20"/>
          <w:color w:val="auto"/>
        </w:rPr>
        <w:t>Our consolidated financial statements and notes have been prepared in accordance with GAAP. Our critical accounting policies are those that are reflective of uncertainties resulting from significant, complex and subjective judgements, though the accounting treatment for the majority of our revenue, expenses, assets, and liabilities is specifically dictated by GAAP, with no need for the application of judgement.</w:t>
      </w:r>
    </w:p>
    <w:p>
      <w:pPr>
        <w:spacing w:after="0" w:line="70"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In certain circumstances, the preparation of consolidated financial statements in conformity with GAAP requires us to make certain estimates and assumptions that affect reported amounts. The estimates and assumptions are based on historical experience, current conditions, and various other factors that we believe to be reasonable under the circumstances. Our actual results may differ from those estimates, though we believe such differences are not likely to be material. We review these estimates on a periodic basis to ensure reasonableness and adequacy.</w:t>
      </w:r>
    </w:p>
    <w:p>
      <w:pPr>
        <w:spacing w:after="0" w:line="7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 xml:space="preserve">While our significant accounting policies are discussed more fully in Note 2.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in the accompanying consolidated financial statements, the following topics pertain to accounting policies we believe are most critical to the preparation of our financial statements and that require our more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220"/>
          </w:cols>
          <w:pgMar w:left="820" w:top="806" w:right="84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18"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We derive our revenue primarily from subscription license fees charged for access to our database platform, and professional services. The customer arrangements include a promise to allow customers to access a subscription license to the database platform which is hosted by us over the contract period, without allowing the customer to take possession of the subscription license or transfer hosting to a third party.</w:t>
      </w:r>
    </w:p>
    <w:p>
      <w:pPr>
        <w:spacing w:after="0" w:line="70"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We recognize revenue in accordance with ASC 606–</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which provides a five-step model for recognizing revenue from contracts with customers. Revenue is recognized upon transfer of control of promised services to customers in an amount that reflects the consideration we expect to receive in exchange for those services.</w:t>
      </w:r>
    </w:p>
    <w:p>
      <w:pPr>
        <w:spacing w:after="0" w:line="65" w:lineRule="exact"/>
        <w:rPr>
          <w:sz w:val="20"/>
          <w:szCs w:val="20"/>
          <w:color w:val="auto"/>
        </w:rPr>
      </w:pPr>
    </w:p>
    <w:p>
      <w:pPr>
        <w:jc w:val="both"/>
        <w:ind w:right="180" w:firstLine="490"/>
        <w:spacing w:after="0" w:line="259" w:lineRule="auto"/>
        <w:rPr>
          <w:sz w:val="20"/>
          <w:szCs w:val="20"/>
          <w:color w:val="auto"/>
        </w:rPr>
      </w:pPr>
      <w:r>
        <w:rPr>
          <w:rFonts w:ascii="Times New Roman" w:cs="Times New Roman" w:eastAsia="Times New Roman" w:hAnsi="Times New Roman"/>
          <w:sz w:val="20"/>
          <w:szCs w:val="20"/>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65"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auto"/>
        </w:rPr>
        <w:t>For revenue related to non-hosted subscription license arrangements where customers can purchase a specified quantity of data based on their selection criteria and data layout, each data record is a distinct performance obligation, satisfied on delivery. If we promise to update the initial data set at specified intervals, each update is a performance obligation, which we satisfy when the updated data is delivered.</w:t>
      </w:r>
    </w:p>
    <w:p>
      <w:pPr>
        <w:spacing w:after="0" w:line="70"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recognized at the time the services are performed.</w:t>
      </w:r>
    </w:p>
    <w:p>
      <w:pPr>
        <w:spacing w:after="0" w:line="65"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When a contract contains multiple performance obligations, the contract transaction price is allocated on a relative standalone selling price (“SSP”) basis to each performance obligation. We typically determine SSP based on observable selling prices of our products and services. In instances where SSP is not directly observable, SSP is determined using information that may include market conditions and other observable inputs, or by using the residual approach.</w:t>
      </w:r>
    </w:p>
    <w:p>
      <w:pPr>
        <w:spacing w:after="0" w:line="7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We account for an arrangement when it has approval and commitment from both parties, the rights are identified, the contract has commercial substance, and collectability of consideration is probable. We generally obtain written purchase contracts from our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we have determined that in such cases, a significant financing component generally does not exist. We have elected the practical expedient that permits an entity not to recognize a significant financing component if the time between the transfer of a good or service and payment is one year or less. Payment terms on invoiced amounts are typically 30 days. We do not offer rights of return for our products and services in the normal course of business, and contracts generally do not include customer acceptance clauses.</w:t>
      </w:r>
    </w:p>
    <w:p>
      <w:pPr>
        <w:spacing w:after="0" w:line="8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We estimate the amount of variable consideration at the expected value based on our assessment of legal enforceability, anticipated performance, and a review of specific transactions, historical experience, and market and economic conditions. We historically have not experienced any significant incidents that affected the defined levels of reliability and performance as required by the contracts.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220"/>
          </w:cols>
          <w:pgMar w:left="820" w:top="808" w:right="84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118"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We account for business combinations using the acquisition method in accordance with ASC 805—Business Combinations. Each acquired company’s results of operations are included in our consolidated financial 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8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7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77"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Instruments and Hedging Activities</w:t>
      </w:r>
    </w:p>
    <w:p>
      <w:pPr>
        <w:spacing w:after="0" w:line="118"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We record all derivatives on the balance sheet at fair value. The accounting for changes in the fair value of derivatives depends on the intended use of the derivative,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We may enter into derivative contracts that are intended to economically hedge certain of its risk, even though hedge accounting does not apply or we elect not to apply hedge accounting. We measure the credit risk of our derivative financial instruments that are subject to master netting agreements on a net basis by counterparty portfolio.</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220"/>
          </w:cols>
          <w:pgMar w:left="820" w:top="808" w:right="84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Intangible Assets</w:t>
      </w:r>
    </w:p>
    <w:p>
      <w:pPr>
        <w:spacing w:after="0" w:line="11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7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A reporting unit is an operating segment or a component of an operating segment. We first assess qualitative and quantitative factors to evaluate whether it is more likely than not that the fair value of a reporting unit is less than the carrying amount, or we may elect to bypass such assessment. If it is determined that it is more likely than not that the fair value of the reporting unit is less than its carrying value, or if we elect to bypass the qualitative assessment, our management will perform a quantitative test by determining the fair value of the reporting unit. The estimated fair value of the reporting unit is based on a combination of an income and market approach. The income approach utilizes a projected discounted cash flow model that includes significant assumptions and estimates, including the discount rate, growth rate, and future financial performance. The market approach utilizes our market capitalization plus an appropriate control premium. Market capitalization is determined by multiplying the number of shares of Class A Common Stock outstanding by the market price of our Class A Common Stock. The control premium is determined by utilizing data from publicly available premium studies for similarly situated public company transactions. If the carrying value of the reporting unit exceeds the fair value, then a goodwill impairment loss is recognized for the difference. We perform our annual impairment assessment in the first month of the fourth quarter of each calendar year.</w:t>
      </w:r>
    </w:p>
    <w:p>
      <w:pPr>
        <w:spacing w:after="0" w:line="83"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Definite-lived intangible assets are amortized over their estimated useful lives, which represent the period over which we expect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240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w w:val="96"/>
              </w:rPr>
              <w:t>14 – 20 years</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Technology</w:t>
            </w:r>
          </w:p>
        </w:tc>
        <w:tc>
          <w:tcPr>
            <w:tcW w:w="1460" w:type="dxa"/>
            <w:vAlign w:val="bottom"/>
          </w:tcPr>
          <w:p>
            <w:pPr>
              <w:ind w:left="1340"/>
              <w:spacing w:after="0"/>
              <w:rPr>
                <w:sz w:val="20"/>
                <w:szCs w:val="20"/>
                <w:color w:val="auto"/>
              </w:rPr>
            </w:pPr>
            <w:r>
              <w:rPr>
                <w:rFonts w:ascii="Times New Roman" w:cs="Times New Roman" w:eastAsia="Times New Roman" w:hAnsi="Times New Roman"/>
                <w:sz w:val="20"/>
                <w:szCs w:val="20"/>
                <w:color w:val="auto"/>
                <w:w w:val="99"/>
              </w:rPr>
              <w:t>6</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8 years</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Tradenames / trademark</w:t>
            </w:r>
          </w:p>
        </w:tc>
        <w:tc>
          <w:tcPr>
            <w:tcW w:w="1460" w:type="dxa"/>
            <w:vAlign w:val="bottom"/>
          </w:tcPr>
          <w:p>
            <w:pPr>
              <w:ind w:left="1340"/>
              <w:spacing w:after="0"/>
              <w:rPr>
                <w:sz w:val="20"/>
                <w:szCs w:val="20"/>
                <w:color w:val="auto"/>
              </w:rPr>
            </w:pPr>
            <w:r>
              <w:rPr>
                <w:rFonts w:ascii="Times New Roman" w:cs="Times New Roman" w:eastAsia="Times New Roman" w:hAnsi="Times New Roman"/>
                <w:sz w:val="20"/>
                <w:szCs w:val="20"/>
                <w:color w:val="auto"/>
                <w:w w:val="99"/>
              </w:rPr>
              <w:t>5</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19 years</w:t>
            </w:r>
          </w:p>
        </w:tc>
      </w:tr>
      <w:tr>
        <w:trPr>
          <w:trHeight w:val="268"/>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Data</w:t>
            </w:r>
          </w:p>
        </w:tc>
        <w:tc>
          <w:tcPr>
            <w:tcW w:w="240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3 years</w:t>
            </w:r>
          </w:p>
        </w:tc>
      </w:tr>
    </w:tbl>
    <w:p>
      <w:pPr>
        <w:spacing w:after="0" w:line="202"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Recently, we have experienced declines in our market capitalization as a result of sustained decreases in our stock price, which represented triggering events requiring our management to perform quantitative goodwill impairment tests. As a result of each impairment test, we determined that the fair value of our single reporting unit was lower than its carrying value and, accordingly, recorded non-cash, pre-tax, goodwill impairment charges of $688.9 million and $287.4 million during the years ended December 31, 2024 and 2023, respectively. The goodwill impairment charges did not affect our liquidity or the financial covenants in our outstanding debt agreement.</w:t>
      </w:r>
    </w:p>
    <w:p>
      <w:pPr>
        <w:spacing w:after="0" w:line="80" w:lineRule="exact"/>
        <w:rPr>
          <w:sz w:val="20"/>
          <w:szCs w:val="20"/>
          <w:color w:val="auto"/>
        </w:rPr>
      </w:pPr>
    </w:p>
    <w:p>
      <w:pPr>
        <w:ind w:right="80" w:firstLine="490"/>
        <w:spacing w:after="0" w:line="279" w:lineRule="auto"/>
        <w:rPr>
          <w:sz w:val="20"/>
          <w:szCs w:val="20"/>
          <w:color w:val="auto"/>
        </w:rPr>
      </w:pPr>
      <w:r>
        <w:rPr>
          <w:rFonts w:ascii="Times New Roman" w:cs="Times New Roman" w:eastAsia="Times New Roman" w:hAnsi="Times New Roman"/>
          <w:sz w:val="20"/>
          <w:szCs w:val="20"/>
          <w:color w:val="auto"/>
        </w:rPr>
        <w:t xml:space="preserve">We will continue to monitor for potential impairment should impairment indicators arise. Refer to Note 9. </w:t>
      </w:r>
      <w:r>
        <w:rPr>
          <w:rFonts w:ascii="Times New Roman" w:cs="Times New Roman" w:eastAsia="Times New Roman" w:hAnsi="Times New Roman"/>
          <w:sz w:val="20"/>
          <w:szCs w:val="20"/>
          <w:i w:val="1"/>
          <w:iCs w:val="1"/>
          <w:color w:val="auto"/>
        </w:rPr>
        <w:t>Goodwill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Intangible Assets </w:t>
      </w:r>
      <w:r>
        <w:rPr>
          <w:rFonts w:ascii="Times New Roman" w:cs="Times New Roman" w:eastAsia="Times New Roman" w:hAnsi="Times New Roman"/>
          <w:sz w:val="20"/>
          <w:szCs w:val="20"/>
          <w:color w:val="auto"/>
        </w:rPr>
        <w:t>in the accompanying consolidated financial statements for further details.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1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ectPr>
          <w:pgSz w:w="11880" w:h="15480" w:orient="portrait"/>
          <w:cols w:equalWidth="0" w:num="1">
            <w:col w:w="10200"/>
          </w:cols>
          <w:pgMar w:left="820" w:top="8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200"/>
          </w:cols>
          <w:pgMar w:left="820" w:top="808" w:right="86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for Income Taxes</w:t>
      </w:r>
    </w:p>
    <w:p>
      <w:pPr>
        <w:spacing w:after="0" w:line="118"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auto"/>
        </w:rPr>
        <w:t>Definitive OpCo is taxed as a partnership. For federal and state income tax purposes, income, losses, and other tax attributes not generated by AW and its wholly owned U.S. and foreign subsidiaries generally pass through to the Definitive OpCo members’ individual income tax returns. Additionally, Definitive OpCo may be subject to certain taxes on behalf of its members in certain states.</w:t>
      </w:r>
    </w:p>
    <w:p>
      <w:pPr>
        <w:spacing w:after="0" w:line="7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AW and its wholly-owned U.S. and foreign subsidiaries are taxed as corporations. Accordingly, AW accounts for income taxes by recognizing tax assets and liabilities for the cumulative effect of all the temporary differences between financial statement carrying amounts and the tax basis of assets and liabilities. Deferred taxes for AW are determined using enacted federal, state, or foreign income tax rates in effect in the year in which the differences are expected to reverse.</w:t>
      </w:r>
    </w:p>
    <w:p>
      <w:pPr>
        <w:spacing w:after="0" w:line="7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Tax Receivable Agreement, which we expect to be significant. We anticipate that we will account for the income tax effects and corresponding Tax Receivable Agreement’s effects resulting from future redemptions or exchanges of LLC Units by recognizing an increase in Definitive Healthcare Corp.’s deferred tax assets, based on enacted tax rates at the date of the purchase or exchange.</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 xml:space="preserve">Further, we account for amounts payable under the Tax Receivable Agreement in accordance with ASC 450— </w:t>
      </w:r>
      <w:r>
        <w:rPr>
          <w:rFonts w:ascii="Times New Roman" w:cs="Times New Roman" w:eastAsia="Times New Roman" w:hAnsi="Times New Roman"/>
          <w:sz w:val="20"/>
          <w:szCs w:val="20"/>
          <w:i w:val="1"/>
          <w:iCs w:val="1"/>
          <w:color w:val="auto"/>
        </w:rPr>
        <w:t>Contingencies</w:t>
      </w:r>
      <w:r>
        <w:rPr>
          <w:rFonts w:ascii="Times New Roman" w:cs="Times New Roman" w:eastAsia="Times New Roman" w:hAnsi="Times New Roman"/>
          <w:sz w:val="20"/>
          <w:szCs w:val="20"/>
          <w:color w:val="auto"/>
        </w:rPr>
        <w:t>. The amounts to be recorded for both the deferred tax assets and the liability for our obligations under the Tax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Receivable Agreement will be estimated at the time of any purchase or exchange as a reduction to shareholders’ equity, and the effects of changes in any of our estimates after this date will be included in net income or loss. Similarly, the effect of subsequent changes in the enacted tax rates will be included in net income or loss.</w:t>
      </w:r>
    </w:p>
    <w:p>
      <w:pPr>
        <w:spacing w:after="0" w:line="77"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In assessing the realizability of deferred tax assets of the Company and its subsidiaries, management considers the weight of available evidence and whether it is more likely than not that some or all of the deferred tax assets will be realized; when necessary, a valuation allowance is established.</w:t>
      </w:r>
    </w:p>
    <w:p>
      <w:pPr>
        <w:spacing w:after="0" w:line="65"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Under the provisions of ASC 740—</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2024, 2023, and 2022, we did not have any uncertain tax positions.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23" w:lineRule="exact"/>
        <w:rPr>
          <w:sz w:val="20"/>
          <w:szCs w:val="20"/>
          <w:color w:val="auto"/>
        </w:rPr>
      </w:pPr>
    </w:p>
    <w:p>
      <w:pPr>
        <w:jc w:val="both"/>
        <w:ind w:right="40" w:firstLine="490"/>
        <w:spacing w:after="0" w:line="259" w:lineRule="auto"/>
        <w:rPr>
          <w:sz w:val="20"/>
          <w:szCs w:val="20"/>
          <w:color w:val="auto"/>
        </w:rPr>
      </w:pPr>
      <w:r>
        <w:rPr>
          <w:rFonts w:ascii="Times New Roman" w:cs="Times New Roman" w:eastAsia="Times New Roman" w:hAnsi="Times New Roman"/>
          <w:sz w:val="20"/>
          <w:szCs w:val="20"/>
          <w:color w:val="auto"/>
        </w:rPr>
        <w:t xml:space="preserve">For a summary of recent accounting pronouncements applicable to our consolidated financial statements, refer to Note 2. </w:t>
      </w:r>
      <w:r>
        <w:rPr>
          <w:rFonts w:ascii="Times New Roman" w:cs="Times New Roman" w:eastAsia="Times New Roman" w:hAnsi="Times New Roman"/>
          <w:sz w:val="20"/>
          <w:szCs w:val="20"/>
          <w:i w:val="1"/>
          <w:iCs w:val="1"/>
          <w:color w:val="auto"/>
        </w:rPr>
        <w:t xml:space="preserve">Summary of Significant Accounting Policies </w:t>
      </w:r>
      <w:r>
        <w:rPr>
          <w:rFonts w:ascii="Times New Roman" w:cs="Times New Roman" w:eastAsia="Times New Roman" w:hAnsi="Times New Roman"/>
          <w:sz w:val="20"/>
          <w:szCs w:val="20"/>
          <w:color w:val="auto"/>
        </w:rPr>
        <w:t>in the Notes to our consolidated financial statements included in Part II, Item 8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this Form 10-K.</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220"/>
          </w:cols>
          <w:pgMar w:left="820" w:top="808" w:right="84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23"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18"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Our cash, cash equivalents and short-term investments primarily consist of cash on hand and highly liquid investments in money market funds, U.S. government securities and commercial paper. As of December 31, 2024 we had cash and cash equivalents of $105.4 million and short-term investments of $184.8 million.</w:t>
      </w:r>
    </w:p>
    <w:p>
      <w:pPr>
        <w:spacing w:after="0" w:line="65"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Our operating results are subject to market risk from interest rate fluctuations on our 2021 Term Loan, which bears a variable interest rate based on the SOFR Rate or a Base Rate plus an applicable margin. In order to reduce the interest rate risk on our debt, we have entered into an interest rate swap agreement on a portion of our borrowings. As of December 31, 2024, the total principal balance outstanding was $244.1 million. Excluding the effect of the interest rate swap agreement, a hypothetical 1.0% increase or decrease in the interest rate associated with borrowings under the 2021 Credit Agreement would result in an approximately $2.4 million impact to interest expense on an annual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Risk</w:t>
      </w:r>
    </w:p>
    <w:p>
      <w:pPr>
        <w:spacing w:after="0" w:line="11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ectPr>
          <w:pgSz w:w="11880" w:h="15480" w:orient="portrait"/>
          <w:cols w:equalWidth="0" w:num="1">
            <w:col w:w="10200"/>
          </w:cols>
          <w:pgMar w:left="820" w:top="80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200"/>
          </w:cols>
          <w:pgMar w:left="820" w:top="803" w:right="86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23" w:lineRule="exact"/>
        <w:rPr>
          <w:sz w:val="20"/>
          <w:szCs w:val="20"/>
          <w:color w:val="auto"/>
        </w:rPr>
      </w:pPr>
    </w:p>
    <w:p>
      <w:pPr>
        <w:ind w:right="280" w:firstLine="490"/>
        <w:spacing w:after="0" w:line="279" w:lineRule="auto"/>
        <w:rPr>
          <w:sz w:val="20"/>
          <w:szCs w:val="20"/>
          <w:color w:val="auto"/>
        </w:rPr>
      </w:pPr>
      <w:r>
        <w:rPr>
          <w:rFonts w:ascii="Times New Roman" w:cs="Times New Roman" w:eastAsia="Times New Roman" w:hAnsi="Times New Roman"/>
          <w:sz w:val="20"/>
          <w:szCs w:val="20"/>
          <w:color w:val="auto"/>
        </w:rPr>
        <w:t>Our consolidated financial statements, together with the reports of our independent registered public accounting firm, appear beginning on page F-1 of this Annual Report for the year ended December 31,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11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As of December 31, 2024, our management carried out an evaluation, under the supervision and participation of our Chief Executive Officer (principal executive officer) and our Chief Financial Officer (principal financial officer), of the effectiveness of the design of our disclosure controls and procedures (as defined in Rules 13a-15(e) and 15d-15(e) under the Securities Exchange Act of 1934, as amended (“Exchange Act”)). Based on such evaluation, our Chief Executive Officer and Chief Financial Officer have concluded that our disclosure controls and procedures were effective as of December 31, 2024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s Annual Report on Internal Controls Over Financial Reporting</w:t>
      </w:r>
    </w:p>
    <w:p>
      <w:pPr>
        <w:spacing w:after="0" w:line="123"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financing reporting and the preparation of financial statements for external purposes in accordance with U.S. GAAP.</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2024, based on the criteria set forth in Internal Control-Integrated Framework issued by the Committee of Sponsoring Organizations of the Treadway Commission (2013 framework). Based on this evaluation, management concluded that our internal control over financial reporting was effective as of December 31, 2024.</w:t>
      </w:r>
    </w:p>
    <w:p>
      <w:pPr>
        <w:spacing w:after="0" w:line="77" w:lineRule="exact"/>
        <w:rPr>
          <w:sz w:val="20"/>
          <w:szCs w:val="20"/>
          <w:color w:val="auto"/>
        </w:rPr>
      </w:pPr>
    </w:p>
    <w:p>
      <w:pPr>
        <w:ind w:right="180" w:firstLine="490"/>
        <w:spacing w:after="0" w:line="259" w:lineRule="auto"/>
        <w:rPr>
          <w:sz w:val="20"/>
          <w:szCs w:val="20"/>
          <w:color w:val="auto"/>
        </w:rPr>
      </w:pPr>
      <w:r>
        <w:rPr>
          <w:rFonts w:ascii="Times New Roman" w:cs="Times New Roman" w:eastAsia="Times New Roman" w:hAnsi="Times New Roman"/>
          <w:sz w:val="20"/>
          <w:szCs w:val="20"/>
          <w:color w:val="auto"/>
        </w:rPr>
        <w:t>Deloitte &amp; Touche LLP, our independent registered public accounting firm, has audited our consolidated financial statements included in this Annual Report and issued its report, which is included herein, stating that the Company’s internal controls over financial reporting were effective as of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Remediation of Previously Disclosed Material Weakness</w:t>
      </w:r>
    </w:p>
    <w:p>
      <w:pPr>
        <w:spacing w:after="0" w:line="11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During 2023, we identified a material weakness in the design of our controls over the collection and remittance of sales taxes, as well as the accurate recording of our sales tax obligations in the financial statements. Remediation of this material weakness was completed during the three months ended December 31, 2024 and included establishing new controls and procedures over the collection, control, and subsequent monitoring of applicable documentation of exempt status from customers in affected jurisdictions. As of December 31, 2024, these control activities have been appropriately designed and implemented, and have operated effectively for a sufficient period of time to conclude that the previously identified material weakness has been remediated.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18"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20"/>
          <w:szCs w:val="20"/>
          <w:color w:val="auto"/>
        </w:rPr>
        <w:t>Other than the changes described above under “Remediation of Previously Disclosed Material Weakness”, there were no changes in our internal control over financial reporting identified in connection with the evaluation required by Rule 13a-15(d) and 15d-15(d) of the Exchange Act that occurred during the most recently completed fiscal quarter that has materially affected, or is reasonably likely to materially affect, our internal control over financial reporting.</w:t>
      </w:r>
    </w:p>
    <w:p>
      <w:pPr>
        <w:sectPr>
          <w:pgSz w:w="11880" w:h="15480" w:orient="portrait"/>
          <w:cols w:equalWidth="0" w:num="1">
            <w:col w:w="10180"/>
          </w:cols>
          <w:pgMar w:left="820" w:top="803"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180"/>
          </w:cols>
          <w:pgMar w:left="820" w:top="803" w:right="88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Limitations on Effectiveness of Controls and Procedures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220"/>
          </w:cols>
          <w:pgMar w:left="820" w:top="808" w:right="840" w:bottom="0" w:gutter="0" w:footer="0" w:header="0"/>
          <w:type w:val="continuous"/>
        </w:sectPr>
      </w:pPr>
    </w:p>
    <w:bookmarkStart w:id="84" w:name="page85"/>
    <w:bookmarkEnd w:id="84"/>
    <w:p>
      <w:pPr>
        <w:ind w:right="3360"/>
        <w:spacing w:after="0" w:line="366"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Definitive Healthcare Corp. </w:t>
      </w:r>
      <w:r>
        <w:rPr>
          <w:rFonts w:ascii="Times New Roman" w:cs="Times New Roman" w:eastAsia="Times New Roman" w:hAnsi="Times New Roman"/>
          <w:sz w:val="20"/>
          <w:szCs w:val="20"/>
          <w:b w:val="1"/>
          <w:bCs w:val="1"/>
          <w:color w:val="auto"/>
        </w:rPr>
        <w:t>Opinion on Internal Control over Financial Reporting</w:t>
      </w:r>
    </w:p>
    <w:p>
      <w:pPr>
        <w:spacing w:after="0" w:line="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Definitive Healthcare Corp. and subsidiaries (the “Company”) as of December 31, 2024,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COSO.</w:t>
      </w:r>
    </w:p>
    <w:p>
      <w:pPr>
        <w:spacing w:after="0" w:line="77"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as of and for the year ended December 31, 2024, of the Company and our report dated February 27, 2025,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3"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2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ind w:right="400"/>
        <w:spacing w:after="0" w:line="25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/s/Deloitte &amp; Touche LLP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rPr>
          <w:sz w:val="20"/>
          <w:szCs w:val="20"/>
          <w:color w:val="auto"/>
        </w:rPr>
      </w:pPr>
      <w:r>
        <w:rPr>
          <w:rFonts w:ascii="Times New Roman" w:cs="Times New Roman" w:eastAsia="Times New Roman" w:hAnsi="Times New Roman"/>
          <w:sz w:val="20"/>
          <w:szCs w:val="20"/>
          <w:color w:val="auto"/>
        </w:rPr>
        <w:t>February 27, 2025</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220"/>
          </w:cols>
          <w:pgMar w:left="820" w:top="803" w:right="84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Trading Arrangements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620"/>
          </w:cols>
          <w:pgMar w:left="820" w:top="8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9620"/>
          </w:cols>
          <w:pgMar w:left="820" w:top="803" w:right="1440" w:bottom="0" w:gutter="0" w:footer="0" w:header="0"/>
          <w:type w:val="continuous"/>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2024.</w:t>
      </w:r>
    </w:p>
    <w:p>
      <w:pPr>
        <w:spacing w:after="0" w:line="65"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employees of ours, with regard to their activities related to our business. Our code of business conduct and ethics is available in the Investor Relations section of our website at https://ir.definitivehc.com. We intend to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2024.</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2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2024.</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2024.</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2024.</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220"/>
          </w:cols>
          <w:pgMar w:left="820" w:top="803" w:right="840" w:bottom="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23" w:lineRule="exact"/>
        <w:rPr>
          <w:sz w:val="20"/>
          <w:szCs w:val="20"/>
          <w:color w:val="auto"/>
        </w:rPr>
      </w:pPr>
    </w:p>
    <w:p>
      <w:pPr>
        <w:ind w:left="960" w:hanging="477"/>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w:t>
      </w:r>
    </w:p>
    <w:p>
      <w:pPr>
        <w:spacing w:after="0" w:line="120" w:lineRule="exact"/>
        <w:rPr>
          <w:sz w:val="20"/>
          <w:szCs w:val="20"/>
          <w:color w:val="auto"/>
        </w:rPr>
      </w:pPr>
    </w:p>
    <w:p>
      <w:pPr>
        <w:ind w:left="480" w:right="360"/>
        <w:spacing w:after="0" w:line="279" w:lineRule="auto"/>
        <w:rPr>
          <w:sz w:val="20"/>
          <w:szCs w:val="20"/>
          <w:color w:val="auto"/>
        </w:rPr>
      </w:pPr>
      <w:r>
        <w:rPr>
          <w:rFonts w:ascii="Times New Roman" w:cs="Times New Roman" w:eastAsia="Times New Roman" w:hAnsi="Times New Roman"/>
          <w:sz w:val="20"/>
          <w:szCs w:val="20"/>
          <w:color w:val="auto"/>
        </w:rPr>
        <w:t>See the Index to Consolidated Financial Statements in the Financial Statements Section beginning on page F-1 of this Annual Report on Form 10-K.</w:t>
      </w:r>
    </w:p>
    <w:p>
      <w:pPr>
        <w:spacing w:after="0" w:line="45" w:lineRule="exact"/>
        <w:rPr>
          <w:sz w:val="20"/>
          <w:szCs w:val="20"/>
          <w:color w:val="auto"/>
        </w:rPr>
      </w:pPr>
    </w:p>
    <w:p>
      <w:pPr>
        <w:ind w:left="960" w:hanging="477"/>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w:t>
      </w:r>
    </w:p>
    <w:p>
      <w:pPr>
        <w:spacing w:after="0" w:line="120" w:lineRule="exact"/>
        <w:rPr>
          <w:sz w:val="20"/>
          <w:szCs w:val="20"/>
          <w:color w:val="auto"/>
        </w:rPr>
      </w:pPr>
    </w:p>
    <w:p>
      <w:pPr>
        <w:ind w:left="480" w:right="160"/>
        <w:spacing w:after="0" w:line="279" w:lineRule="auto"/>
        <w:rPr>
          <w:sz w:val="20"/>
          <w:szCs w:val="20"/>
          <w:color w:val="auto"/>
        </w:rPr>
      </w:pPr>
      <w:r>
        <w:rPr>
          <w:rFonts w:ascii="Times New Roman" w:cs="Times New Roman" w:eastAsia="Times New Roman" w:hAnsi="Times New Roman"/>
          <w:sz w:val="20"/>
          <w:szCs w:val="20"/>
          <w:color w:val="auto"/>
        </w:rPr>
        <w:t>All financial statement schedules have been omitted as they are not required, not applicable, or the required information is included in the financial statements or notes to the financial statements.</w:t>
      </w:r>
    </w:p>
    <w:p>
      <w:pPr>
        <w:spacing w:after="0" w:line="45" w:lineRule="exact"/>
        <w:rPr>
          <w:sz w:val="20"/>
          <w:szCs w:val="20"/>
          <w:color w:val="auto"/>
        </w:rPr>
      </w:pPr>
    </w:p>
    <w:p>
      <w:pPr>
        <w:ind w:left="960" w:hanging="477"/>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0" w:type="dxa"/>
            <w:vAlign w:val="bottom"/>
          </w:tcPr>
          <w:p>
            <w:pPr>
              <w:ind w:left="330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FDFDFD"/>
          </w:tcPr>
          <w:p>
            <w:pPr>
              <w:ind w:left="300"/>
              <w:spacing w:after="0" w:line="180" w:lineRule="exact"/>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shd w:val="clear" w:color="auto" w:fill="FDFDFD"/>
          </w:tcPr>
          <w:p>
            <w:pPr>
              <w:spacing w:after="0"/>
              <w:rPr>
                <w:sz w:val="15"/>
                <w:szCs w:val="15"/>
                <w:color w:val="auto"/>
              </w:rPr>
            </w:pPr>
          </w:p>
        </w:tc>
        <w:tc>
          <w:tcPr>
            <w:tcW w:w="90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140" w:type="dxa"/>
            <w:vAlign w:val="bottom"/>
            <w:tcBorders>
              <w:bottom w:val="single" w:sz="8" w:color="auto"/>
            </w:tcBorders>
            <w:shd w:val="clear" w:color="auto" w:fill="FDFDFD"/>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Borders>
              <w:bottom w:val="single" w:sz="8" w:color="FDFDFD"/>
            </w:tcBorders>
            <w:shd w:val="clear" w:color="auto" w:fill="FDFDFD"/>
          </w:tcPr>
          <w:p>
            <w:pPr>
              <w:spacing w:after="0"/>
              <w:rPr>
                <w:sz w:val="17"/>
                <w:szCs w:val="17"/>
                <w:color w:val="auto"/>
              </w:rPr>
            </w:pPr>
          </w:p>
        </w:tc>
        <w:tc>
          <w:tcPr>
            <w:tcW w:w="9000" w:type="dxa"/>
            <w:vAlign w:val="bottom"/>
            <w:tcBorders>
              <w:bottom w:val="single" w:sz="8" w:color="auto"/>
            </w:tcBorders>
            <w:shd w:val="clear" w:color="auto" w:fill="FDFDFD"/>
          </w:tcPr>
          <w:p>
            <w:pPr>
              <w:ind w:left="4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4"/>
        </w:trPr>
        <w:tc>
          <w:tcPr>
            <w:tcW w:w="1140" w:type="dxa"/>
            <w:vAlign w:val="bottom"/>
            <w:shd w:val="clear" w:color="auto" w:fill="FDFDFD"/>
          </w:tcPr>
          <w:p>
            <w:pPr>
              <w:spacing w:after="0" w:line="204" w:lineRule="exact"/>
              <w:rPr>
                <w:sz w:val="20"/>
                <w:szCs w:val="20"/>
                <w:color w:val="auto"/>
              </w:rPr>
            </w:pPr>
            <w:r>
              <w:rPr>
                <w:rFonts w:ascii="Times New Roman" w:cs="Times New Roman" w:eastAsia="Times New Roman" w:hAnsi="Times New Roman"/>
                <w:sz w:val="20"/>
                <w:szCs w:val="20"/>
                <w:color w:val="auto"/>
              </w:rPr>
              <w:t>3.1</w:t>
            </w:r>
          </w:p>
        </w:tc>
        <w:tc>
          <w:tcPr>
            <w:tcW w:w="100" w:type="dxa"/>
            <w:vAlign w:val="bottom"/>
            <w:shd w:val="clear" w:color="auto" w:fill="FDFDFD"/>
          </w:tcPr>
          <w:p>
            <w:pPr>
              <w:spacing w:after="0"/>
              <w:rPr>
                <w:sz w:val="17"/>
                <w:szCs w:val="17"/>
                <w:color w:val="auto"/>
              </w:rPr>
            </w:pPr>
          </w:p>
        </w:tc>
        <w:tc>
          <w:tcPr>
            <w:tcW w:w="9000" w:type="dxa"/>
            <w:vAlign w:val="bottom"/>
            <w:shd w:val="clear" w:color="auto" w:fill="FDFDFD"/>
          </w:tcPr>
          <w:p>
            <w:pPr>
              <w:spacing w:after="0" w:line="204" w:lineRule="exact"/>
              <w:rPr>
                <w:sz w:val="20"/>
                <w:szCs w:val="20"/>
                <w:color w:val="auto"/>
              </w:rPr>
            </w:pPr>
            <w:r>
              <w:rPr>
                <w:rFonts w:ascii="Times New Roman" w:cs="Times New Roman" w:eastAsia="Times New Roman" w:hAnsi="Times New Roman"/>
                <w:sz w:val="20"/>
                <w:szCs w:val="20"/>
                <w:color w:val="auto"/>
              </w:rPr>
              <w:t>Amended and Restated Certificate of Incorporation of Definitive Healthcare Corp. (incorporated by reference to</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Exhibit 3.1 to the Company’s Quarterly Report on Form 10-Q (File No. 001-40815) filed with the SEC on</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November 8, 2021).</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Amended and Restated Bylaws of Definitive Healthcare Corp. (incorporated by reference to Exhibit 3.2 to the</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Company’s Quarterly Report on Form 10-Q (File No. 001-40815) filed with the SEC on November 8, 2021).</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Second Amended and Restated Limited Liability Company Agreement of AIDH TopCo, LLC (incorporated by</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reference to Exhibit 3.3 to the Company’s Quarterly Report on Form 10-Q (File No. 001-40815) filed with the</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SEC on November 8, 2021).</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Description of Registrant’s Securities (incorporated by reference to Exhibit 4.1 to the Company’s Annual</w:t>
            </w:r>
          </w:p>
        </w:tc>
        <w:tc>
          <w:tcPr>
            <w:tcW w:w="0" w:type="dxa"/>
            <w:vAlign w:val="bottom"/>
          </w:tcPr>
          <w:p>
            <w:pPr>
              <w:spacing w:after="0"/>
              <w:rPr>
                <w:sz w:val="1"/>
                <w:szCs w:val="1"/>
                <w:color w:val="auto"/>
              </w:rPr>
            </w:pPr>
          </w:p>
        </w:tc>
      </w:tr>
      <w:tr>
        <w:trPr>
          <w:trHeight w:val="251"/>
        </w:trPr>
        <w:tc>
          <w:tcPr>
            <w:tcW w:w="114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Report on Form 10-K (File No. 001-40815) filed with the SEC on March 15, 2022).</w:t>
            </w:r>
          </w:p>
        </w:tc>
        <w:tc>
          <w:tcPr>
            <w:tcW w:w="0" w:type="dxa"/>
            <w:vAlign w:val="bottom"/>
          </w:tcPr>
          <w:p>
            <w:pPr>
              <w:spacing w:after="0"/>
              <w:rPr>
                <w:sz w:val="1"/>
                <w:szCs w:val="1"/>
                <w:color w:val="auto"/>
              </w:rPr>
            </w:pPr>
          </w:p>
        </w:tc>
      </w:tr>
      <w:tr>
        <w:trPr>
          <w:trHeight w:val="224"/>
        </w:trPr>
        <w:tc>
          <w:tcPr>
            <w:tcW w:w="114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auto"/>
              </w:rPr>
              <w:t>10.1</w:t>
            </w: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auto"/>
              </w:rPr>
              <w:t>Credit Agreement, dated September 17, 2021, by and among DH Holdings and Administrative Agent, the</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lenders party thereto and the issuing banks from time to time party thereto (incorporated by reference to Exhibit</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10.1 to the Company’s current report on Form 8-K (File No. 001-40815), filed with the SEC on September 20,</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gridSpan w:val="2"/>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2021).</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Amendment No. 1, dated October 31, 2022, to Credit Agreement, dated September 17, 2021, by and among</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Definitive Healthcare Holdings, LLC, AIDH Buyer, LLC, Bank of America, N.A. as Administrative Agent, the</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lenders party thereto and the issuing banks from time to time party thereto (incorporated by reference to Exhibit</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10.5 to the Company’s Quarterly Report on Form 10-Q (File No.001-40815) filed with the SEC on November</w:t>
            </w:r>
          </w:p>
        </w:tc>
        <w:tc>
          <w:tcPr>
            <w:tcW w:w="0" w:type="dxa"/>
            <w:vAlign w:val="bottom"/>
          </w:tcPr>
          <w:p>
            <w:pPr>
              <w:spacing w:after="0"/>
              <w:rPr>
                <w:sz w:val="1"/>
                <w:szCs w:val="1"/>
                <w:color w:val="auto"/>
              </w:rPr>
            </w:pPr>
          </w:p>
        </w:tc>
      </w:tr>
      <w:tr>
        <w:trPr>
          <w:trHeight w:val="251"/>
        </w:trPr>
        <w:tc>
          <w:tcPr>
            <w:tcW w:w="1140" w:type="dxa"/>
            <w:vAlign w:val="bottom"/>
            <w:shd w:val="clear" w:color="auto" w:fill="FDFDFD"/>
          </w:tcPr>
          <w:p>
            <w:pPr>
              <w:spacing w:after="0"/>
              <w:rPr>
                <w:sz w:val="21"/>
                <w:szCs w:val="21"/>
                <w:color w:val="auto"/>
              </w:rPr>
            </w:pPr>
          </w:p>
        </w:tc>
        <w:tc>
          <w:tcPr>
            <w:tcW w:w="9100" w:type="dxa"/>
            <w:vAlign w:val="bottom"/>
            <w:gridSpan w:val="2"/>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3, 2022).</w:t>
            </w:r>
          </w:p>
        </w:tc>
        <w:tc>
          <w:tcPr>
            <w:tcW w:w="0" w:type="dxa"/>
            <w:vAlign w:val="bottom"/>
          </w:tcPr>
          <w:p>
            <w:pPr>
              <w:spacing w:after="0"/>
              <w:rPr>
                <w:sz w:val="1"/>
                <w:szCs w:val="1"/>
                <w:color w:val="auto"/>
              </w:rPr>
            </w:pPr>
          </w:p>
        </w:tc>
      </w:tr>
      <w:tr>
        <w:trPr>
          <w:trHeight w:val="224"/>
        </w:trPr>
        <w:tc>
          <w:tcPr>
            <w:tcW w:w="114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auto"/>
              </w:rPr>
              <w:t>10.3</w:t>
            </w: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auto"/>
              </w:rPr>
              <w:t>Reorganization Agreement, dated September 14, 2021, between Definitive Healthcare Corp., AIDH TopCo,</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LLC and the parties named therein (incorporated by reference to Exhibit 10.8 to the Company’s Quarterly</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Report on Form 10-Q (File No. 001-40815) filed with the SEC on November 8, 2021).</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Registration Rights Agreement, dated September 14, 2021, by and among Definitive Healthcare Corp. and the</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Continuing Pre-IPO LLC Members (incorporated by reference to Exhibit 10.9 to the Company’s Quarterly</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Report on Form 10-Q (File No. 001-40815) filed with the SEC on November 8, 2021).</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Tax Receivable Agreement, dated September 14, 2021, between Definitive Healthcare Corp. and the TRA</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Parties (incorporated by reference to Exhibit 10.10 to the Company’s Quarterly Report on Form10-Q (File No.</w:t>
            </w:r>
          </w:p>
        </w:tc>
        <w:tc>
          <w:tcPr>
            <w:tcW w:w="0" w:type="dxa"/>
            <w:vAlign w:val="bottom"/>
          </w:tcPr>
          <w:p>
            <w:pPr>
              <w:spacing w:after="0"/>
              <w:rPr>
                <w:sz w:val="1"/>
                <w:szCs w:val="1"/>
                <w:color w:val="auto"/>
              </w:rPr>
            </w:pPr>
          </w:p>
        </w:tc>
      </w:tr>
      <w:tr>
        <w:trPr>
          <w:trHeight w:val="251"/>
        </w:trPr>
        <w:tc>
          <w:tcPr>
            <w:tcW w:w="114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001-40815) filed with the SEC on November 8, 2021).</w:t>
            </w:r>
          </w:p>
        </w:tc>
        <w:tc>
          <w:tcPr>
            <w:tcW w:w="0" w:type="dxa"/>
            <w:vAlign w:val="bottom"/>
          </w:tcPr>
          <w:p>
            <w:pPr>
              <w:spacing w:after="0"/>
              <w:rPr>
                <w:sz w:val="1"/>
                <w:szCs w:val="1"/>
                <w:color w:val="auto"/>
              </w:rPr>
            </w:pPr>
          </w:p>
        </w:tc>
      </w:tr>
      <w:tr>
        <w:trPr>
          <w:trHeight w:val="224"/>
        </w:trPr>
        <w:tc>
          <w:tcPr>
            <w:tcW w:w="114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auto"/>
              </w:rPr>
              <w:t>10.6</w:t>
            </w: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auto"/>
              </w:rPr>
              <w:t>Nominating Agreement, dated September 17, 2021, between the Company and Advent (incorporated by</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reference to Exhibit 10.11 to the Company’s Quarterly Report on Form 10-Q (File No. 001-40815) filed with</w:t>
            </w:r>
          </w:p>
        </w:tc>
        <w:tc>
          <w:tcPr>
            <w:tcW w:w="0" w:type="dxa"/>
            <w:vAlign w:val="bottom"/>
          </w:tcPr>
          <w:p>
            <w:pPr>
              <w:spacing w:after="0"/>
              <w:rPr>
                <w:sz w:val="1"/>
                <w:szCs w:val="1"/>
                <w:color w:val="auto"/>
              </w:rPr>
            </w:pPr>
          </w:p>
        </w:tc>
      </w:tr>
      <w:tr>
        <w:trPr>
          <w:trHeight w:val="245"/>
        </w:trPr>
        <w:tc>
          <w:tcPr>
            <w:tcW w:w="1140" w:type="dxa"/>
            <w:vAlign w:val="bottom"/>
            <w:vMerge w:val="restart"/>
            <w:shd w:val="clear" w:color="auto" w:fill="FDFDFD"/>
          </w:tcPr>
          <w:p>
            <w:pPr>
              <w:spacing w:after="0"/>
              <w:rPr>
                <w:sz w:val="20"/>
                <w:szCs w:val="20"/>
                <w:color w:val="auto"/>
              </w:rPr>
            </w:pPr>
            <w:r>
              <w:rPr>
                <w:rFonts w:ascii="Times New Roman" w:cs="Times New Roman" w:eastAsia="Times New Roman" w:hAnsi="Times New Roman"/>
                <w:sz w:val="20"/>
                <w:szCs w:val="20"/>
                <w:color w:val="auto"/>
              </w:rPr>
              <w:t>10.7</w:t>
            </w:r>
          </w:p>
        </w:tc>
        <w:tc>
          <w:tcPr>
            <w:tcW w:w="100" w:type="dxa"/>
            <w:vAlign w:val="bottom"/>
            <w:shd w:val="clear" w:color="auto" w:fill="FDFDFD"/>
          </w:tcPr>
          <w:p>
            <w:pPr>
              <w:spacing w:after="0"/>
              <w:rPr>
                <w:sz w:val="21"/>
                <w:szCs w:val="21"/>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the SEC on November 8, 2021).</w:t>
            </w:r>
          </w:p>
        </w:tc>
        <w:tc>
          <w:tcPr>
            <w:tcW w:w="0" w:type="dxa"/>
            <w:vAlign w:val="bottom"/>
          </w:tcPr>
          <w:p>
            <w:pPr>
              <w:spacing w:after="0"/>
              <w:rPr>
                <w:sz w:val="1"/>
                <w:szCs w:val="1"/>
                <w:color w:val="auto"/>
              </w:rPr>
            </w:pPr>
          </w:p>
        </w:tc>
      </w:tr>
      <w:tr>
        <w:trPr>
          <w:trHeight w:val="230"/>
        </w:trPr>
        <w:tc>
          <w:tcPr>
            <w:tcW w:w="1140" w:type="dxa"/>
            <w:vAlign w:val="bottom"/>
            <w:vMerge w:val="continue"/>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Nominating Agreement, dated September 17, 2021 between the Company and SE VII DHC AIV, L.P.</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(incorporated by reference to Exhibit 10.12 to the Company’s Quarterly Report on Form10-Q (File No. 001-</w:t>
            </w:r>
          </w:p>
        </w:tc>
        <w:tc>
          <w:tcPr>
            <w:tcW w:w="0" w:type="dxa"/>
            <w:vAlign w:val="bottom"/>
          </w:tcPr>
          <w:p>
            <w:pPr>
              <w:spacing w:after="0"/>
              <w:rPr>
                <w:sz w:val="1"/>
                <w:szCs w:val="1"/>
                <w:color w:val="auto"/>
              </w:rPr>
            </w:pPr>
          </w:p>
        </w:tc>
      </w:tr>
      <w:tr>
        <w:trPr>
          <w:trHeight w:val="245"/>
        </w:trPr>
        <w:tc>
          <w:tcPr>
            <w:tcW w:w="1140" w:type="dxa"/>
            <w:vAlign w:val="bottom"/>
            <w:vMerge w:val="restart"/>
            <w:shd w:val="clear" w:color="auto" w:fill="FDFDFD"/>
          </w:tcPr>
          <w:p>
            <w:pPr>
              <w:spacing w:after="0"/>
              <w:rPr>
                <w:sz w:val="20"/>
                <w:szCs w:val="20"/>
                <w:color w:val="auto"/>
              </w:rPr>
            </w:pPr>
            <w:r>
              <w:rPr>
                <w:rFonts w:ascii="Times New Roman" w:cs="Times New Roman" w:eastAsia="Times New Roman" w:hAnsi="Times New Roman"/>
                <w:sz w:val="20"/>
                <w:szCs w:val="20"/>
                <w:color w:val="auto"/>
              </w:rPr>
              <w:t>10.8</w:t>
            </w:r>
          </w:p>
        </w:tc>
        <w:tc>
          <w:tcPr>
            <w:tcW w:w="100" w:type="dxa"/>
            <w:vAlign w:val="bottom"/>
            <w:shd w:val="clear" w:color="auto" w:fill="FDFDFD"/>
          </w:tcPr>
          <w:p>
            <w:pPr>
              <w:spacing w:after="0"/>
              <w:rPr>
                <w:sz w:val="21"/>
                <w:szCs w:val="21"/>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40815) filed with the SEC on November 8, 2021).</w:t>
            </w:r>
          </w:p>
        </w:tc>
        <w:tc>
          <w:tcPr>
            <w:tcW w:w="0" w:type="dxa"/>
            <w:vAlign w:val="bottom"/>
          </w:tcPr>
          <w:p>
            <w:pPr>
              <w:spacing w:after="0"/>
              <w:rPr>
                <w:sz w:val="1"/>
                <w:szCs w:val="1"/>
                <w:color w:val="auto"/>
              </w:rPr>
            </w:pPr>
          </w:p>
        </w:tc>
      </w:tr>
      <w:tr>
        <w:trPr>
          <w:trHeight w:val="230"/>
        </w:trPr>
        <w:tc>
          <w:tcPr>
            <w:tcW w:w="1140" w:type="dxa"/>
            <w:vAlign w:val="bottom"/>
            <w:vMerge w:val="continue"/>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Nominating Agreement, dated September 17, 2021, between the Company and Jason Krantz (incorporated by</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reference to Exhibit 10.13 to the Company’s Quarterly Report on Form 10-Q (File No. 001-40815) filed with</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the SEC on November 8, 2021).</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10.9†</w:t>
            </w: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Reimbursement Agreement, dated September 17, 2021, between Definitive Healthcare Corp. and Jason Krantz</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and certain other stockholders (incorporated by reference to Exhibit 10.14 to the Company’s Quarterly Report</w:t>
            </w:r>
          </w:p>
        </w:tc>
        <w:tc>
          <w:tcPr>
            <w:tcW w:w="0" w:type="dxa"/>
            <w:vAlign w:val="bottom"/>
          </w:tcPr>
          <w:p>
            <w:pPr>
              <w:spacing w:after="0"/>
              <w:rPr>
                <w:sz w:val="1"/>
                <w:szCs w:val="1"/>
                <w:color w:val="auto"/>
              </w:rPr>
            </w:pPr>
          </w:p>
        </w:tc>
      </w:tr>
      <w:tr>
        <w:trPr>
          <w:trHeight w:val="251"/>
        </w:trPr>
        <w:tc>
          <w:tcPr>
            <w:tcW w:w="114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9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on Form10-Q (File No. 001-40815) filed with the SEC on November 8,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803" w:right="820" w:bottom="0" w:gutter="0" w:footer="0" w:header="0"/>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240"/>
          </w:cols>
          <w:pgMar w:left="820" w:top="803" w:right="820" w:bottom="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10.10†</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Stock and Unit Purchase Agreement, dated September 7, 2021, by and among Definitive Health Care Corp. and</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the parties named therein (incorporated by reference to Exhibit 10.19 to Amendment No. 2 to the Company’s</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Registration Statement on Form S-1 (File No. 333-258990) filed with the SEC on September 7, 2021).</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10.11†</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Stock and Unit Purchase Agreement, dated November 10, 2021, by and among Definitive Healthcare Corp. and</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the parties named therein (incorporated by reference to Exhibit 10.21 to the Company’s Registration Statement</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on Form S-1 (File No. 333-261083) filed with the SEC on November 15, 2021).</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10.12†</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2019 Equity Incentive Plan (incorporated by reference to Exhibit 10.1 to the Company’s Registration Statement</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on Form S-1 (File No. 333-258990) filed with the SEC on August 20, 2021).</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10.13†</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2021 Equity Incentive Plan (incorporated by reference to Exhibit 10.12 to the Company's Annual Report on</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Form 10-K (File No. 001-40815) filed with the SEC on March 15, 2022.</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10.14†</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Form of Equity Award Agreements under 2019 Equity Incentive Plan (incorporated by reference to Exhibit</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10.3 to the Company’s Registration Statement on Form S-1 (File No. 333-258990) filed with the SEC on</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August 20, 2021).</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10.15†</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Form of Executive Equity Award Agreements under 2021 Equity Incentive Plan (incorporated by reference to</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Exhibit 10.4 to the Company’s Registration Statement on Form S-1 (File No. 333-258990) filed with the SEC</w:t>
            </w:r>
          </w:p>
        </w:tc>
        <w:tc>
          <w:tcPr>
            <w:tcW w:w="0" w:type="dxa"/>
            <w:vAlign w:val="bottom"/>
          </w:tcPr>
          <w:p>
            <w:pPr>
              <w:spacing w:after="0"/>
              <w:rPr>
                <w:sz w:val="1"/>
                <w:szCs w:val="1"/>
                <w:color w:val="auto"/>
              </w:rPr>
            </w:pPr>
          </w:p>
        </w:tc>
      </w:tr>
      <w:tr>
        <w:trPr>
          <w:trHeight w:val="245"/>
        </w:trPr>
        <w:tc>
          <w:tcPr>
            <w:tcW w:w="1140" w:type="dxa"/>
            <w:vAlign w:val="bottom"/>
            <w:vMerge w:val="restart"/>
            <w:shd w:val="clear" w:color="auto" w:fill="FDFDFD"/>
          </w:tcPr>
          <w:p>
            <w:pPr>
              <w:spacing w:after="0"/>
              <w:rPr>
                <w:sz w:val="20"/>
                <w:szCs w:val="20"/>
                <w:color w:val="auto"/>
              </w:rPr>
            </w:pPr>
            <w:r>
              <w:rPr>
                <w:rFonts w:ascii="Times New Roman" w:cs="Times New Roman" w:eastAsia="Times New Roman" w:hAnsi="Times New Roman"/>
                <w:sz w:val="20"/>
                <w:szCs w:val="20"/>
                <w:color w:val="auto"/>
              </w:rPr>
              <w:t>10.16†</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on August 20, 2021).</w:t>
            </w:r>
          </w:p>
        </w:tc>
        <w:tc>
          <w:tcPr>
            <w:tcW w:w="0" w:type="dxa"/>
            <w:vAlign w:val="bottom"/>
          </w:tcPr>
          <w:p>
            <w:pPr>
              <w:spacing w:after="0"/>
              <w:rPr>
                <w:sz w:val="1"/>
                <w:szCs w:val="1"/>
                <w:color w:val="auto"/>
              </w:rPr>
            </w:pPr>
          </w:p>
        </w:tc>
      </w:tr>
      <w:tr>
        <w:trPr>
          <w:trHeight w:val="230"/>
        </w:trPr>
        <w:tc>
          <w:tcPr>
            <w:tcW w:w="1140" w:type="dxa"/>
            <w:vAlign w:val="bottom"/>
            <w:vMerge w:val="continue"/>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Form of Executive Restricted Stock Unit Award Agreement under Definitive Healthcare Corp. 2021 Equity</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Incentive Plan (incorporated by reference to Exhibit 10.2 to the Company’s Current Report on Form 8-K (File</w:t>
            </w:r>
          </w:p>
        </w:tc>
        <w:tc>
          <w:tcPr>
            <w:tcW w:w="0" w:type="dxa"/>
            <w:vAlign w:val="bottom"/>
          </w:tcPr>
          <w:p>
            <w:pPr>
              <w:spacing w:after="0"/>
              <w:rPr>
                <w:sz w:val="1"/>
                <w:szCs w:val="1"/>
                <w:color w:val="auto"/>
              </w:rPr>
            </w:pPr>
          </w:p>
        </w:tc>
      </w:tr>
      <w:tr>
        <w:trPr>
          <w:trHeight w:val="251"/>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No. 001-40815) filed with the SEC on November 3, 2022).</w:t>
            </w:r>
          </w:p>
        </w:tc>
        <w:tc>
          <w:tcPr>
            <w:tcW w:w="0" w:type="dxa"/>
            <w:vAlign w:val="bottom"/>
          </w:tcPr>
          <w:p>
            <w:pPr>
              <w:spacing w:after="0"/>
              <w:rPr>
                <w:sz w:val="1"/>
                <w:szCs w:val="1"/>
                <w:color w:val="auto"/>
              </w:rPr>
            </w:pPr>
          </w:p>
        </w:tc>
      </w:tr>
      <w:tr>
        <w:trPr>
          <w:trHeight w:val="224"/>
        </w:trPr>
        <w:tc>
          <w:tcPr>
            <w:tcW w:w="114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auto"/>
              </w:rPr>
              <w:t>10.17†</w:t>
            </w:r>
          </w:p>
        </w:tc>
        <w:tc>
          <w:tcPr>
            <w:tcW w:w="9100" w:type="dxa"/>
            <w:vAlign w:val="bottom"/>
            <w:shd w:val="clear" w:color="auto" w:fill="FDFDFD"/>
          </w:tcPr>
          <w:p>
            <w:pPr>
              <w:ind w:left="100"/>
              <w:spacing w:after="0" w:line="224" w:lineRule="exact"/>
              <w:rPr>
                <w:sz w:val="20"/>
                <w:szCs w:val="20"/>
                <w:color w:val="auto"/>
              </w:rPr>
            </w:pPr>
            <w:r>
              <w:rPr>
                <w:rFonts w:ascii="Times New Roman" w:cs="Times New Roman" w:eastAsia="Times New Roman" w:hAnsi="Times New Roman"/>
                <w:sz w:val="20"/>
                <w:szCs w:val="20"/>
                <w:color w:val="auto"/>
              </w:rPr>
              <w:t>Form of Executive Performance-Based Restricted Stock Unit Award Agreement under Definitive Healthcare</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Corp. 2021 Equity Incentive Plan (incorporated by reference to Exhibit 10.17 to the Company’s Annual Report</w:t>
            </w:r>
          </w:p>
        </w:tc>
        <w:tc>
          <w:tcPr>
            <w:tcW w:w="0" w:type="dxa"/>
            <w:vAlign w:val="bottom"/>
          </w:tcPr>
          <w:p>
            <w:pPr>
              <w:spacing w:after="0"/>
              <w:rPr>
                <w:sz w:val="1"/>
                <w:szCs w:val="1"/>
                <w:color w:val="auto"/>
              </w:rPr>
            </w:pPr>
          </w:p>
        </w:tc>
      </w:tr>
      <w:tr>
        <w:trPr>
          <w:trHeight w:val="245"/>
        </w:trPr>
        <w:tc>
          <w:tcPr>
            <w:tcW w:w="1140" w:type="dxa"/>
            <w:vAlign w:val="bottom"/>
            <w:vMerge w:val="restart"/>
            <w:shd w:val="clear" w:color="auto" w:fill="FDFDFD"/>
          </w:tcPr>
          <w:p>
            <w:pPr>
              <w:spacing w:after="0"/>
              <w:rPr>
                <w:sz w:val="20"/>
                <w:szCs w:val="20"/>
                <w:color w:val="auto"/>
              </w:rPr>
            </w:pPr>
            <w:r>
              <w:rPr>
                <w:rFonts w:ascii="Times New Roman" w:cs="Times New Roman" w:eastAsia="Times New Roman" w:hAnsi="Times New Roman"/>
                <w:sz w:val="20"/>
                <w:szCs w:val="20"/>
                <w:color w:val="auto"/>
              </w:rPr>
              <w:t>10.18†</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on Form 10-K (File No. 001-40815) filed with the SEC on February 27, 2023).</w:t>
            </w:r>
          </w:p>
        </w:tc>
        <w:tc>
          <w:tcPr>
            <w:tcW w:w="0" w:type="dxa"/>
            <w:vAlign w:val="bottom"/>
          </w:tcPr>
          <w:p>
            <w:pPr>
              <w:spacing w:after="0"/>
              <w:rPr>
                <w:sz w:val="1"/>
                <w:szCs w:val="1"/>
                <w:color w:val="auto"/>
              </w:rPr>
            </w:pPr>
          </w:p>
        </w:tc>
      </w:tr>
      <w:tr>
        <w:trPr>
          <w:trHeight w:val="230"/>
        </w:trPr>
        <w:tc>
          <w:tcPr>
            <w:tcW w:w="1140" w:type="dxa"/>
            <w:vAlign w:val="bottom"/>
            <w:vMerge w:val="continue"/>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Form of Director Restricted Stock Unit Award Agreement under Definitive Healthcare Corp. 2021 Equity</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Incentive Plan (incorporated by reference to Exhibit 10.1 to the Company’s Current Report on Form 8-K (File</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No. 001-40815) filed with the SEC on October 3, 2022).</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10.19†</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Definitive Healthcare Corp. Cash Incentive Plan (incorporated by reference to Exhibit 10.2 to the Company’s</w:t>
            </w:r>
          </w:p>
        </w:tc>
        <w:tc>
          <w:tcPr>
            <w:tcW w:w="0" w:type="dxa"/>
            <w:vAlign w:val="bottom"/>
          </w:tcPr>
          <w:p>
            <w:pPr>
              <w:spacing w:after="0"/>
              <w:rPr>
                <w:sz w:val="1"/>
                <w:szCs w:val="1"/>
                <w:color w:val="auto"/>
              </w:rPr>
            </w:pPr>
          </w:p>
        </w:tc>
      </w:tr>
      <w:tr>
        <w:trPr>
          <w:trHeight w:val="251"/>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Current Report on Form 8-K (File No. 001-40815) filed with the SEC on February 23, 2023).</w:t>
            </w:r>
          </w:p>
        </w:tc>
        <w:tc>
          <w:tcPr>
            <w:tcW w:w="0" w:type="dxa"/>
            <w:vAlign w:val="bottom"/>
          </w:tcPr>
          <w:p>
            <w:pPr>
              <w:spacing w:after="0"/>
              <w:rPr>
                <w:sz w:val="1"/>
                <w:szCs w:val="1"/>
                <w:color w:val="auto"/>
              </w:rPr>
            </w:pPr>
          </w:p>
        </w:tc>
      </w:tr>
      <w:tr>
        <w:trPr>
          <w:trHeight w:val="224"/>
        </w:trPr>
        <w:tc>
          <w:tcPr>
            <w:tcW w:w="114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auto"/>
              </w:rPr>
              <w:t>10.20</w:t>
            </w:r>
          </w:p>
        </w:tc>
        <w:tc>
          <w:tcPr>
            <w:tcW w:w="9100" w:type="dxa"/>
            <w:vAlign w:val="bottom"/>
            <w:shd w:val="clear" w:color="auto" w:fill="FDFDFD"/>
          </w:tcPr>
          <w:p>
            <w:pPr>
              <w:ind w:left="100"/>
              <w:spacing w:after="0" w:line="224" w:lineRule="exact"/>
              <w:rPr>
                <w:sz w:val="20"/>
                <w:szCs w:val="20"/>
                <w:color w:val="auto"/>
              </w:rPr>
            </w:pPr>
            <w:r>
              <w:rPr>
                <w:rFonts w:ascii="Times New Roman" w:cs="Times New Roman" w:eastAsia="Times New Roman" w:hAnsi="Times New Roman"/>
                <w:sz w:val="20"/>
                <w:szCs w:val="20"/>
                <w:color w:val="auto"/>
              </w:rPr>
              <w:t>Form of Executive Officer and Director Indemnification Agreement for Definitive Healthcare Corp.</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(incorporated by reference to Exhibit 10.6 to the Company’s Registration Statement on Form S-1 (File No. 333-</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258990) filed with the SEC on August 20, 2021).</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10.21†</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2021 Employee Stock Purchase Plan (incorporated by reference to Exhibit 10.7 to the Company’s Registration</w:t>
            </w:r>
          </w:p>
        </w:tc>
        <w:tc>
          <w:tcPr>
            <w:tcW w:w="0" w:type="dxa"/>
            <w:vAlign w:val="bottom"/>
          </w:tcPr>
          <w:p>
            <w:pPr>
              <w:spacing w:after="0"/>
              <w:rPr>
                <w:sz w:val="1"/>
                <w:szCs w:val="1"/>
                <w:color w:val="auto"/>
              </w:rPr>
            </w:pPr>
          </w:p>
        </w:tc>
      </w:tr>
      <w:tr>
        <w:trPr>
          <w:trHeight w:val="251"/>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Statement on Form S-1 (File No. 333-258990) filed with the SEC on August 20, 2021).</w:t>
            </w:r>
          </w:p>
        </w:tc>
        <w:tc>
          <w:tcPr>
            <w:tcW w:w="0" w:type="dxa"/>
            <w:vAlign w:val="bottom"/>
          </w:tcPr>
          <w:p>
            <w:pPr>
              <w:spacing w:after="0"/>
              <w:rPr>
                <w:sz w:val="1"/>
                <w:szCs w:val="1"/>
                <w:color w:val="auto"/>
              </w:rPr>
            </w:pPr>
          </w:p>
        </w:tc>
      </w:tr>
      <w:tr>
        <w:trPr>
          <w:trHeight w:val="224"/>
        </w:trPr>
        <w:tc>
          <w:tcPr>
            <w:tcW w:w="114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auto"/>
              </w:rPr>
              <w:t>10.22†</w:t>
            </w:r>
          </w:p>
        </w:tc>
        <w:tc>
          <w:tcPr>
            <w:tcW w:w="9100" w:type="dxa"/>
            <w:vAlign w:val="bottom"/>
            <w:shd w:val="clear" w:color="auto" w:fill="FDFDFD"/>
          </w:tcPr>
          <w:p>
            <w:pPr>
              <w:ind w:left="100"/>
              <w:spacing w:after="0" w:line="224" w:lineRule="exact"/>
              <w:rPr>
                <w:sz w:val="20"/>
                <w:szCs w:val="20"/>
                <w:color w:val="auto"/>
              </w:rPr>
            </w:pPr>
            <w:r>
              <w:rPr>
                <w:rFonts w:ascii="Times New Roman" w:cs="Times New Roman" w:eastAsia="Times New Roman" w:hAnsi="Times New Roman"/>
                <w:sz w:val="20"/>
                <w:szCs w:val="20"/>
                <w:color w:val="auto"/>
              </w:rPr>
              <w:t>Employment Agreement, dated January 29, 2021, by and between Definitive Healthcare, LLC and Richard</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Booth (incorporated by reference to Exhibit 10.9 to the Company’s Registration Statement on Form S-1 (File</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No. 333-258990) filed with the SEC on August 20, 2021).</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10.23†</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Executive Chairman Agreement, dated as of May 4, 2022, by and among Definitive Healthcare, LLC,</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Definitive Healthcare Corp. and Jason Krantz (incorporated by reference to Exhibit 10.2 to the Company’s</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Current Report on Form 8-K (File No. 001-40815) filed with the SEC on May 5, 2022).</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10.24†</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Amendment to Executive Chairman Agreement and Employment Agreement of Jason Krantz, dated as of</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February 16, 2023 (incorporated by reference to Exhibit 10.1 to the Company’s Current Report on Form 8-K</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(File No. 001-40815) filed with the SEC on February 23, 2023).</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10.25†</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Offer Letter to Kate Shamsuddin Jensen, dated February 3, 2015 (incorporated by reference to Exhibit 10.30 to</w:t>
            </w:r>
          </w:p>
        </w:tc>
        <w:tc>
          <w:tcPr>
            <w:tcW w:w="0" w:type="dxa"/>
            <w:vAlign w:val="bottom"/>
          </w:tcPr>
          <w:p>
            <w:pPr>
              <w:spacing w:after="0"/>
              <w:rPr>
                <w:sz w:val="1"/>
                <w:szCs w:val="1"/>
                <w:color w:val="auto"/>
              </w:rPr>
            </w:pPr>
          </w:p>
        </w:tc>
      </w:tr>
      <w:tr>
        <w:trPr>
          <w:trHeight w:val="245"/>
        </w:trPr>
        <w:tc>
          <w:tcPr>
            <w:tcW w:w="1140" w:type="dxa"/>
            <w:vAlign w:val="bottom"/>
            <w:vMerge w:val="restart"/>
            <w:shd w:val="clear" w:color="auto" w:fill="FDFDFD"/>
          </w:tcPr>
          <w:p>
            <w:pPr>
              <w:spacing w:after="0"/>
              <w:rPr>
                <w:sz w:val="20"/>
                <w:szCs w:val="20"/>
                <w:color w:val="auto"/>
              </w:rPr>
            </w:pPr>
            <w:r>
              <w:rPr>
                <w:rFonts w:ascii="Times New Roman" w:cs="Times New Roman" w:eastAsia="Times New Roman" w:hAnsi="Times New Roman"/>
                <w:sz w:val="20"/>
                <w:szCs w:val="20"/>
                <w:color w:val="auto"/>
              </w:rPr>
              <w:t>10.26†</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the Company’s Annual Report on Form 10-K (File No. 001-40815) filed with the SEC on February 27, 2023).</w:t>
            </w:r>
          </w:p>
        </w:tc>
        <w:tc>
          <w:tcPr>
            <w:tcW w:w="0" w:type="dxa"/>
            <w:vAlign w:val="bottom"/>
          </w:tcPr>
          <w:p>
            <w:pPr>
              <w:spacing w:after="0"/>
              <w:rPr>
                <w:sz w:val="1"/>
                <w:szCs w:val="1"/>
                <w:color w:val="auto"/>
              </w:rPr>
            </w:pPr>
          </w:p>
        </w:tc>
      </w:tr>
      <w:tr>
        <w:trPr>
          <w:trHeight w:val="230"/>
        </w:trPr>
        <w:tc>
          <w:tcPr>
            <w:tcW w:w="1140" w:type="dxa"/>
            <w:vAlign w:val="bottom"/>
            <w:vMerge w:val="continue"/>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Employment Agreement, dated as of September 22, 2022, by and between Definitive Healthcare, LLC and</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Jonathan Maack (incorporated by reference to Exhibit 10.1 to the Company’s Current Report on Form 8-K (File</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No. 001-40815) filed with the SEC on November 3, 2022).</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10.27†</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Definitive Healthcare Corp. Severance Plan for Executives (incorporated by reference to Exhibit 10.1 to the</w:t>
            </w:r>
          </w:p>
        </w:tc>
        <w:tc>
          <w:tcPr>
            <w:tcW w:w="0" w:type="dxa"/>
            <w:vAlign w:val="bottom"/>
          </w:tcPr>
          <w:p>
            <w:pPr>
              <w:spacing w:after="0"/>
              <w:rPr>
                <w:sz w:val="1"/>
                <w:szCs w:val="1"/>
                <w:color w:val="auto"/>
              </w:rPr>
            </w:pPr>
          </w:p>
        </w:tc>
      </w:tr>
      <w:tr>
        <w:trPr>
          <w:trHeight w:val="251"/>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Company’s Current Report on Form 8-K (File No. 001-40815) filed with the SEC on November 21, 2023).</w:t>
            </w:r>
          </w:p>
        </w:tc>
        <w:tc>
          <w:tcPr>
            <w:tcW w:w="0" w:type="dxa"/>
            <w:vAlign w:val="bottom"/>
          </w:tcPr>
          <w:p>
            <w:pPr>
              <w:spacing w:after="0"/>
              <w:rPr>
                <w:sz w:val="1"/>
                <w:szCs w:val="1"/>
                <w:color w:val="auto"/>
              </w:rPr>
            </w:pPr>
          </w:p>
        </w:tc>
      </w:tr>
      <w:tr>
        <w:trPr>
          <w:trHeight w:val="224"/>
        </w:trPr>
        <w:tc>
          <w:tcPr>
            <w:tcW w:w="114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auto"/>
              </w:rPr>
              <w:t>10.28†</w:t>
            </w:r>
          </w:p>
        </w:tc>
        <w:tc>
          <w:tcPr>
            <w:tcW w:w="9100" w:type="dxa"/>
            <w:vAlign w:val="bottom"/>
            <w:shd w:val="clear" w:color="auto" w:fill="FDFDFD"/>
          </w:tcPr>
          <w:p>
            <w:pPr>
              <w:ind w:left="100"/>
              <w:spacing w:after="0" w:line="224" w:lineRule="exact"/>
              <w:rPr>
                <w:sz w:val="20"/>
                <w:szCs w:val="20"/>
                <w:color w:val="auto"/>
              </w:rPr>
            </w:pPr>
            <w:r>
              <w:rPr>
                <w:rFonts w:ascii="Times New Roman" w:cs="Times New Roman" w:eastAsia="Times New Roman" w:hAnsi="Times New Roman"/>
                <w:sz w:val="20"/>
                <w:szCs w:val="20"/>
                <w:color w:val="auto"/>
              </w:rPr>
              <w:t>Definitive Healthcare Corp. Change in Control Severance Plan for Executives (incorporated by reference to</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Exhibit 10.36 to the Company’s Annual Report on Form 10-K (File No. 001-40815) filed with the SEC on</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February 27, 2023).</w:t>
            </w:r>
          </w:p>
        </w:tc>
        <w:tc>
          <w:tcPr>
            <w:tcW w:w="0" w:type="dxa"/>
            <w:vAlign w:val="bottom"/>
          </w:tcPr>
          <w:p>
            <w:pPr>
              <w:spacing w:after="0"/>
              <w:rPr>
                <w:sz w:val="1"/>
                <w:szCs w:val="1"/>
                <w:color w:val="auto"/>
              </w:rPr>
            </w:pPr>
          </w:p>
        </w:tc>
      </w:tr>
      <w:tr>
        <w:trPr>
          <w:trHeight w:val="251"/>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10.29†*</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The Amended and Restated Definitive Healthcare Corp. 2023 Inducement Plan.</w:t>
            </w:r>
          </w:p>
        </w:tc>
        <w:tc>
          <w:tcPr>
            <w:tcW w:w="0" w:type="dxa"/>
            <w:vAlign w:val="bottom"/>
          </w:tcPr>
          <w:p>
            <w:pPr>
              <w:spacing w:after="0"/>
              <w:rPr>
                <w:sz w:val="1"/>
                <w:szCs w:val="1"/>
                <w:color w:val="auto"/>
              </w:rPr>
            </w:pPr>
          </w:p>
        </w:tc>
      </w:tr>
      <w:tr>
        <w:trPr>
          <w:trHeight w:val="224"/>
        </w:trPr>
        <w:tc>
          <w:tcPr>
            <w:tcW w:w="114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auto"/>
              </w:rPr>
              <w:t>10.30†</w:t>
            </w:r>
          </w:p>
        </w:tc>
        <w:tc>
          <w:tcPr>
            <w:tcW w:w="9100" w:type="dxa"/>
            <w:vAlign w:val="bottom"/>
            <w:shd w:val="clear" w:color="auto" w:fill="FDFDFD"/>
          </w:tcPr>
          <w:p>
            <w:pPr>
              <w:ind w:left="100"/>
              <w:spacing w:after="0" w:line="224" w:lineRule="exact"/>
              <w:rPr>
                <w:sz w:val="20"/>
                <w:szCs w:val="20"/>
                <w:color w:val="auto"/>
              </w:rPr>
            </w:pPr>
            <w:r>
              <w:rPr>
                <w:rFonts w:ascii="Times New Roman" w:cs="Times New Roman" w:eastAsia="Times New Roman" w:hAnsi="Times New Roman"/>
                <w:sz w:val="20"/>
                <w:szCs w:val="20"/>
                <w:color w:val="auto"/>
              </w:rPr>
              <w:t>Form of RSU Award Agreement under 2023 Inducement Plan (incorporated by reference to Exhibit 99.2 to the</w:t>
            </w:r>
          </w:p>
        </w:tc>
        <w:tc>
          <w:tcPr>
            <w:tcW w:w="0" w:type="dxa"/>
            <w:vAlign w:val="bottom"/>
          </w:tcPr>
          <w:p>
            <w:pPr>
              <w:spacing w:after="0"/>
              <w:rPr>
                <w:sz w:val="1"/>
                <w:szCs w:val="1"/>
                <w:color w:val="auto"/>
              </w:rPr>
            </w:pPr>
          </w:p>
        </w:tc>
      </w:tr>
      <w:tr>
        <w:trPr>
          <w:trHeight w:val="245"/>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Company’s S-8 (File No. 333-274370) filed with the SEC on September 6, 2023).</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10.31†</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Form of PSU Award Agreement under 2023 Inducement Plan (incorporated by reference to Exhibit 99.3 to the</w:t>
            </w:r>
          </w:p>
        </w:tc>
        <w:tc>
          <w:tcPr>
            <w:tcW w:w="0" w:type="dxa"/>
            <w:vAlign w:val="bottom"/>
          </w:tcPr>
          <w:p>
            <w:pPr>
              <w:spacing w:after="0"/>
              <w:rPr>
                <w:sz w:val="1"/>
                <w:szCs w:val="1"/>
                <w:color w:val="auto"/>
              </w:rPr>
            </w:pPr>
          </w:p>
        </w:tc>
      </w:tr>
      <w:tr>
        <w:trPr>
          <w:trHeight w:val="251"/>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Company’s S-8 (File No. 333-274370) filed with the SEC on September 6,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821" w:right="82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240"/>
          </w:cols>
          <w:pgMar w:left="820" w:top="821" w:right="820" w:bottom="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11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10.32†</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Separation Agreement and Release of Claims, dated as of January 12, 2024, by and between Definitive</w:t>
            </w:r>
          </w:p>
        </w:tc>
        <w:tc>
          <w:tcPr>
            <w:tcW w:w="0" w:type="dxa"/>
            <w:vAlign w:val="bottom"/>
          </w:tcPr>
          <w:p>
            <w:pPr>
              <w:spacing w:after="0"/>
              <w:rPr>
                <w:sz w:val="1"/>
                <w:szCs w:val="1"/>
                <w:color w:val="auto"/>
              </w:rPr>
            </w:pPr>
          </w:p>
        </w:tc>
      </w:tr>
      <w:tr>
        <w:trPr>
          <w:trHeight w:val="230"/>
        </w:trPr>
        <w:tc>
          <w:tcPr>
            <w:tcW w:w="1140" w:type="dxa"/>
            <w:vAlign w:val="bottom"/>
            <w:shd w:val="clear" w:color="auto" w:fill="FDFDFD"/>
          </w:tcPr>
          <w:p>
            <w:pPr>
              <w:spacing w:after="0"/>
              <w:rPr>
                <w:sz w:val="19"/>
                <w:szCs w:val="19"/>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Healthcare Corp. and Robert Musslewhite (incorporated by reference to Exhibit 10.1 to the Company’s Current</w:t>
            </w:r>
          </w:p>
        </w:tc>
        <w:tc>
          <w:tcPr>
            <w:tcW w:w="0" w:type="dxa"/>
            <w:vAlign w:val="bottom"/>
          </w:tcPr>
          <w:p>
            <w:pPr>
              <w:spacing w:after="0"/>
              <w:rPr>
                <w:sz w:val="1"/>
                <w:szCs w:val="1"/>
                <w:color w:val="auto"/>
              </w:rPr>
            </w:pPr>
          </w:p>
        </w:tc>
      </w:tr>
      <w:tr>
        <w:trPr>
          <w:trHeight w:val="251"/>
        </w:trPr>
        <w:tc>
          <w:tcPr>
            <w:tcW w:w="1140" w:type="dxa"/>
            <w:vAlign w:val="bottom"/>
            <w:shd w:val="clear" w:color="auto" w:fill="FDFDFD"/>
          </w:tcPr>
          <w:p>
            <w:pPr>
              <w:spacing w:after="0"/>
              <w:rPr>
                <w:sz w:val="21"/>
                <w:szCs w:val="21"/>
                <w:color w:val="auto"/>
              </w:rPr>
            </w:pP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Report on Form 8-K (File No. 001-40815) filed with the SEC on January 16, 2024).</w:t>
            </w:r>
          </w:p>
        </w:tc>
        <w:tc>
          <w:tcPr>
            <w:tcW w:w="0" w:type="dxa"/>
            <w:vAlign w:val="bottom"/>
          </w:tcPr>
          <w:p>
            <w:pPr>
              <w:spacing w:after="0"/>
              <w:rPr>
                <w:sz w:val="1"/>
                <w:szCs w:val="1"/>
                <w:color w:val="auto"/>
              </w:rPr>
            </w:pPr>
          </w:p>
        </w:tc>
      </w:tr>
      <w:tr>
        <w:trPr>
          <w:trHeight w:val="224"/>
        </w:trPr>
        <w:tc>
          <w:tcPr>
            <w:tcW w:w="114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10.33†</w:t>
            </w:r>
          </w:p>
        </w:tc>
        <w:tc>
          <w:tcPr>
            <w:tcW w:w="9100" w:type="dxa"/>
            <w:vAlign w:val="bottom"/>
            <w:shd w:val="clear" w:color="auto" w:fill="FDFDFD"/>
          </w:tcPr>
          <w:p>
            <w:pPr>
              <w:ind w:left="100"/>
              <w:spacing w:after="0" w:line="224" w:lineRule="exact"/>
              <w:rPr>
                <w:sz w:val="20"/>
                <w:szCs w:val="20"/>
                <w:color w:val="auto"/>
              </w:rPr>
            </w:pPr>
            <w:r>
              <w:rPr>
                <w:rFonts w:ascii="Times New Roman" w:cs="Times New Roman" w:eastAsia="Times New Roman" w:hAnsi="Times New Roman"/>
                <w:sz w:val="20"/>
                <w:szCs w:val="20"/>
                <w:color w:val="auto"/>
              </w:rPr>
              <w:t>The Definitive Healthcare Corp. Director Compensation Plan (incorporated by reference to Exhibit 10.1 to the</w:t>
            </w:r>
          </w:p>
        </w:tc>
        <w:tc>
          <w:tcPr>
            <w:tcW w:w="0" w:type="dxa"/>
            <w:vAlign w:val="bottom"/>
          </w:tcPr>
          <w:p>
            <w:pPr>
              <w:spacing w:after="0"/>
              <w:rPr>
                <w:sz w:val="1"/>
                <w:szCs w:val="1"/>
                <w:color w:val="auto"/>
              </w:rPr>
            </w:pPr>
          </w:p>
        </w:tc>
      </w:tr>
      <w:tr>
        <w:trPr>
          <w:trHeight w:val="251"/>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10.34†</w:t>
            </w:r>
          </w:p>
        </w:tc>
        <w:tc>
          <w:tcPr>
            <w:tcW w:w="910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Company’s Quarterly Report on Form 10-Q (File No. 001-40815) filed with the SEC on August 14, 2023).</w:t>
            </w:r>
          </w:p>
        </w:tc>
        <w:tc>
          <w:tcPr>
            <w:tcW w:w="0" w:type="dxa"/>
            <w:vAlign w:val="bottom"/>
          </w:tcPr>
          <w:p>
            <w:pPr>
              <w:spacing w:after="0"/>
              <w:rPr>
                <w:sz w:val="1"/>
                <w:szCs w:val="1"/>
                <w:color w:val="auto"/>
              </w:rPr>
            </w:pPr>
          </w:p>
        </w:tc>
      </w:tr>
      <w:tr>
        <w:trPr>
          <w:trHeight w:val="224"/>
        </w:trPr>
        <w:tc>
          <w:tcPr>
            <w:tcW w:w="1140" w:type="dxa"/>
            <w:vAlign w:val="bottom"/>
            <w:vMerge w:val="continue"/>
          </w:tcPr>
          <w:p>
            <w:pPr>
              <w:spacing w:after="0"/>
              <w:rPr>
                <w:sz w:val="19"/>
                <w:szCs w:val="19"/>
                <w:color w:val="auto"/>
              </w:rPr>
            </w:pPr>
          </w:p>
        </w:tc>
        <w:tc>
          <w:tcPr>
            <w:tcW w:w="910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Employment Agreement, dated as of May 20, 2024, by and among Definitive Healthcare, LLC, Definitive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Healthcare Corp. and Kevin Coop (incorporated by reference to Exhibit 10.1 to the Company’s Current Report</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on Form 8-K (File No. 001-40815) filed with the SEC on May 24, 2024).</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10.35†</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Executive Value Creation PSU Award Agreement under the Definitive Healthcare Corp. 2023</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Inducement Plan (incorporated by reference to Exhibit 10.2 to the Company’s Current Report on Form 8-K</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(File No. 001-40815) filed with the SEC on May 24, 2024).</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10.36</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Voting Agreement, dated November 7, 2024 (incorporated by reference to Exhibit 10.1 to the Company’s</w:t>
            </w:r>
          </w:p>
        </w:tc>
        <w:tc>
          <w:tcPr>
            <w:tcW w:w="0" w:type="dxa"/>
            <w:vAlign w:val="bottom"/>
          </w:tcPr>
          <w:p>
            <w:pPr>
              <w:spacing w:after="0"/>
              <w:rPr>
                <w:sz w:val="1"/>
                <w:szCs w:val="1"/>
                <w:color w:val="auto"/>
              </w:rPr>
            </w:pPr>
          </w:p>
        </w:tc>
      </w:tr>
      <w:tr>
        <w:trPr>
          <w:trHeight w:val="245"/>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10.37</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Current Report on Form 8-K (File No. 001-40815) filed with the SEC on November 7, 2024).</w:t>
            </w: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Amendment No. 2, dated as of January 16, 2025, to Credit Agreement, dated September 17, 2021, by and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among Definitive Healthcare Holdings, LLC, AIDH Buyer, LLC, the other loan guarantors from time to time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party thereto, Bank of America, N.A., as Administrative Agent, the lenders party thereto and the issuing banks</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from time to time party thereto (incorporated by reference to Exhibit 10.1 to the Company’s Current Report on</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8-K (File No. 001-40815) filed with the SEC on January 16, 2025).</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10.38†*^</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Employment Agreement, dated as of July 17, 2023, by and between Definitive Healthcare, LLC and William</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Moschella.</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10.39*^</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Holdback Agreement, dated as of July 17, 2023, by and between Analytical Wizards, Inc. and Masheen, LLC.</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Definitive Healthcare Corp. Insider Trading Policy.</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List of subsidiaries.</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Consent of Deloitte &amp; Touche LLP, Independent Registered Public Accounting Firm.</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Power of Attorney (included on signature page).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Exchange Act of 1934, as Adopted Pursuant to Section 302 of the Sarbanes-Oxley Act of 2002.</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Exchange Act of 1934, as Adopted Pursuant to Section 302 of the Sarbanes-Oxley Act of 2002.</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Certification of Principal Executive Officer and Principal Financial Officer pursuant to 18 U.S.C. Section 1350,</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Definitive Healthcare Corp. Incentive Compensation Recoupment Policy (incorporated by reference to Exhibit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97.1 to the Company’s Annual Report on Form 10-K (File No. 001-40815) filed with the SEC on February 28,</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Instance Document – the instance document does not appear in the Interactive Data File because</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XBRL tags are embedded within the Inline XBRL document.</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-5570220</wp:posOffset>
            </wp:positionV>
            <wp:extent cx="6492240" cy="5876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92240" cy="5876290"/>
                    </a:xfrm>
                    <a:prstGeom prst="rect">
                      <a:avLst/>
                    </a:prstGeom>
                    <a:noFill/>
                  </pic:spPr>
                </pic:pic>
              </a:graphicData>
            </a:graphic>
          </wp:anchor>
        </w:drawing>
      </w:r>
    </w:p>
    <w:p>
      <w:pPr>
        <w:ind w:left="1240" w:right="240" w:hanging="1232"/>
        <w:spacing w:after="0" w:line="279" w:lineRule="auto"/>
        <w:tabs>
          <w:tab w:leader="none" w:pos="12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104267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42670" cy="635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Portions of this exhibit have been omitted in accordance with Item 601(b)(10)(iv) of Regulation S-K.</w:t>
      </w:r>
    </w:p>
    <w:p>
      <w:pPr>
        <w:spacing w:after="0" w:line="120" w:lineRule="exact"/>
        <w:rPr>
          <w:sz w:val="20"/>
          <w:szCs w:val="20"/>
          <w:color w:val="auto"/>
        </w:rPr>
      </w:pPr>
    </w:p>
    <w:p>
      <w:pPr>
        <w:ind w:right="100" w:firstLine="8"/>
        <w:spacing w:after="0" w:line="253" w:lineRule="auto"/>
        <w:tabs>
          <w:tab w:leader="none" w:pos="16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 attached as Exhibit 32.1 that accompanies this Annual Report on Form 10-K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Management contract or compensatory plan or arrangement.</w:t>
      </w:r>
    </w:p>
    <w:p>
      <w:pPr>
        <w:spacing w:after="0" w:line="23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pgSz w:w="11880" w:h="15480" w:orient="portrait"/>
          <w:cols w:equalWidth="0" w:num="1">
            <w:col w:w="10240"/>
          </w:cols>
          <w:pgMar w:left="820" w:top="82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240"/>
          </w:cols>
          <w:pgMar w:left="820" w:top="821" w:right="82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ectPr>
          <w:pgSz w:w="11880" w:h="15480" w:orient="portrait"/>
          <w:cols w:equalWidth="0" w:num="1">
            <w:col w:w="9620"/>
          </w:cols>
          <w:pgMar w:left="820" w:top="803" w:right="1440" w:bottom="0" w:gutter="0" w:footer="0" w:header="0"/>
        </w:sectPr>
      </w:pP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None.</w:t>
      </w:r>
    </w:p>
    <w:p>
      <w:pPr>
        <w:sectPr>
          <w:pgSz w:w="11880" w:h="15480" w:orient="portrait"/>
          <w:cols w:equalWidth="0" w:num="1">
            <w:col w:w="9620"/>
          </w:cols>
          <w:pgMar w:left="820" w:top="80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9620"/>
          </w:cols>
          <w:pgMar w:left="820" w:top="803" w:right="1440" w:bottom="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3" w:lineRule="exact"/>
        <w:rPr>
          <w:sz w:val="20"/>
          <w:szCs w:val="20"/>
          <w:color w:val="auto"/>
        </w:rPr>
      </w:pPr>
    </w:p>
    <w:p>
      <w:pPr>
        <w:ind w:right="180" w:firstLine="49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40" w:type="dxa"/>
            <w:vAlign w:val="bottom"/>
            <w:shd w:val="clear" w:color="auto" w:fill="FDFDFD"/>
          </w:tcPr>
          <w:p>
            <w:pPr>
              <w:spacing w:after="0"/>
              <w:rPr>
                <w:sz w:val="21"/>
                <w:szCs w:val="21"/>
                <w:color w:val="auto"/>
              </w:rPr>
            </w:pPr>
          </w:p>
        </w:tc>
        <w:tc>
          <w:tcPr>
            <w:tcW w:w="2560" w:type="dxa"/>
            <w:vAlign w:val="bottom"/>
            <w:gridSpan w:val="2"/>
            <w:shd w:val="clear" w:color="auto" w:fill="FDFDFD"/>
          </w:tcPr>
          <w:p>
            <w:pPr>
              <w:ind w:left="280"/>
              <w:spacing w:after="0"/>
              <w:rPr>
                <w:sz w:val="20"/>
                <w:szCs w:val="20"/>
                <w:color w:val="auto"/>
              </w:rPr>
            </w:pPr>
            <w:r>
              <w:rPr>
                <w:rFonts w:ascii="Times New Roman" w:cs="Times New Roman" w:eastAsia="Times New Roman" w:hAnsi="Times New Roman"/>
                <w:sz w:val="20"/>
                <w:szCs w:val="20"/>
                <w:color w:val="auto"/>
              </w:rPr>
              <w:t>Definitive Healthcare Corp.</w:t>
            </w:r>
          </w:p>
        </w:tc>
        <w:tc>
          <w:tcPr>
            <w:tcW w:w="304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40" w:type="dxa"/>
            <w:vAlign w:val="bottom"/>
            <w:shd w:val="clear" w:color="auto" w:fill="FDFDFD"/>
          </w:tcPr>
          <w:p>
            <w:pPr>
              <w:spacing w:after="0"/>
              <w:rPr>
                <w:sz w:val="21"/>
                <w:szCs w:val="21"/>
                <w:color w:val="auto"/>
              </w:rPr>
            </w:pPr>
          </w:p>
        </w:tc>
        <w:tc>
          <w:tcPr>
            <w:tcW w:w="2560" w:type="dxa"/>
            <w:vAlign w:val="bottom"/>
            <w:gridSpan w:val="2"/>
            <w:vMerge w:val="restart"/>
            <w:shd w:val="clear" w:color="auto" w:fill="FDFDFD"/>
          </w:tcPr>
          <w:p>
            <w:pPr>
              <w:ind w:left="280"/>
              <w:spacing w:after="0"/>
              <w:rPr>
                <w:sz w:val="20"/>
                <w:szCs w:val="20"/>
                <w:color w:val="auto"/>
              </w:rPr>
            </w:pPr>
            <w:r>
              <w:rPr>
                <w:rFonts w:ascii="Times New Roman" w:cs="Times New Roman" w:eastAsia="Times New Roman" w:hAnsi="Times New Roman"/>
                <w:sz w:val="20"/>
                <w:szCs w:val="20"/>
                <w:color w:val="auto"/>
              </w:rPr>
              <w:t>By:</w:t>
            </w:r>
          </w:p>
        </w:tc>
        <w:tc>
          <w:tcPr>
            <w:tcW w:w="3040" w:type="dxa"/>
            <w:vAlign w:val="bottom"/>
            <w:vMerge w:val="restart"/>
            <w:shd w:val="clear" w:color="auto" w:fill="FDFDFD"/>
          </w:tcPr>
          <w:p>
            <w:pPr>
              <w:jc w:val="center"/>
              <w:ind w:right="1640"/>
              <w:spacing w:after="0"/>
              <w:rPr>
                <w:sz w:val="20"/>
                <w:szCs w:val="20"/>
                <w:color w:val="auto"/>
              </w:rPr>
            </w:pPr>
            <w:r>
              <w:rPr>
                <w:rFonts w:ascii="Times New Roman" w:cs="Times New Roman" w:eastAsia="Times New Roman" w:hAnsi="Times New Roman"/>
                <w:sz w:val="20"/>
                <w:szCs w:val="20"/>
                <w:color w:val="auto"/>
              </w:rPr>
              <w:t>/s/ Kevin Coop</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27, 2025</w:t>
            </w:r>
          </w:p>
        </w:tc>
        <w:tc>
          <w:tcPr>
            <w:tcW w:w="2560" w:type="dxa"/>
            <w:vAlign w:val="bottom"/>
            <w:gridSpan w:val="2"/>
            <w:vMerge w:val="continue"/>
            <w:shd w:val="clear" w:color="auto" w:fill="FDFDFD"/>
          </w:tcPr>
          <w:p>
            <w:pPr>
              <w:spacing w:after="0"/>
              <w:rPr>
                <w:sz w:val="21"/>
                <w:szCs w:val="21"/>
                <w:color w:val="auto"/>
              </w:rPr>
            </w:pPr>
          </w:p>
        </w:tc>
        <w:tc>
          <w:tcPr>
            <w:tcW w:w="3040" w:type="dxa"/>
            <w:vAlign w:val="bottom"/>
            <w:vMerge w:val="continue"/>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tcPr>
          <w:p>
            <w:pPr>
              <w:jc w:val="center"/>
              <w:ind w:right="1640"/>
              <w:spacing w:after="0" w:line="221" w:lineRule="exact"/>
              <w:rPr>
                <w:sz w:val="20"/>
                <w:szCs w:val="20"/>
                <w:color w:val="auto"/>
              </w:rPr>
            </w:pPr>
            <w:r>
              <w:rPr>
                <w:rFonts w:ascii="Times New Roman" w:cs="Times New Roman" w:eastAsia="Times New Roman" w:hAnsi="Times New Roman"/>
                <w:sz w:val="20"/>
                <w:szCs w:val="20"/>
                <w:b w:val="1"/>
                <w:bCs w:val="1"/>
                <w:color w:val="auto"/>
              </w:rPr>
              <w:t>Kevin Coop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6492240" cy="469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92240" cy="46990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20"/>
          <w:szCs w:val="20"/>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492240" cy="155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92240" cy="155575"/>
                    </a:xfrm>
                    <a:prstGeom prst="rect">
                      <a:avLst/>
                    </a:prstGeom>
                    <a:noFill/>
                  </pic:spPr>
                </pic:pic>
              </a:graphicData>
            </a:graphic>
          </wp:anchor>
        </w:drawing>
      </w:r>
    </w:p>
    <w:p>
      <w:pPr>
        <w:spacing w:after="0" w:line="22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123"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Each person whose signature appears below constitutes and appoints Kevin Coop and Richard Booth,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82"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and on the dates indicated.</w:t>
      </w:r>
    </w:p>
    <w:p>
      <w:pPr>
        <w:spacing w:after="0" w:line="217" w:lineRule="exact"/>
        <w:rPr>
          <w:sz w:val="20"/>
          <w:szCs w:val="20"/>
          <w:color w:val="auto"/>
        </w:rPr>
      </w:pPr>
    </w:p>
    <w:p>
      <w:pPr>
        <w:ind w:left="1480"/>
        <w:spacing w:after="0"/>
        <w:tabs>
          <w:tab w:leader="none" w:pos="5520" w:val="left"/>
          <w:tab w:leader="none" w:pos="89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6492240" cy="1257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92240" cy="1257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14"/>
        </w:trPr>
        <w:tc>
          <w:tcPr>
            <w:tcW w:w="3380" w:type="dxa"/>
            <w:vAlign w:val="bottom"/>
            <w:tcBorders>
              <w:top w:val="single" w:sz="8" w:color="auto"/>
            </w:tcBorders>
            <w:shd w:val="clear" w:color="auto" w:fill="FDFDFD"/>
          </w:tcPr>
          <w:p>
            <w:pPr>
              <w:spacing w:after="0"/>
              <w:rPr>
                <w:sz w:val="24"/>
                <w:szCs w:val="24"/>
                <w:color w:val="auto"/>
              </w:rPr>
            </w:pPr>
          </w:p>
        </w:tc>
        <w:tc>
          <w:tcPr>
            <w:tcW w:w="100" w:type="dxa"/>
            <w:vAlign w:val="bottom"/>
            <w:tcBorders>
              <w:top w:val="single" w:sz="8" w:color="FDFDFD"/>
            </w:tcBorders>
            <w:shd w:val="clear" w:color="auto" w:fill="FDFDFD"/>
          </w:tcPr>
          <w:p>
            <w:pPr>
              <w:spacing w:after="0"/>
              <w:rPr>
                <w:sz w:val="24"/>
                <w:szCs w:val="24"/>
                <w:color w:val="auto"/>
              </w:rPr>
            </w:pPr>
          </w:p>
        </w:tc>
        <w:tc>
          <w:tcPr>
            <w:tcW w:w="4440" w:type="dxa"/>
            <w:vAlign w:val="bottom"/>
            <w:tcBorders>
              <w:top w:val="single" w:sz="8" w:color="auto"/>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Chief Executive Officer (Principal Executive Officer)</w:t>
            </w:r>
          </w:p>
        </w:tc>
        <w:tc>
          <w:tcPr>
            <w:tcW w:w="100" w:type="dxa"/>
            <w:vAlign w:val="bottom"/>
            <w:tcBorders>
              <w:top w:val="single" w:sz="8" w:color="FDFDFD"/>
            </w:tcBorders>
            <w:shd w:val="clear" w:color="auto" w:fill="FDFDFD"/>
          </w:tcPr>
          <w:p>
            <w:pPr>
              <w:spacing w:after="0"/>
              <w:rPr>
                <w:sz w:val="24"/>
                <w:szCs w:val="24"/>
                <w:color w:val="auto"/>
              </w:rPr>
            </w:pPr>
          </w:p>
        </w:tc>
        <w:tc>
          <w:tcPr>
            <w:tcW w:w="2220" w:type="dxa"/>
            <w:vAlign w:val="bottom"/>
            <w:tcBorders>
              <w:top w:val="single" w:sz="8" w:color="auto"/>
            </w:tcBorders>
            <w:shd w:val="clear" w:color="auto" w:fill="FDFDFD"/>
          </w:tcPr>
          <w:p>
            <w:pPr>
              <w:spacing w:after="0"/>
              <w:rPr>
                <w:sz w:val="24"/>
                <w:szCs w:val="24"/>
                <w:color w:val="auto"/>
              </w:rPr>
            </w:pPr>
          </w:p>
        </w:tc>
      </w:tr>
      <w:tr>
        <w:trPr>
          <w:trHeight w:val="251"/>
        </w:trPr>
        <w:tc>
          <w:tcPr>
            <w:tcW w:w="3380" w:type="dxa"/>
            <w:vAlign w:val="bottom"/>
            <w:tcBorders>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auto"/>
              </w:rPr>
              <w:t>/s/ Kevin Coop</w:t>
            </w:r>
          </w:p>
        </w:tc>
        <w:tc>
          <w:tcPr>
            <w:tcW w:w="100" w:type="dxa"/>
            <w:vAlign w:val="bottom"/>
            <w:tcBorders>
              <w:bottom w:val="single" w:sz="8" w:color="FDFDFD"/>
            </w:tcBorders>
            <w:shd w:val="clear" w:color="auto" w:fill="FDFDFD"/>
          </w:tcPr>
          <w:p>
            <w:pPr>
              <w:spacing w:after="0"/>
              <w:rPr>
                <w:sz w:val="21"/>
                <w:szCs w:val="21"/>
                <w:color w:val="auto"/>
              </w:rPr>
            </w:pPr>
          </w:p>
        </w:tc>
        <w:tc>
          <w:tcPr>
            <w:tcW w:w="44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and Director</w:t>
            </w:r>
          </w:p>
        </w:tc>
        <w:tc>
          <w:tcPr>
            <w:tcW w:w="100" w:type="dxa"/>
            <w:vAlign w:val="bottom"/>
            <w:tcBorders>
              <w:bottom w:val="single" w:sz="8" w:color="FDFDFD"/>
            </w:tcBorders>
            <w:shd w:val="clear" w:color="auto" w:fill="FDFDFD"/>
          </w:tcPr>
          <w:p>
            <w:pPr>
              <w:spacing w:after="0"/>
              <w:rPr>
                <w:sz w:val="21"/>
                <w:szCs w:val="21"/>
                <w:color w:val="auto"/>
              </w:rPr>
            </w:pPr>
          </w:p>
        </w:tc>
        <w:tc>
          <w:tcPr>
            <w:tcW w:w="222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183"/>
        </w:trPr>
        <w:tc>
          <w:tcPr>
            <w:tcW w:w="3380" w:type="dxa"/>
            <w:vAlign w:val="bottom"/>
            <w:shd w:val="clear" w:color="auto" w:fill="FDFDFD"/>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Kevin Coop</w:t>
            </w:r>
          </w:p>
        </w:tc>
        <w:tc>
          <w:tcPr>
            <w:tcW w:w="100" w:type="dxa"/>
            <w:vAlign w:val="bottom"/>
            <w:shd w:val="clear" w:color="auto" w:fill="FDFDFD"/>
          </w:tcPr>
          <w:p>
            <w:pPr>
              <w:spacing w:after="0"/>
              <w:rPr>
                <w:sz w:val="15"/>
                <w:szCs w:val="15"/>
                <w:color w:val="auto"/>
              </w:rPr>
            </w:pPr>
          </w:p>
        </w:tc>
        <w:tc>
          <w:tcPr>
            <w:tcW w:w="44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2220" w:type="dxa"/>
            <w:vAlign w:val="bottom"/>
            <w:shd w:val="clear" w:color="auto" w:fill="FDFDFD"/>
          </w:tcPr>
          <w:p>
            <w:pPr>
              <w:spacing w:after="0"/>
              <w:rPr>
                <w:sz w:val="15"/>
                <w:szCs w:val="15"/>
                <w:color w:val="auto"/>
              </w:rPr>
            </w:pPr>
          </w:p>
        </w:tc>
      </w:tr>
      <w:tr>
        <w:trPr>
          <w:trHeight w:val="329"/>
        </w:trPr>
        <w:tc>
          <w:tcPr>
            <w:tcW w:w="338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c>
          <w:tcPr>
            <w:tcW w:w="44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Chief Financial Officer (Principal Financial Officer</w:t>
            </w:r>
          </w:p>
        </w:tc>
        <w:tc>
          <w:tcPr>
            <w:tcW w:w="100" w:type="dxa"/>
            <w:vAlign w:val="bottom"/>
            <w:shd w:val="clear" w:color="auto" w:fill="FDFDFD"/>
          </w:tcPr>
          <w:p>
            <w:pPr>
              <w:spacing w:after="0"/>
              <w:rPr>
                <w:sz w:val="24"/>
                <w:szCs w:val="24"/>
                <w:color w:val="auto"/>
              </w:rPr>
            </w:pPr>
          </w:p>
        </w:tc>
        <w:tc>
          <w:tcPr>
            <w:tcW w:w="2220" w:type="dxa"/>
            <w:vAlign w:val="bottom"/>
            <w:shd w:val="clear" w:color="auto" w:fill="FDFDFD"/>
          </w:tcPr>
          <w:p>
            <w:pPr>
              <w:spacing w:after="0"/>
              <w:rPr>
                <w:sz w:val="24"/>
                <w:szCs w:val="24"/>
                <w:color w:val="auto"/>
              </w:rPr>
            </w:pPr>
          </w:p>
        </w:tc>
      </w:tr>
      <w:tr>
        <w:trPr>
          <w:trHeight w:val="251"/>
        </w:trPr>
        <w:tc>
          <w:tcPr>
            <w:tcW w:w="3380" w:type="dxa"/>
            <w:vAlign w:val="bottom"/>
            <w:tcBorders>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auto"/>
              </w:rPr>
              <w:t>/s/ Richard Booth</w:t>
            </w:r>
          </w:p>
        </w:tc>
        <w:tc>
          <w:tcPr>
            <w:tcW w:w="100" w:type="dxa"/>
            <w:vAlign w:val="bottom"/>
            <w:tcBorders>
              <w:bottom w:val="single" w:sz="8" w:color="FDFDFD"/>
            </w:tcBorders>
            <w:shd w:val="clear" w:color="auto" w:fill="FDFDFD"/>
          </w:tcPr>
          <w:p>
            <w:pPr>
              <w:spacing w:after="0"/>
              <w:rPr>
                <w:sz w:val="21"/>
                <w:szCs w:val="21"/>
                <w:color w:val="auto"/>
              </w:rPr>
            </w:pPr>
          </w:p>
        </w:tc>
        <w:tc>
          <w:tcPr>
            <w:tcW w:w="44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and Accounting Officer)</w:t>
            </w:r>
          </w:p>
        </w:tc>
        <w:tc>
          <w:tcPr>
            <w:tcW w:w="100" w:type="dxa"/>
            <w:vAlign w:val="bottom"/>
            <w:tcBorders>
              <w:bottom w:val="single" w:sz="8" w:color="FDFDFD"/>
            </w:tcBorders>
            <w:shd w:val="clear" w:color="auto" w:fill="FDFDFD"/>
          </w:tcPr>
          <w:p>
            <w:pPr>
              <w:spacing w:after="0"/>
              <w:rPr>
                <w:sz w:val="21"/>
                <w:szCs w:val="21"/>
                <w:color w:val="auto"/>
              </w:rPr>
            </w:pPr>
          </w:p>
        </w:tc>
        <w:tc>
          <w:tcPr>
            <w:tcW w:w="222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183"/>
        </w:trPr>
        <w:tc>
          <w:tcPr>
            <w:tcW w:w="3380" w:type="dxa"/>
            <w:vAlign w:val="bottom"/>
            <w:shd w:val="clear" w:color="auto" w:fill="FDFDFD"/>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Richard Booth</w:t>
            </w:r>
          </w:p>
        </w:tc>
        <w:tc>
          <w:tcPr>
            <w:tcW w:w="100" w:type="dxa"/>
            <w:vAlign w:val="bottom"/>
            <w:shd w:val="clear" w:color="auto" w:fill="FDFDFD"/>
          </w:tcPr>
          <w:p>
            <w:pPr>
              <w:spacing w:after="0"/>
              <w:rPr>
                <w:sz w:val="15"/>
                <w:szCs w:val="15"/>
                <w:color w:val="auto"/>
              </w:rPr>
            </w:pPr>
          </w:p>
        </w:tc>
        <w:tc>
          <w:tcPr>
            <w:tcW w:w="44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2220" w:type="dxa"/>
            <w:vAlign w:val="bottom"/>
            <w:shd w:val="clear" w:color="auto" w:fill="FDFDFD"/>
          </w:tcPr>
          <w:p>
            <w:pPr>
              <w:spacing w:after="0"/>
              <w:rPr>
                <w:sz w:val="15"/>
                <w:szCs w:val="15"/>
                <w:color w:val="auto"/>
              </w:rPr>
            </w:pPr>
          </w:p>
        </w:tc>
      </w:tr>
      <w:tr>
        <w:trPr>
          <w:trHeight w:val="106"/>
        </w:trPr>
        <w:tc>
          <w:tcPr>
            <w:tcW w:w="3380" w:type="dxa"/>
            <w:vAlign w:val="bottom"/>
            <w:shd w:val="clear" w:color="auto" w:fill="FDFDFD"/>
          </w:tcPr>
          <w:p>
            <w:pPr>
              <w:spacing w:after="0"/>
              <w:rPr>
                <w:sz w:val="9"/>
                <w:szCs w:val="9"/>
                <w:color w:val="auto"/>
              </w:rPr>
            </w:pPr>
          </w:p>
        </w:tc>
        <w:tc>
          <w:tcPr>
            <w:tcW w:w="100" w:type="dxa"/>
            <w:vAlign w:val="bottom"/>
            <w:shd w:val="clear" w:color="auto" w:fill="FDFDFD"/>
          </w:tcPr>
          <w:p>
            <w:pPr>
              <w:spacing w:after="0"/>
              <w:rPr>
                <w:sz w:val="9"/>
                <w:szCs w:val="9"/>
                <w:color w:val="auto"/>
              </w:rPr>
            </w:pPr>
          </w:p>
        </w:tc>
        <w:tc>
          <w:tcPr>
            <w:tcW w:w="4440" w:type="dxa"/>
            <w:vAlign w:val="bottom"/>
            <w:shd w:val="clear" w:color="auto" w:fill="FDFDFD"/>
          </w:tcPr>
          <w:p>
            <w:pPr>
              <w:spacing w:after="0"/>
              <w:rPr>
                <w:sz w:val="9"/>
                <w:szCs w:val="9"/>
                <w:color w:val="auto"/>
              </w:rPr>
            </w:pPr>
          </w:p>
        </w:tc>
        <w:tc>
          <w:tcPr>
            <w:tcW w:w="100" w:type="dxa"/>
            <w:vAlign w:val="bottom"/>
            <w:shd w:val="clear" w:color="auto" w:fill="FDFDFD"/>
          </w:tcPr>
          <w:p>
            <w:pPr>
              <w:spacing w:after="0"/>
              <w:rPr>
                <w:sz w:val="9"/>
                <w:szCs w:val="9"/>
                <w:color w:val="auto"/>
              </w:rPr>
            </w:pPr>
          </w:p>
        </w:tc>
        <w:tc>
          <w:tcPr>
            <w:tcW w:w="2220" w:type="dxa"/>
            <w:vAlign w:val="bottom"/>
            <w:shd w:val="clear" w:color="auto" w:fill="FDFDFD"/>
          </w:tcPr>
          <w:p>
            <w:pPr>
              <w:spacing w:after="0"/>
              <w:rPr>
                <w:sz w:val="9"/>
                <w:szCs w:val="9"/>
                <w:color w:val="auto"/>
              </w:rPr>
            </w:pPr>
          </w:p>
        </w:tc>
      </w:tr>
      <w:tr>
        <w:trPr>
          <w:trHeight w:val="244"/>
        </w:trPr>
        <w:tc>
          <w:tcPr>
            <w:tcW w:w="3380" w:type="dxa"/>
            <w:vAlign w:val="bottom"/>
            <w:tcBorders>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auto"/>
              </w:rPr>
              <w:t>/s/ Jason Krantz</w:t>
            </w:r>
          </w:p>
        </w:tc>
        <w:tc>
          <w:tcPr>
            <w:tcW w:w="100" w:type="dxa"/>
            <w:vAlign w:val="bottom"/>
            <w:tcBorders>
              <w:bottom w:val="single" w:sz="8" w:color="FDFDFD"/>
            </w:tcBorders>
            <w:shd w:val="clear" w:color="auto" w:fill="FDFDFD"/>
          </w:tcPr>
          <w:p>
            <w:pPr>
              <w:spacing w:after="0"/>
              <w:rPr>
                <w:sz w:val="21"/>
                <w:szCs w:val="21"/>
                <w:color w:val="auto"/>
              </w:rPr>
            </w:pPr>
          </w:p>
        </w:tc>
        <w:tc>
          <w:tcPr>
            <w:tcW w:w="44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Executive Chairman</w:t>
            </w:r>
          </w:p>
        </w:tc>
        <w:tc>
          <w:tcPr>
            <w:tcW w:w="100" w:type="dxa"/>
            <w:vAlign w:val="bottom"/>
            <w:tcBorders>
              <w:bottom w:val="single" w:sz="8" w:color="FDFDFD"/>
            </w:tcBorders>
            <w:shd w:val="clear" w:color="auto" w:fill="FDFDFD"/>
          </w:tcPr>
          <w:p>
            <w:pPr>
              <w:spacing w:after="0"/>
              <w:rPr>
                <w:sz w:val="21"/>
                <w:szCs w:val="21"/>
                <w:color w:val="auto"/>
              </w:rPr>
            </w:pPr>
          </w:p>
        </w:tc>
        <w:tc>
          <w:tcPr>
            <w:tcW w:w="222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188"/>
        </w:trPr>
        <w:tc>
          <w:tcPr>
            <w:tcW w:w="33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Jason Krantz</w:t>
            </w:r>
          </w:p>
        </w:tc>
        <w:tc>
          <w:tcPr>
            <w:tcW w:w="100" w:type="dxa"/>
            <w:vAlign w:val="bottom"/>
            <w:shd w:val="clear" w:color="auto" w:fill="FDFDFD"/>
          </w:tcPr>
          <w:p>
            <w:pPr>
              <w:spacing w:after="0"/>
              <w:rPr>
                <w:sz w:val="16"/>
                <w:szCs w:val="16"/>
                <w:color w:val="auto"/>
              </w:rPr>
            </w:pPr>
          </w:p>
        </w:tc>
        <w:tc>
          <w:tcPr>
            <w:tcW w:w="444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220" w:type="dxa"/>
            <w:vAlign w:val="bottom"/>
            <w:shd w:val="clear" w:color="auto" w:fill="FDFDFD"/>
          </w:tcPr>
          <w:p>
            <w:pPr>
              <w:spacing w:after="0"/>
              <w:rPr>
                <w:sz w:val="16"/>
                <w:szCs w:val="16"/>
                <w:color w:val="auto"/>
              </w:rPr>
            </w:pPr>
          </w:p>
        </w:tc>
      </w:tr>
      <w:tr>
        <w:trPr>
          <w:trHeight w:val="350"/>
        </w:trPr>
        <w:tc>
          <w:tcPr>
            <w:tcW w:w="3380" w:type="dxa"/>
            <w:vAlign w:val="bottom"/>
            <w:tcBorders>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auto"/>
                <w:w w:val="98"/>
              </w:rPr>
              <w:t>/s/ Sastry Chilukuri</w:t>
            </w:r>
          </w:p>
        </w:tc>
        <w:tc>
          <w:tcPr>
            <w:tcW w:w="100" w:type="dxa"/>
            <w:vAlign w:val="bottom"/>
            <w:tcBorders>
              <w:bottom w:val="single" w:sz="8" w:color="FDFDFD"/>
            </w:tcBorders>
            <w:shd w:val="clear" w:color="auto" w:fill="FDFDFD"/>
          </w:tcPr>
          <w:p>
            <w:pPr>
              <w:spacing w:after="0"/>
              <w:rPr>
                <w:sz w:val="24"/>
                <w:szCs w:val="24"/>
                <w:color w:val="auto"/>
              </w:rPr>
            </w:pPr>
          </w:p>
        </w:tc>
        <w:tc>
          <w:tcPr>
            <w:tcW w:w="44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Borders>
              <w:bottom w:val="single" w:sz="8" w:color="FDFDFD"/>
            </w:tcBorders>
            <w:shd w:val="clear" w:color="auto" w:fill="FDFDFD"/>
          </w:tcPr>
          <w:p>
            <w:pPr>
              <w:spacing w:after="0"/>
              <w:rPr>
                <w:sz w:val="24"/>
                <w:szCs w:val="24"/>
                <w:color w:val="auto"/>
              </w:rPr>
            </w:pPr>
          </w:p>
        </w:tc>
        <w:tc>
          <w:tcPr>
            <w:tcW w:w="222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188"/>
        </w:trPr>
        <w:tc>
          <w:tcPr>
            <w:tcW w:w="33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auto"/>
              </w:rPr>
              <w:t>Sastry Chilukuri</w:t>
            </w:r>
          </w:p>
        </w:tc>
        <w:tc>
          <w:tcPr>
            <w:tcW w:w="100" w:type="dxa"/>
            <w:vAlign w:val="bottom"/>
            <w:shd w:val="clear" w:color="auto" w:fill="FDFDFD"/>
          </w:tcPr>
          <w:p>
            <w:pPr>
              <w:spacing w:after="0"/>
              <w:rPr>
                <w:sz w:val="16"/>
                <w:szCs w:val="16"/>
                <w:color w:val="auto"/>
              </w:rPr>
            </w:pPr>
          </w:p>
        </w:tc>
        <w:tc>
          <w:tcPr>
            <w:tcW w:w="444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220" w:type="dxa"/>
            <w:vAlign w:val="bottom"/>
            <w:shd w:val="clear" w:color="auto" w:fill="FDFDFD"/>
          </w:tcPr>
          <w:p>
            <w:pPr>
              <w:spacing w:after="0"/>
              <w:rPr>
                <w:sz w:val="16"/>
                <w:szCs w:val="16"/>
                <w:color w:val="auto"/>
              </w:rPr>
            </w:pPr>
          </w:p>
        </w:tc>
      </w:tr>
      <w:tr>
        <w:trPr>
          <w:trHeight w:val="350"/>
        </w:trPr>
        <w:tc>
          <w:tcPr>
            <w:tcW w:w="3380" w:type="dxa"/>
            <w:vAlign w:val="bottom"/>
            <w:tcBorders>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auto"/>
              </w:rPr>
              <w:t>/s/ Chris Egan</w:t>
            </w:r>
          </w:p>
        </w:tc>
        <w:tc>
          <w:tcPr>
            <w:tcW w:w="100" w:type="dxa"/>
            <w:vAlign w:val="bottom"/>
            <w:tcBorders>
              <w:bottom w:val="single" w:sz="8" w:color="FDFDFD"/>
            </w:tcBorders>
            <w:shd w:val="clear" w:color="auto" w:fill="FDFDFD"/>
          </w:tcPr>
          <w:p>
            <w:pPr>
              <w:spacing w:after="0"/>
              <w:rPr>
                <w:sz w:val="24"/>
                <w:szCs w:val="24"/>
                <w:color w:val="auto"/>
              </w:rPr>
            </w:pPr>
          </w:p>
        </w:tc>
        <w:tc>
          <w:tcPr>
            <w:tcW w:w="44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Borders>
              <w:bottom w:val="single" w:sz="8" w:color="FDFDFD"/>
            </w:tcBorders>
            <w:shd w:val="clear" w:color="auto" w:fill="FDFDFD"/>
          </w:tcPr>
          <w:p>
            <w:pPr>
              <w:spacing w:after="0"/>
              <w:rPr>
                <w:sz w:val="24"/>
                <w:szCs w:val="24"/>
                <w:color w:val="auto"/>
              </w:rPr>
            </w:pPr>
          </w:p>
        </w:tc>
        <w:tc>
          <w:tcPr>
            <w:tcW w:w="222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183"/>
        </w:trPr>
        <w:tc>
          <w:tcPr>
            <w:tcW w:w="3380" w:type="dxa"/>
            <w:vAlign w:val="bottom"/>
            <w:shd w:val="clear" w:color="auto" w:fill="FDFDFD"/>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Chris Egan</w:t>
            </w:r>
          </w:p>
        </w:tc>
        <w:tc>
          <w:tcPr>
            <w:tcW w:w="100" w:type="dxa"/>
            <w:vAlign w:val="bottom"/>
            <w:shd w:val="clear" w:color="auto" w:fill="FDFDFD"/>
          </w:tcPr>
          <w:p>
            <w:pPr>
              <w:spacing w:after="0"/>
              <w:rPr>
                <w:sz w:val="15"/>
                <w:szCs w:val="15"/>
                <w:color w:val="auto"/>
              </w:rPr>
            </w:pPr>
          </w:p>
        </w:tc>
        <w:tc>
          <w:tcPr>
            <w:tcW w:w="44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2220" w:type="dxa"/>
            <w:vAlign w:val="bottom"/>
            <w:shd w:val="clear" w:color="auto" w:fill="FDFDFD"/>
          </w:tcPr>
          <w:p>
            <w:pPr>
              <w:spacing w:after="0"/>
              <w:rPr>
                <w:sz w:val="15"/>
                <w:szCs w:val="15"/>
                <w:color w:val="auto"/>
              </w:rPr>
            </w:pPr>
          </w:p>
        </w:tc>
      </w:tr>
      <w:tr>
        <w:trPr>
          <w:trHeight w:val="350"/>
        </w:trPr>
        <w:tc>
          <w:tcPr>
            <w:tcW w:w="3380" w:type="dxa"/>
            <w:vAlign w:val="bottom"/>
            <w:tcBorders>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auto"/>
                <w:w w:val="99"/>
              </w:rPr>
              <w:t>/s/ Samuel A. Hamood</w:t>
            </w:r>
          </w:p>
        </w:tc>
        <w:tc>
          <w:tcPr>
            <w:tcW w:w="100" w:type="dxa"/>
            <w:vAlign w:val="bottom"/>
            <w:tcBorders>
              <w:bottom w:val="single" w:sz="8" w:color="FDFDFD"/>
            </w:tcBorders>
            <w:shd w:val="clear" w:color="auto" w:fill="FDFDFD"/>
          </w:tcPr>
          <w:p>
            <w:pPr>
              <w:spacing w:after="0"/>
              <w:rPr>
                <w:sz w:val="24"/>
                <w:szCs w:val="24"/>
                <w:color w:val="auto"/>
              </w:rPr>
            </w:pPr>
          </w:p>
        </w:tc>
        <w:tc>
          <w:tcPr>
            <w:tcW w:w="44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Borders>
              <w:bottom w:val="single" w:sz="8" w:color="FDFDFD"/>
            </w:tcBorders>
            <w:shd w:val="clear" w:color="auto" w:fill="FDFDFD"/>
          </w:tcPr>
          <w:p>
            <w:pPr>
              <w:spacing w:after="0"/>
              <w:rPr>
                <w:sz w:val="24"/>
                <w:szCs w:val="24"/>
                <w:color w:val="auto"/>
              </w:rPr>
            </w:pPr>
          </w:p>
        </w:tc>
        <w:tc>
          <w:tcPr>
            <w:tcW w:w="222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183"/>
        </w:trPr>
        <w:tc>
          <w:tcPr>
            <w:tcW w:w="3380" w:type="dxa"/>
            <w:vAlign w:val="bottom"/>
            <w:shd w:val="clear" w:color="auto" w:fill="FDFDFD"/>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Samuel A. Hamood</w:t>
            </w:r>
          </w:p>
        </w:tc>
        <w:tc>
          <w:tcPr>
            <w:tcW w:w="100" w:type="dxa"/>
            <w:vAlign w:val="bottom"/>
            <w:shd w:val="clear" w:color="auto" w:fill="FDFDFD"/>
          </w:tcPr>
          <w:p>
            <w:pPr>
              <w:spacing w:after="0"/>
              <w:rPr>
                <w:sz w:val="15"/>
                <w:szCs w:val="15"/>
                <w:color w:val="auto"/>
              </w:rPr>
            </w:pPr>
          </w:p>
        </w:tc>
        <w:tc>
          <w:tcPr>
            <w:tcW w:w="44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2220" w:type="dxa"/>
            <w:vAlign w:val="bottom"/>
            <w:shd w:val="clear" w:color="auto" w:fill="FDFDFD"/>
          </w:tcPr>
          <w:p>
            <w:pPr>
              <w:spacing w:after="0"/>
              <w:rPr>
                <w:sz w:val="15"/>
                <w:szCs w:val="15"/>
                <w:color w:val="auto"/>
              </w:rPr>
            </w:pPr>
          </w:p>
        </w:tc>
      </w:tr>
      <w:tr>
        <w:trPr>
          <w:trHeight w:val="350"/>
        </w:trPr>
        <w:tc>
          <w:tcPr>
            <w:tcW w:w="3380" w:type="dxa"/>
            <w:vAlign w:val="bottom"/>
            <w:tcBorders>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auto"/>
              </w:rPr>
              <w:t>/s/ Jeff Haywood</w:t>
            </w:r>
          </w:p>
        </w:tc>
        <w:tc>
          <w:tcPr>
            <w:tcW w:w="100" w:type="dxa"/>
            <w:vAlign w:val="bottom"/>
            <w:tcBorders>
              <w:bottom w:val="single" w:sz="8" w:color="FDFDFD"/>
            </w:tcBorders>
            <w:shd w:val="clear" w:color="auto" w:fill="FDFDFD"/>
          </w:tcPr>
          <w:p>
            <w:pPr>
              <w:spacing w:after="0"/>
              <w:rPr>
                <w:sz w:val="24"/>
                <w:szCs w:val="24"/>
                <w:color w:val="auto"/>
              </w:rPr>
            </w:pPr>
          </w:p>
        </w:tc>
        <w:tc>
          <w:tcPr>
            <w:tcW w:w="44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Borders>
              <w:bottom w:val="single" w:sz="8" w:color="FDFDFD"/>
            </w:tcBorders>
            <w:shd w:val="clear" w:color="auto" w:fill="FDFDFD"/>
          </w:tcPr>
          <w:p>
            <w:pPr>
              <w:spacing w:after="0"/>
              <w:rPr>
                <w:sz w:val="24"/>
                <w:szCs w:val="24"/>
                <w:color w:val="auto"/>
              </w:rPr>
            </w:pPr>
          </w:p>
        </w:tc>
        <w:tc>
          <w:tcPr>
            <w:tcW w:w="222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183"/>
        </w:trPr>
        <w:tc>
          <w:tcPr>
            <w:tcW w:w="3380" w:type="dxa"/>
            <w:vAlign w:val="bottom"/>
            <w:shd w:val="clear" w:color="auto" w:fill="FDFDFD"/>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9"/>
              </w:rPr>
              <w:t>Jeff Haywood</w:t>
            </w:r>
          </w:p>
        </w:tc>
        <w:tc>
          <w:tcPr>
            <w:tcW w:w="100" w:type="dxa"/>
            <w:vAlign w:val="bottom"/>
            <w:shd w:val="clear" w:color="auto" w:fill="FDFDFD"/>
          </w:tcPr>
          <w:p>
            <w:pPr>
              <w:spacing w:after="0"/>
              <w:rPr>
                <w:sz w:val="15"/>
                <w:szCs w:val="15"/>
                <w:color w:val="auto"/>
              </w:rPr>
            </w:pPr>
          </w:p>
        </w:tc>
        <w:tc>
          <w:tcPr>
            <w:tcW w:w="44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2220" w:type="dxa"/>
            <w:vAlign w:val="bottom"/>
            <w:shd w:val="clear" w:color="auto" w:fill="FDFDFD"/>
          </w:tcPr>
          <w:p>
            <w:pPr>
              <w:spacing w:after="0"/>
              <w:rPr>
                <w:sz w:val="15"/>
                <w:szCs w:val="15"/>
                <w:color w:val="auto"/>
              </w:rPr>
            </w:pPr>
          </w:p>
        </w:tc>
      </w:tr>
      <w:tr>
        <w:trPr>
          <w:trHeight w:val="350"/>
        </w:trPr>
        <w:tc>
          <w:tcPr>
            <w:tcW w:w="3380" w:type="dxa"/>
            <w:vAlign w:val="bottom"/>
            <w:tcBorders>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auto"/>
              </w:rPr>
              <w:t>/s/ Jill Larsen</w:t>
            </w:r>
          </w:p>
        </w:tc>
        <w:tc>
          <w:tcPr>
            <w:tcW w:w="100" w:type="dxa"/>
            <w:vAlign w:val="bottom"/>
            <w:tcBorders>
              <w:bottom w:val="single" w:sz="8" w:color="FDFDFD"/>
            </w:tcBorders>
            <w:shd w:val="clear" w:color="auto" w:fill="FDFDFD"/>
          </w:tcPr>
          <w:p>
            <w:pPr>
              <w:spacing w:after="0"/>
              <w:rPr>
                <w:sz w:val="24"/>
                <w:szCs w:val="24"/>
                <w:color w:val="auto"/>
              </w:rPr>
            </w:pPr>
          </w:p>
        </w:tc>
        <w:tc>
          <w:tcPr>
            <w:tcW w:w="44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Borders>
              <w:bottom w:val="single" w:sz="8" w:color="FDFDFD"/>
            </w:tcBorders>
            <w:shd w:val="clear" w:color="auto" w:fill="FDFDFD"/>
          </w:tcPr>
          <w:p>
            <w:pPr>
              <w:spacing w:after="0"/>
              <w:rPr>
                <w:sz w:val="24"/>
                <w:szCs w:val="24"/>
                <w:color w:val="auto"/>
              </w:rPr>
            </w:pPr>
          </w:p>
        </w:tc>
        <w:tc>
          <w:tcPr>
            <w:tcW w:w="222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183"/>
        </w:trPr>
        <w:tc>
          <w:tcPr>
            <w:tcW w:w="3380" w:type="dxa"/>
            <w:vAlign w:val="bottom"/>
            <w:shd w:val="clear" w:color="auto" w:fill="FDFDFD"/>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Jill Larsen</w:t>
            </w:r>
          </w:p>
        </w:tc>
        <w:tc>
          <w:tcPr>
            <w:tcW w:w="100" w:type="dxa"/>
            <w:vAlign w:val="bottom"/>
            <w:shd w:val="clear" w:color="auto" w:fill="FDFDFD"/>
          </w:tcPr>
          <w:p>
            <w:pPr>
              <w:spacing w:after="0"/>
              <w:rPr>
                <w:sz w:val="15"/>
                <w:szCs w:val="15"/>
                <w:color w:val="auto"/>
              </w:rPr>
            </w:pPr>
          </w:p>
        </w:tc>
        <w:tc>
          <w:tcPr>
            <w:tcW w:w="44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2220" w:type="dxa"/>
            <w:vAlign w:val="bottom"/>
            <w:shd w:val="clear" w:color="auto" w:fill="FDFDFD"/>
          </w:tcPr>
          <w:p>
            <w:pPr>
              <w:spacing w:after="0"/>
              <w:rPr>
                <w:sz w:val="15"/>
                <w:szCs w:val="15"/>
                <w:color w:val="auto"/>
              </w:rPr>
            </w:pPr>
          </w:p>
        </w:tc>
      </w:tr>
      <w:tr>
        <w:trPr>
          <w:trHeight w:val="350"/>
        </w:trPr>
        <w:tc>
          <w:tcPr>
            <w:tcW w:w="3380" w:type="dxa"/>
            <w:vAlign w:val="bottom"/>
            <w:tcBorders>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auto"/>
                <w:w w:val="99"/>
              </w:rPr>
              <w:t>/s/ Scott Stephenson</w:t>
            </w:r>
          </w:p>
        </w:tc>
        <w:tc>
          <w:tcPr>
            <w:tcW w:w="100" w:type="dxa"/>
            <w:vAlign w:val="bottom"/>
            <w:tcBorders>
              <w:bottom w:val="single" w:sz="8" w:color="FDFDFD"/>
            </w:tcBorders>
            <w:shd w:val="clear" w:color="auto" w:fill="FDFDFD"/>
          </w:tcPr>
          <w:p>
            <w:pPr>
              <w:spacing w:after="0"/>
              <w:rPr>
                <w:sz w:val="24"/>
                <w:szCs w:val="24"/>
                <w:color w:val="auto"/>
              </w:rPr>
            </w:pPr>
          </w:p>
        </w:tc>
        <w:tc>
          <w:tcPr>
            <w:tcW w:w="44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Borders>
              <w:bottom w:val="single" w:sz="8" w:color="FDFDFD"/>
            </w:tcBorders>
            <w:shd w:val="clear" w:color="auto" w:fill="FDFDFD"/>
          </w:tcPr>
          <w:p>
            <w:pPr>
              <w:spacing w:after="0"/>
              <w:rPr>
                <w:sz w:val="24"/>
                <w:szCs w:val="24"/>
                <w:color w:val="auto"/>
              </w:rPr>
            </w:pPr>
          </w:p>
        </w:tc>
        <w:tc>
          <w:tcPr>
            <w:tcW w:w="222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183"/>
        </w:trPr>
        <w:tc>
          <w:tcPr>
            <w:tcW w:w="3380" w:type="dxa"/>
            <w:vAlign w:val="bottom"/>
            <w:shd w:val="clear" w:color="auto" w:fill="FDFDFD"/>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Scott Stephenson</w:t>
            </w:r>
          </w:p>
        </w:tc>
        <w:tc>
          <w:tcPr>
            <w:tcW w:w="100" w:type="dxa"/>
            <w:vAlign w:val="bottom"/>
            <w:shd w:val="clear" w:color="auto" w:fill="FDFDFD"/>
          </w:tcPr>
          <w:p>
            <w:pPr>
              <w:spacing w:after="0"/>
              <w:rPr>
                <w:sz w:val="15"/>
                <w:szCs w:val="15"/>
                <w:color w:val="auto"/>
              </w:rPr>
            </w:pPr>
          </w:p>
        </w:tc>
        <w:tc>
          <w:tcPr>
            <w:tcW w:w="44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2220" w:type="dxa"/>
            <w:vAlign w:val="bottom"/>
            <w:shd w:val="clear" w:color="auto" w:fill="FDFDFD"/>
          </w:tcPr>
          <w:p>
            <w:pPr>
              <w:spacing w:after="0"/>
              <w:rPr>
                <w:sz w:val="15"/>
                <w:szCs w:val="15"/>
                <w:color w:val="auto"/>
              </w:rPr>
            </w:pPr>
          </w:p>
        </w:tc>
      </w:tr>
      <w:tr>
        <w:trPr>
          <w:trHeight w:val="230"/>
        </w:trPr>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50"/>
        </w:trPr>
        <w:tc>
          <w:tcPr>
            <w:tcW w:w="3380" w:type="dxa"/>
            <w:vAlign w:val="bottom"/>
            <w:tcBorders>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auto"/>
              </w:rPr>
              <w:t>/s/ Kathleen A. Winters</w:t>
            </w:r>
          </w:p>
        </w:tc>
        <w:tc>
          <w:tcPr>
            <w:tcW w:w="100" w:type="dxa"/>
            <w:vAlign w:val="bottom"/>
            <w:tcBorders>
              <w:bottom w:val="single" w:sz="8" w:color="FDFDFD"/>
            </w:tcBorders>
            <w:shd w:val="clear" w:color="auto" w:fill="FDFDFD"/>
          </w:tcPr>
          <w:p>
            <w:pPr>
              <w:spacing w:after="0"/>
              <w:rPr>
                <w:sz w:val="24"/>
                <w:szCs w:val="24"/>
                <w:color w:val="auto"/>
              </w:rPr>
            </w:pPr>
          </w:p>
        </w:tc>
        <w:tc>
          <w:tcPr>
            <w:tcW w:w="44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Borders>
              <w:bottom w:val="single" w:sz="8" w:color="FDFDFD"/>
            </w:tcBorders>
            <w:shd w:val="clear" w:color="auto" w:fill="FDFDFD"/>
          </w:tcPr>
          <w:p>
            <w:pPr>
              <w:spacing w:after="0"/>
              <w:rPr>
                <w:sz w:val="24"/>
                <w:szCs w:val="24"/>
                <w:color w:val="auto"/>
              </w:rPr>
            </w:pPr>
          </w:p>
        </w:tc>
        <w:tc>
          <w:tcPr>
            <w:tcW w:w="222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183"/>
        </w:trPr>
        <w:tc>
          <w:tcPr>
            <w:tcW w:w="3380" w:type="dxa"/>
            <w:vAlign w:val="bottom"/>
            <w:shd w:val="clear" w:color="auto" w:fill="FDFDFD"/>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Kathleen A. Winters</w:t>
            </w:r>
          </w:p>
        </w:tc>
        <w:tc>
          <w:tcPr>
            <w:tcW w:w="100" w:type="dxa"/>
            <w:vAlign w:val="bottom"/>
            <w:shd w:val="clear" w:color="auto" w:fill="FDFDFD"/>
          </w:tcPr>
          <w:p>
            <w:pPr>
              <w:spacing w:after="0"/>
              <w:rPr>
                <w:sz w:val="15"/>
                <w:szCs w:val="15"/>
                <w:color w:val="auto"/>
              </w:rPr>
            </w:pPr>
          </w:p>
        </w:tc>
        <w:tc>
          <w:tcPr>
            <w:tcW w:w="44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2220" w:type="dxa"/>
            <w:vAlign w:val="bottom"/>
            <w:shd w:val="clear" w:color="auto" w:fill="FDFDFD"/>
          </w:tcPr>
          <w:p>
            <w:pPr>
              <w:spacing w:after="0"/>
              <w:rPr>
                <w:sz w:val="15"/>
                <w:szCs w:val="15"/>
                <w:color w:val="auto"/>
              </w:rPr>
            </w:pPr>
          </w:p>
        </w:tc>
      </w:tr>
      <w:tr>
        <w:trPr>
          <w:trHeight w:val="350"/>
        </w:trPr>
        <w:tc>
          <w:tcPr>
            <w:tcW w:w="3380" w:type="dxa"/>
            <w:vAlign w:val="bottom"/>
            <w:tcBorders>
              <w:bottom w:val="single" w:sz="8" w:color="auto"/>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auto"/>
                <w:w w:val="99"/>
              </w:rPr>
              <w:t>/s/ Lauren Young</w:t>
            </w:r>
          </w:p>
        </w:tc>
        <w:tc>
          <w:tcPr>
            <w:tcW w:w="100" w:type="dxa"/>
            <w:vAlign w:val="bottom"/>
            <w:tcBorders>
              <w:bottom w:val="single" w:sz="8" w:color="FDFDFD"/>
            </w:tcBorders>
            <w:shd w:val="clear" w:color="auto" w:fill="FDFDFD"/>
          </w:tcPr>
          <w:p>
            <w:pPr>
              <w:spacing w:after="0"/>
              <w:rPr>
                <w:sz w:val="24"/>
                <w:szCs w:val="24"/>
                <w:color w:val="auto"/>
              </w:rPr>
            </w:pPr>
          </w:p>
        </w:tc>
        <w:tc>
          <w:tcPr>
            <w:tcW w:w="44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Borders>
              <w:bottom w:val="single" w:sz="8" w:color="FDFDFD"/>
            </w:tcBorders>
            <w:shd w:val="clear" w:color="auto" w:fill="FDFDFD"/>
          </w:tcPr>
          <w:p>
            <w:pPr>
              <w:spacing w:after="0"/>
              <w:rPr>
                <w:sz w:val="24"/>
                <w:szCs w:val="24"/>
                <w:color w:val="auto"/>
              </w:rPr>
            </w:pPr>
          </w:p>
        </w:tc>
        <w:tc>
          <w:tcPr>
            <w:tcW w:w="222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188"/>
        </w:trPr>
        <w:tc>
          <w:tcPr>
            <w:tcW w:w="33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Lauren Young</w:t>
            </w:r>
          </w:p>
        </w:tc>
        <w:tc>
          <w:tcPr>
            <w:tcW w:w="100" w:type="dxa"/>
            <w:vAlign w:val="bottom"/>
            <w:shd w:val="clear" w:color="auto" w:fill="FDFDFD"/>
          </w:tcPr>
          <w:p>
            <w:pPr>
              <w:spacing w:after="0"/>
              <w:rPr>
                <w:sz w:val="16"/>
                <w:szCs w:val="16"/>
                <w:color w:val="auto"/>
              </w:rPr>
            </w:pPr>
          </w:p>
        </w:tc>
        <w:tc>
          <w:tcPr>
            <w:tcW w:w="444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220" w:type="dxa"/>
            <w:vAlign w:val="bottom"/>
            <w:shd w:val="clear" w:color="auto" w:fill="FDFDFD"/>
          </w:tcPr>
          <w:p>
            <w:pPr>
              <w:spacing w:after="0"/>
              <w:rPr>
                <w:sz w:val="16"/>
                <w:szCs w:val="16"/>
                <w:color w:val="auto"/>
              </w:rPr>
            </w:pPr>
          </w:p>
        </w:tc>
      </w:tr>
    </w:tbl>
    <w:p>
      <w:pPr>
        <w:spacing w:after="0" w:line="200" w:lineRule="exact"/>
        <w:rPr>
          <w:sz w:val="20"/>
          <w:szCs w:val="20"/>
          <w:color w:val="auto"/>
        </w:rPr>
      </w:pPr>
    </w:p>
    <w:p>
      <w:pPr>
        <w:sectPr>
          <w:pgSz w:w="11880" w:h="15480" w:orient="portrait"/>
          <w:cols w:equalWidth="0" w:num="1">
            <w:col w:w="10240"/>
          </w:cols>
          <w:pgMar w:left="820" w:top="80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240"/>
          </w:cols>
          <w:pgMar w:left="820" w:top="803" w:right="820"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75"/>
        </w:trPr>
        <w:tc>
          <w:tcPr>
            <w:tcW w:w="9500" w:type="dxa"/>
            <w:vAlign w:val="bottom"/>
          </w:tcPr>
          <w:p>
            <w:pPr>
              <w:ind w:left="25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740" w:type="dxa"/>
            <w:vAlign w:val="bottom"/>
          </w:tcPr>
          <w:p>
            <w:pPr>
              <w:spacing w:after="0"/>
              <w:rPr>
                <w:sz w:val="23"/>
                <w:szCs w:val="23"/>
                <w:color w:val="auto"/>
              </w:rPr>
            </w:pPr>
          </w:p>
        </w:tc>
      </w:tr>
      <w:tr>
        <w:trPr>
          <w:trHeight w:val="249"/>
        </w:trPr>
        <w:tc>
          <w:tcPr>
            <w:tcW w:w="95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5"/>
        </w:trPr>
        <w:tc>
          <w:tcPr>
            <w:tcW w:w="95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F-2</w:t>
            </w:r>
          </w:p>
        </w:tc>
      </w:tr>
      <w:tr>
        <w:trPr>
          <w:trHeight w:val="239"/>
        </w:trPr>
        <w:tc>
          <w:tcPr>
            <w:tcW w:w="95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F-5</w:t>
            </w:r>
          </w:p>
        </w:tc>
      </w:tr>
      <w:tr>
        <w:trPr>
          <w:trHeight w:val="245"/>
        </w:trPr>
        <w:tc>
          <w:tcPr>
            <w:tcW w:w="95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F-6</w:t>
            </w:r>
          </w:p>
        </w:tc>
      </w:tr>
      <w:tr>
        <w:trPr>
          <w:trHeight w:val="245"/>
        </w:trPr>
        <w:tc>
          <w:tcPr>
            <w:tcW w:w="95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w:t>
            </w: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F-7</w:t>
            </w:r>
          </w:p>
        </w:tc>
      </w:tr>
      <w:tr>
        <w:trPr>
          <w:trHeight w:val="251"/>
        </w:trPr>
        <w:tc>
          <w:tcPr>
            <w:tcW w:w="95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Consolidated Statements of Changes in Total Equity</w:t>
            </w: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F-8</w:t>
            </w:r>
          </w:p>
        </w:tc>
      </w:tr>
      <w:tr>
        <w:trPr>
          <w:trHeight w:val="239"/>
        </w:trPr>
        <w:tc>
          <w:tcPr>
            <w:tcW w:w="95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F-9</w:t>
            </w:r>
          </w:p>
        </w:tc>
      </w:tr>
      <w:tr>
        <w:trPr>
          <w:trHeight w:val="251"/>
        </w:trPr>
        <w:tc>
          <w:tcPr>
            <w:tcW w:w="95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7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F-11</w:t>
            </w:r>
          </w:p>
        </w:tc>
      </w:tr>
    </w:tbl>
    <w:p>
      <w:pPr>
        <w:spacing w:after="0" w:line="200" w:lineRule="exact"/>
        <w:rPr>
          <w:sz w:val="20"/>
          <w:szCs w:val="20"/>
          <w:color w:val="auto"/>
        </w:rPr>
      </w:pPr>
    </w:p>
    <w:p>
      <w:pPr>
        <w:sectPr>
          <w:pgSz w:w="11880" w:h="15480" w:orient="portrait"/>
          <w:cols w:equalWidth="0" w:num="1">
            <w:col w:w="10240"/>
          </w:cols>
          <w:pgMar w:left="820" w:top="80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10240"/>
          </w:cols>
          <w:pgMar w:left="820" w:top="803" w:right="820" w:bottom="0" w:gutter="0" w:footer="0" w:header="0"/>
          <w:type w:val="continuous"/>
        </w:sectPr>
      </w:pPr>
    </w:p>
    <w:bookmarkStart w:id="93" w:name="page94"/>
    <w:bookmarkEnd w:id="93"/>
    <w:p>
      <w:pPr>
        <w:ind w:right="1660" w:firstLine="1684"/>
        <w:spacing w:after="0" w:line="550"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shareholders and the Board of Directors of Definitive Healthcare Corp.</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3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Definitive Healthcare Corp. and subsidiaries (the “Company”) as of December 31, 2024 and 2023, the related consolidated statements of operations, comprehensive loss, changes in total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20"/>
          <w:szCs w:val="20"/>
          <w:i w:val="1"/>
          <w:iCs w:val="1"/>
          <w:color w:val="auto"/>
        </w:rPr>
        <w:t xml:space="preserve">Internal Control — Integrated Framework (2013) </w:t>
      </w:r>
      <w:r>
        <w:rPr>
          <w:rFonts w:ascii="Times New Roman" w:cs="Times New Roman" w:eastAsia="Times New Roman" w:hAnsi="Times New Roman"/>
          <w:sz w:val="20"/>
          <w:szCs w:val="20"/>
          <w:color w:val="auto"/>
        </w:rPr>
        <w:t>issued by the Committee of Sponsoring Organizations of the Treadway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Commission and our report dated February 27, 2025, expressed an unqualified opinion on the Company’s internal control over financial reporting.</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13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317" w:lineRule="exact"/>
        <w:rPr>
          <w:sz w:val="20"/>
          <w:szCs w:val="20"/>
          <w:color w:val="auto"/>
        </w:rPr>
      </w:pPr>
    </w:p>
    <w:p>
      <w:pPr>
        <w:ind w:right="3840"/>
        <w:spacing w:after="0" w:line="383" w:lineRule="auto"/>
        <w:rPr>
          <w:sz w:val="20"/>
          <w:szCs w:val="20"/>
          <w:color w:val="auto"/>
        </w:rPr>
      </w:pPr>
      <w:r>
        <w:rPr>
          <w:rFonts w:ascii="Times New Roman" w:cs="Times New Roman" w:eastAsia="Times New Roman" w:hAnsi="Times New Roman"/>
          <w:sz w:val="20"/>
          <w:szCs w:val="20"/>
          <w:b w:val="1"/>
          <w:bCs w:val="1"/>
          <w:color w:val="auto"/>
        </w:rPr>
        <w:t>Goodwill Impairment — Refer to Notes 2 and 9 to the financial statements Critical Audit Matter Description</w:t>
      </w:r>
    </w:p>
    <w:p>
      <w:pPr>
        <w:spacing w:after="0" w:line="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color w:val="auto"/>
        </w:rPr>
        <w:t>The Company's evaluation of goodwill for impairment involves the comparison of the fair value of its one reporting unit to its carrying value. The Company determines the fair value of its reporting unit using income and market approaches. The determination of the fair value using the market approach required management to make a significant judgment to determine the estimated control premium. As of and during the year ended December 31, 2024, the Company recorded goodwill impairment charges of $688.9 million as it was determined that the fair value of its one reporting unit was less than its carrying value as of June 30, 2024, September 30, 2024 and December 31, 2024. As of December 31, 2024, the goodwill balance was $393.3 million.</w:t>
      </w:r>
    </w:p>
    <w:p>
      <w:pPr>
        <w:sectPr>
          <w:pgSz w:w="11880" w:h="15480" w:orient="portrait"/>
          <w:cols w:equalWidth="0" w:num="1">
            <w:col w:w="10200"/>
          </w:cols>
          <w:pgMar w:left="820" w:top="80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10200"/>
          </w:cols>
          <w:pgMar w:left="820" w:top="803" w:right="860" w:bottom="0" w:gutter="0" w:footer="0" w:header="0"/>
          <w:type w:val="continuous"/>
        </w:sectPr>
      </w:pPr>
    </w:p>
    <w:bookmarkStart w:id="94" w:name="page95"/>
    <w:bookmarkEnd w:id="94"/>
    <w:p>
      <w:pPr>
        <w:ind w:right="40"/>
        <w:spacing w:after="0" w:line="288" w:lineRule="auto"/>
        <w:rPr>
          <w:sz w:val="20"/>
          <w:szCs w:val="20"/>
          <w:color w:val="auto"/>
        </w:rPr>
      </w:pPr>
      <w:r>
        <w:rPr>
          <w:rFonts w:ascii="Times New Roman" w:cs="Times New Roman" w:eastAsia="Times New Roman" w:hAnsi="Times New Roman"/>
          <w:sz w:val="19"/>
          <w:szCs w:val="19"/>
          <w:color w:val="auto"/>
        </w:rPr>
        <w:t>We identified the valuation of goodwill for the Company’s reporting unit as a critical audit matter because of the significant judgments made by management to estimate the fair value of the reporting unit. This required a high degree of auditor judgment and an increased extent of effort, including the need to involve our fair value specialists, when performing audit procedures to evaluate the reasonableness of management’s judgments and estimates related to the estimated control premium.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the Critical Audit Matter Was Addressed in the Audit</w:t>
      </w:r>
    </w:p>
    <w:p>
      <w:pPr>
        <w:spacing w:after="0" w:line="139"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20"/>
          <w:szCs w:val="20"/>
          <w:color w:val="auto"/>
        </w:rPr>
        <w:t>Our audit procedures related to management’s judgments and estimates used in its application of the market approach model included the following, among others:</w:t>
      </w:r>
    </w:p>
    <w:p>
      <w:pPr>
        <w:spacing w:after="0" w:line="60" w:lineRule="exact"/>
        <w:rPr>
          <w:sz w:val="20"/>
          <w:szCs w:val="20"/>
          <w:color w:val="auto"/>
        </w:rPr>
      </w:pPr>
    </w:p>
    <w:p>
      <w:pPr>
        <w:ind w:left="980" w:right="540" w:hanging="483"/>
        <w:spacing w:after="0" w:line="278"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We tested the effectiveness of controls over management’s goodwill impairment evaluation, including those controls related to management’s selection of the estimated control premium.</w:t>
      </w:r>
    </w:p>
    <w:p>
      <w:pPr>
        <w:spacing w:after="0" w:line="60" w:lineRule="exact"/>
        <w:rPr>
          <w:rFonts w:ascii="Arial" w:cs="Arial" w:eastAsia="Arial" w:hAnsi="Arial"/>
          <w:sz w:val="20"/>
          <w:szCs w:val="20"/>
          <w:color w:val="auto"/>
        </w:rPr>
      </w:pPr>
    </w:p>
    <w:p>
      <w:pPr>
        <w:jc w:val="both"/>
        <w:ind w:left="980" w:right="600" w:hanging="483"/>
        <w:spacing w:after="0" w:line="278"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With the assistance of our fair value specialists, we evaluated the reasonableness of the Company’s control premium by comparing it to data from publicly available premium studies for public company transactions.</w:t>
      </w:r>
    </w:p>
    <w:p>
      <w:pPr>
        <w:spacing w:after="0" w:line="283" w:lineRule="exact"/>
        <w:rPr>
          <w:sz w:val="20"/>
          <w:szCs w:val="20"/>
          <w:color w:val="auto"/>
        </w:rPr>
      </w:pPr>
    </w:p>
    <w:p>
      <w:pPr>
        <w:ind w:right="3700"/>
        <w:spacing w:after="0" w:line="383" w:lineRule="auto"/>
        <w:rPr>
          <w:sz w:val="20"/>
          <w:szCs w:val="20"/>
          <w:color w:val="auto"/>
        </w:rPr>
      </w:pPr>
      <w:r>
        <w:rPr>
          <w:rFonts w:ascii="Times New Roman" w:cs="Times New Roman" w:eastAsia="Times New Roman" w:hAnsi="Times New Roman"/>
          <w:sz w:val="20"/>
          <w:szCs w:val="20"/>
          <w:b w:val="1"/>
          <w:bCs w:val="1"/>
          <w:color w:val="auto"/>
        </w:rPr>
        <w:t>Income Tax Structure — Refer to Notes 2 and 19 to the financial statements Critical Audit Matter Description</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On September 17, 2021, the Company completed its initial public offering in a series of transaction steps, which resulted in Definitive Healthcare Corp owning a majority of AIDH TopCo, LLC. Definitive Healthcare Corp is a C-corporation holding company owning a partnership interest in AIDH TopCo, LLC, commonly referred to as an Up-C structure. In connection with the initial public offering, the Company entered into a Tax Receivable Agreement (“TRA”) and recorded a liability under the TRA. The balance of the TRA liability on December 31, 2024 was $63.2 million. Under the TRA, the Company generally will be required to pay certain pre-IPO owners 85% of the amount of cash savings, if any, related to any U.S. federal, state, or local taxes that the Company actually realizes. The payments related to the initial and subsequent exchanges are treated as additional consideration paid, which in turn increases the tax basis of the Company’s investment in the Partnership. Most of this additional tax basis is amortizable under requisite sections of the Internal Revenue Code and therefore subject to the TRA.</w:t>
      </w:r>
    </w:p>
    <w:p>
      <w:pPr>
        <w:spacing w:after="0" w:line="85"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9"/>
          <w:szCs w:val="19"/>
          <w:color w:val="auto"/>
        </w:rPr>
        <w:t>The amounts payable, as well as the timing of such payments, under the TRA are dependent upon significant future events and assumptions, including among others: (i) the amount and timing of exchanges, (ii) the characterization of the tax basis step-up,</w:t>
      </w:r>
    </w:p>
    <w:p>
      <w:pPr>
        <w:spacing w:after="0" w:line="1" w:lineRule="exact"/>
        <w:rPr>
          <w:sz w:val="20"/>
          <w:szCs w:val="20"/>
          <w:color w:val="auto"/>
        </w:rPr>
      </w:pPr>
    </w:p>
    <w:p>
      <w:pPr>
        <w:ind w:right="420" w:firstLine="8"/>
        <w:spacing w:after="0" w:line="276" w:lineRule="auto"/>
        <w:tabs>
          <w:tab w:leader="none" w:pos="35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depreciation and amortization periods that apply to the increase in tax basis, (iv) the amount and timing of taxable income the Company generates in the future, (v) the Company’s state tax footprint in the years in which any benefits are generated and/or realized, and (vi) the U.S. federal and state income tax rates then applicable.</w:t>
      </w:r>
    </w:p>
    <w:p>
      <w:pPr>
        <w:spacing w:after="0" w:line="6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0"/>
          <w:szCs w:val="20"/>
          <w:color w:val="auto"/>
        </w:rPr>
        <w:t>Given the complexity of the calculation and high volume of inputs used to estimate the TRA liability, performing audit procedures to evaluate the accuracy of the calculation and appropriateness of the inputs required a high degree of auditor judgment and an increased extent of effort, including the need to involve our income tax specialists who possess significant tax regulation and TRA calculation expertise.</w:t>
      </w:r>
    </w:p>
    <w:p>
      <w:pPr>
        <w:sectPr>
          <w:pgSz w:w="11880" w:h="15480" w:orient="portrait"/>
          <w:cols w:equalWidth="0" w:num="1">
            <w:col w:w="10180"/>
          </w:cols>
          <w:pgMar w:left="820" w:top="80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10180"/>
          </w:cols>
          <w:pgMar w:left="820" w:top="806" w:right="88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color w:val="auto"/>
        </w:rPr>
        <w:t>How the Critical Audit Matter Was Addressed in the Audit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the TRA liability included the following, among others:</w:t>
      </w:r>
    </w:p>
    <w:p>
      <w:pPr>
        <w:spacing w:after="0" w:line="151" w:lineRule="exact"/>
        <w:rPr>
          <w:sz w:val="20"/>
          <w:szCs w:val="20"/>
          <w:color w:val="auto"/>
        </w:rPr>
      </w:pPr>
    </w:p>
    <w:p>
      <w:pPr>
        <w:ind w:left="980" w:right="180" w:hanging="483"/>
        <w:spacing w:after="0" w:line="278"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We tested the effectiveness of controls over management’s determination of the TRA liability, including controls over significant tax judgments and estimates.</w:t>
      </w:r>
    </w:p>
    <w:p>
      <w:pPr>
        <w:spacing w:after="0" w:line="60" w:lineRule="exact"/>
        <w:rPr>
          <w:rFonts w:ascii="Arial" w:cs="Arial" w:eastAsia="Arial" w:hAnsi="Arial"/>
          <w:sz w:val="20"/>
          <w:szCs w:val="20"/>
          <w:color w:val="auto"/>
        </w:rPr>
      </w:pPr>
    </w:p>
    <w:p>
      <w:pPr>
        <w:ind w:left="980" w:right="660" w:hanging="483"/>
        <w:spacing w:after="0" w:line="278"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With the assistance of our income tax specialists, our audit procedures related to the TRA liability included evaluating and assessing the following, among others:</w:t>
      </w:r>
    </w:p>
    <w:p>
      <w:pPr>
        <w:spacing w:after="0" w:line="60" w:lineRule="exact"/>
        <w:rPr>
          <w:rFonts w:ascii="Arial" w:cs="Arial" w:eastAsia="Arial" w:hAnsi="Arial"/>
          <w:sz w:val="20"/>
          <w:szCs w:val="20"/>
          <w:color w:val="auto"/>
        </w:rPr>
      </w:pPr>
    </w:p>
    <w:p>
      <w:pPr>
        <w:ind w:left="1480" w:right="160"/>
        <w:spacing w:after="0" w:line="259" w:lineRule="auto"/>
        <w:rPr>
          <w:rFonts w:ascii="Arial" w:cs="Arial" w:eastAsia="Arial" w:hAnsi="Arial"/>
          <w:sz w:val="20"/>
          <w:szCs w:val="20"/>
          <w:color w:val="auto"/>
        </w:rPr>
      </w:pPr>
      <w:r>
        <w:rPr>
          <w:rFonts w:ascii="Times New Roman" w:cs="Times New Roman" w:eastAsia="Times New Roman" w:hAnsi="Times New Roman"/>
          <w:sz w:val="20"/>
          <w:szCs w:val="20"/>
          <w:color w:val="auto"/>
        </w:rPr>
        <w:t>We evaluated the appropriateness of management’s application of the accounting for the TRA liability, and the reasonableness of the methods, inputs, and assumptions used by management to determine the TRA liability.</w:t>
      </w:r>
    </w:p>
    <w:p>
      <w:pPr>
        <w:spacing w:after="0" w:line="79" w:lineRule="exact"/>
        <w:rPr>
          <w:rFonts w:ascii="Arial" w:cs="Arial" w:eastAsia="Arial" w:hAnsi="Arial"/>
          <w:sz w:val="20"/>
          <w:szCs w:val="20"/>
          <w:color w:val="auto"/>
        </w:rPr>
      </w:pPr>
    </w:p>
    <w:p>
      <w:pPr>
        <w:ind w:left="1480"/>
        <w:spacing w:after="0" w:line="259" w:lineRule="auto"/>
        <w:rPr>
          <w:rFonts w:ascii="Arial" w:cs="Arial" w:eastAsia="Arial" w:hAnsi="Arial"/>
          <w:sz w:val="20"/>
          <w:szCs w:val="20"/>
          <w:color w:val="auto"/>
        </w:rPr>
      </w:pPr>
      <w:r>
        <w:rPr>
          <w:rFonts w:ascii="Times New Roman" w:cs="Times New Roman" w:eastAsia="Times New Roman" w:hAnsi="Times New Roman"/>
          <w:sz w:val="20"/>
          <w:szCs w:val="20"/>
          <w:color w:val="auto"/>
        </w:rPr>
        <w:t>We evaluated the impact of partnership exchange transactions on the computation of the TRA liability by performing testing, on a sample basis, of exchanges, tax basis amounts and calculations related to the step-up in basis.</w:t>
      </w:r>
    </w:p>
    <w:p>
      <w:pPr>
        <w:spacing w:after="0" w:line="79" w:lineRule="exact"/>
        <w:rPr>
          <w:rFonts w:ascii="Arial" w:cs="Arial" w:eastAsia="Arial" w:hAnsi="Arial"/>
          <w:sz w:val="20"/>
          <w:szCs w:val="20"/>
          <w:color w:val="auto"/>
        </w:rPr>
      </w:pPr>
    </w:p>
    <w:p>
      <w:pPr>
        <w:ind w:left="1480" w:right="160"/>
        <w:spacing w:after="0" w:line="279" w:lineRule="auto"/>
        <w:rPr>
          <w:rFonts w:ascii="Arial" w:cs="Arial" w:eastAsia="Arial" w:hAnsi="Arial"/>
          <w:sz w:val="20"/>
          <w:szCs w:val="20"/>
          <w:color w:val="auto"/>
        </w:rPr>
      </w:pPr>
      <w:r>
        <w:rPr>
          <w:rFonts w:ascii="Times New Roman" w:cs="Times New Roman" w:eastAsia="Times New Roman" w:hAnsi="Times New Roman"/>
          <w:sz w:val="20"/>
          <w:szCs w:val="20"/>
          <w:color w:val="auto"/>
        </w:rPr>
        <w:t>We tested the appropriateness of the tax rates and tax amortization utilized in the determination of the TRA liability, by agreeing to the terms in the TRA and applicable federal and state tax laws.</w:t>
      </w:r>
    </w:p>
    <w:p>
      <w:pPr>
        <w:spacing w:after="0" w:line="59"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We tested the mathematical accuracy of the TRA liability calculation by recomputing the liability.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10220"/>
          </w:cols>
          <w:pgMar w:left="820" w:top="803" w:right="840" w:bottom="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DEFINITIVE HEALTHCARE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number of shares and par value)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6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14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shd w:val="clear" w:color="auto" w:fill="FDFDFD"/>
          </w:tcPr>
          <w:p>
            <w:pPr>
              <w:spacing w:after="0"/>
              <w:rPr>
                <w:sz w:val="17"/>
                <w:szCs w:val="17"/>
                <w:color w:val="auto"/>
              </w:rPr>
            </w:pPr>
          </w:p>
        </w:tc>
        <w:tc>
          <w:tcPr>
            <w:tcW w:w="1520" w:type="dxa"/>
            <w:vAlign w:val="bottom"/>
            <w:gridSpan w:val="3"/>
            <w:shd w:val="clear" w:color="auto" w:fill="FDFDFD"/>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0"/>
        </w:trPr>
        <w:tc>
          <w:tcPr>
            <w:tcW w:w="7020" w:type="dxa"/>
            <w:vAlign w:val="bottom"/>
            <w:tcBorders>
              <w:top w:val="single" w:sz="8" w:color="E3E3E3"/>
            </w:tcBorders>
            <w:gridSpan w:val="2"/>
            <w:shd w:val="clear" w:color="auto" w:fill="E3E3E3"/>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120" w:type="dxa"/>
            <w:vAlign w:val="bottom"/>
            <w:tcBorders>
              <w:top w:val="single" w:sz="8" w:color="auto"/>
            </w:tcBorders>
            <w:shd w:val="clear" w:color="auto" w:fill="E3E3E3"/>
          </w:tcPr>
          <w:p>
            <w:pPr>
              <w:spacing w:after="0"/>
              <w:rPr>
                <w:sz w:val="19"/>
                <w:szCs w:val="19"/>
                <w:color w:val="auto"/>
              </w:rPr>
            </w:pPr>
          </w:p>
        </w:tc>
        <w:tc>
          <w:tcPr>
            <w:tcW w:w="1300" w:type="dxa"/>
            <w:vAlign w:val="bottom"/>
            <w:tcBorders>
              <w:top w:val="single" w:sz="8" w:color="auto"/>
            </w:tcBorders>
            <w:shd w:val="clear" w:color="auto" w:fill="E3E3E3"/>
          </w:tcPr>
          <w:p>
            <w:pPr>
              <w:spacing w:after="0"/>
              <w:rPr>
                <w:sz w:val="19"/>
                <w:szCs w:val="19"/>
                <w:color w:val="auto"/>
              </w:rPr>
            </w:pPr>
          </w:p>
        </w:tc>
        <w:tc>
          <w:tcPr>
            <w:tcW w:w="280" w:type="dxa"/>
            <w:vAlign w:val="bottom"/>
            <w:tcBorders>
              <w:top w:val="single" w:sz="8" w:color="E3E3E3"/>
            </w:tcBorders>
            <w:shd w:val="clear" w:color="auto" w:fill="E3E3E3"/>
          </w:tcPr>
          <w:p>
            <w:pPr>
              <w:spacing w:after="0"/>
              <w:rPr>
                <w:sz w:val="19"/>
                <w:szCs w:val="19"/>
                <w:color w:val="auto"/>
              </w:rPr>
            </w:pPr>
          </w:p>
        </w:tc>
        <w:tc>
          <w:tcPr>
            <w:tcW w:w="360" w:type="dxa"/>
            <w:vAlign w:val="bottom"/>
            <w:tcBorders>
              <w:top w:val="single" w:sz="8" w:color="auto"/>
            </w:tcBorders>
            <w:shd w:val="clear" w:color="auto" w:fill="E3E3E3"/>
          </w:tcPr>
          <w:p>
            <w:pPr>
              <w:spacing w:after="0"/>
              <w:rPr>
                <w:sz w:val="19"/>
                <w:szCs w:val="19"/>
                <w:color w:val="auto"/>
              </w:rPr>
            </w:pPr>
          </w:p>
        </w:tc>
        <w:tc>
          <w:tcPr>
            <w:tcW w:w="1060" w:type="dxa"/>
            <w:vAlign w:val="bottom"/>
            <w:tcBorders>
              <w:top w:val="single" w:sz="8" w:color="auto"/>
            </w:tcBorders>
            <w:shd w:val="clear" w:color="auto" w:fill="E3E3E3"/>
          </w:tcPr>
          <w:p>
            <w:pPr>
              <w:spacing w:after="0"/>
              <w:rPr>
                <w:sz w:val="19"/>
                <w:szCs w:val="19"/>
                <w:color w:val="auto"/>
              </w:rPr>
            </w:pP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6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6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30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30"/>
        </w:trPr>
        <w:tc>
          <w:tcPr>
            <w:tcW w:w="68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shd w:val="clear" w:color="auto" w:fill="E3E3E3"/>
          </w:tcPr>
          <w:p>
            <w:pPr>
              <w:spacing w:after="0"/>
              <w:rPr>
                <w:sz w:val="19"/>
                <w:szCs w:val="19"/>
                <w:color w:val="auto"/>
              </w:rPr>
            </w:pPr>
          </w:p>
        </w:tc>
        <w:tc>
          <w:tcPr>
            <w:tcW w:w="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105,378</w:t>
            </w: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jc w:val="right"/>
              <w:ind w:right="164"/>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130,976</w:t>
            </w:r>
          </w:p>
        </w:tc>
        <w:tc>
          <w:tcPr>
            <w:tcW w:w="100" w:type="dxa"/>
            <w:vAlign w:val="bottom"/>
            <w:shd w:val="clear" w:color="auto" w:fill="E3E3E3"/>
          </w:tcPr>
          <w:p>
            <w:pPr>
              <w:spacing w:after="0"/>
              <w:rPr>
                <w:sz w:val="19"/>
                <w:szCs w:val="19"/>
                <w:color w:val="auto"/>
              </w:rPr>
            </w:pPr>
          </w:p>
        </w:tc>
      </w:tr>
      <w:tr>
        <w:trPr>
          <w:trHeight w:val="230"/>
        </w:trPr>
        <w:tc>
          <w:tcPr>
            <w:tcW w:w="70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Short-term investments</w:t>
            </w:r>
          </w:p>
        </w:tc>
        <w:tc>
          <w:tcPr>
            <w:tcW w:w="12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2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177,092</w:t>
            </w:r>
          </w:p>
        </w:tc>
        <w:tc>
          <w:tcPr>
            <w:tcW w:w="100" w:type="dxa"/>
            <w:vAlign w:val="bottom"/>
            <w:shd w:val="clear" w:color="auto" w:fill="FDFDFD"/>
          </w:tcPr>
          <w:p>
            <w:pPr>
              <w:spacing w:after="0"/>
              <w:rPr>
                <w:sz w:val="19"/>
                <w:szCs w:val="19"/>
                <w:color w:val="auto"/>
              </w:rPr>
            </w:pPr>
          </w:p>
        </w:tc>
      </w:tr>
      <w:tr>
        <w:trPr>
          <w:trHeight w:val="230"/>
        </w:trPr>
        <w:tc>
          <w:tcPr>
            <w:tcW w:w="70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Accounts receivable, net</w:t>
            </w: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53,232</w:t>
            </w: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59,249</w:t>
            </w:r>
          </w:p>
        </w:tc>
        <w:tc>
          <w:tcPr>
            <w:tcW w:w="100" w:type="dxa"/>
            <w:vAlign w:val="bottom"/>
            <w:shd w:val="clear" w:color="auto" w:fill="E3E3E3"/>
          </w:tcPr>
          <w:p>
            <w:pPr>
              <w:spacing w:after="0"/>
              <w:rPr>
                <w:sz w:val="19"/>
                <w:szCs w:val="19"/>
                <w:color w:val="auto"/>
              </w:rPr>
            </w:pPr>
          </w:p>
        </w:tc>
      </w:tr>
      <w:tr>
        <w:trPr>
          <w:trHeight w:val="230"/>
        </w:trPr>
        <w:tc>
          <w:tcPr>
            <w:tcW w:w="70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2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13,040</w:t>
            </w:r>
          </w:p>
        </w:tc>
        <w:tc>
          <w:tcPr>
            <w:tcW w:w="2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13,120</w:t>
            </w:r>
          </w:p>
        </w:tc>
        <w:tc>
          <w:tcPr>
            <w:tcW w:w="100" w:type="dxa"/>
            <w:vAlign w:val="bottom"/>
            <w:shd w:val="clear" w:color="auto" w:fill="FDFDFD"/>
          </w:tcPr>
          <w:p>
            <w:pPr>
              <w:spacing w:after="0"/>
              <w:rPr>
                <w:sz w:val="19"/>
                <w:szCs w:val="19"/>
                <w:color w:val="auto"/>
              </w:rPr>
            </w:pPr>
          </w:p>
        </w:tc>
      </w:tr>
      <w:tr>
        <w:trPr>
          <w:trHeight w:val="230"/>
        </w:trPr>
        <w:tc>
          <w:tcPr>
            <w:tcW w:w="7020" w:type="dxa"/>
            <w:vAlign w:val="bottom"/>
            <w:tcBorders>
              <w:bottom w:val="single" w:sz="8" w:color="FDFDFD"/>
            </w:tcBorders>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Deferred contract costs</w:t>
            </w:r>
          </w:p>
        </w:tc>
        <w:tc>
          <w:tcPr>
            <w:tcW w:w="120" w:type="dxa"/>
            <w:vAlign w:val="bottom"/>
            <w:tcBorders>
              <w:bottom w:val="single" w:sz="8" w:color="auto"/>
            </w:tcBorders>
            <w:shd w:val="clear" w:color="auto" w:fill="E3E3E3"/>
          </w:tcPr>
          <w:p>
            <w:pPr>
              <w:spacing w:after="0"/>
              <w:rPr>
                <w:sz w:val="19"/>
                <w:szCs w:val="19"/>
                <w:color w:val="auto"/>
              </w:rPr>
            </w:pPr>
          </w:p>
        </w:tc>
        <w:tc>
          <w:tcPr>
            <w:tcW w:w="13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13,736</w:t>
            </w:r>
          </w:p>
        </w:tc>
        <w:tc>
          <w:tcPr>
            <w:tcW w:w="280" w:type="dxa"/>
            <w:vAlign w:val="bottom"/>
            <w:tcBorders>
              <w:bottom w:val="single" w:sz="8" w:color="FDFDFD"/>
            </w:tcBorders>
            <w:shd w:val="clear" w:color="auto" w:fill="E3E3E3"/>
          </w:tcPr>
          <w:p>
            <w:pPr>
              <w:spacing w:after="0"/>
              <w:rPr>
                <w:sz w:val="19"/>
                <w:szCs w:val="19"/>
                <w:color w:val="auto"/>
              </w:rPr>
            </w:pPr>
          </w:p>
        </w:tc>
        <w:tc>
          <w:tcPr>
            <w:tcW w:w="360" w:type="dxa"/>
            <w:vAlign w:val="bottom"/>
            <w:tcBorders>
              <w:bottom w:val="single" w:sz="8" w:color="auto"/>
            </w:tcBorders>
            <w:shd w:val="clear" w:color="auto" w:fill="E3E3E3"/>
          </w:tcPr>
          <w:p>
            <w:pPr>
              <w:spacing w:after="0"/>
              <w:rPr>
                <w:sz w:val="19"/>
                <w:szCs w:val="19"/>
                <w:color w:val="auto"/>
              </w:rPr>
            </w:pPr>
          </w:p>
        </w:tc>
        <w:tc>
          <w:tcPr>
            <w:tcW w:w="10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13,490</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6860" w:type="dxa"/>
            <w:vAlign w:val="bottom"/>
            <w:shd w:val="clear" w:color="auto" w:fill="FDFDFD"/>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auto"/>
              </w:rPr>
              <w:t>Total current assets</w:t>
            </w:r>
          </w:p>
        </w:tc>
        <w:tc>
          <w:tcPr>
            <w:tcW w:w="16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370,172</w:t>
            </w:r>
          </w:p>
        </w:tc>
        <w:tc>
          <w:tcPr>
            <w:tcW w:w="2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060" w:type="dxa"/>
            <w:vAlign w:val="bottom"/>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393,927</w:t>
            </w:r>
          </w:p>
        </w:tc>
        <w:tc>
          <w:tcPr>
            <w:tcW w:w="100" w:type="dxa"/>
            <w:vAlign w:val="bottom"/>
            <w:shd w:val="clear" w:color="auto" w:fill="FDFDFD"/>
          </w:tcPr>
          <w:p>
            <w:pPr>
              <w:spacing w:after="0"/>
              <w:rPr>
                <w:sz w:val="19"/>
                <w:szCs w:val="19"/>
                <w:color w:val="auto"/>
              </w:rPr>
            </w:pPr>
          </w:p>
        </w:tc>
      </w:tr>
      <w:tr>
        <w:trPr>
          <w:trHeight w:val="230"/>
        </w:trPr>
        <w:tc>
          <w:tcPr>
            <w:tcW w:w="68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6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3,791</w:t>
            </w: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4,471</w:t>
            </w:r>
          </w:p>
        </w:tc>
        <w:tc>
          <w:tcPr>
            <w:tcW w:w="100" w:type="dxa"/>
            <w:vAlign w:val="bottom"/>
            <w:shd w:val="clear" w:color="auto" w:fill="E3E3E3"/>
          </w:tcPr>
          <w:p>
            <w:pPr>
              <w:spacing w:after="0"/>
              <w:rPr>
                <w:sz w:val="19"/>
                <w:szCs w:val="19"/>
                <w:color w:val="auto"/>
              </w:rPr>
            </w:pPr>
          </w:p>
        </w:tc>
      </w:tr>
      <w:tr>
        <w:trPr>
          <w:trHeight w:val="230"/>
        </w:trPr>
        <w:tc>
          <w:tcPr>
            <w:tcW w:w="702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auto"/>
              </w:rPr>
              <w:t>Operating lease right-of-use assets, net</w:t>
            </w:r>
          </w:p>
        </w:tc>
        <w:tc>
          <w:tcPr>
            <w:tcW w:w="12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7,521</w:t>
            </w:r>
          </w:p>
        </w:tc>
        <w:tc>
          <w:tcPr>
            <w:tcW w:w="2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9,594</w:t>
            </w:r>
          </w:p>
        </w:tc>
        <w:tc>
          <w:tcPr>
            <w:tcW w:w="100" w:type="dxa"/>
            <w:vAlign w:val="bottom"/>
            <w:shd w:val="clear" w:color="auto" w:fill="FDFDFD"/>
          </w:tcPr>
          <w:p>
            <w:pPr>
              <w:spacing w:after="0"/>
              <w:rPr>
                <w:sz w:val="19"/>
                <w:szCs w:val="19"/>
                <w:color w:val="auto"/>
              </w:rPr>
            </w:pPr>
          </w:p>
        </w:tc>
      </w:tr>
      <w:tr>
        <w:trPr>
          <w:trHeight w:val="230"/>
        </w:trPr>
        <w:tc>
          <w:tcPr>
            <w:tcW w:w="70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2,300</w:t>
            </w: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2,388</w:t>
            </w:r>
          </w:p>
        </w:tc>
        <w:tc>
          <w:tcPr>
            <w:tcW w:w="100" w:type="dxa"/>
            <w:vAlign w:val="bottom"/>
            <w:shd w:val="clear" w:color="auto" w:fill="E3E3E3"/>
          </w:tcPr>
          <w:p>
            <w:pPr>
              <w:spacing w:after="0"/>
              <w:rPr>
                <w:sz w:val="19"/>
                <w:szCs w:val="19"/>
                <w:color w:val="auto"/>
              </w:rPr>
            </w:pPr>
          </w:p>
        </w:tc>
      </w:tr>
      <w:tr>
        <w:trPr>
          <w:trHeight w:val="230"/>
        </w:trPr>
        <w:tc>
          <w:tcPr>
            <w:tcW w:w="702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auto"/>
              </w:rPr>
              <w:t>Deferred contract costs</w:t>
            </w:r>
          </w:p>
        </w:tc>
        <w:tc>
          <w:tcPr>
            <w:tcW w:w="12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14,389</w:t>
            </w:r>
          </w:p>
        </w:tc>
        <w:tc>
          <w:tcPr>
            <w:tcW w:w="2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17,320</w:t>
            </w:r>
          </w:p>
        </w:tc>
        <w:tc>
          <w:tcPr>
            <w:tcW w:w="100" w:type="dxa"/>
            <w:vAlign w:val="bottom"/>
            <w:shd w:val="clear" w:color="auto" w:fill="FDFDFD"/>
          </w:tcPr>
          <w:p>
            <w:pPr>
              <w:spacing w:after="0"/>
              <w:rPr>
                <w:sz w:val="19"/>
                <w:szCs w:val="19"/>
                <w:color w:val="auto"/>
              </w:rPr>
            </w:pPr>
          </w:p>
        </w:tc>
      </w:tr>
      <w:tr>
        <w:trPr>
          <w:trHeight w:val="230"/>
        </w:trPr>
        <w:tc>
          <w:tcPr>
            <w:tcW w:w="70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297,933</w:t>
            </w: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323,121</w:t>
            </w:r>
          </w:p>
        </w:tc>
        <w:tc>
          <w:tcPr>
            <w:tcW w:w="100" w:type="dxa"/>
            <w:vAlign w:val="bottom"/>
            <w:shd w:val="clear" w:color="auto" w:fill="E3E3E3"/>
          </w:tcPr>
          <w:p>
            <w:pPr>
              <w:spacing w:after="0"/>
              <w:rPr>
                <w:sz w:val="19"/>
                <w:szCs w:val="19"/>
                <w:color w:val="auto"/>
              </w:rPr>
            </w:pPr>
          </w:p>
        </w:tc>
      </w:tr>
      <w:tr>
        <w:trPr>
          <w:trHeight w:val="230"/>
        </w:trPr>
        <w:tc>
          <w:tcPr>
            <w:tcW w:w="7020" w:type="dxa"/>
            <w:vAlign w:val="bottom"/>
            <w:tcBorders>
              <w:bottom w:val="single" w:sz="8" w:color="E3E3E3"/>
            </w:tcBorders>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auto"/>
              </w:rPr>
              <w:t>Goodwill</w:t>
            </w:r>
          </w:p>
        </w:tc>
        <w:tc>
          <w:tcPr>
            <w:tcW w:w="120" w:type="dxa"/>
            <w:vAlign w:val="bottom"/>
            <w:tcBorders>
              <w:bottom w:val="single" w:sz="8" w:color="auto"/>
            </w:tcBorders>
            <w:shd w:val="clear" w:color="auto" w:fill="FDFDFD"/>
          </w:tcPr>
          <w:p>
            <w:pPr>
              <w:spacing w:after="0"/>
              <w:rPr>
                <w:sz w:val="19"/>
                <w:szCs w:val="19"/>
                <w:color w:val="auto"/>
              </w:rPr>
            </w:pPr>
          </w:p>
        </w:tc>
        <w:tc>
          <w:tcPr>
            <w:tcW w:w="13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393,283</w:t>
            </w:r>
          </w:p>
        </w:tc>
        <w:tc>
          <w:tcPr>
            <w:tcW w:w="280" w:type="dxa"/>
            <w:vAlign w:val="bottom"/>
            <w:tcBorders>
              <w:bottom w:val="single" w:sz="8" w:color="E3E3E3"/>
            </w:tcBorders>
            <w:shd w:val="clear" w:color="auto" w:fill="FDFDFD"/>
          </w:tcPr>
          <w:p>
            <w:pPr>
              <w:spacing w:after="0"/>
              <w:rPr>
                <w:sz w:val="19"/>
                <w:szCs w:val="19"/>
                <w:color w:val="auto"/>
              </w:rPr>
            </w:pPr>
          </w:p>
        </w:tc>
        <w:tc>
          <w:tcPr>
            <w:tcW w:w="360" w:type="dxa"/>
            <w:vAlign w:val="bottom"/>
            <w:tcBorders>
              <w:bottom w:val="single" w:sz="8" w:color="auto"/>
            </w:tcBorders>
            <w:shd w:val="clear" w:color="auto" w:fill="FDFDFD"/>
          </w:tcPr>
          <w:p>
            <w:pPr>
              <w:spacing w:after="0"/>
              <w:rPr>
                <w:sz w:val="19"/>
                <w:szCs w:val="19"/>
                <w:color w:val="auto"/>
              </w:rPr>
            </w:pPr>
          </w:p>
        </w:tc>
        <w:tc>
          <w:tcPr>
            <w:tcW w:w="10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1,075,080</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60"/>
        </w:trPr>
        <w:tc>
          <w:tcPr>
            <w:tcW w:w="6860" w:type="dxa"/>
            <w:vAlign w:val="bottom"/>
            <w:tcBorders>
              <w:bottom w:val="single" w:sz="8" w:color="FDFDFD"/>
            </w:tcBorders>
            <w:shd w:val="clear" w:color="auto" w:fill="E3E3E3"/>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auto"/>
              </w:rPr>
              <w:t>Total assets</w:t>
            </w:r>
          </w:p>
        </w:tc>
        <w:tc>
          <w:tcPr>
            <w:tcW w:w="160" w:type="dxa"/>
            <w:vAlign w:val="bottom"/>
            <w:tcBorders>
              <w:bottom w:val="single" w:sz="8" w:color="FDFDFD"/>
            </w:tcBorders>
            <w:shd w:val="clear" w:color="auto" w:fill="E3E3E3"/>
          </w:tcPr>
          <w:p>
            <w:pPr>
              <w:spacing w:after="0"/>
              <w:rPr>
                <w:sz w:val="22"/>
                <w:szCs w:val="22"/>
                <w:color w:val="auto"/>
              </w:rPr>
            </w:pPr>
          </w:p>
        </w:tc>
        <w:tc>
          <w:tcPr>
            <w:tcW w:w="1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1,089,389</w:t>
            </w:r>
          </w:p>
        </w:tc>
        <w:tc>
          <w:tcPr>
            <w:tcW w:w="280" w:type="dxa"/>
            <w:vAlign w:val="bottom"/>
            <w:tcBorders>
              <w:bottom w:val="single" w:sz="8" w:color="FDFDFD"/>
            </w:tcBorders>
            <w:shd w:val="clear" w:color="auto" w:fill="E3E3E3"/>
          </w:tcPr>
          <w:p>
            <w:pPr>
              <w:spacing w:after="0"/>
              <w:rPr>
                <w:sz w:val="22"/>
                <w:szCs w:val="22"/>
                <w:color w:val="auto"/>
              </w:rPr>
            </w:pPr>
          </w:p>
        </w:tc>
        <w:tc>
          <w:tcPr>
            <w:tcW w:w="360" w:type="dxa"/>
            <w:vAlign w:val="bottom"/>
            <w:tcBorders>
              <w:bottom w:val="single" w:sz="8" w:color="auto"/>
            </w:tcBorders>
            <w:shd w:val="clear" w:color="auto" w:fill="E3E3E3"/>
          </w:tcPr>
          <w:p>
            <w:pPr>
              <w:jc w:val="right"/>
              <w:ind w:right="164"/>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1,825,901</w:t>
            </w:r>
          </w:p>
        </w:tc>
        <w:tc>
          <w:tcPr>
            <w:tcW w:w="100" w:type="dxa"/>
            <w:vAlign w:val="bottom"/>
            <w:tcBorders>
              <w:bottom w:val="single" w:sz="8" w:color="FDFDFD"/>
            </w:tcBorders>
            <w:shd w:val="clear" w:color="auto" w:fill="E3E3E3"/>
          </w:tcPr>
          <w:p>
            <w:pPr>
              <w:spacing w:after="0"/>
              <w:rPr>
                <w:sz w:val="22"/>
                <w:szCs w:val="22"/>
                <w:color w:val="auto"/>
              </w:rPr>
            </w:pPr>
          </w:p>
        </w:tc>
      </w:tr>
      <w:tr>
        <w:trPr>
          <w:trHeight w:val="215"/>
        </w:trPr>
        <w:tc>
          <w:tcPr>
            <w:tcW w:w="6860" w:type="dxa"/>
            <w:vAlign w:val="bottom"/>
            <w:shd w:val="clear" w:color="auto" w:fill="FDFDFD"/>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60" w:type="dxa"/>
            <w:vAlign w:val="bottom"/>
            <w:shd w:val="clear" w:color="auto" w:fill="FDFDFD"/>
          </w:tcPr>
          <w:p>
            <w:pPr>
              <w:spacing w:after="0"/>
              <w:rPr>
                <w:sz w:val="18"/>
                <w:szCs w:val="18"/>
                <w:color w:val="auto"/>
              </w:rPr>
            </w:pPr>
          </w:p>
        </w:tc>
        <w:tc>
          <w:tcPr>
            <w:tcW w:w="120" w:type="dxa"/>
            <w:vAlign w:val="bottom"/>
            <w:shd w:val="clear" w:color="auto" w:fill="FDFDFD"/>
          </w:tcPr>
          <w:p>
            <w:pPr>
              <w:spacing w:after="0"/>
              <w:rPr>
                <w:sz w:val="18"/>
                <w:szCs w:val="18"/>
                <w:color w:val="auto"/>
              </w:rPr>
            </w:pPr>
          </w:p>
        </w:tc>
        <w:tc>
          <w:tcPr>
            <w:tcW w:w="1300" w:type="dxa"/>
            <w:vAlign w:val="bottom"/>
            <w:shd w:val="clear" w:color="auto" w:fill="FDFDFD"/>
          </w:tcPr>
          <w:p>
            <w:pPr>
              <w:spacing w:after="0"/>
              <w:rPr>
                <w:sz w:val="18"/>
                <w:szCs w:val="18"/>
                <w:color w:val="auto"/>
              </w:rPr>
            </w:pPr>
          </w:p>
        </w:tc>
        <w:tc>
          <w:tcPr>
            <w:tcW w:w="280" w:type="dxa"/>
            <w:vAlign w:val="bottom"/>
            <w:shd w:val="clear" w:color="auto" w:fill="FDFDFD"/>
          </w:tcPr>
          <w:p>
            <w:pPr>
              <w:spacing w:after="0"/>
              <w:rPr>
                <w:sz w:val="18"/>
                <w:szCs w:val="18"/>
                <w:color w:val="auto"/>
              </w:rPr>
            </w:pPr>
          </w:p>
        </w:tc>
        <w:tc>
          <w:tcPr>
            <w:tcW w:w="360" w:type="dxa"/>
            <w:vAlign w:val="bottom"/>
            <w:shd w:val="clear" w:color="auto" w:fill="FDFDFD"/>
          </w:tcPr>
          <w:p>
            <w:pPr>
              <w:spacing w:after="0"/>
              <w:rPr>
                <w:sz w:val="18"/>
                <w:szCs w:val="18"/>
                <w:color w:val="auto"/>
              </w:rPr>
            </w:pPr>
          </w:p>
        </w:tc>
        <w:tc>
          <w:tcPr>
            <w:tcW w:w="106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r>
      <w:tr>
        <w:trPr>
          <w:trHeight w:val="230"/>
        </w:trPr>
        <w:tc>
          <w:tcPr>
            <w:tcW w:w="68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6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68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160" w:type="dxa"/>
            <w:vAlign w:val="bottom"/>
            <w:shd w:val="clear" w:color="auto" w:fill="FDFDFD"/>
          </w:tcPr>
          <w:p>
            <w:pPr>
              <w:spacing w:after="0"/>
              <w:rPr>
                <w:sz w:val="19"/>
                <w:szCs w:val="19"/>
                <w:color w:val="auto"/>
              </w:rPr>
            </w:pPr>
          </w:p>
        </w:tc>
        <w:tc>
          <w:tcPr>
            <w:tcW w:w="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10,763</w:t>
            </w:r>
          </w:p>
        </w:tc>
        <w:tc>
          <w:tcPr>
            <w:tcW w:w="280" w:type="dxa"/>
            <w:vAlign w:val="bottom"/>
            <w:shd w:val="clear" w:color="auto" w:fill="FDFDFD"/>
          </w:tcPr>
          <w:p>
            <w:pPr>
              <w:spacing w:after="0"/>
              <w:rPr>
                <w:sz w:val="19"/>
                <w:szCs w:val="19"/>
                <w:color w:val="auto"/>
              </w:rPr>
            </w:pPr>
          </w:p>
        </w:tc>
        <w:tc>
          <w:tcPr>
            <w:tcW w:w="360" w:type="dxa"/>
            <w:vAlign w:val="bottom"/>
            <w:shd w:val="clear" w:color="auto" w:fill="FDFDFD"/>
          </w:tcPr>
          <w:p>
            <w:pPr>
              <w:jc w:val="right"/>
              <w:ind w:right="164"/>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5,787</w:t>
            </w:r>
          </w:p>
        </w:tc>
        <w:tc>
          <w:tcPr>
            <w:tcW w:w="100" w:type="dxa"/>
            <w:vAlign w:val="bottom"/>
            <w:shd w:val="clear" w:color="auto" w:fill="FDFDFD"/>
          </w:tcPr>
          <w:p>
            <w:pPr>
              <w:spacing w:after="0"/>
              <w:rPr>
                <w:sz w:val="19"/>
                <w:szCs w:val="19"/>
                <w:color w:val="auto"/>
              </w:rPr>
            </w:pPr>
          </w:p>
        </w:tc>
      </w:tr>
      <w:tr>
        <w:trPr>
          <w:trHeight w:val="230"/>
        </w:trPr>
        <w:tc>
          <w:tcPr>
            <w:tcW w:w="70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40,896</w:t>
            </w: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51,529</w:t>
            </w:r>
          </w:p>
        </w:tc>
        <w:tc>
          <w:tcPr>
            <w:tcW w:w="100" w:type="dxa"/>
            <w:vAlign w:val="bottom"/>
            <w:shd w:val="clear" w:color="auto" w:fill="E3E3E3"/>
          </w:tcPr>
          <w:p>
            <w:pPr>
              <w:spacing w:after="0"/>
              <w:rPr>
                <w:sz w:val="19"/>
                <w:szCs w:val="19"/>
                <w:color w:val="auto"/>
              </w:rPr>
            </w:pPr>
          </w:p>
        </w:tc>
      </w:tr>
      <w:tr>
        <w:trPr>
          <w:trHeight w:val="230"/>
        </w:trPr>
        <w:tc>
          <w:tcPr>
            <w:tcW w:w="70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Deferred revenue</w:t>
            </w:r>
          </w:p>
        </w:tc>
        <w:tc>
          <w:tcPr>
            <w:tcW w:w="12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93,344</w:t>
            </w:r>
          </w:p>
        </w:tc>
        <w:tc>
          <w:tcPr>
            <w:tcW w:w="2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97,377</w:t>
            </w:r>
          </w:p>
        </w:tc>
        <w:tc>
          <w:tcPr>
            <w:tcW w:w="100" w:type="dxa"/>
            <w:vAlign w:val="bottom"/>
            <w:shd w:val="clear" w:color="auto" w:fill="FDFDFD"/>
          </w:tcPr>
          <w:p>
            <w:pPr>
              <w:spacing w:after="0"/>
              <w:rPr>
                <w:sz w:val="19"/>
                <w:szCs w:val="19"/>
                <w:color w:val="auto"/>
              </w:rPr>
            </w:pPr>
          </w:p>
        </w:tc>
      </w:tr>
      <w:tr>
        <w:trPr>
          <w:trHeight w:val="230"/>
        </w:trPr>
        <w:tc>
          <w:tcPr>
            <w:tcW w:w="70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Term loan</w:t>
            </w: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13,750</w:t>
            </w: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13,750</w:t>
            </w:r>
          </w:p>
        </w:tc>
        <w:tc>
          <w:tcPr>
            <w:tcW w:w="100" w:type="dxa"/>
            <w:vAlign w:val="bottom"/>
            <w:shd w:val="clear" w:color="auto" w:fill="E3E3E3"/>
          </w:tcPr>
          <w:p>
            <w:pPr>
              <w:spacing w:after="0"/>
              <w:rPr>
                <w:sz w:val="19"/>
                <w:szCs w:val="19"/>
                <w:color w:val="auto"/>
              </w:rPr>
            </w:pPr>
          </w:p>
        </w:tc>
      </w:tr>
      <w:tr>
        <w:trPr>
          <w:trHeight w:val="230"/>
        </w:trPr>
        <w:tc>
          <w:tcPr>
            <w:tcW w:w="7020" w:type="dxa"/>
            <w:vAlign w:val="bottom"/>
            <w:tcBorders>
              <w:bottom w:val="single" w:sz="8" w:color="E3E3E3"/>
            </w:tcBorders>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20" w:type="dxa"/>
            <w:vAlign w:val="bottom"/>
            <w:tcBorders>
              <w:bottom w:val="single" w:sz="8" w:color="auto"/>
            </w:tcBorders>
            <w:shd w:val="clear" w:color="auto" w:fill="FDFDFD"/>
          </w:tcPr>
          <w:p>
            <w:pPr>
              <w:spacing w:after="0"/>
              <w:rPr>
                <w:sz w:val="19"/>
                <w:szCs w:val="19"/>
                <w:color w:val="auto"/>
              </w:rPr>
            </w:pPr>
          </w:p>
        </w:tc>
        <w:tc>
          <w:tcPr>
            <w:tcW w:w="13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2,408</w:t>
            </w:r>
          </w:p>
        </w:tc>
        <w:tc>
          <w:tcPr>
            <w:tcW w:w="280" w:type="dxa"/>
            <w:vAlign w:val="bottom"/>
            <w:tcBorders>
              <w:bottom w:val="single" w:sz="8" w:color="E3E3E3"/>
            </w:tcBorders>
            <w:shd w:val="clear" w:color="auto" w:fill="FDFDFD"/>
          </w:tcPr>
          <w:p>
            <w:pPr>
              <w:spacing w:after="0"/>
              <w:rPr>
                <w:sz w:val="19"/>
                <w:szCs w:val="19"/>
                <w:color w:val="auto"/>
              </w:rPr>
            </w:pPr>
          </w:p>
        </w:tc>
        <w:tc>
          <w:tcPr>
            <w:tcW w:w="360" w:type="dxa"/>
            <w:vAlign w:val="bottom"/>
            <w:tcBorders>
              <w:bottom w:val="single" w:sz="8" w:color="auto"/>
            </w:tcBorders>
            <w:shd w:val="clear" w:color="auto" w:fill="FDFDFD"/>
          </w:tcPr>
          <w:p>
            <w:pPr>
              <w:spacing w:after="0"/>
              <w:rPr>
                <w:sz w:val="19"/>
                <w:szCs w:val="19"/>
                <w:color w:val="auto"/>
              </w:rPr>
            </w:pPr>
          </w:p>
        </w:tc>
        <w:tc>
          <w:tcPr>
            <w:tcW w:w="10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2,239</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6860" w:type="dxa"/>
            <w:vAlign w:val="bottom"/>
            <w:shd w:val="clear" w:color="auto" w:fill="E3E3E3"/>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16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161,161</w:t>
            </w: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170,682</w:t>
            </w:r>
          </w:p>
        </w:tc>
        <w:tc>
          <w:tcPr>
            <w:tcW w:w="100" w:type="dxa"/>
            <w:vAlign w:val="bottom"/>
            <w:shd w:val="clear" w:color="auto" w:fill="E3E3E3"/>
          </w:tcPr>
          <w:p>
            <w:pPr>
              <w:spacing w:after="0"/>
              <w:rPr>
                <w:sz w:val="19"/>
                <w:szCs w:val="19"/>
                <w:color w:val="auto"/>
              </w:rPr>
            </w:pPr>
          </w:p>
        </w:tc>
      </w:tr>
      <w:tr>
        <w:trPr>
          <w:trHeight w:val="230"/>
        </w:trPr>
        <w:tc>
          <w:tcPr>
            <w:tcW w:w="6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Long-term liabilities:</w:t>
            </w:r>
          </w:p>
        </w:tc>
        <w:tc>
          <w:tcPr>
            <w:tcW w:w="16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30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30"/>
        </w:trPr>
        <w:tc>
          <w:tcPr>
            <w:tcW w:w="70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Deferred revenue</w:t>
            </w: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shd w:val="clear" w:color="auto" w:fill="E3E3E3"/>
          </w:tcPr>
          <w:p>
            <w:pPr>
              <w:spacing w:after="0"/>
              <w:rPr>
                <w:sz w:val="19"/>
                <w:szCs w:val="19"/>
                <w:color w:val="auto"/>
              </w:rPr>
            </w:pPr>
          </w:p>
        </w:tc>
      </w:tr>
      <w:tr>
        <w:trPr>
          <w:trHeight w:val="230"/>
        </w:trPr>
        <w:tc>
          <w:tcPr>
            <w:tcW w:w="70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Term loan</w:t>
            </w:r>
          </w:p>
        </w:tc>
        <w:tc>
          <w:tcPr>
            <w:tcW w:w="12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229,368</w:t>
            </w:r>
          </w:p>
        </w:tc>
        <w:tc>
          <w:tcPr>
            <w:tcW w:w="2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242,567</w:t>
            </w:r>
          </w:p>
        </w:tc>
        <w:tc>
          <w:tcPr>
            <w:tcW w:w="100" w:type="dxa"/>
            <w:vAlign w:val="bottom"/>
            <w:shd w:val="clear" w:color="auto" w:fill="FDFDFD"/>
          </w:tcPr>
          <w:p>
            <w:pPr>
              <w:spacing w:after="0"/>
              <w:rPr>
                <w:sz w:val="19"/>
                <w:szCs w:val="19"/>
                <w:color w:val="auto"/>
              </w:rPr>
            </w:pPr>
          </w:p>
        </w:tc>
      </w:tr>
      <w:tr>
        <w:trPr>
          <w:trHeight w:val="230"/>
        </w:trPr>
        <w:tc>
          <w:tcPr>
            <w:tcW w:w="70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7,586</w:t>
            </w: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9,372</w:t>
            </w:r>
          </w:p>
        </w:tc>
        <w:tc>
          <w:tcPr>
            <w:tcW w:w="100" w:type="dxa"/>
            <w:vAlign w:val="bottom"/>
            <w:shd w:val="clear" w:color="auto" w:fill="E3E3E3"/>
          </w:tcPr>
          <w:p>
            <w:pPr>
              <w:spacing w:after="0"/>
              <w:rPr>
                <w:sz w:val="19"/>
                <w:szCs w:val="19"/>
                <w:color w:val="auto"/>
              </w:rPr>
            </w:pPr>
          </w:p>
        </w:tc>
      </w:tr>
      <w:tr>
        <w:trPr>
          <w:trHeight w:val="230"/>
        </w:trPr>
        <w:tc>
          <w:tcPr>
            <w:tcW w:w="70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Tax receivable agreements liability</w:t>
            </w:r>
          </w:p>
        </w:tc>
        <w:tc>
          <w:tcPr>
            <w:tcW w:w="12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49,511</w:t>
            </w:r>
          </w:p>
        </w:tc>
        <w:tc>
          <w:tcPr>
            <w:tcW w:w="2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127,000</w:t>
            </w:r>
          </w:p>
        </w:tc>
        <w:tc>
          <w:tcPr>
            <w:tcW w:w="100" w:type="dxa"/>
            <w:vAlign w:val="bottom"/>
            <w:shd w:val="clear" w:color="auto" w:fill="FDFDFD"/>
          </w:tcPr>
          <w:p>
            <w:pPr>
              <w:spacing w:after="0"/>
              <w:rPr>
                <w:sz w:val="19"/>
                <w:szCs w:val="19"/>
                <w:color w:val="auto"/>
              </w:rPr>
            </w:pPr>
          </w:p>
        </w:tc>
      </w:tr>
      <w:tr>
        <w:trPr>
          <w:trHeight w:val="230"/>
        </w:trPr>
        <w:tc>
          <w:tcPr>
            <w:tcW w:w="70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Deferred tax liabilities</w:t>
            </w: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25,088</w:t>
            </w: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67,163</w:t>
            </w:r>
          </w:p>
        </w:tc>
        <w:tc>
          <w:tcPr>
            <w:tcW w:w="100" w:type="dxa"/>
            <w:vAlign w:val="bottom"/>
            <w:shd w:val="clear" w:color="auto" w:fill="E3E3E3"/>
          </w:tcPr>
          <w:p>
            <w:pPr>
              <w:spacing w:after="0"/>
              <w:rPr>
                <w:sz w:val="19"/>
                <w:szCs w:val="19"/>
                <w:color w:val="auto"/>
              </w:rPr>
            </w:pPr>
          </w:p>
        </w:tc>
      </w:tr>
      <w:tr>
        <w:trPr>
          <w:trHeight w:val="230"/>
        </w:trPr>
        <w:tc>
          <w:tcPr>
            <w:tcW w:w="7020" w:type="dxa"/>
            <w:vAlign w:val="bottom"/>
            <w:tcBorders>
              <w:bottom w:val="single" w:sz="8" w:color="E3E3E3"/>
            </w:tcBorders>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Other liabilities</w:t>
            </w:r>
          </w:p>
        </w:tc>
        <w:tc>
          <w:tcPr>
            <w:tcW w:w="120" w:type="dxa"/>
            <w:vAlign w:val="bottom"/>
            <w:tcBorders>
              <w:bottom w:val="single" w:sz="8" w:color="auto"/>
            </w:tcBorders>
            <w:shd w:val="clear" w:color="auto" w:fill="FDFDFD"/>
          </w:tcPr>
          <w:p>
            <w:pPr>
              <w:spacing w:after="0"/>
              <w:rPr>
                <w:sz w:val="19"/>
                <w:szCs w:val="19"/>
                <w:color w:val="auto"/>
              </w:rPr>
            </w:pPr>
          </w:p>
        </w:tc>
        <w:tc>
          <w:tcPr>
            <w:tcW w:w="13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9,449</w:t>
            </w:r>
          </w:p>
        </w:tc>
        <w:tc>
          <w:tcPr>
            <w:tcW w:w="280" w:type="dxa"/>
            <w:vAlign w:val="bottom"/>
            <w:tcBorders>
              <w:bottom w:val="single" w:sz="8" w:color="E3E3E3"/>
            </w:tcBorders>
            <w:shd w:val="clear" w:color="auto" w:fill="FDFDFD"/>
          </w:tcPr>
          <w:p>
            <w:pPr>
              <w:spacing w:after="0"/>
              <w:rPr>
                <w:sz w:val="19"/>
                <w:szCs w:val="19"/>
                <w:color w:val="auto"/>
              </w:rPr>
            </w:pPr>
          </w:p>
        </w:tc>
        <w:tc>
          <w:tcPr>
            <w:tcW w:w="360" w:type="dxa"/>
            <w:vAlign w:val="bottom"/>
            <w:tcBorders>
              <w:bottom w:val="single" w:sz="8" w:color="auto"/>
            </w:tcBorders>
            <w:shd w:val="clear" w:color="auto" w:fill="FDFDFD"/>
          </w:tcPr>
          <w:p>
            <w:pPr>
              <w:spacing w:after="0"/>
              <w:rPr>
                <w:sz w:val="19"/>
                <w:szCs w:val="19"/>
                <w:color w:val="auto"/>
              </w:rPr>
            </w:pPr>
          </w:p>
        </w:tc>
        <w:tc>
          <w:tcPr>
            <w:tcW w:w="10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9,934</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45"/>
        </w:trPr>
        <w:tc>
          <w:tcPr>
            <w:tcW w:w="6860" w:type="dxa"/>
            <w:vAlign w:val="bottom"/>
            <w:tcBorders>
              <w:bottom w:val="single" w:sz="8" w:color="E3E3E3"/>
            </w:tcBorders>
            <w:shd w:val="clear" w:color="auto" w:fill="E3E3E3"/>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auto"/>
              </w:rPr>
              <w:t>Total liabilities</w:t>
            </w:r>
          </w:p>
        </w:tc>
        <w:tc>
          <w:tcPr>
            <w:tcW w:w="16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auto"/>
            </w:tcBorders>
            <w:shd w:val="clear" w:color="auto" w:fill="E3E3E3"/>
          </w:tcPr>
          <w:p>
            <w:pPr>
              <w:spacing w:after="0"/>
              <w:rPr>
                <w:sz w:val="20"/>
                <w:szCs w:val="20"/>
                <w:color w:val="auto"/>
              </w:rPr>
            </w:pPr>
          </w:p>
        </w:tc>
        <w:tc>
          <w:tcPr>
            <w:tcW w:w="13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482,195</w:t>
            </w:r>
          </w:p>
        </w:tc>
        <w:tc>
          <w:tcPr>
            <w:tcW w:w="280" w:type="dxa"/>
            <w:vAlign w:val="bottom"/>
            <w:tcBorders>
              <w:bottom w:val="single" w:sz="8" w:color="E3E3E3"/>
            </w:tcBorders>
            <w:shd w:val="clear" w:color="auto" w:fill="E3E3E3"/>
          </w:tcPr>
          <w:p>
            <w:pPr>
              <w:spacing w:after="0"/>
              <w:rPr>
                <w:sz w:val="20"/>
                <w:szCs w:val="20"/>
                <w:color w:val="auto"/>
              </w:rPr>
            </w:pPr>
          </w:p>
        </w:tc>
        <w:tc>
          <w:tcPr>
            <w:tcW w:w="360" w:type="dxa"/>
            <w:vAlign w:val="bottom"/>
            <w:tcBorders>
              <w:bottom w:val="single" w:sz="8" w:color="auto"/>
            </w:tcBorders>
            <w:shd w:val="clear" w:color="auto" w:fill="E3E3E3"/>
          </w:tcPr>
          <w:p>
            <w:pPr>
              <w:spacing w:after="0"/>
              <w:rPr>
                <w:sz w:val="20"/>
                <w:szCs w:val="20"/>
                <w:color w:val="auto"/>
              </w:rPr>
            </w:pPr>
          </w:p>
        </w:tc>
        <w:tc>
          <w:tcPr>
            <w:tcW w:w="10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626,727</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00"/>
        </w:trPr>
        <w:tc>
          <w:tcPr>
            <w:tcW w:w="6860" w:type="dxa"/>
            <w:vAlign w:val="bottom"/>
            <w:tcBorders>
              <w:top w:val="single" w:sz="8" w:color="FDFDFD"/>
            </w:tcBorders>
            <w:shd w:val="clear" w:color="auto" w:fill="FDFDFD"/>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Commitments and Contingencies (Note 14)</w:t>
            </w:r>
          </w:p>
        </w:tc>
        <w:tc>
          <w:tcPr>
            <w:tcW w:w="160" w:type="dxa"/>
            <w:vAlign w:val="bottom"/>
            <w:tcBorders>
              <w:top w:val="single" w:sz="8" w:color="FDFDFD"/>
            </w:tcBorders>
            <w:shd w:val="clear" w:color="auto" w:fill="FDFDFD"/>
          </w:tcPr>
          <w:p>
            <w:pPr>
              <w:spacing w:after="0"/>
              <w:rPr>
                <w:sz w:val="17"/>
                <w:szCs w:val="17"/>
                <w:color w:val="auto"/>
              </w:rPr>
            </w:pPr>
          </w:p>
        </w:tc>
        <w:tc>
          <w:tcPr>
            <w:tcW w:w="120" w:type="dxa"/>
            <w:vAlign w:val="bottom"/>
            <w:tcBorders>
              <w:top w:val="single" w:sz="8" w:color="auto"/>
            </w:tcBorders>
            <w:shd w:val="clear" w:color="auto" w:fill="FDFDFD"/>
          </w:tcPr>
          <w:p>
            <w:pPr>
              <w:spacing w:after="0"/>
              <w:rPr>
                <w:sz w:val="17"/>
                <w:szCs w:val="17"/>
                <w:color w:val="auto"/>
              </w:rPr>
            </w:pPr>
          </w:p>
        </w:tc>
        <w:tc>
          <w:tcPr>
            <w:tcW w:w="1300" w:type="dxa"/>
            <w:vAlign w:val="bottom"/>
            <w:tcBorders>
              <w:top w:val="single" w:sz="8" w:color="auto"/>
            </w:tcBorders>
            <w:shd w:val="clear" w:color="auto" w:fill="FDFDFD"/>
          </w:tcPr>
          <w:p>
            <w:pPr>
              <w:spacing w:after="0"/>
              <w:rPr>
                <w:sz w:val="17"/>
                <w:szCs w:val="17"/>
                <w:color w:val="auto"/>
              </w:rPr>
            </w:pPr>
          </w:p>
        </w:tc>
        <w:tc>
          <w:tcPr>
            <w:tcW w:w="280" w:type="dxa"/>
            <w:vAlign w:val="bottom"/>
            <w:tcBorders>
              <w:top w:val="single" w:sz="8" w:color="FDFDFD"/>
            </w:tcBorders>
            <w:shd w:val="clear" w:color="auto" w:fill="FDFDFD"/>
          </w:tcPr>
          <w:p>
            <w:pPr>
              <w:spacing w:after="0"/>
              <w:rPr>
                <w:sz w:val="17"/>
                <w:szCs w:val="17"/>
                <w:color w:val="auto"/>
              </w:rPr>
            </w:pPr>
          </w:p>
        </w:tc>
        <w:tc>
          <w:tcPr>
            <w:tcW w:w="360" w:type="dxa"/>
            <w:vAlign w:val="bottom"/>
            <w:tcBorders>
              <w:top w:val="single" w:sz="8" w:color="auto"/>
            </w:tcBorders>
            <w:shd w:val="clear" w:color="auto" w:fill="FDFDFD"/>
          </w:tcPr>
          <w:p>
            <w:pPr>
              <w:spacing w:after="0"/>
              <w:rPr>
                <w:sz w:val="17"/>
                <w:szCs w:val="17"/>
                <w:color w:val="auto"/>
              </w:rPr>
            </w:pPr>
          </w:p>
        </w:tc>
        <w:tc>
          <w:tcPr>
            <w:tcW w:w="1060" w:type="dxa"/>
            <w:vAlign w:val="bottom"/>
            <w:tcBorders>
              <w:top w:val="single" w:sz="8" w:color="auto"/>
            </w:tcBorders>
            <w:shd w:val="clear" w:color="auto" w:fill="FDFDFD"/>
          </w:tcPr>
          <w:p>
            <w:pPr>
              <w:spacing w:after="0"/>
              <w:rPr>
                <w:sz w:val="17"/>
                <w:szCs w:val="17"/>
                <w:color w:val="auto"/>
              </w:rPr>
            </w:pPr>
          </w:p>
        </w:tc>
        <w:tc>
          <w:tcPr>
            <w:tcW w:w="100" w:type="dxa"/>
            <w:vAlign w:val="bottom"/>
            <w:tcBorders>
              <w:top w:val="single" w:sz="8" w:color="FDFDFD"/>
            </w:tcBorders>
            <w:shd w:val="clear" w:color="auto" w:fill="FDFDFD"/>
          </w:tcPr>
          <w:p>
            <w:pPr>
              <w:spacing w:after="0"/>
              <w:rPr>
                <w:sz w:val="17"/>
                <w:szCs w:val="17"/>
                <w:color w:val="auto"/>
              </w:rPr>
            </w:pPr>
          </w:p>
        </w:tc>
      </w:tr>
      <w:tr>
        <w:trPr>
          <w:trHeight w:val="230"/>
        </w:trPr>
        <w:tc>
          <w:tcPr>
            <w:tcW w:w="68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Equity:</w:t>
            </w:r>
          </w:p>
        </w:tc>
        <w:tc>
          <w:tcPr>
            <w:tcW w:w="16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09"/>
        </w:trPr>
        <w:tc>
          <w:tcPr>
            <w:tcW w:w="6860" w:type="dxa"/>
            <w:vAlign w:val="bottom"/>
            <w:shd w:val="clear" w:color="auto" w:fill="FDFDFD"/>
          </w:tcPr>
          <w:p>
            <w:pPr>
              <w:ind w:left="200"/>
              <w:spacing w:after="0" w:line="208" w:lineRule="exact"/>
              <w:rPr>
                <w:sz w:val="20"/>
                <w:szCs w:val="20"/>
                <w:color w:val="auto"/>
              </w:rPr>
            </w:pPr>
            <w:r>
              <w:rPr>
                <w:rFonts w:ascii="Times New Roman" w:cs="Times New Roman" w:eastAsia="Times New Roman" w:hAnsi="Times New Roman"/>
                <w:sz w:val="20"/>
                <w:szCs w:val="20"/>
                <w:color w:val="auto"/>
              </w:rPr>
              <w:t>Class A Common Stock, par value $0.001, 600,000,000 shares authorized,</w:t>
            </w:r>
          </w:p>
        </w:tc>
        <w:tc>
          <w:tcPr>
            <w:tcW w:w="160" w:type="dxa"/>
            <w:vAlign w:val="bottom"/>
            <w:shd w:val="clear" w:color="auto" w:fill="FDFDFD"/>
          </w:tcPr>
          <w:p>
            <w:pPr>
              <w:spacing w:after="0"/>
              <w:rPr>
                <w:sz w:val="18"/>
                <w:szCs w:val="18"/>
                <w:color w:val="auto"/>
              </w:rPr>
            </w:pPr>
          </w:p>
        </w:tc>
        <w:tc>
          <w:tcPr>
            <w:tcW w:w="120" w:type="dxa"/>
            <w:vAlign w:val="bottom"/>
            <w:shd w:val="clear" w:color="auto" w:fill="FDFDFD"/>
          </w:tcPr>
          <w:p>
            <w:pPr>
              <w:spacing w:after="0"/>
              <w:rPr>
                <w:sz w:val="18"/>
                <w:szCs w:val="18"/>
                <w:color w:val="auto"/>
              </w:rPr>
            </w:pPr>
          </w:p>
        </w:tc>
        <w:tc>
          <w:tcPr>
            <w:tcW w:w="1300" w:type="dxa"/>
            <w:vAlign w:val="bottom"/>
            <w:shd w:val="clear" w:color="auto" w:fill="FDFDFD"/>
          </w:tcPr>
          <w:p>
            <w:pPr>
              <w:spacing w:after="0"/>
              <w:rPr>
                <w:sz w:val="18"/>
                <w:szCs w:val="18"/>
                <w:color w:val="auto"/>
              </w:rPr>
            </w:pPr>
          </w:p>
        </w:tc>
        <w:tc>
          <w:tcPr>
            <w:tcW w:w="280" w:type="dxa"/>
            <w:vAlign w:val="bottom"/>
            <w:shd w:val="clear" w:color="auto" w:fill="FDFDFD"/>
          </w:tcPr>
          <w:p>
            <w:pPr>
              <w:spacing w:after="0"/>
              <w:rPr>
                <w:sz w:val="18"/>
                <w:szCs w:val="18"/>
                <w:color w:val="auto"/>
              </w:rPr>
            </w:pPr>
          </w:p>
        </w:tc>
        <w:tc>
          <w:tcPr>
            <w:tcW w:w="360" w:type="dxa"/>
            <w:vAlign w:val="bottom"/>
            <w:shd w:val="clear" w:color="auto" w:fill="FDFDFD"/>
          </w:tcPr>
          <w:p>
            <w:pPr>
              <w:spacing w:after="0"/>
              <w:rPr>
                <w:sz w:val="18"/>
                <w:szCs w:val="18"/>
                <w:color w:val="auto"/>
              </w:rPr>
            </w:pPr>
          </w:p>
        </w:tc>
        <w:tc>
          <w:tcPr>
            <w:tcW w:w="106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r>
      <w:tr>
        <w:trPr>
          <w:trHeight w:val="230"/>
        </w:trPr>
        <w:tc>
          <w:tcPr>
            <w:tcW w:w="70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113,953,554 and 116,562,252 shares issued and outstanding at December 31, 2024</w:t>
            </w:r>
          </w:p>
        </w:tc>
        <w:tc>
          <w:tcPr>
            <w:tcW w:w="120" w:type="dxa"/>
            <w:vAlign w:val="bottom"/>
            <w:shd w:val="clear" w:color="auto" w:fill="FDFDFD"/>
          </w:tcPr>
          <w:p>
            <w:pPr>
              <w:spacing w:after="0"/>
              <w:rPr>
                <w:sz w:val="19"/>
                <w:szCs w:val="19"/>
                <w:color w:val="auto"/>
              </w:rPr>
            </w:pPr>
          </w:p>
        </w:tc>
        <w:tc>
          <w:tcPr>
            <w:tcW w:w="130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51"/>
        </w:trPr>
        <w:tc>
          <w:tcPr>
            <w:tcW w:w="70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and 2023, respectively</w:t>
            </w:r>
          </w:p>
        </w:tc>
        <w:tc>
          <w:tcPr>
            <w:tcW w:w="120" w:type="dxa"/>
            <w:vAlign w:val="bottom"/>
            <w:shd w:val="clear" w:color="auto" w:fill="FDFDFD"/>
          </w:tcPr>
          <w:p>
            <w:pPr>
              <w:spacing w:after="0"/>
              <w:rPr>
                <w:sz w:val="21"/>
                <w:szCs w:val="21"/>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280" w:type="dxa"/>
            <w:vAlign w:val="bottom"/>
            <w:shd w:val="clear" w:color="auto" w:fill="FDFDFD"/>
          </w:tcPr>
          <w:p>
            <w:pPr>
              <w:spacing w:after="0"/>
              <w:rPr>
                <w:sz w:val="21"/>
                <w:szCs w:val="21"/>
                <w:color w:val="auto"/>
              </w:rPr>
            </w:pPr>
          </w:p>
        </w:tc>
        <w:tc>
          <w:tcPr>
            <w:tcW w:w="360" w:type="dxa"/>
            <w:vAlign w:val="bottom"/>
            <w:shd w:val="clear" w:color="auto" w:fill="FDFDFD"/>
          </w:tcPr>
          <w:p>
            <w:pPr>
              <w:spacing w:after="0"/>
              <w:rPr>
                <w:sz w:val="21"/>
                <w:szCs w:val="21"/>
                <w:color w:val="auto"/>
              </w:rPr>
            </w:pP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100" w:type="dxa"/>
            <w:vAlign w:val="bottom"/>
            <w:shd w:val="clear" w:color="auto" w:fill="FDFDFD"/>
          </w:tcPr>
          <w:p>
            <w:pPr>
              <w:spacing w:after="0"/>
              <w:rPr>
                <w:sz w:val="21"/>
                <w:szCs w:val="21"/>
                <w:color w:val="auto"/>
              </w:rPr>
            </w:pPr>
          </w:p>
        </w:tc>
      </w:tr>
      <w:tr>
        <w:trPr>
          <w:trHeight w:val="209"/>
        </w:trPr>
        <w:tc>
          <w:tcPr>
            <w:tcW w:w="7020" w:type="dxa"/>
            <w:vAlign w:val="bottom"/>
            <w:gridSpan w:val="2"/>
            <w:shd w:val="clear" w:color="auto" w:fill="E3E3E3"/>
          </w:tcPr>
          <w:p>
            <w:pPr>
              <w:ind w:left="200"/>
              <w:spacing w:after="0" w:line="208" w:lineRule="exact"/>
              <w:rPr>
                <w:sz w:val="20"/>
                <w:szCs w:val="20"/>
                <w:color w:val="auto"/>
              </w:rPr>
            </w:pPr>
            <w:r>
              <w:rPr>
                <w:rFonts w:ascii="Times New Roman" w:cs="Times New Roman" w:eastAsia="Times New Roman" w:hAnsi="Times New Roman"/>
                <w:sz w:val="20"/>
                <w:szCs w:val="20"/>
                <w:color w:val="auto"/>
              </w:rPr>
              <w:t>Class B Common Stock, par value $0.00001, 65,000,000 shares authorized,</w:t>
            </w:r>
          </w:p>
        </w:tc>
        <w:tc>
          <w:tcPr>
            <w:tcW w:w="120" w:type="dxa"/>
            <w:vAlign w:val="bottom"/>
            <w:shd w:val="clear" w:color="auto" w:fill="E3E3E3"/>
          </w:tcPr>
          <w:p>
            <w:pPr>
              <w:spacing w:after="0"/>
              <w:rPr>
                <w:sz w:val="18"/>
                <w:szCs w:val="18"/>
                <w:color w:val="auto"/>
              </w:rPr>
            </w:pPr>
          </w:p>
        </w:tc>
        <w:tc>
          <w:tcPr>
            <w:tcW w:w="130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360" w:type="dxa"/>
            <w:vAlign w:val="bottom"/>
            <w:shd w:val="clear" w:color="auto" w:fill="E3E3E3"/>
          </w:tcPr>
          <w:p>
            <w:pPr>
              <w:spacing w:after="0"/>
              <w:rPr>
                <w:sz w:val="18"/>
                <w:szCs w:val="18"/>
                <w:color w:val="auto"/>
              </w:rPr>
            </w:pPr>
          </w:p>
        </w:tc>
        <w:tc>
          <w:tcPr>
            <w:tcW w:w="10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r>
      <w:tr>
        <w:trPr>
          <w:trHeight w:val="230"/>
        </w:trPr>
        <w:tc>
          <w:tcPr>
            <w:tcW w:w="70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39,439,198 and 39,375,806 shares issued and outstanding, respectively, at</w:t>
            </w: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70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December 31, 2024, and 39,762,700 and 39,168,047 shares issued and</w:t>
            </w:r>
          </w:p>
        </w:tc>
        <w:tc>
          <w:tcPr>
            <w:tcW w:w="12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51"/>
        </w:trPr>
        <w:tc>
          <w:tcPr>
            <w:tcW w:w="70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outstanding, respectively, at December 31, 2023</w:t>
            </w:r>
          </w:p>
        </w:tc>
        <w:tc>
          <w:tcPr>
            <w:tcW w:w="120" w:type="dxa"/>
            <w:vAlign w:val="bottom"/>
            <w:shd w:val="clear" w:color="auto" w:fill="E3E3E3"/>
          </w:tcPr>
          <w:p>
            <w:pPr>
              <w:spacing w:after="0"/>
              <w:rPr>
                <w:sz w:val="21"/>
                <w:szCs w:val="21"/>
                <w:color w:val="auto"/>
              </w:rPr>
            </w:pPr>
          </w:p>
        </w:tc>
        <w:tc>
          <w:tcPr>
            <w:tcW w:w="1580" w:type="dxa"/>
            <w:vAlign w:val="bottom"/>
            <w:gridSpan w:val="2"/>
            <w:shd w:val="clear" w:color="auto" w:fill="E3E3E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E3E3E3"/>
          </w:tcPr>
          <w:p>
            <w:pPr>
              <w:spacing w:after="0"/>
              <w:rPr>
                <w:sz w:val="21"/>
                <w:szCs w:val="21"/>
                <w:color w:val="auto"/>
              </w:rPr>
            </w:pPr>
          </w:p>
        </w:tc>
        <w:tc>
          <w:tcPr>
            <w:tcW w:w="11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0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2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1,085,445</w:t>
            </w:r>
          </w:p>
        </w:tc>
        <w:tc>
          <w:tcPr>
            <w:tcW w:w="2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1,086,581</w:t>
            </w:r>
          </w:p>
        </w:tc>
        <w:tc>
          <w:tcPr>
            <w:tcW w:w="100" w:type="dxa"/>
            <w:vAlign w:val="bottom"/>
            <w:shd w:val="clear" w:color="auto" w:fill="FDFDFD"/>
          </w:tcPr>
          <w:p>
            <w:pPr>
              <w:spacing w:after="0"/>
              <w:rPr>
                <w:sz w:val="19"/>
                <w:szCs w:val="19"/>
                <w:color w:val="auto"/>
              </w:rPr>
            </w:pPr>
          </w:p>
        </w:tc>
      </w:tr>
      <w:tr>
        <w:trPr>
          <w:trHeight w:val="230"/>
        </w:trPr>
        <w:tc>
          <w:tcPr>
            <w:tcW w:w="70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(deficit) income</w:t>
            </w:r>
          </w:p>
        </w:tc>
        <w:tc>
          <w:tcPr>
            <w:tcW w:w="120" w:type="dxa"/>
            <w:vAlign w:val="bottom"/>
            <w:shd w:val="clear" w:color="auto" w:fill="E3E3E3"/>
          </w:tcPr>
          <w:p>
            <w:pPr>
              <w:spacing w:after="0"/>
              <w:rPr>
                <w:sz w:val="19"/>
                <w:szCs w:val="19"/>
                <w:color w:val="auto"/>
              </w:rPr>
            </w:pPr>
          </w:p>
        </w:tc>
        <w:tc>
          <w:tcPr>
            <w:tcW w:w="1580" w:type="dxa"/>
            <w:vAlign w:val="bottom"/>
            <w:gridSpan w:val="2"/>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auto"/>
              </w:rPr>
              <w:t>(610)</w:t>
            </w:r>
          </w:p>
        </w:tc>
        <w:tc>
          <w:tcPr>
            <w:tcW w:w="360" w:type="dxa"/>
            <w:vAlign w:val="bottom"/>
            <w:shd w:val="clear" w:color="auto" w:fill="E3E3E3"/>
          </w:tcPr>
          <w:p>
            <w:pPr>
              <w:spacing w:after="0"/>
              <w:rPr>
                <w:sz w:val="19"/>
                <w:szCs w:val="19"/>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2,109</w:t>
            </w:r>
          </w:p>
        </w:tc>
        <w:tc>
          <w:tcPr>
            <w:tcW w:w="100" w:type="dxa"/>
            <w:vAlign w:val="bottom"/>
            <w:shd w:val="clear" w:color="auto" w:fill="E3E3E3"/>
          </w:tcPr>
          <w:p>
            <w:pPr>
              <w:spacing w:after="0"/>
              <w:rPr>
                <w:sz w:val="19"/>
                <w:szCs w:val="19"/>
                <w:color w:val="auto"/>
              </w:rPr>
            </w:pPr>
          </w:p>
        </w:tc>
      </w:tr>
      <w:tr>
        <w:trPr>
          <w:trHeight w:val="230"/>
        </w:trPr>
        <w:tc>
          <w:tcPr>
            <w:tcW w:w="70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120" w:type="dxa"/>
            <w:vAlign w:val="bottom"/>
            <w:shd w:val="clear" w:color="auto" w:fill="FDFDFD"/>
          </w:tcPr>
          <w:p>
            <w:pPr>
              <w:spacing w:after="0"/>
              <w:rPr>
                <w:sz w:val="19"/>
                <w:szCs w:val="19"/>
                <w:color w:val="auto"/>
              </w:rPr>
            </w:pPr>
          </w:p>
        </w:tc>
        <w:tc>
          <w:tcPr>
            <w:tcW w:w="1580" w:type="dxa"/>
            <w:vAlign w:val="bottom"/>
            <w:gridSpan w:val="2"/>
            <w:shd w:val="clear" w:color="auto" w:fill="FDFDFD"/>
          </w:tcPr>
          <w:p>
            <w:pPr>
              <w:jc w:val="right"/>
              <w:ind w:right="220"/>
              <w:spacing w:after="0"/>
              <w:rPr>
                <w:sz w:val="20"/>
                <w:szCs w:val="20"/>
                <w:color w:val="auto"/>
              </w:rPr>
            </w:pPr>
            <w:r>
              <w:rPr>
                <w:rFonts w:ascii="Times New Roman" w:cs="Times New Roman" w:eastAsia="Times New Roman" w:hAnsi="Times New Roman"/>
                <w:sz w:val="20"/>
                <w:szCs w:val="20"/>
                <w:color w:val="auto"/>
              </w:rPr>
              <w:t>(640,574)</w:t>
            </w:r>
          </w:p>
        </w:tc>
        <w:tc>
          <w:tcPr>
            <w:tcW w:w="360" w:type="dxa"/>
            <w:vAlign w:val="bottom"/>
            <w:shd w:val="clear" w:color="auto" w:fill="FDFDFD"/>
          </w:tcPr>
          <w:p>
            <w:pPr>
              <w:spacing w:after="0"/>
              <w:rPr>
                <w:sz w:val="19"/>
                <w:szCs w:val="19"/>
                <w:color w:val="auto"/>
              </w:rPr>
            </w:pPr>
          </w:p>
        </w:tc>
        <w:tc>
          <w:tcPr>
            <w:tcW w:w="11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(227,450)</w:t>
            </w:r>
          </w:p>
        </w:tc>
      </w:tr>
      <w:tr>
        <w:trPr>
          <w:trHeight w:val="255"/>
        </w:trPr>
        <w:tc>
          <w:tcPr>
            <w:tcW w:w="7020" w:type="dxa"/>
            <w:vAlign w:val="bottom"/>
            <w:tcBorders>
              <w:bottom w:val="single" w:sz="8" w:color="E3E3E3"/>
            </w:tcBorders>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Noncontrolling interests</w:t>
            </w:r>
          </w:p>
        </w:tc>
        <w:tc>
          <w:tcPr>
            <w:tcW w:w="120" w:type="dxa"/>
            <w:vAlign w:val="bottom"/>
            <w:tcBorders>
              <w:bottom w:val="single" w:sz="8" w:color="auto"/>
            </w:tcBorders>
            <w:shd w:val="clear" w:color="auto" w:fill="E3E3E3"/>
          </w:tcPr>
          <w:p>
            <w:pPr>
              <w:spacing w:after="0"/>
              <w:rPr>
                <w:sz w:val="21"/>
                <w:szCs w:val="21"/>
                <w:color w:val="auto"/>
              </w:rPr>
            </w:pPr>
          </w:p>
        </w:tc>
        <w:tc>
          <w:tcPr>
            <w:tcW w:w="13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162,819</w:t>
            </w:r>
          </w:p>
        </w:tc>
        <w:tc>
          <w:tcPr>
            <w:tcW w:w="280" w:type="dxa"/>
            <w:vAlign w:val="bottom"/>
            <w:tcBorders>
              <w:bottom w:val="single" w:sz="8" w:color="E3E3E3"/>
            </w:tcBorders>
            <w:shd w:val="clear" w:color="auto" w:fill="E3E3E3"/>
          </w:tcPr>
          <w:p>
            <w:pPr>
              <w:spacing w:after="0"/>
              <w:rPr>
                <w:sz w:val="21"/>
                <w:szCs w:val="21"/>
                <w:color w:val="auto"/>
              </w:rPr>
            </w:pPr>
          </w:p>
        </w:tc>
        <w:tc>
          <w:tcPr>
            <w:tcW w:w="360" w:type="dxa"/>
            <w:vAlign w:val="bottom"/>
            <w:tcBorders>
              <w:bottom w:val="single" w:sz="8" w:color="auto"/>
            </w:tcBorders>
            <w:shd w:val="clear" w:color="auto" w:fill="E3E3E3"/>
          </w:tcPr>
          <w:p>
            <w:pPr>
              <w:spacing w:after="0"/>
              <w:rPr>
                <w:sz w:val="21"/>
                <w:szCs w:val="21"/>
                <w:color w:val="auto"/>
              </w:rPr>
            </w:pPr>
          </w:p>
        </w:tc>
        <w:tc>
          <w:tcPr>
            <w:tcW w:w="10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337,817</w:t>
            </w:r>
          </w:p>
        </w:tc>
        <w:tc>
          <w:tcPr>
            <w:tcW w:w="100" w:type="dxa"/>
            <w:vAlign w:val="bottom"/>
            <w:tcBorders>
              <w:bottom w:val="single" w:sz="8" w:color="E3E3E3"/>
            </w:tcBorders>
            <w:shd w:val="clear" w:color="auto" w:fill="E3E3E3"/>
          </w:tcPr>
          <w:p>
            <w:pPr>
              <w:spacing w:after="0"/>
              <w:rPr>
                <w:sz w:val="21"/>
                <w:szCs w:val="21"/>
                <w:color w:val="auto"/>
              </w:rPr>
            </w:pPr>
          </w:p>
        </w:tc>
      </w:tr>
      <w:tr>
        <w:trPr>
          <w:trHeight w:val="200"/>
        </w:trPr>
        <w:tc>
          <w:tcPr>
            <w:tcW w:w="6860" w:type="dxa"/>
            <w:vAlign w:val="bottom"/>
            <w:tcBorders>
              <w:top w:val="single" w:sz="8" w:color="FDFDFD"/>
              <w:bottom w:val="single" w:sz="8" w:color="E3E3E3"/>
            </w:tcBorders>
            <w:shd w:val="clear" w:color="auto" w:fill="FDFDFD"/>
          </w:tcPr>
          <w:p>
            <w:pPr>
              <w:ind w:left="400"/>
              <w:spacing w:after="0" w:line="200" w:lineRule="exact"/>
              <w:rPr>
                <w:sz w:val="20"/>
                <w:szCs w:val="20"/>
                <w:color w:val="auto"/>
              </w:rPr>
            </w:pPr>
            <w:r>
              <w:rPr>
                <w:rFonts w:ascii="Times New Roman" w:cs="Times New Roman" w:eastAsia="Times New Roman" w:hAnsi="Times New Roman"/>
                <w:sz w:val="20"/>
                <w:szCs w:val="20"/>
                <w:b w:val="1"/>
                <w:bCs w:val="1"/>
                <w:color w:val="auto"/>
              </w:rPr>
              <w:t>Total equity</w:t>
            </w:r>
          </w:p>
        </w:tc>
        <w:tc>
          <w:tcPr>
            <w:tcW w:w="160" w:type="dxa"/>
            <w:vAlign w:val="bottom"/>
            <w:tcBorders>
              <w:top w:val="single" w:sz="8" w:color="FDFDFD"/>
              <w:bottom w:val="single" w:sz="8" w:color="E3E3E3"/>
            </w:tcBorders>
            <w:shd w:val="clear" w:color="auto" w:fill="FDFDFD"/>
          </w:tcPr>
          <w:p>
            <w:pPr>
              <w:spacing w:after="0"/>
              <w:rPr>
                <w:sz w:val="17"/>
                <w:szCs w:val="17"/>
                <w:color w:val="auto"/>
              </w:rPr>
            </w:pPr>
          </w:p>
        </w:tc>
        <w:tc>
          <w:tcPr>
            <w:tcW w:w="120" w:type="dxa"/>
            <w:vAlign w:val="bottom"/>
            <w:tcBorders>
              <w:top w:val="single" w:sz="8" w:color="auto"/>
              <w:bottom w:val="single" w:sz="8" w:color="auto"/>
            </w:tcBorders>
            <w:shd w:val="clear" w:color="auto" w:fill="FDFDFD"/>
          </w:tcPr>
          <w:p>
            <w:pPr>
              <w:spacing w:after="0"/>
              <w:rPr>
                <w:sz w:val="17"/>
                <w:szCs w:val="17"/>
                <w:color w:val="auto"/>
              </w:rPr>
            </w:pPr>
          </w:p>
        </w:tc>
        <w:tc>
          <w:tcPr>
            <w:tcW w:w="1300" w:type="dxa"/>
            <w:vAlign w:val="bottom"/>
            <w:tcBorders>
              <w:top w:val="single" w:sz="8" w:color="auto"/>
              <w:bottom w:val="single" w:sz="8" w:color="auto"/>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auto"/>
              </w:rPr>
              <w:t>607,194</w:t>
            </w:r>
          </w:p>
        </w:tc>
        <w:tc>
          <w:tcPr>
            <w:tcW w:w="280" w:type="dxa"/>
            <w:vAlign w:val="bottom"/>
            <w:tcBorders>
              <w:top w:val="single" w:sz="8" w:color="FDFDFD"/>
              <w:bottom w:val="single" w:sz="8" w:color="E3E3E3"/>
            </w:tcBorders>
            <w:shd w:val="clear" w:color="auto" w:fill="FDFDFD"/>
          </w:tcPr>
          <w:p>
            <w:pPr>
              <w:spacing w:after="0"/>
              <w:rPr>
                <w:sz w:val="17"/>
                <w:szCs w:val="17"/>
                <w:color w:val="auto"/>
              </w:rPr>
            </w:pPr>
          </w:p>
        </w:tc>
        <w:tc>
          <w:tcPr>
            <w:tcW w:w="360" w:type="dxa"/>
            <w:vAlign w:val="bottom"/>
            <w:tcBorders>
              <w:top w:val="single" w:sz="8" w:color="auto"/>
              <w:bottom w:val="single" w:sz="8" w:color="auto"/>
            </w:tcBorders>
            <w:shd w:val="clear" w:color="auto" w:fill="FDFDFD"/>
          </w:tcPr>
          <w:p>
            <w:pPr>
              <w:spacing w:after="0"/>
              <w:rPr>
                <w:sz w:val="17"/>
                <w:szCs w:val="17"/>
                <w:color w:val="auto"/>
              </w:rPr>
            </w:pPr>
          </w:p>
        </w:tc>
        <w:tc>
          <w:tcPr>
            <w:tcW w:w="1060" w:type="dxa"/>
            <w:vAlign w:val="bottom"/>
            <w:tcBorders>
              <w:top w:val="single" w:sz="8" w:color="auto"/>
              <w:bottom w:val="single" w:sz="8" w:color="auto"/>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auto"/>
              </w:rPr>
              <w:t>1,199,174</w:t>
            </w:r>
          </w:p>
        </w:tc>
        <w:tc>
          <w:tcPr>
            <w:tcW w:w="100" w:type="dxa"/>
            <w:vAlign w:val="bottom"/>
            <w:tcBorders>
              <w:top w:val="single" w:sz="8" w:color="FDFDFD"/>
              <w:bottom w:val="single" w:sz="8" w:color="E3E3E3"/>
            </w:tcBorders>
            <w:shd w:val="clear" w:color="auto" w:fill="FDFDFD"/>
          </w:tcPr>
          <w:p>
            <w:pPr>
              <w:spacing w:after="0"/>
              <w:rPr>
                <w:sz w:val="17"/>
                <w:szCs w:val="17"/>
                <w:color w:val="auto"/>
              </w:rPr>
            </w:pPr>
          </w:p>
        </w:tc>
      </w:tr>
      <w:tr>
        <w:trPr>
          <w:trHeight w:val="220"/>
        </w:trPr>
        <w:tc>
          <w:tcPr>
            <w:tcW w:w="6860" w:type="dxa"/>
            <w:vAlign w:val="bottom"/>
            <w:tcBorders>
              <w:bottom w:val="single" w:sz="8" w:color="E3E3E3"/>
            </w:tcBorders>
            <w:shd w:val="clear" w:color="auto" w:fill="E3E3E3"/>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auto"/>
              </w:rPr>
              <w:t>Total liabilities and equity</w:t>
            </w:r>
          </w:p>
        </w:tc>
        <w:tc>
          <w:tcPr>
            <w:tcW w:w="160" w:type="dxa"/>
            <w:vAlign w:val="bottom"/>
            <w:tcBorders>
              <w:bottom w:val="single" w:sz="8" w:color="E3E3E3"/>
            </w:tcBorders>
            <w:shd w:val="clear" w:color="auto" w:fill="E3E3E3"/>
          </w:tcPr>
          <w:p>
            <w:pPr>
              <w:spacing w:after="0"/>
              <w:rPr>
                <w:sz w:val="19"/>
                <w:szCs w:val="19"/>
                <w:color w:val="auto"/>
              </w:rPr>
            </w:pPr>
          </w:p>
        </w:tc>
        <w:tc>
          <w:tcPr>
            <w:tcW w:w="1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1,089,389</w:t>
            </w:r>
          </w:p>
        </w:tc>
        <w:tc>
          <w:tcPr>
            <w:tcW w:w="280" w:type="dxa"/>
            <w:vAlign w:val="bottom"/>
            <w:tcBorders>
              <w:bottom w:val="single" w:sz="8" w:color="E3E3E3"/>
            </w:tcBorders>
            <w:shd w:val="clear" w:color="auto" w:fill="E3E3E3"/>
          </w:tcPr>
          <w:p>
            <w:pPr>
              <w:spacing w:after="0"/>
              <w:rPr>
                <w:sz w:val="19"/>
                <w:szCs w:val="19"/>
                <w:color w:val="auto"/>
              </w:rPr>
            </w:pPr>
          </w:p>
        </w:tc>
        <w:tc>
          <w:tcPr>
            <w:tcW w:w="360" w:type="dxa"/>
            <w:vAlign w:val="bottom"/>
            <w:tcBorders>
              <w:bottom w:val="single" w:sz="8" w:color="auto"/>
            </w:tcBorders>
            <w:shd w:val="clear" w:color="auto" w:fill="E3E3E3"/>
          </w:tcPr>
          <w:p>
            <w:pPr>
              <w:jc w:val="right"/>
              <w:ind w:right="164"/>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1,825,901</w:t>
            </w:r>
          </w:p>
        </w:tc>
        <w:tc>
          <w:tcPr>
            <w:tcW w:w="100" w:type="dxa"/>
            <w:vAlign w:val="bottom"/>
            <w:tcBorders>
              <w:bottom w:val="single" w:sz="8" w:color="E3E3E3"/>
            </w:tcBorders>
            <w:shd w:val="clear" w:color="auto" w:fill="E3E3E3"/>
          </w:tcPr>
          <w:p>
            <w:pPr>
              <w:spacing w:after="0"/>
              <w:rPr>
                <w:sz w:val="19"/>
                <w:szCs w:val="19"/>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4460240</wp:posOffset>
            </wp:positionH>
            <wp:positionV relativeFrom="paragraph">
              <wp:posOffset>-141605</wp:posOffset>
            </wp:positionV>
            <wp:extent cx="197231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72310" cy="9525"/>
                    </a:xfrm>
                    <a:prstGeom prst="rect">
                      <a:avLst/>
                    </a:prstGeom>
                    <a:noFill/>
                  </pic:spPr>
                </pic:pic>
              </a:graphicData>
            </a:graphic>
          </wp:anchor>
        </w:drawing>
      </w:r>
    </w:p>
    <w:p>
      <w:pPr>
        <w:sectPr>
          <w:pgSz w:w="11880" w:h="15480" w:orient="portrait"/>
          <w:cols w:equalWidth="0" w:num="1">
            <w:col w:w="10240"/>
          </w:cols>
          <w:pgMar w:left="820" w:top="80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10240"/>
          </w:cols>
          <w:pgMar w:left="820" w:top="803" w:right="820" w:bottom="0" w:gutter="0" w:footer="0" w:header="0"/>
          <w:type w:val="continuous"/>
        </w:sectPr>
      </w:pPr>
    </w:p>
    <w:bookmarkStart w:id="97" w:name="page98"/>
    <w:bookmarkEnd w:id="97"/>
    <w:p>
      <w:pPr>
        <w:jc w:val="center"/>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DEFINITIVE HEALTHCARE CORP. CONSOLIDATED STATEMENTS OF OPERATIONS </w:t>
      </w:r>
      <w:r>
        <w:rPr>
          <w:rFonts w:ascii="Times New Roman" w:cs="Times New Roman" w:eastAsia="Times New Roman" w:hAnsi="Times New Roman"/>
          <w:sz w:val="20"/>
          <w:szCs w:val="20"/>
          <w:i w:val="1"/>
          <w:iCs w:val="1"/>
          <w:color w:val="auto"/>
        </w:rPr>
        <w:t>(amounts in thousands, except share amounts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Borders>
              <w:bottom w:val="single" w:sz="8" w:color="FDFDFD"/>
            </w:tcBorders>
            <w:shd w:val="clear" w:color="auto" w:fill="FDFDFD"/>
          </w:tcPr>
          <w:p>
            <w:pPr>
              <w:spacing w:after="0"/>
              <w:rPr>
                <w:sz w:val="17"/>
                <w:szCs w:val="17"/>
                <w:color w:val="auto"/>
              </w:rPr>
            </w:pPr>
          </w:p>
        </w:tc>
        <w:tc>
          <w:tcPr>
            <w:tcW w:w="140" w:type="dxa"/>
            <w:vAlign w:val="bottom"/>
            <w:tcBorders>
              <w:bottom w:val="single" w:sz="8" w:color="FDFDFD"/>
            </w:tcBorders>
            <w:shd w:val="clear" w:color="auto" w:fill="FDFDFD"/>
          </w:tcPr>
          <w:p>
            <w:pPr>
              <w:spacing w:after="0"/>
              <w:rPr>
                <w:sz w:val="17"/>
                <w:szCs w:val="17"/>
                <w:color w:val="auto"/>
              </w:rPr>
            </w:pPr>
          </w:p>
        </w:tc>
        <w:tc>
          <w:tcPr>
            <w:tcW w:w="220" w:type="dxa"/>
            <w:vAlign w:val="bottom"/>
            <w:tcBorders>
              <w:bottom w:val="single" w:sz="8" w:color="auto"/>
            </w:tcBorders>
            <w:shd w:val="clear" w:color="auto" w:fill="FDFDFD"/>
          </w:tcPr>
          <w:p>
            <w:pPr>
              <w:spacing w:after="0"/>
              <w:rPr>
                <w:sz w:val="17"/>
                <w:szCs w:val="17"/>
                <w:color w:val="auto"/>
              </w:rPr>
            </w:pPr>
          </w:p>
        </w:tc>
        <w:tc>
          <w:tcPr>
            <w:tcW w:w="1100" w:type="dxa"/>
            <w:vAlign w:val="bottom"/>
            <w:tcBorders>
              <w:bottom w:val="single" w:sz="8" w:color="auto"/>
            </w:tcBorders>
            <w:shd w:val="clear" w:color="auto" w:fill="FDFDFD"/>
          </w:tcPr>
          <w:p>
            <w:pPr>
              <w:spacing w:after="0"/>
              <w:rPr>
                <w:sz w:val="17"/>
                <w:szCs w:val="17"/>
                <w:color w:val="auto"/>
              </w:rPr>
            </w:pPr>
          </w:p>
        </w:tc>
        <w:tc>
          <w:tcPr>
            <w:tcW w:w="1800" w:type="dxa"/>
            <w:vAlign w:val="bottom"/>
            <w:tcBorders>
              <w:bottom w:val="single" w:sz="8" w:color="auto"/>
            </w:tcBorders>
            <w:gridSpan w:val="6"/>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220" w:type="dxa"/>
            <w:vAlign w:val="bottom"/>
            <w:tcBorders>
              <w:bottom w:val="single" w:sz="8" w:color="auto"/>
            </w:tcBorders>
            <w:shd w:val="clear" w:color="auto" w:fill="FDFDFD"/>
          </w:tcPr>
          <w:p>
            <w:pPr>
              <w:spacing w:after="0"/>
              <w:rPr>
                <w:sz w:val="17"/>
                <w:szCs w:val="17"/>
                <w:color w:val="auto"/>
              </w:rPr>
            </w:pPr>
          </w:p>
        </w:tc>
        <w:tc>
          <w:tcPr>
            <w:tcW w:w="112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74"/>
        </w:trPr>
        <w:tc>
          <w:tcPr>
            <w:tcW w:w="5540" w:type="dxa"/>
            <w:vAlign w:val="bottom"/>
            <w:tcBorders>
              <w:bottom w:val="single" w:sz="8" w:color="E3E3E3"/>
            </w:tcBorders>
            <w:shd w:val="clear" w:color="auto" w:fill="FDFDFD"/>
          </w:tcPr>
          <w:p>
            <w:pPr>
              <w:spacing w:after="0"/>
              <w:rPr>
                <w:sz w:val="15"/>
                <w:szCs w:val="15"/>
                <w:color w:val="auto"/>
              </w:rPr>
            </w:pPr>
          </w:p>
        </w:tc>
        <w:tc>
          <w:tcPr>
            <w:tcW w:w="140" w:type="dxa"/>
            <w:vAlign w:val="bottom"/>
            <w:tcBorders>
              <w:bottom w:val="single" w:sz="8" w:color="E3E3E3"/>
            </w:tcBorders>
            <w:shd w:val="clear" w:color="auto" w:fill="FDFDFD"/>
          </w:tcPr>
          <w:p>
            <w:pPr>
              <w:spacing w:after="0"/>
              <w:rPr>
                <w:sz w:val="15"/>
                <w:szCs w:val="15"/>
                <w:color w:val="auto"/>
              </w:rPr>
            </w:pPr>
          </w:p>
        </w:tc>
        <w:tc>
          <w:tcPr>
            <w:tcW w:w="220" w:type="dxa"/>
            <w:vAlign w:val="bottom"/>
            <w:tcBorders>
              <w:bottom w:val="single" w:sz="8" w:color="auto"/>
            </w:tcBorders>
            <w:shd w:val="clear" w:color="auto" w:fill="FDFDFD"/>
          </w:tcPr>
          <w:p>
            <w:pPr>
              <w:spacing w:after="0"/>
              <w:rPr>
                <w:sz w:val="15"/>
                <w:szCs w:val="15"/>
                <w:color w:val="auto"/>
              </w:rPr>
            </w:pPr>
          </w:p>
        </w:tc>
        <w:tc>
          <w:tcPr>
            <w:tcW w:w="1100" w:type="dxa"/>
            <w:vAlign w:val="bottom"/>
            <w:tcBorders>
              <w:bottom w:val="single" w:sz="8" w:color="auto"/>
            </w:tcBorders>
            <w:shd w:val="clear" w:color="auto" w:fill="FDFDFD"/>
          </w:tcPr>
          <w:p>
            <w:pPr>
              <w:jc w:val="right"/>
              <w:ind w:right="401"/>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3E3E3"/>
            </w:tcBorders>
            <w:shd w:val="clear" w:color="auto" w:fill="FDFDFD"/>
          </w:tcPr>
          <w:p>
            <w:pPr>
              <w:spacing w:after="0"/>
              <w:rPr>
                <w:sz w:val="15"/>
                <w:szCs w:val="15"/>
                <w:color w:val="auto"/>
              </w:rPr>
            </w:pPr>
          </w:p>
        </w:tc>
        <w:tc>
          <w:tcPr>
            <w:tcW w:w="140" w:type="dxa"/>
            <w:vAlign w:val="bottom"/>
            <w:tcBorders>
              <w:bottom w:val="single" w:sz="8" w:color="E3E3E3"/>
            </w:tcBorders>
            <w:shd w:val="clear" w:color="auto" w:fill="FDFDFD"/>
          </w:tcPr>
          <w:p>
            <w:pPr>
              <w:spacing w:after="0"/>
              <w:rPr>
                <w:sz w:val="15"/>
                <w:szCs w:val="15"/>
                <w:color w:val="auto"/>
              </w:rPr>
            </w:pPr>
          </w:p>
        </w:tc>
        <w:tc>
          <w:tcPr>
            <w:tcW w:w="220" w:type="dxa"/>
            <w:vAlign w:val="bottom"/>
            <w:tcBorders>
              <w:bottom w:val="single" w:sz="8" w:color="auto"/>
            </w:tcBorders>
            <w:shd w:val="clear" w:color="auto" w:fill="FDFDFD"/>
          </w:tcPr>
          <w:p>
            <w:pPr>
              <w:spacing w:after="0"/>
              <w:rPr>
                <w:sz w:val="15"/>
                <w:szCs w:val="15"/>
                <w:color w:val="auto"/>
              </w:rPr>
            </w:pPr>
          </w:p>
        </w:tc>
        <w:tc>
          <w:tcPr>
            <w:tcW w:w="1100" w:type="dxa"/>
            <w:vAlign w:val="bottom"/>
            <w:tcBorders>
              <w:bottom w:val="single" w:sz="8" w:color="auto"/>
            </w:tcBorders>
            <w:shd w:val="clear" w:color="auto" w:fill="FDFDFD"/>
          </w:tcPr>
          <w:p>
            <w:pPr>
              <w:jc w:val="right"/>
              <w:ind w:right="401"/>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220" w:type="dxa"/>
            <w:vAlign w:val="bottom"/>
            <w:tcBorders>
              <w:bottom w:val="single" w:sz="8" w:color="auto"/>
            </w:tcBorders>
            <w:shd w:val="clear" w:color="auto" w:fill="FDFDFD"/>
          </w:tcPr>
          <w:p>
            <w:pPr>
              <w:spacing w:after="0"/>
              <w:rPr>
                <w:sz w:val="15"/>
                <w:szCs w:val="15"/>
                <w:color w:val="auto"/>
              </w:rPr>
            </w:pPr>
          </w:p>
        </w:tc>
        <w:tc>
          <w:tcPr>
            <w:tcW w:w="1120" w:type="dxa"/>
            <w:vAlign w:val="bottom"/>
            <w:tcBorders>
              <w:bottom w:val="single" w:sz="8" w:color="auto"/>
            </w:tcBorders>
            <w:shd w:val="clear" w:color="auto" w:fill="FDFDFD"/>
          </w:tcPr>
          <w:p>
            <w:pPr>
              <w:jc w:val="right"/>
              <w:ind w:right="421"/>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3E3E3"/>
            </w:tcBorders>
            <w:shd w:val="clear" w:color="auto" w:fill="FDFDFD"/>
          </w:tcPr>
          <w:p>
            <w:pPr>
              <w:spacing w:after="0"/>
              <w:rPr>
                <w:sz w:val="15"/>
                <w:szCs w:val="15"/>
                <w:color w:val="auto"/>
              </w:rPr>
            </w:pPr>
          </w:p>
        </w:tc>
      </w:tr>
      <w:tr>
        <w:trPr>
          <w:trHeight w:val="220"/>
        </w:trPr>
        <w:tc>
          <w:tcPr>
            <w:tcW w:w="554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Revenue</w:t>
            </w:r>
          </w:p>
        </w:tc>
        <w:tc>
          <w:tcPr>
            <w:tcW w:w="140" w:type="dxa"/>
            <w:vAlign w:val="bottom"/>
            <w:shd w:val="clear" w:color="auto" w:fill="E3E3E3"/>
          </w:tcPr>
          <w:p>
            <w:pPr>
              <w:spacing w:after="0"/>
              <w:rPr>
                <w:sz w:val="19"/>
                <w:szCs w:val="19"/>
                <w:color w:val="auto"/>
              </w:rPr>
            </w:pPr>
          </w:p>
        </w:tc>
        <w:tc>
          <w:tcPr>
            <w:tcW w:w="220" w:type="dxa"/>
            <w:vAlign w:val="bottom"/>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252,202</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20" w:type="dxa"/>
            <w:vAlign w:val="bottom"/>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251,415</w:t>
            </w:r>
          </w:p>
        </w:tc>
        <w:tc>
          <w:tcPr>
            <w:tcW w:w="1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222,653</w:t>
            </w:r>
          </w:p>
        </w:tc>
        <w:tc>
          <w:tcPr>
            <w:tcW w:w="100" w:type="dxa"/>
            <w:vAlign w:val="bottom"/>
            <w:shd w:val="clear" w:color="auto" w:fill="E3E3E3"/>
          </w:tcPr>
          <w:p>
            <w:pPr>
              <w:spacing w:after="0"/>
              <w:rPr>
                <w:sz w:val="19"/>
                <w:szCs w:val="19"/>
                <w:color w:val="auto"/>
              </w:rPr>
            </w:pPr>
          </w:p>
        </w:tc>
      </w:tr>
      <w:tr>
        <w:trPr>
          <w:trHeight w:val="230"/>
        </w:trPr>
        <w:tc>
          <w:tcPr>
            <w:tcW w:w="55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14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30"/>
        </w:trPr>
        <w:tc>
          <w:tcPr>
            <w:tcW w:w="5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Cost of revenue exclusive of amortization</w:t>
            </w:r>
          </w:p>
        </w:tc>
        <w:tc>
          <w:tcPr>
            <w:tcW w:w="2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40,684</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34,740</w:t>
            </w:r>
          </w:p>
        </w:tc>
        <w:tc>
          <w:tcPr>
            <w:tcW w:w="1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25,866</w:t>
            </w:r>
          </w:p>
        </w:tc>
        <w:tc>
          <w:tcPr>
            <w:tcW w:w="100" w:type="dxa"/>
            <w:vAlign w:val="bottom"/>
            <w:shd w:val="clear" w:color="auto" w:fill="E3E3E3"/>
          </w:tcPr>
          <w:p>
            <w:pPr>
              <w:spacing w:after="0"/>
              <w:rPr>
                <w:sz w:val="19"/>
                <w:szCs w:val="19"/>
                <w:color w:val="auto"/>
              </w:rPr>
            </w:pPr>
          </w:p>
        </w:tc>
      </w:tr>
      <w:tr>
        <w:trPr>
          <w:trHeight w:val="230"/>
        </w:trPr>
        <w:tc>
          <w:tcPr>
            <w:tcW w:w="5680" w:type="dxa"/>
            <w:vAlign w:val="bottom"/>
            <w:tcBorders>
              <w:bottom w:val="single" w:sz="8" w:color="E3E3E3"/>
            </w:tcBorders>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Amortization</w:t>
            </w:r>
          </w:p>
        </w:tc>
        <w:tc>
          <w:tcPr>
            <w:tcW w:w="220" w:type="dxa"/>
            <w:vAlign w:val="bottom"/>
            <w:tcBorders>
              <w:bottom w:val="single" w:sz="8" w:color="auto"/>
            </w:tcBorders>
            <w:shd w:val="clear" w:color="auto" w:fill="FDFDFD"/>
          </w:tcPr>
          <w:p>
            <w:pPr>
              <w:spacing w:after="0"/>
              <w:rPr>
                <w:sz w:val="19"/>
                <w:szCs w:val="19"/>
                <w:color w:val="auto"/>
              </w:rPr>
            </w:pPr>
          </w:p>
        </w:tc>
        <w:tc>
          <w:tcPr>
            <w:tcW w:w="11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14,049</w:t>
            </w:r>
          </w:p>
        </w:tc>
        <w:tc>
          <w:tcPr>
            <w:tcW w:w="100" w:type="dxa"/>
            <w:vAlign w:val="bottom"/>
            <w:tcBorders>
              <w:bottom w:val="single" w:sz="8" w:color="E3E3E3"/>
            </w:tcBorders>
            <w:shd w:val="clear" w:color="auto" w:fill="FDFDFD"/>
          </w:tcPr>
          <w:p>
            <w:pPr>
              <w:spacing w:after="0"/>
              <w:rPr>
                <w:sz w:val="19"/>
                <w:szCs w:val="19"/>
                <w:color w:val="auto"/>
              </w:rPr>
            </w:pPr>
          </w:p>
        </w:tc>
        <w:tc>
          <w:tcPr>
            <w:tcW w:w="140" w:type="dxa"/>
            <w:vAlign w:val="bottom"/>
            <w:tcBorders>
              <w:bottom w:val="single" w:sz="8" w:color="E3E3E3"/>
            </w:tcBorders>
            <w:shd w:val="clear" w:color="auto" w:fill="FDFDFD"/>
          </w:tcPr>
          <w:p>
            <w:pPr>
              <w:spacing w:after="0"/>
              <w:rPr>
                <w:sz w:val="19"/>
                <w:szCs w:val="19"/>
                <w:color w:val="auto"/>
              </w:rPr>
            </w:pPr>
          </w:p>
        </w:tc>
        <w:tc>
          <w:tcPr>
            <w:tcW w:w="220" w:type="dxa"/>
            <w:vAlign w:val="bottom"/>
            <w:tcBorders>
              <w:bottom w:val="single" w:sz="8" w:color="auto"/>
            </w:tcBorders>
            <w:shd w:val="clear" w:color="auto" w:fill="FDFDFD"/>
          </w:tcPr>
          <w:p>
            <w:pPr>
              <w:spacing w:after="0"/>
              <w:rPr>
                <w:sz w:val="19"/>
                <w:szCs w:val="19"/>
                <w:color w:val="auto"/>
              </w:rPr>
            </w:pPr>
          </w:p>
        </w:tc>
        <w:tc>
          <w:tcPr>
            <w:tcW w:w="11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12,742</w:t>
            </w:r>
          </w:p>
        </w:tc>
        <w:tc>
          <w:tcPr>
            <w:tcW w:w="12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220" w:type="dxa"/>
            <w:vAlign w:val="bottom"/>
            <w:tcBorders>
              <w:bottom w:val="single" w:sz="8" w:color="auto"/>
            </w:tcBorders>
            <w:shd w:val="clear" w:color="auto" w:fill="FDFDFD"/>
          </w:tcPr>
          <w:p>
            <w:pPr>
              <w:spacing w:after="0"/>
              <w:rPr>
                <w:sz w:val="19"/>
                <w:szCs w:val="19"/>
                <w:color w:val="auto"/>
              </w:rPr>
            </w:pPr>
          </w:p>
        </w:tc>
        <w:tc>
          <w:tcPr>
            <w:tcW w:w="112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16,759</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5680" w:type="dxa"/>
            <w:vAlign w:val="bottom"/>
            <w:tcBorders>
              <w:bottom w:val="single" w:sz="8" w:color="FDFDFD"/>
            </w:tcBorders>
            <w:gridSpan w:val="2"/>
            <w:shd w:val="clear" w:color="auto" w:fill="E3E3E3"/>
          </w:tcPr>
          <w:p>
            <w:pPr>
              <w:ind w:left="600"/>
              <w:spacing w:after="0" w:line="220" w:lineRule="exact"/>
              <w:rPr>
                <w:sz w:val="20"/>
                <w:szCs w:val="20"/>
                <w:color w:val="auto"/>
              </w:rPr>
            </w:pPr>
            <w:r>
              <w:rPr>
                <w:rFonts w:ascii="Times New Roman" w:cs="Times New Roman" w:eastAsia="Times New Roman" w:hAnsi="Times New Roman"/>
                <w:sz w:val="20"/>
                <w:szCs w:val="20"/>
                <w:color w:val="auto"/>
              </w:rPr>
              <w:t>Gross profit</w:t>
            </w:r>
          </w:p>
        </w:tc>
        <w:tc>
          <w:tcPr>
            <w:tcW w:w="220" w:type="dxa"/>
            <w:vAlign w:val="bottom"/>
            <w:tcBorders>
              <w:bottom w:val="single" w:sz="8" w:color="auto"/>
            </w:tcBorders>
            <w:shd w:val="clear" w:color="auto" w:fill="E3E3E3"/>
          </w:tcPr>
          <w:p>
            <w:pPr>
              <w:spacing w:after="0"/>
              <w:rPr>
                <w:sz w:val="19"/>
                <w:szCs w:val="19"/>
                <w:color w:val="auto"/>
              </w:rPr>
            </w:pPr>
          </w:p>
        </w:tc>
        <w:tc>
          <w:tcPr>
            <w:tcW w:w="11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197,469</w:t>
            </w:r>
          </w:p>
        </w:tc>
        <w:tc>
          <w:tcPr>
            <w:tcW w:w="100" w:type="dxa"/>
            <w:vAlign w:val="bottom"/>
            <w:tcBorders>
              <w:bottom w:val="single" w:sz="8" w:color="FDFDFD"/>
            </w:tcBorders>
            <w:shd w:val="clear" w:color="auto" w:fill="E3E3E3"/>
          </w:tcPr>
          <w:p>
            <w:pPr>
              <w:spacing w:after="0"/>
              <w:rPr>
                <w:sz w:val="19"/>
                <w:szCs w:val="19"/>
                <w:color w:val="auto"/>
              </w:rPr>
            </w:pPr>
          </w:p>
        </w:tc>
        <w:tc>
          <w:tcPr>
            <w:tcW w:w="140" w:type="dxa"/>
            <w:vAlign w:val="bottom"/>
            <w:tcBorders>
              <w:bottom w:val="single" w:sz="8" w:color="FDFDFD"/>
            </w:tcBorders>
            <w:shd w:val="clear" w:color="auto" w:fill="E3E3E3"/>
          </w:tcPr>
          <w:p>
            <w:pPr>
              <w:spacing w:after="0"/>
              <w:rPr>
                <w:sz w:val="19"/>
                <w:szCs w:val="19"/>
                <w:color w:val="auto"/>
              </w:rPr>
            </w:pPr>
          </w:p>
        </w:tc>
        <w:tc>
          <w:tcPr>
            <w:tcW w:w="220" w:type="dxa"/>
            <w:vAlign w:val="bottom"/>
            <w:tcBorders>
              <w:bottom w:val="single" w:sz="8" w:color="auto"/>
            </w:tcBorders>
            <w:shd w:val="clear" w:color="auto" w:fill="E3E3E3"/>
          </w:tcPr>
          <w:p>
            <w:pPr>
              <w:spacing w:after="0"/>
              <w:rPr>
                <w:sz w:val="19"/>
                <w:szCs w:val="19"/>
                <w:color w:val="auto"/>
              </w:rPr>
            </w:pPr>
          </w:p>
        </w:tc>
        <w:tc>
          <w:tcPr>
            <w:tcW w:w="11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203,933</w:t>
            </w:r>
          </w:p>
        </w:tc>
        <w:tc>
          <w:tcPr>
            <w:tcW w:w="120" w:type="dxa"/>
            <w:vAlign w:val="bottom"/>
            <w:tcBorders>
              <w:bottom w:val="single" w:sz="8" w:color="FDFDFD"/>
            </w:tcBorders>
            <w:shd w:val="clear" w:color="auto" w:fill="E3E3E3"/>
          </w:tcPr>
          <w:p>
            <w:pPr>
              <w:spacing w:after="0"/>
              <w:rPr>
                <w:sz w:val="19"/>
                <w:szCs w:val="19"/>
                <w:color w:val="auto"/>
              </w:rPr>
            </w:pPr>
          </w:p>
        </w:tc>
        <w:tc>
          <w:tcPr>
            <w:tcW w:w="120" w:type="dxa"/>
            <w:vAlign w:val="bottom"/>
            <w:tcBorders>
              <w:bottom w:val="single" w:sz="8" w:color="FDFDFD"/>
            </w:tcBorders>
            <w:shd w:val="clear" w:color="auto" w:fill="E3E3E3"/>
          </w:tcPr>
          <w:p>
            <w:pPr>
              <w:spacing w:after="0"/>
              <w:rPr>
                <w:sz w:val="19"/>
                <w:szCs w:val="19"/>
                <w:color w:val="auto"/>
              </w:rPr>
            </w:pPr>
          </w:p>
        </w:tc>
        <w:tc>
          <w:tcPr>
            <w:tcW w:w="220" w:type="dxa"/>
            <w:vAlign w:val="bottom"/>
            <w:tcBorders>
              <w:bottom w:val="single" w:sz="8" w:color="auto"/>
            </w:tcBorders>
            <w:shd w:val="clear" w:color="auto" w:fill="E3E3E3"/>
          </w:tcPr>
          <w:p>
            <w:pPr>
              <w:spacing w:after="0"/>
              <w:rPr>
                <w:sz w:val="19"/>
                <w:szCs w:val="19"/>
                <w:color w:val="auto"/>
              </w:rPr>
            </w:pPr>
          </w:p>
        </w:tc>
        <w:tc>
          <w:tcPr>
            <w:tcW w:w="11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180,028</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5680" w:type="dxa"/>
            <w:vAlign w:val="bottom"/>
            <w:gridSpan w:val="2"/>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Operating expenses:</w:t>
            </w: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30"/>
        </w:trPr>
        <w:tc>
          <w:tcPr>
            <w:tcW w:w="5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Sales and marketing</w:t>
            </w:r>
          </w:p>
        </w:tc>
        <w:tc>
          <w:tcPr>
            <w:tcW w:w="2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83,807</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94,534</w:t>
            </w:r>
          </w:p>
        </w:tc>
        <w:tc>
          <w:tcPr>
            <w:tcW w:w="1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89,585</w:t>
            </w:r>
          </w:p>
        </w:tc>
        <w:tc>
          <w:tcPr>
            <w:tcW w:w="100" w:type="dxa"/>
            <w:vAlign w:val="bottom"/>
            <w:shd w:val="clear" w:color="auto" w:fill="E3E3E3"/>
          </w:tcPr>
          <w:p>
            <w:pPr>
              <w:spacing w:after="0"/>
              <w:rPr>
                <w:sz w:val="19"/>
                <w:szCs w:val="19"/>
                <w:color w:val="auto"/>
              </w:rPr>
            </w:pPr>
          </w:p>
        </w:tc>
      </w:tr>
      <w:tr>
        <w:trPr>
          <w:trHeight w:val="230"/>
        </w:trPr>
        <w:tc>
          <w:tcPr>
            <w:tcW w:w="568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Product development</w:t>
            </w: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36,518</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42,441</w:t>
            </w:r>
          </w:p>
        </w:tc>
        <w:tc>
          <w:tcPr>
            <w:tcW w:w="12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34,890</w:t>
            </w:r>
          </w:p>
        </w:tc>
        <w:tc>
          <w:tcPr>
            <w:tcW w:w="100" w:type="dxa"/>
            <w:vAlign w:val="bottom"/>
            <w:shd w:val="clear" w:color="auto" w:fill="FDFDFD"/>
          </w:tcPr>
          <w:p>
            <w:pPr>
              <w:spacing w:after="0"/>
              <w:rPr>
                <w:sz w:val="19"/>
                <w:szCs w:val="19"/>
                <w:color w:val="auto"/>
              </w:rPr>
            </w:pPr>
          </w:p>
        </w:tc>
      </w:tr>
      <w:tr>
        <w:trPr>
          <w:trHeight w:val="230"/>
        </w:trPr>
        <w:tc>
          <w:tcPr>
            <w:tcW w:w="5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49,267</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58,861</w:t>
            </w:r>
          </w:p>
        </w:tc>
        <w:tc>
          <w:tcPr>
            <w:tcW w:w="1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51,561</w:t>
            </w:r>
          </w:p>
        </w:tc>
        <w:tc>
          <w:tcPr>
            <w:tcW w:w="100" w:type="dxa"/>
            <w:vAlign w:val="bottom"/>
            <w:shd w:val="clear" w:color="auto" w:fill="E3E3E3"/>
          </w:tcPr>
          <w:p>
            <w:pPr>
              <w:spacing w:after="0"/>
              <w:rPr>
                <w:sz w:val="19"/>
                <w:szCs w:val="19"/>
                <w:color w:val="auto"/>
              </w:rPr>
            </w:pPr>
          </w:p>
        </w:tc>
      </w:tr>
      <w:tr>
        <w:trPr>
          <w:trHeight w:val="230"/>
        </w:trPr>
        <w:tc>
          <w:tcPr>
            <w:tcW w:w="568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37,618</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39,008</w:t>
            </w:r>
          </w:p>
        </w:tc>
        <w:tc>
          <w:tcPr>
            <w:tcW w:w="12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40,145</w:t>
            </w:r>
          </w:p>
        </w:tc>
        <w:tc>
          <w:tcPr>
            <w:tcW w:w="100" w:type="dxa"/>
            <w:vAlign w:val="bottom"/>
            <w:shd w:val="clear" w:color="auto" w:fill="FDFDFD"/>
          </w:tcPr>
          <w:p>
            <w:pPr>
              <w:spacing w:after="0"/>
              <w:rPr>
                <w:sz w:val="19"/>
                <w:szCs w:val="19"/>
                <w:color w:val="auto"/>
              </w:rPr>
            </w:pPr>
          </w:p>
        </w:tc>
      </w:tr>
      <w:tr>
        <w:trPr>
          <w:trHeight w:val="230"/>
        </w:trPr>
        <w:tc>
          <w:tcPr>
            <w:tcW w:w="5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Transaction, integration, and restructuring expenses</w:t>
            </w:r>
          </w:p>
        </w:tc>
        <w:tc>
          <w:tcPr>
            <w:tcW w:w="2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12,225</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11,489</w:t>
            </w:r>
          </w:p>
        </w:tc>
        <w:tc>
          <w:tcPr>
            <w:tcW w:w="1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7,890</w:t>
            </w:r>
          </w:p>
        </w:tc>
        <w:tc>
          <w:tcPr>
            <w:tcW w:w="100" w:type="dxa"/>
            <w:vAlign w:val="bottom"/>
            <w:shd w:val="clear" w:color="auto" w:fill="E3E3E3"/>
          </w:tcPr>
          <w:p>
            <w:pPr>
              <w:spacing w:after="0"/>
              <w:rPr>
                <w:sz w:val="19"/>
                <w:szCs w:val="19"/>
                <w:color w:val="auto"/>
              </w:rPr>
            </w:pPr>
          </w:p>
        </w:tc>
      </w:tr>
      <w:tr>
        <w:trPr>
          <w:trHeight w:val="230"/>
        </w:trPr>
        <w:tc>
          <w:tcPr>
            <w:tcW w:w="568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Goodwill impairment</w:t>
            </w: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688,854</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287,400</w:t>
            </w:r>
          </w:p>
        </w:tc>
        <w:tc>
          <w:tcPr>
            <w:tcW w:w="12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22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680" w:type="dxa"/>
            <w:vAlign w:val="bottom"/>
            <w:tcBorders>
              <w:top w:val="single" w:sz="8" w:color="E3E3E3"/>
              <w:bottom w:val="single" w:sz="8" w:color="E3E3E3"/>
            </w:tcBorders>
            <w:gridSpan w:val="2"/>
            <w:shd w:val="clear" w:color="auto" w:fill="E3E3E3"/>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220" w:type="dxa"/>
            <w:vAlign w:val="bottom"/>
            <w:tcBorders>
              <w:top w:val="single" w:sz="8" w:color="auto"/>
              <w:bottom w:val="single" w:sz="8" w:color="auto"/>
            </w:tcBorders>
            <w:shd w:val="clear" w:color="auto" w:fill="E3E3E3"/>
          </w:tcPr>
          <w:p>
            <w:pPr>
              <w:spacing w:after="0"/>
              <w:rPr>
                <w:sz w:val="20"/>
                <w:szCs w:val="20"/>
                <w:color w:val="auto"/>
              </w:rPr>
            </w:pPr>
          </w:p>
        </w:tc>
        <w:tc>
          <w:tcPr>
            <w:tcW w:w="110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908,289</w:t>
            </w:r>
          </w:p>
        </w:tc>
        <w:tc>
          <w:tcPr>
            <w:tcW w:w="100" w:type="dxa"/>
            <w:vAlign w:val="bottom"/>
            <w:tcBorders>
              <w:top w:val="single" w:sz="8" w:color="E3E3E3"/>
              <w:bottom w:val="single" w:sz="8" w:color="E3E3E3"/>
            </w:tcBorders>
            <w:shd w:val="clear" w:color="auto" w:fill="E3E3E3"/>
          </w:tcPr>
          <w:p>
            <w:pPr>
              <w:spacing w:after="0"/>
              <w:rPr>
                <w:sz w:val="20"/>
                <w:szCs w:val="20"/>
                <w:color w:val="auto"/>
              </w:rPr>
            </w:pPr>
          </w:p>
        </w:tc>
        <w:tc>
          <w:tcPr>
            <w:tcW w:w="140" w:type="dxa"/>
            <w:vAlign w:val="bottom"/>
            <w:tcBorders>
              <w:top w:val="single" w:sz="8" w:color="E3E3E3"/>
              <w:bottom w:val="single" w:sz="8" w:color="E3E3E3"/>
            </w:tcBorders>
            <w:shd w:val="clear" w:color="auto" w:fill="E3E3E3"/>
          </w:tcPr>
          <w:p>
            <w:pPr>
              <w:spacing w:after="0"/>
              <w:rPr>
                <w:sz w:val="20"/>
                <w:szCs w:val="20"/>
                <w:color w:val="auto"/>
              </w:rPr>
            </w:pPr>
          </w:p>
        </w:tc>
        <w:tc>
          <w:tcPr>
            <w:tcW w:w="220" w:type="dxa"/>
            <w:vAlign w:val="bottom"/>
            <w:tcBorders>
              <w:top w:val="single" w:sz="8" w:color="auto"/>
              <w:bottom w:val="single" w:sz="8" w:color="auto"/>
            </w:tcBorders>
            <w:shd w:val="clear" w:color="auto" w:fill="E3E3E3"/>
          </w:tcPr>
          <w:p>
            <w:pPr>
              <w:spacing w:after="0"/>
              <w:rPr>
                <w:sz w:val="20"/>
                <w:szCs w:val="20"/>
                <w:color w:val="auto"/>
              </w:rPr>
            </w:pPr>
          </w:p>
        </w:tc>
        <w:tc>
          <w:tcPr>
            <w:tcW w:w="110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533,733</w:t>
            </w:r>
          </w:p>
        </w:tc>
        <w:tc>
          <w:tcPr>
            <w:tcW w:w="120" w:type="dxa"/>
            <w:vAlign w:val="bottom"/>
            <w:tcBorders>
              <w:top w:val="single" w:sz="8" w:color="E3E3E3"/>
              <w:bottom w:val="single" w:sz="8" w:color="E3E3E3"/>
            </w:tcBorders>
            <w:shd w:val="clear" w:color="auto" w:fill="E3E3E3"/>
          </w:tcPr>
          <w:p>
            <w:pPr>
              <w:spacing w:after="0"/>
              <w:rPr>
                <w:sz w:val="20"/>
                <w:szCs w:val="20"/>
                <w:color w:val="auto"/>
              </w:rPr>
            </w:pPr>
          </w:p>
        </w:tc>
        <w:tc>
          <w:tcPr>
            <w:tcW w:w="120" w:type="dxa"/>
            <w:vAlign w:val="bottom"/>
            <w:tcBorders>
              <w:top w:val="single" w:sz="8" w:color="E3E3E3"/>
              <w:bottom w:val="single" w:sz="8" w:color="E3E3E3"/>
            </w:tcBorders>
            <w:shd w:val="clear" w:color="auto" w:fill="E3E3E3"/>
          </w:tcPr>
          <w:p>
            <w:pPr>
              <w:spacing w:after="0"/>
              <w:rPr>
                <w:sz w:val="20"/>
                <w:szCs w:val="20"/>
                <w:color w:val="auto"/>
              </w:rPr>
            </w:pPr>
          </w:p>
        </w:tc>
        <w:tc>
          <w:tcPr>
            <w:tcW w:w="220" w:type="dxa"/>
            <w:vAlign w:val="bottom"/>
            <w:tcBorders>
              <w:top w:val="single" w:sz="8" w:color="auto"/>
              <w:bottom w:val="single" w:sz="8" w:color="auto"/>
            </w:tcBorders>
            <w:shd w:val="clear" w:color="auto" w:fill="E3E3E3"/>
          </w:tcPr>
          <w:p>
            <w:pPr>
              <w:spacing w:after="0"/>
              <w:rPr>
                <w:sz w:val="20"/>
                <w:szCs w:val="20"/>
                <w:color w:val="auto"/>
              </w:rPr>
            </w:pPr>
          </w:p>
        </w:tc>
        <w:tc>
          <w:tcPr>
            <w:tcW w:w="112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224,071</w:t>
            </w:r>
          </w:p>
        </w:tc>
        <w:tc>
          <w:tcPr>
            <w:tcW w:w="100" w:type="dxa"/>
            <w:vAlign w:val="bottom"/>
            <w:tcBorders>
              <w:top w:val="single" w:sz="8" w:color="E3E3E3"/>
              <w:bottom w:val="single" w:sz="8" w:color="E3E3E3"/>
            </w:tcBorders>
            <w:shd w:val="clear" w:color="auto" w:fill="E3E3E3"/>
          </w:tcPr>
          <w:p>
            <w:pPr>
              <w:spacing w:after="0"/>
              <w:rPr>
                <w:sz w:val="20"/>
                <w:szCs w:val="20"/>
                <w:color w:val="auto"/>
              </w:rPr>
            </w:pPr>
          </w:p>
        </w:tc>
      </w:tr>
      <w:tr>
        <w:trPr>
          <w:trHeight w:val="200"/>
        </w:trPr>
        <w:tc>
          <w:tcPr>
            <w:tcW w:w="5680" w:type="dxa"/>
            <w:vAlign w:val="bottom"/>
            <w:tcBorders>
              <w:top w:val="single" w:sz="8" w:color="FDFDFD"/>
            </w:tcBorders>
            <w:gridSpan w:val="2"/>
            <w:shd w:val="clear" w:color="auto" w:fill="FDFDFD"/>
          </w:tcPr>
          <w:p>
            <w:pPr>
              <w:ind w:left="600"/>
              <w:spacing w:after="0" w:line="200" w:lineRule="exact"/>
              <w:rPr>
                <w:sz w:val="20"/>
                <w:szCs w:val="20"/>
                <w:color w:val="auto"/>
              </w:rPr>
            </w:pPr>
            <w:r>
              <w:rPr>
                <w:rFonts w:ascii="Times New Roman" w:cs="Times New Roman" w:eastAsia="Times New Roman" w:hAnsi="Times New Roman"/>
                <w:sz w:val="20"/>
                <w:szCs w:val="20"/>
                <w:color w:val="auto"/>
              </w:rPr>
              <w:t>Loss from operations</w:t>
            </w:r>
          </w:p>
        </w:tc>
        <w:tc>
          <w:tcPr>
            <w:tcW w:w="220" w:type="dxa"/>
            <w:vAlign w:val="bottom"/>
            <w:tcBorders>
              <w:top w:val="single" w:sz="8" w:color="auto"/>
            </w:tcBorders>
            <w:shd w:val="clear" w:color="auto" w:fill="FDFDFD"/>
          </w:tcPr>
          <w:p>
            <w:pPr>
              <w:spacing w:after="0"/>
              <w:rPr>
                <w:sz w:val="17"/>
                <w:szCs w:val="17"/>
                <w:color w:val="auto"/>
              </w:rPr>
            </w:pPr>
          </w:p>
        </w:tc>
        <w:tc>
          <w:tcPr>
            <w:tcW w:w="1100" w:type="dxa"/>
            <w:vAlign w:val="bottom"/>
            <w:tcBorders>
              <w:top w:val="single" w:sz="8" w:color="auto"/>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auto"/>
              </w:rPr>
              <w:t>(710,820)</w:t>
            </w:r>
          </w:p>
        </w:tc>
        <w:tc>
          <w:tcPr>
            <w:tcW w:w="100" w:type="dxa"/>
            <w:vAlign w:val="bottom"/>
            <w:tcBorders>
              <w:top w:val="single" w:sz="8" w:color="FDFDFD"/>
            </w:tcBorders>
            <w:shd w:val="clear" w:color="auto" w:fill="FDFDFD"/>
          </w:tcPr>
          <w:p>
            <w:pPr>
              <w:spacing w:after="0"/>
              <w:rPr>
                <w:sz w:val="17"/>
                <w:szCs w:val="17"/>
                <w:color w:val="auto"/>
              </w:rPr>
            </w:pPr>
          </w:p>
        </w:tc>
        <w:tc>
          <w:tcPr>
            <w:tcW w:w="140" w:type="dxa"/>
            <w:vAlign w:val="bottom"/>
            <w:tcBorders>
              <w:top w:val="single" w:sz="8" w:color="FDFDFD"/>
            </w:tcBorders>
            <w:shd w:val="clear" w:color="auto" w:fill="FDFDFD"/>
          </w:tcPr>
          <w:p>
            <w:pPr>
              <w:spacing w:after="0"/>
              <w:rPr>
                <w:sz w:val="17"/>
                <w:szCs w:val="17"/>
                <w:color w:val="auto"/>
              </w:rPr>
            </w:pPr>
          </w:p>
        </w:tc>
        <w:tc>
          <w:tcPr>
            <w:tcW w:w="220" w:type="dxa"/>
            <w:vAlign w:val="bottom"/>
            <w:tcBorders>
              <w:top w:val="single" w:sz="8" w:color="auto"/>
            </w:tcBorders>
            <w:shd w:val="clear" w:color="auto" w:fill="FDFDFD"/>
          </w:tcPr>
          <w:p>
            <w:pPr>
              <w:spacing w:after="0"/>
              <w:rPr>
                <w:sz w:val="17"/>
                <w:szCs w:val="17"/>
                <w:color w:val="auto"/>
              </w:rPr>
            </w:pPr>
          </w:p>
        </w:tc>
        <w:tc>
          <w:tcPr>
            <w:tcW w:w="1100" w:type="dxa"/>
            <w:vAlign w:val="bottom"/>
            <w:tcBorders>
              <w:top w:val="single" w:sz="8" w:color="auto"/>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auto"/>
              </w:rPr>
              <w:t>(329,800)</w:t>
            </w:r>
          </w:p>
        </w:tc>
        <w:tc>
          <w:tcPr>
            <w:tcW w:w="120" w:type="dxa"/>
            <w:vAlign w:val="bottom"/>
            <w:tcBorders>
              <w:top w:val="single" w:sz="8" w:color="FDFDFD"/>
            </w:tcBorders>
            <w:shd w:val="clear" w:color="auto" w:fill="FDFDFD"/>
          </w:tcPr>
          <w:p>
            <w:pPr>
              <w:spacing w:after="0"/>
              <w:rPr>
                <w:sz w:val="17"/>
                <w:szCs w:val="17"/>
                <w:color w:val="auto"/>
              </w:rPr>
            </w:pPr>
          </w:p>
        </w:tc>
        <w:tc>
          <w:tcPr>
            <w:tcW w:w="120" w:type="dxa"/>
            <w:vAlign w:val="bottom"/>
            <w:tcBorders>
              <w:top w:val="single" w:sz="8" w:color="FDFDFD"/>
            </w:tcBorders>
            <w:shd w:val="clear" w:color="auto" w:fill="FDFDFD"/>
          </w:tcPr>
          <w:p>
            <w:pPr>
              <w:spacing w:after="0"/>
              <w:rPr>
                <w:sz w:val="17"/>
                <w:szCs w:val="17"/>
                <w:color w:val="auto"/>
              </w:rPr>
            </w:pPr>
          </w:p>
        </w:tc>
        <w:tc>
          <w:tcPr>
            <w:tcW w:w="220" w:type="dxa"/>
            <w:vAlign w:val="bottom"/>
            <w:tcBorders>
              <w:top w:val="single" w:sz="8" w:color="auto"/>
            </w:tcBorders>
            <w:shd w:val="clear" w:color="auto" w:fill="FDFDFD"/>
          </w:tcPr>
          <w:p>
            <w:pPr>
              <w:spacing w:after="0"/>
              <w:rPr>
                <w:sz w:val="17"/>
                <w:szCs w:val="17"/>
                <w:color w:val="auto"/>
              </w:rPr>
            </w:pPr>
          </w:p>
        </w:tc>
        <w:tc>
          <w:tcPr>
            <w:tcW w:w="1120" w:type="dxa"/>
            <w:vAlign w:val="bottom"/>
            <w:tcBorders>
              <w:top w:val="single" w:sz="8" w:color="auto"/>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auto"/>
              </w:rPr>
              <w:t>(44,043)</w:t>
            </w:r>
          </w:p>
        </w:tc>
        <w:tc>
          <w:tcPr>
            <w:tcW w:w="100" w:type="dxa"/>
            <w:vAlign w:val="bottom"/>
            <w:tcBorders>
              <w:top w:val="single" w:sz="8" w:color="FDFDFD"/>
            </w:tcBorders>
            <w:shd w:val="clear" w:color="auto" w:fill="FDFDFD"/>
          </w:tcPr>
          <w:p>
            <w:pPr>
              <w:spacing w:after="0"/>
              <w:rPr>
                <w:sz w:val="17"/>
                <w:szCs w:val="17"/>
                <w:color w:val="auto"/>
              </w:rPr>
            </w:pPr>
          </w:p>
        </w:tc>
      </w:tr>
      <w:tr>
        <w:trPr>
          <w:trHeight w:val="230"/>
        </w:trPr>
        <w:tc>
          <w:tcPr>
            <w:tcW w:w="56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22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1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568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14,592</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13,644</w:t>
            </w:r>
          </w:p>
        </w:tc>
        <w:tc>
          <w:tcPr>
            <w:tcW w:w="12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2,787</w:t>
            </w:r>
          </w:p>
        </w:tc>
        <w:tc>
          <w:tcPr>
            <w:tcW w:w="100" w:type="dxa"/>
            <w:vAlign w:val="bottom"/>
            <w:shd w:val="clear" w:color="auto" w:fill="FDFDFD"/>
          </w:tcPr>
          <w:p>
            <w:pPr>
              <w:spacing w:after="0"/>
              <w:rPr>
                <w:sz w:val="19"/>
                <w:szCs w:val="19"/>
                <w:color w:val="auto"/>
              </w:rPr>
            </w:pPr>
          </w:p>
        </w:tc>
      </w:tr>
      <w:tr>
        <w:trPr>
          <w:trHeight w:val="230"/>
        </w:trPr>
        <w:tc>
          <w:tcPr>
            <w:tcW w:w="5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Interest expense</w:t>
            </w:r>
          </w:p>
        </w:tc>
        <w:tc>
          <w:tcPr>
            <w:tcW w:w="220" w:type="dxa"/>
            <w:vAlign w:val="bottom"/>
            <w:shd w:val="clear" w:color="auto" w:fill="E3E3E3"/>
          </w:tcPr>
          <w:p>
            <w:pPr>
              <w:spacing w:after="0"/>
              <w:rPr>
                <w:sz w:val="19"/>
                <w:szCs w:val="19"/>
                <w:color w:val="auto"/>
              </w:rPr>
            </w:pPr>
          </w:p>
        </w:tc>
        <w:tc>
          <w:tcPr>
            <w:tcW w:w="12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(14,837)</w:t>
            </w:r>
          </w:p>
        </w:tc>
        <w:tc>
          <w:tcPr>
            <w:tcW w:w="14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22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(15,203)</w:t>
            </w: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22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(11,200)</w:t>
            </w:r>
          </w:p>
        </w:tc>
      </w:tr>
      <w:tr>
        <w:trPr>
          <w:trHeight w:val="230"/>
        </w:trPr>
        <w:tc>
          <w:tcPr>
            <w:tcW w:w="568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Gain on remeasurement of tax receivable agreement liability</w:t>
            </w: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76,909</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23,470</w:t>
            </w:r>
          </w:p>
        </w:tc>
        <w:tc>
          <w:tcPr>
            <w:tcW w:w="12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9,717</w:t>
            </w:r>
          </w:p>
        </w:tc>
        <w:tc>
          <w:tcPr>
            <w:tcW w:w="100" w:type="dxa"/>
            <w:vAlign w:val="bottom"/>
            <w:shd w:val="clear" w:color="auto" w:fill="FDFDFD"/>
          </w:tcPr>
          <w:p>
            <w:pPr>
              <w:spacing w:after="0"/>
              <w:rPr>
                <w:sz w:val="19"/>
                <w:szCs w:val="19"/>
                <w:color w:val="auto"/>
              </w:rPr>
            </w:pPr>
          </w:p>
        </w:tc>
      </w:tr>
      <w:tr>
        <w:trPr>
          <w:trHeight w:val="230"/>
        </w:trPr>
        <w:tc>
          <w:tcPr>
            <w:tcW w:w="5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Other income (expense), net</w:t>
            </w:r>
          </w:p>
        </w:tc>
        <w:tc>
          <w:tcPr>
            <w:tcW w:w="2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22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(291)</w:t>
            </w: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862</w:t>
            </w:r>
          </w:p>
        </w:tc>
        <w:tc>
          <w:tcPr>
            <w:tcW w:w="100" w:type="dxa"/>
            <w:vAlign w:val="bottom"/>
            <w:shd w:val="clear" w:color="auto" w:fill="E3E3E3"/>
          </w:tcPr>
          <w:p>
            <w:pPr>
              <w:spacing w:after="0"/>
              <w:rPr>
                <w:sz w:val="19"/>
                <w:szCs w:val="19"/>
                <w:color w:val="auto"/>
              </w:rPr>
            </w:pPr>
          </w:p>
        </w:tc>
      </w:tr>
      <w:tr>
        <w:trPr>
          <w:trHeight w:val="220"/>
        </w:trPr>
        <w:tc>
          <w:tcPr>
            <w:tcW w:w="5680" w:type="dxa"/>
            <w:vAlign w:val="bottom"/>
            <w:tcBorders>
              <w:top w:val="single" w:sz="8" w:color="FDFDFD"/>
              <w:bottom w:val="single" w:sz="8" w:color="E3E3E3"/>
            </w:tcBorders>
            <w:gridSpan w:val="2"/>
            <w:shd w:val="clear" w:color="auto" w:fill="FDFDFD"/>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other income, net</w:t>
            </w:r>
          </w:p>
        </w:tc>
        <w:tc>
          <w:tcPr>
            <w:tcW w:w="220" w:type="dxa"/>
            <w:vAlign w:val="bottom"/>
            <w:tcBorders>
              <w:top w:val="single" w:sz="8" w:color="auto"/>
              <w:bottom w:val="single" w:sz="8" w:color="auto"/>
            </w:tcBorders>
            <w:shd w:val="clear" w:color="auto" w:fill="FDFDFD"/>
          </w:tcPr>
          <w:p>
            <w:pPr>
              <w:spacing w:after="0"/>
              <w:rPr>
                <w:sz w:val="19"/>
                <w:szCs w:val="19"/>
                <w:color w:val="auto"/>
              </w:rPr>
            </w:pPr>
          </w:p>
        </w:tc>
        <w:tc>
          <w:tcPr>
            <w:tcW w:w="110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77,075</w:t>
            </w:r>
          </w:p>
        </w:tc>
        <w:tc>
          <w:tcPr>
            <w:tcW w:w="100" w:type="dxa"/>
            <w:vAlign w:val="bottom"/>
            <w:tcBorders>
              <w:top w:val="single" w:sz="8" w:color="FDFDFD"/>
              <w:bottom w:val="single" w:sz="8" w:color="E3E3E3"/>
            </w:tcBorders>
            <w:shd w:val="clear" w:color="auto" w:fill="FDFDFD"/>
          </w:tcPr>
          <w:p>
            <w:pPr>
              <w:spacing w:after="0"/>
              <w:rPr>
                <w:sz w:val="19"/>
                <w:szCs w:val="19"/>
                <w:color w:val="auto"/>
              </w:rPr>
            </w:pPr>
          </w:p>
        </w:tc>
        <w:tc>
          <w:tcPr>
            <w:tcW w:w="140" w:type="dxa"/>
            <w:vAlign w:val="bottom"/>
            <w:tcBorders>
              <w:top w:val="single" w:sz="8" w:color="FDFDFD"/>
              <w:bottom w:val="single" w:sz="8" w:color="E3E3E3"/>
            </w:tcBorders>
            <w:shd w:val="clear" w:color="auto" w:fill="FDFDFD"/>
          </w:tcPr>
          <w:p>
            <w:pPr>
              <w:spacing w:after="0"/>
              <w:rPr>
                <w:sz w:val="19"/>
                <w:szCs w:val="19"/>
                <w:color w:val="auto"/>
              </w:rPr>
            </w:pPr>
          </w:p>
        </w:tc>
        <w:tc>
          <w:tcPr>
            <w:tcW w:w="220" w:type="dxa"/>
            <w:vAlign w:val="bottom"/>
            <w:tcBorders>
              <w:top w:val="single" w:sz="8" w:color="auto"/>
              <w:bottom w:val="single" w:sz="8" w:color="auto"/>
            </w:tcBorders>
            <w:shd w:val="clear" w:color="auto" w:fill="FDFDFD"/>
          </w:tcPr>
          <w:p>
            <w:pPr>
              <w:spacing w:after="0"/>
              <w:rPr>
                <w:sz w:val="19"/>
                <w:szCs w:val="19"/>
                <w:color w:val="auto"/>
              </w:rPr>
            </w:pPr>
          </w:p>
        </w:tc>
        <w:tc>
          <w:tcPr>
            <w:tcW w:w="110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21,620</w:t>
            </w:r>
          </w:p>
        </w:tc>
        <w:tc>
          <w:tcPr>
            <w:tcW w:w="120" w:type="dxa"/>
            <w:vAlign w:val="bottom"/>
            <w:tcBorders>
              <w:top w:val="single" w:sz="8" w:color="FDFDFD"/>
              <w:bottom w:val="single" w:sz="8" w:color="E3E3E3"/>
            </w:tcBorders>
            <w:shd w:val="clear" w:color="auto" w:fill="FDFDFD"/>
          </w:tcPr>
          <w:p>
            <w:pPr>
              <w:spacing w:after="0"/>
              <w:rPr>
                <w:sz w:val="19"/>
                <w:szCs w:val="19"/>
                <w:color w:val="auto"/>
              </w:rPr>
            </w:pPr>
          </w:p>
        </w:tc>
        <w:tc>
          <w:tcPr>
            <w:tcW w:w="120" w:type="dxa"/>
            <w:vAlign w:val="bottom"/>
            <w:tcBorders>
              <w:top w:val="single" w:sz="8" w:color="FDFDFD"/>
              <w:bottom w:val="single" w:sz="8" w:color="E3E3E3"/>
            </w:tcBorders>
            <w:shd w:val="clear" w:color="auto" w:fill="FDFDFD"/>
          </w:tcPr>
          <w:p>
            <w:pPr>
              <w:spacing w:after="0"/>
              <w:rPr>
                <w:sz w:val="19"/>
                <w:szCs w:val="19"/>
                <w:color w:val="auto"/>
              </w:rPr>
            </w:pPr>
          </w:p>
        </w:tc>
        <w:tc>
          <w:tcPr>
            <w:tcW w:w="220" w:type="dxa"/>
            <w:vAlign w:val="bottom"/>
            <w:tcBorders>
              <w:top w:val="single" w:sz="8" w:color="auto"/>
              <w:bottom w:val="single" w:sz="8" w:color="auto"/>
            </w:tcBorders>
            <w:shd w:val="clear" w:color="auto" w:fill="FDFDFD"/>
          </w:tcPr>
          <w:p>
            <w:pPr>
              <w:spacing w:after="0"/>
              <w:rPr>
                <w:sz w:val="19"/>
                <w:szCs w:val="19"/>
                <w:color w:val="auto"/>
              </w:rPr>
            </w:pPr>
          </w:p>
        </w:tc>
        <w:tc>
          <w:tcPr>
            <w:tcW w:w="112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2,166</w:t>
            </w:r>
          </w:p>
        </w:tc>
        <w:tc>
          <w:tcPr>
            <w:tcW w:w="100" w:type="dxa"/>
            <w:vAlign w:val="bottom"/>
            <w:tcBorders>
              <w:top w:val="single" w:sz="8" w:color="FDFDFD"/>
              <w:bottom w:val="single" w:sz="8" w:color="E3E3E3"/>
            </w:tcBorders>
            <w:shd w:val="clear" w:color="auto" w:fill="FDFDFD"/>
          </w:tcPr>
          <w:p>
            <w:pPr>
              <w:spacing w:after="0"/>
              <w:rPr>
                <w:sz w:val="19"/>
                <w:szCs w:val="19"/>
                <w:color w:val="auto"/>
              </w:rPr>
            </w:pPr>
          </w:p>
        </w:tc>
      </w:tr>
      <w:tr>
        <w:trPr>
          <w:trHeight w:val="220"/>
        </w:trPr>
        <w:tc>
          <w:tcPr>
            <w:tcW w:w="5680" w:type="dxa"/>
            <w:vAlign w:val="bottom"/>
            <w:gridSpan w:val="2"/>
            <w:shd w:val="clear" w:color="auto" w:fill="E3E3E3"/>
          </w:tcPr>
          <w:p>
            <w:pPr>
              <w:ind w:left="600"/>
              <w:spacing w:after="0" w:line="220" w:lineRule="exact"/>
              <w:rPr>
                <w:sz w:val="20"/>
                <w:szCs w:val="20"/>
                <w:color w:val="auto"/>
              </w:rPr>
            </w:pPr>
            <w:r>
              <w:rPr>
                <w:rFonts w:ascii="Times New Roman" w:cs="Times New Roman" w:eastAsia="Times New Roman" w:hAnsi="Times New Roman"/>
                <w:sz w:val="20"/>
                <w:szCs w:val="20"/>
                <w:color w:val="auto"/>
              </w:rPr>
              <w:t>Loss before income taxes</w:t>
            </w:r>
          </w:p>
        </w:tc>
        <w:tc>
          <w:tcPr>
            <w:tcW w:w="2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(633,745)</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(308,180)</w:t>
            </w:r>
          </w:p>
        </w:tc>
        <w:tc>
          <w:tcPr>
            <w:tcW w:w="1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1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(41,877)</w:t>
            </w:r>
          </w:p>
        </w:tc>
        <w:tc>
          <w:tcPr>
            <w:tcW w:w="100" w:type="dxa"/>
            <w:vAlign w:val="bottom"/>
            <w:shd w:val="clear" w:color="auto" w:fill="E3E3E3"/>
          </w:tcPr>
          <w:p>
            <w:pPr>
              <w:spacing w:after="0"/>
              <w:rPr>
                <w:sz w:val="19"/>
                <w:szCs w:val="19"/>
                <w:color w:val="auto"/>
              </w:rPr>
            </w:pPr>
          </w:p>
        </w:tc>
      </w:tr>
      <w:tr>
        <w:trPr>
          <w:trHeight w:val="230"/>
        </w:trPr>
        <w:tc>
          <w:tcPr>
            <w:tcW w:w="5680" w:type="dxa"/>
            <w:vAlign w:val="bottom"/>
            <w:tcBorders>
              <w:bottom w:val="single" w:sz="8" w:color="E3E3E3"/>
            </w:tcBorders>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Benefit from income taxes</w:t>
            </w:r>
          </w:p>
        </w:tc>
        <w:tc>
          <w:tcPr>
            <w:tcW w:w="220" w:type="dxa"/>
            <w:vAlign w:val="bottom"/>
            <w:tcBorders>
              <w:bottom w:val="single" w:sz="8" w:color="auto"/>
            </w:tcBorders>
            <w:shd w:val="clear" w:color="auto" w:fill="FDFDFD"/>
          </w:tcPr>
          <w:p>
            <w:pPr>
              <w:spacing w:after="0"/>
              <w:rPr>
                <w:sz w:val="19"/>
                <w:szCs w:val="19"/>
                <w:color w:val="auto"/>
              </w:rPr>
            </w:pPr>
          </w:p>
        </w:tc>
        <w:tc>
          <w:tcPr>
            <w:tcW w:w="11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42,299</w:t>
            </w:r>
          </w:p>
        </w:tc>
        <w:tc>
          <w:tcPr>
            <w:tcW w:w="100" w:type="dxa"/>
            <w:vAlign w:val="bottom"/>
            <w:tcBorders>
              <w:bottom w:val="single" w:sz="8" w:color="E3E3E3"/>
            </w:tcBorders>
            <w:shd w:val="clear" w:color="auto" w:fill="FDFDFD"/>
          </w:tcPr>
          <w:p>
            <w:pPr>
              <w:spacing w:after="0"/>
              <w:rPr>
                <w:sz w:val="19"/>
                <w:szCs w:val="19"/>
                <w:color w:val="auto"/>
              </w:rPr>
            </w:pPr>
          </w:p>
        </w:tc>
        <w:tc>
          <w:tcPr>
            <w:tcW w:w="140" w:type="dxa"/>
            <w:vAlign w:val="bottom"/>
            <w:tcBorders>
              <w:bottom w:val="single" w:sz="8" w:color="E3E3E3"/>
            </w:tcBorders>
            <w:shd w:val="clear" w:color="auto" w:fill="FDFDFD"/>
          </w:tcPr>
          <w:p>
            <w:pPr>
              <w:spacing w:after="0"/>
              <w:rPr>
                <w:sz w:val="19"/>
                <w:szCs w:val="19"/>
                <w:color w:val="auto"/>
              </w:rPr>
            </w:pPr>
          </w:p>
        </w:tc>
        <w:tc>
          <w:tcPr>
            <w:tcW w:w="220" w:type="dxa"/>
            <w:vAlign w:val="bottom"/>
            <w:tcBorders>
              <w:bottom w:val="single" w:sz="8" w:color="auto"/>
            </w:tcBorders>
            <w:shd w:val="clear" w:color="auto" w:fill="FDFDFD"/>
          </w:tcPr>
          <w:p>
            <w:pPr>
              <w:spacing w:after="0"/>
              <w:rPr>
                <w:sz w:val="19"/>
                <w:szCs w:val="19"/>
                <w:color w:val="auto"/>
              </w:rPr>
            </w:pPr>
          </w:p>
        </w:tc>
        <w:tc>
          <w:tcPr>
            <w:tcW w:w="11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18,553</w:t>
            </w:r>
          </w:p>
        </w:tc>
        <w:tc>
          <w:tcPr>
            <w:tcW w:w="12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220" w:type="dxa"/>
            <w:vAlign w:val="bottom"/>
            <w:tcBorders>
              <w:bottom w:val="single" w:sz="8" w:color="auto"/>
            </w:tcBorders>
            <w:shd w:val="clear" w:color="auto" w:fill="FDFDFD"/>
          </w:tcPr>
          <w:p>
            <w:pPr>
              <w:spacing w:after="0"/>
              <w:rPr>
                <w:sz w:val="19"/>
                <w:szCs w:val="19"/>
                <w:color w:val="auto"/>
              </w:rPr>
            </w:pPr>
          </w:p>
        </w:tc>
        <w:tc>
          <w:tcPr>
            <w:tcW w:w="112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17,698</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45"/>
        </w:trPr>
        <w:tc>
          <w:tcPr>
            <w:tcW w:w="5680" w:type="dxa"/>
            <w:vAlign w:val="bottom"/>
            <w:tcBorders>
              <w:bottom w:val="single" w:sz="8" w:color="E3E3E3"/>
            </w:tcBorders>
            <w:gridSpan w:val="2"/>
            <w:shd w:val="clear" w:color="auto" w:fill="E3E3E3"/>
          </w:tcPr>
          <w:p>
            <w:pPr>
              <w:ind w:left="800"/>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220" w:type="dxa"/>
            <w:vAlign w:val="bottom"/>
            <w:tcBorders>
              <w:bottom w:val="single" w:sz="8" w:color="auto"/>
            </w:tcBorders>
            <w:shd w:val="clear" w:color="auto" w:fill="E3E3E3"/>
          </w:tcPr>
          <w:p>
            <w:pPr>
              <w:spacing w:after="0"/>
              <w:rPr>
                <w:sz w:val="20"/>
                <w:szCs w:val="20"/>
                <w:color w:val="auto"/>
              </w:rPr>
            </w:pPr>
          </w:p>
        </w:tc>
        <w:tc>
          <w:tcPr>
            <w:tcW w:w="11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(591,446)</w:t>
            </w:r>
          </w:p>
        </w:tc>
        <w:tc>
          <w:tcPr>
            <w:tcW w:w="100" w:type="dxa"/>
            <w:vAlign w:val="bottom"/>
            <w:tcBorders>
              <w:bottom w:val="single" w:sz="8" w:color="E3E3E3"/>
            </w:tcBorders>
            <w:shd w:val="clear" w:color="auto" w:fill="E3E3E3"/>
          </w:tcPr>
          <w:p>
            <w:pPr>
              <w:spacing w:after="0"/>
              <w:rPr>
                <w:sz w:val="20"/>
                <w:szCs w:val="20"/>
                <w:color w:val="auto"/>
              </w:rPr>
            </w:pPr>
          </w:p>
        </w:tc>
        <w:tc>
          <w:tcPr>
            <w:tcW w:w="140" w:type="dxa"/>
            <w:vAlign w:val="bottom"/>
            <w:tcBorders>
              <w:bottom w:val="single" w:sz="8" w:color="E3E3E3"/>
            </w:tcBorders>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spacing w:after="0"/>
              <w:rPr>
                <w:sz w:val="20"/>
                <w:szCs w:val="20"/>
                <w:color w:val="auto"/>
              </w:rPr>
            </w:pPr>
          </w:p>
        </w:tc>
        <w:tc>
          <w:tcPr>
            <w:tcW w:w="11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(289,627)</w:t>
            </w:r>
          </w:p>
        </w:tc>
        <w:tc>
          <w:tcPr>
            <w:tcW w:w="12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tcBorders>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spacing w:after="0"/>
              <w:rPr>
                <w:sz w:val="20"/>
                <w:szCs w:val="20"/>
                <w:color w:val="auto"/>
              </w:rPr>
            </w:pPr>
          </w:p>
        </w:tc>
        <w:tc>
          <w:tcPr>
            <w:tcW w:w="11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(24,179)</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00"/>
        </w:trPr>
        <w:tc>
          <w:tcPr>
            <w:tcW w:w="5680" w:type="dxa"/>
            <w:vAlign w:val="bottom"/>
            <w:tcBorders>
              <w:top w:val="single" w:sz="8" w:color="FDFDFD"/>
              <w:bottom w:val="single" w:sz="8" w:color="E3E3E3"/>
            </w:tcBorders>
            <w:gridSpan w:val="2"/>
            <w:shd w:val="clear" w:color="auto" w:fill="FDFDFD"/>
          </w:tcPr>
          <w:p>
            <w:pPr>
              <w:ind w:left="200"/>
              <w:spacing w:after="0" w:line="200" w:lineRule="exact"/>
              <w:rPr>
                <w:sz w:val="20"/>
                <w:szCs w:val="20"/>
                <w:color w:val="auto"/>
              </w:rPr>
            </w:pPr>
            <w:r>
              <w:rPr>
                <w:rFonts w:ascii="Times New Roman" w:cs="Times New Roman" w:eastAsia="Times New Roman" w:hAnsi="Times New Roman"/>
                <w:sz w:val="20"/>
                <w:szCs w:val="20"/>
                <w:color w:val="auto"/>
              </w:rPr>
              <w:t>Less: Net loss attributable to noncontrolling interests</w:t>
            </w:r>
          </w:p>
        </w:tc>
        <w:tc>
          <w:tcPr>
            <w:tcW w:w="220" w:type="dxa"/>
            <w:vAlign w:val="bottom"/>
            <w:tcBorders>
              <w:top w:val="single" w:sz="8" w:color="auto"/>
              <w:bottom w:val="single" w:sz="8" w:color="auto"/>
            </w:tcBorders>
            <w:shd w:val="clear" w:color="auto" w:fill="FDFDFD"/>
          </w:tcPr>
          <w:p>
            <w:pPr>
              <w:spacing w:after="0"/>
              <w:rPr>
                <w:sz w:val="17"/>
                <w:szCs w:val="17"/>
                <w:color w:val="auto"/>
              </w:rPr>
            </w:pPr>
          </w:p>
        </w:tc>
        <w:tc>
          <w:tcPr>
            <w:tcW w:w="1100" w:type="dxa"/>
            <w:vAlign w:val="bottom"/>
            <w:tcBorders>
              <w:top w:val="single" w:sz="8" w:color="auto"/>
              <w:bottom w:val="single" w:sz="8" w:color="auto"/>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auto"/>
              </w:rPr>
              <w:t>(178,322)</w:t>
            </w:r>
          </w:p>
        </w:tc>
        <w:tc>
          <w:tcPr>
            <w:tcW w:w="100" w:type="dxa"/>
            <w:vAlign w:val="bottom"/>
            <w:tcBorders>
              <w:top w:val="single" w:sz="8" w:color="FDFDFD"/>
              <w:bottom w:val="single" w:sz="8" w:color="E3E3E3"/>
            </w:tcBorders>
            <w:shd w:val="clear" w:color="auto" w:fill="FDFDFD"/>
          </w:tcPr>
          <w:p>
            <w:pPr>
              <w:spacing w:after="0"/>
              <w:rPr>
                <w:sz w:val="17"/>
                <w:szCs w:val="17"/>
                <w:color w:val="auto"/>
              </w:rPr>
            </w:pPr>
          </w:p>
        </w:tc>
        <w:tc>
          <w:tcPr>
            <w:tcW w:w="140" w:type="dxa"/>
            <w:vAlign w:val="bottom"/>
            <w:tcBorders>
              <w:top w:val="single" w:sz="8" w:color="FDFDFD"/>
              <w:bottom w:val="single" w:sz="8" w:color="E3E3E3"/>
            </w:tcBorders>
            <w:shd w:val="clear" w:color="auto" w:fill="FDFDFD"/>
          </w:tcPr>
          <w:p>
            <w:pPr>
              <w:spacing w:after="0"/>
              <w:rPr>
                <w:sz w:val="17"/>
                <w:szCs w:val="17"/>
                <w:color w:val="auto"/>
              </w:rPr>
            </w:pPr>
          </w:p>
        </w:tc>
        <w:tc>
          <w:tcPr>
            <w:tcW w:w="220" w:type="dxa"/>
            <w:vAlign w:val="bottom"/>
            <w:tcBorders>
              <w:top w:val="single" w:sz="8" w:color="auto"/>
              <w:bottom w:val="single" w:sz="8" w:color="auto"/>
            </w:tcBorders>
            <w:shd w:val="clear" w:color="auto" w:fill="FDFDFD"/>
          </w:tcPr>
          <w:p>
            <w:pPr>
              <w:spacing w:after="0"/>
              <w:rPr>
                <w:sz w:val="17"/>
                <w:szCs w:val="17"/>
                <w:color w:val="auto"/>
              </w:rPr>
            </w:pPr>
          </w:p>
        </w:tc>
        <w:tc>
          <w:tcPr>
            <w:tcW w:w="1100" w:type="dxa"/>
            <w:vAlign w:val="bottom"/>
            <w:tcBorders>
              <w:top w:val="single" w:sz="8" w:color="auto"/>
              <w:bottom w:val="single" w:sz="8" w:color="auto"/>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auto"/>
              </w:rPr>
              <w:t>(87,239)</w:t>
            </w:r>
          </w:p>
        </w:tc>
        <w:tc>
          <w:tcPr>
            <w:tcW w:w="120" w:type="dxa"/>
            <w:vAlign w:val="bottom"/>
            <w:tcBorders>
              <w:top w:val="single" w:sz="8" w:color="FDFDFD"/>
              <w:bottom w:val="single" w:sz="8" w:color="E3E3E3"/>
            </w:tcBorders>
            <w:shd w:val="clear" w:color="auto" w:fill="FDFDFD"/>
          </w:tcPr>
          <w:p>
            <w:pPr>
              <w:spacing w:after="0"/>
              <w:rPr>
                <w:sz w:val="17"/>
                <w:szCs w:val="17"/>
                <w:color w:val="auto"/>
              </w:rPr>
            </w:pPr>
          </w:p>
        </w:tc>
        <w:tc>
          <w:tcPr>
            <w:tcW w:w="120" w:type="dxa"/>
            <w:vAlign w:val="bottom"/>
            <w:tcBorders>
              <w:top w:val="single" w:sz="8" w:color="FDFDFD"/>
              <w:bottom w:val="single" w:sz="8" w:color="E3E3E3"/>
            </w:tcBorders>
            <w:shd w:val="clear" w:color="auto" w:fill="FDFDFD"/>
          </w:tcPr>
          <w:p>
            <w:pPr>
              <w:spacing w:after="0"/>
              <w:rPr>
                <w:sz w:val="17"/>
                <w:szCs w:val="17"/>
                <w:color w:val="auto"/>
              </w:rPr>
            </w:pPr>
          </w:p>
        </w:tc>
        <w:tc>
          <w:tcPr>
            <w:tcW w:w="220" w:type="dxa"/>
            <w:vAlign w:val="bottom"/>
            <w:tcBorders>
              <w:top w:val="single" w:sz="8" w:color="auto"/>
              <w:bottom w:val="single" w:sz="8" w:color="auto"/>
            </w:tcBorders>
            <w:shd w:val="clear" w:color="auto" w:fill="FDFDFD"/>
          </w:tcPr>
          <w:p>
            <w:pPr>
              <w:spacing w:after="0"/>
              <w:rPr>
                <w:sz w:val="17"/>
                <w:szCs w:val="17"/>
                <w:color w:val="auto"/>
              </w:rPr>
            </w:pPr>
          </w:p>
        </w:tc>
        <w:tc>
          <w:tcPr>
            <w:tcW w:w="1120" w:type="dxa"/>
            <w:vAlign w:val="bottom"/>
            <w:tcBorders>
              <w:top w:val="single" w:sz="8" w:color="auto"/>
              <w:bottom w:val="single" w:sz="8" w:color="auto"/>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auto"/>
              </w:rPr>
              <w:t>(16,957)</w:t>
            </w:r>
          </w:p>
        </w:tc>
        <w:tc>
          <w:tcPr>
            <w:tcW w:w="100" w:type="dxa"/>
            <w:vAlign w:val="bottom"/>
            <w:tcBorders>
              <w:top w:val="single" w:sz="8" w:color="FDFDFD"/>
              <w:bottom w:val="single" w:sz="8" w:color="E3E3E3"/>
            </w:tcBorders>
            <w:shd w:val="clear" w:color="auto" w:fill="FDFDFD"/>
          </w:tcPr>
          <w:p>
            <w:pPr>
              <w:spacing w:after="0"/>
              <w:rPr>
                <w:sz w:val="17"/>
                <w:szCs w:val="17"/>
                <w:color w:val="auto"/>
              </w:rPr>
            </w:pPr>
          </w:p>
        </w:tc>
      </w:tr>
      <w:tr>
        <w:trPr>
          <w:trHeight w:val="285"/>
        </w:trPr>
        <w:tc>
          <w:tcPr>
            <w:tcW w:w="5680" w:type="dxa"/>
            <w:vAlign w:val="bottom"/>
            <w:tcBorders>
              <w:bottom w:val="single" w:sz="8" w:color="E3E3E3"/>
            </w:tcBorders>
            <w:gridSpan w:val="2"/>
            <w:shd w:val="clear" w:color="auto" w:fill="E3E3E3"/>
          </w:tcPr>
          <w:p>
            <w:pPr>
              <w:ind w:left="600"/>
              <w:spacing w:after="0" w:line="220" w:lineRule="exact"/>
              <w:rPr>
                <w:sz w:val="20"/>
                <w:szCs w:val="20"/>
                <w:color w:val="auto"/>
              </w:rPr>
            </w:pPr>
            <w:r>
              <w:rPr>
                <w:rFonts w:ascii="Times New Roman" w:cs="Times New Roman" w:eastAsia="Times New Roman" w:hAnsi="Times New Roman"/>
                <w:sz w:val="20"/>
                <w:szCs w:val="20"/>
                <w:color w:val="auto"/>
              </w:rPr>
              <w:t>Net loss attributable to Definitive Healthcare Corp.</w:t>
            </w:r>
          </w:p>
        </w:tc>
        <w:tc>
          <w:tcPr>
            <w:tcW w:w="220" w:type="dxa"/>
            <w:vAlign w:val="bottom"/>
            <w:tcBorders>
              <w:bottom w:val="single" w:sz="8" w:color="auto"/>
            </w:tcBorders>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(413,124)</w:t>
            </w:r>
          </w:p>
        </w:tc>
        <w:tc>
          <w:tcPr>
            <w:tcW w:w="10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(202,388)</w:t>
            </w:r>
          </w:p>
        </w:tc>
        <w:tc>
          <w:tcPr>
            <w:tcW w:w="120" w:type="dxa"/>
            <w:vAlign w:val="bottom"/>
            <w:tcBorders>
              <w:bottom w:val="single" w:sz="8" w:color="E3E3E3"/>
            </w:tcBorders>
            <w:shd w:val="clear" w:color="auto" w:fill="E3E3E3"/>
          </w:tcPr>
          <w:p>
            <w:pPr>
              <w:spacing w:after="0"/>
              <w:rPr>
                <w:sz w:val="24"/>
                <w:szCs w:val="24"/>
                <w:color w:val="auto"/>
              </w:rPr>
            </w:pPr>
          </w:p>
        </w:tc>
        <w:tc>
          <w:tcPr>
            <w:tcW w:w="12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(7,222)</w:t>
            </w:r>
          </w:p>
        </w:tc>
        <w:tc>
          <w:tcPr>
            <w:tcW w:w="100" w:type="dxa"/>
            <w:vAlign w:val="bottom"/>
            <w:tcBorders>
              <w:bottom w:val="single" w:sz="8" w:color="E3E3E3"/>
            </w:tcBorders>
            <w:shd w:val="clear" w:color="auto" w:fill="E3E3E3"/>
          </w:tcPr>
          <w:p>
            <w:pPr>
              <w:spacing w:after="0"/>
              <w:rPr>
                <w:sz w:val="24"/>
                <w:szCs w:val="24"/>
                <w:color w:val="auto"/>
              </w:rPr>
            </w:pPr>
          </w:p>
        </w:tc>
      </w:tr>
      <w:tr>
        <w:trPr>
          <w:trHeight w:val="195"/>
        </w:trPr>
        <w:tc>
          <w:tcPr>
            <w:tcW w:w="5680" w:type="dxa"/>
            <w:vAlign w:val="bottom"/>
            <w:tcBorders>
              <w:top w:val="single" w:sz="8" w:color="FDFDFD"/>
            </w:tcBorders>
            <w:gridSpan w:val="2"/>
            <w:shd w:val="clear" w:color="auto" w:fill="FDFDFD"/>
          </w:tcPr>
          <w:p>
            <w:pPr>
              <w:spacing w:after="0" w:line="195" w:lineRule="exact"/>
              <w:rPr>
                <w:sz w:val="20"/>
                <w:szCs w:val="20"/>
                <w:color w:val="auto"/>
              </w:rPr>
            </w:pPr>
            <w:r>
              <w:rPr>
                <w:rFonts w:ascii="Times New Roman" w:cs="Times New Roman" w:eastAsia="Times New Roman" w:hAnsi="Times New Roman"/>
                <w:sz w:val="20"/>
                <w:szCs w:val="20"/>
                <w:color w:val="auto"/>
              </w:rPr>
              <w:t>Net loss per share of Class A Common Stock:</w:t>
            </w:r>
          </w:p>
        </w:tc>
        <w:tc>
          <w:tcPr>
            <w:tcW w:w="220" w:type="dxa"/>
            <w:vAlign w:val="bottom"/>
            <w:tcBorders>
              <w:top w:val="single" w:sz="8" w:color="auto"/>
            </w:tcBorders>
            <w:shd w:val="clear" w:color="auto" w:fill="FDFDFD"/>
          </w:tcPr>
          <w:p>
            <w:pPr>
              <w:spacing w:after="0"/>
              <w:rPr>
                <w:sz w:val="16"/>
                <w:szCs w:val="16"/>
                <w:color w:val="auto"/>
              </w:rPr>
            </w:pPr>
          </w:p>
        </w:tc>
        <w:tc>
          <w:tcPr>
            <w:tcW w:w="1100" w:type="dxa"/>
            <w:vAlign w:val="bottom"/>
            <w:tcBorders>
              <w:top w:val="single" w:sz="8" w:color="auto"/>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c>
          <w:tcPr>
            <w:tcW w:w="140" w:type="dxa"/>
            <w:vAlign w:val="bottom"/>
            <w:tcBorders>
              <w:top w:val="single" w:sz="8" w:color="FDFDFD"/>
            </w:tcBorders>
            <w:shd w:val="clear" w:color="auto" w:fill="FDFDFD"/>
          </w:tcPr>
          <w:p>
            <w:pPr>
              <w:spacing w:after="0"/>
              <w:rPr>
                <w:sz w:val="16"/>
                <w:szCs w:val="16"/>
                <w:color w:val="auto"/>
              </w:rPr>
            </w:pPr>
          </w:p>
        </w:tc>
        <w:tc>
          <w:tcPr>
            <w:tcW w:w="220" w:type="dxa"/>
            <w:vAlign w:val="bottom"/>
            <w:tcBorders>
              <w:top w:val="single" w:sz="8" w:color="auto"/>
            </w:tcBorders>
            <w:shd w:val="clear" w:color="auto" w:fill="FDFDFD"/>
          </w:tcPr>
          <w:p>
            <w:pPr>
              <w:spacing w:after="0"/>
              <w:rPr>
                <w:sz w:val="16"/>
                <w:szCs w:val="16"/>
                <w:color w:val="auto"/>
              </w:rPr>
            </w:pPr>
          </w:p>
        </w:tc>
        <w:tc>
          <w:tcPr>
            <w:tcW w:w="1100" w:type="dxa"/>
            <w:vAlign w:val="bottom"/>
            <w:tcBorders>
              <w:top w:val="single" w:sz="8" w:color="auto"/>
            </w:tcBorders>
            <w:shd w:val="clear" w:color="auto" w:fill="FDFDFD"/>
          </w:tcPr>
          <w:p>
            <w:pPr>
              <w:spacing w:after="0"/>
              <w:rPr>
                <w:sz w:val="16"/>
                <w:szCs w:val="16"/>
                <w:color w:val="auto"/>
              </w:rPr>
            </w:pPr>
          </w:p>
        </w:tc>
        <w:tc>
          <w:tcPr>
            <w:tcW w:w="120" w:type="dxa"/>
            <w:vAlign w:val="bottom"/>
            <w:tcBorders>
              <w:top w:val="single" w:sz="8" w:color="FDFDFD"/>
            </w:tcBorders>
            <w:shd w:val="clear" w:color="auto" w:fill="FDFDFD"/>
          </w:tcPr>
          <w:p>
            <w:pPr>
              <w:spacing w:after="0"/>
              <w:rPr>
                <w:sz w:val="16"/>
                <w:szCs w:val="16"/>
                <w:color w:val="auto"/>
              </w:rPr>
            </w:pPr>
          </w:p>
        </w:tc>
        <w:tc>
          <w:tcPr>
            <w:tcW w:w="120" w:type="dxa"/>
            <w:vAlign w:val="bottom"/>
            <w:tcBorders>
              <w:top w:val="single" w:sz="8" w:color="FDFDFD"/>
            </w:tcBorders>
            <w:shd w:val="clear" w:color="auto" w:fill="FDFDFD"/>
          </w:tcPr>
          <w:p>
            <w:pPr>
              <w:spacing w:after="0"/>
              <w:rPr>
                <w:sz w:val="16"/>
                <w:szCs w:val="16"/>
                <w:color w:val="auto"/>
              </w:rPr>
            </w:pPr>
          </w:p>
        </w:tc>
        <w:tc>
          <w:tcPr>
            <w:tcW w:w="220" w:type="dxa"/>
            <w:vAlign w:val="bottom"/>
            <w:tcBorders>
              <w:top w:val="single" w:sz="8" w:color="auto"/>
            </w:tcBorders>
            <w:shd w:val="clear" w:color="auto" w:fill="FDFDFD"/>
          </w:tcPr>
          <w:p>
            <w:pPr>
              <w:spacing w:after="0"/>
              <w:rPr>
                <w:sz w:val="16"/>
                <w:szCs w:val="16"/>
                <w:color w:val="auto"/>
              </w:rPr>
            </w:pPr>
          </w:p>
        </w:tc>
        <w:tc>
          <w:tcPr>
            <w:tcW w:w="1120" w:type="dxa"/>
            <w:vAlign w:val="bottom"/>
            <w:tcBorders>
              <w:top w:val="single" w:sz="8" w:color="auto"/>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r>
      <w:tr>
        <w:trPr>
          <w:trHeight w:val="295"/>
        </w:trPr>
        <w:tc>
          <w:tcPr>
            <w:tcW w:w="5680" w:type="dxa"/>
            <w:vAlign w:val="bottom"/>
            <w:tcBorders>
              <w:bottom w:val="single" w:sz="8" w:color="E3E3E3"/>
            </w:tcBorders>
            <w:gridSpan w:val="2"/>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Basic and diluted</w:t>
            </w:r>
          </w:p>
        </w:tc>
        <w:tc>
          <w:tcPr>
            <w:tcW w:w="220" w:type="dxa"/>
            <w:vAlign w:val="bottom"/>
            <w:tcBorders>
              <w:bottom w:val="single" w:sz="8" w:color="auto"/>
            </w:tcBorders>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10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120" w:type="dxa"/>
            <w:vAlign w:val="bottom"/>
            <w:tcBorders>
              <w:bottom w:val="single" w:sz="8" w:color="E3E3E3"/>
            </w:tcBorders>
            <w:shd w:val="clear" w:color="auto" w:fill="E3E3E3"/>
          </w:tcPr>
          <w:p>
            <w:pPr>
              <w:spacing w:after="0"/>
              <w:rPr>
                <w:sz w:val="24"/>
                <w:szCs w:val="24"/>
                <w:color w:val="auto"/>
              </w:rPr>
            </w:pPr>
          </w:p>
        </w:tc>
        <w:tc>
          <w:tcPr>
            <w:tcW w:w="120" w:type="dxa"/>
            <w:vAlign w:val="bottom"/>
            <w:tcBorders>
              <w:bottom w:val="single" w:sz="8" w:color="E3E3E3"/>
            </w:tcBorders>
            <w:shd w:val="clear" w:color="auto" w:fill="E3E3E3"/>
          </w:tcPr>
          <w:p>
            <w:pPr>
              <w:spacing w:after="0"/>
              <w:rPr>
                <w:sz w:val="24"/>
                <w:szCs w:val="24"/>
                <w:color w:val="auto"/>
              </w:rPr>
            </w:pPr>
          </w:p>
        </w:tc>
        <w:tc>
          <w:tcPr>
            <w:tcW w:w="220" w:type="dxa"/>
            <w:vAlign w:val="bottom"/>
            <w:tcBorders>
              <w:bottom w:val="single" w:sz="8" w:color="auto"/>
            </w:tcBorders>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100" w:type="dxa"/>
            <w:vAlign w:val="bottom"/>
            <w:tcBorders>
              <w:bottom w:val="single" w:sz="8" w:color="E3E3E3"/>
            </w:tcBorders>
            <w:shd w:val="clear" w:color="auto" w:fill="E3E3E3"/>
          </w:tcPr>
          <w:p>
            <w:pPr>
              <w:spacing w:after="0"/>
              <w:rPr>
                <w:sz w:val="24"/>
                <w:szCs w:val="24"/>
                <w:color w:val="auto"/>
              </w:rPr>
            </w:pPr>
          </w:p>
        </w:tc>
      </w:tr>
      <w:tr>
        <w:trPr>
          <w:trHeight w:val="195"/>
        </w:trPr>
        <w:tc>
          <w:tcPr>
            <w:tcW w:w="5680" w:type="dxa"/>
            <w:vAlign w:val="bottom"/>
            <w:tcBorders>
              <w:top w:val="single" w:sz="8" w:color="FDFDFD"/>
            </w:tcBorders>
            <w:gridSpan w:val="2"/>
            <w:shd w:val="clear" w:color="auto" w:fill="FDFDFD"/>
          </w:tcPr>
          <w:p>
            <w:pPr>
              <w:spacing w:after="0" w:line="195" w:lineRule="exact"/>
              <w:rPr>
                <w:sz w:val="20"/>
                <w:szCs w:val="20"/>
                <w:color w:val="auto"/>
              </w:rPr>
            </w:pPr>
            <w:r>
              <w:rPr>
                <w:rFonts w:ascii="Times New Roman" w:cs="Times New Roman" w:eastAsia="Times New Roman" w:hAnsi="Times New Roman"/>
                <w:sz w:val="20"/>
                <w:szCs w:val="20"/>
                <w:color w:val="auto"/>
              </w:rPr>
              <w:t>Weighted average Common Stock outstanding:</w:t>
            </w:r>
          </w:p>
        </w:tc>
        <w:tc>
          <w:tcPr>
            <w:tcW w:w="220" w:type="dxa"/>
            <w:vAlign w:val="bottom"/>
            <w:tcBorders>
              <w:top w:val="single" w:sz="8" w:color="auto"/>
            </w:tcBorders>
            <w:shd w:val="clear" w:color="auto" w:fill="FDFDFD"/>
          </w:tcPr>
          <w:p>
            <w:pPr>
              <w:spacing w:after="0"/>
              <w:rPr>
                <w:sz w:val="16"/>
                <w:szCs w:val="16"/>
                <w:color w:val="auto"/>
              </w:rPr>
            </w:pPr>
          </w:p>
        </w:tc>
        <w:tc>
          <w:tcPr>
            <w:tcW w:w="1100" w:type="dxa"/>
            <w:vAlign w:val="bottom"/>
            <w:tcBorders>
              <w:top w:val="single" w:sz="8" w:color="auto"/>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c>
          <w:tcPr>
            <w:tcW w:w="140" w:type="dxa"/>
            <w:vAlign w:val="bottom"/>
            <w:tcBorders>
              <w:top w:val="single" w:sz="8" w:color="FDFDFD"/>
            </w:tcBorders>
            <w:shd w:val="clear" w:color="auto" w:fill="FDFDFD"/>
          </w:tcPr>
          <w:p>
            <w:pPr>
              <w:spacing w:after="0"/>
              <w:rPr>
                <w:sz w:val="16"/>
                <w:szCs w:val="16"/>
                <w:color w:val="auto"/>
              </w:rPr>
            </w:pPr>
          </w:p>
        </w:tc>
        <w:tc>
          <w:tcPr>
            <w:tcW w:w="220" w:type="dxa"/>
            <w:vAlign w:val="bottom"/>
            <w:tcBorders>
              <w:top w:val="single" w:sz="8" w:color="auto"/>
            </w:tcBorders>
            <w:shd w:val="clear" w:color="auto" w:fill="FDFDFD"/>
          </w:tcPr>
          <w:p>
            <w:pPr>
              <w:spacing w:after="0"/>
              <w:rPr>
                <w:sz w:val="16"/>
                <w:szCs w:val="16"/>
                <w:color w:val="auto"/>
              </w:rPr>
            </w:pPr>
          </w:p>
        </w:tc>
        <w:tc>
          <w:tcPr>
            <w:tcW w:w="1100" w:type="dxa"/>
            <w:vAlign w:val="bottom"/>
            <w:tcBorders>
              <w:top w:val="single" w:sz="8" w:color="auto"/>
            </w:tcBorders>
            <w:shd w:val="clear" w:color="auto" w:fill="FDFDFD"/>
          </w:tcPr>
          <w:p>
            <w:pPr>
              <w:spacing w:after="0"/>
              <w:rPr>
                <w:sz w:val="16"/>
                <w:szCs w:val="16"/>
                <w:color w:val="auto"/>
              </w:rPr>
            </w:pPr>
          </w:p>
        </w:tc>
        <w:tc>
          <w:tcPr>
            <w:tcW w:w="120" w:type="dxa"/>
            <w:vAlign w:val="bottom"/>
            <w:tcBorders>
              <w:top w:val="single" w:sz="8" w:color="FDFDFD"/>
            </w:tcBorders>
            <w:shd w:val="clear" w:color="auto" w:fill="FDFDFD"/>
          </w:tcPr>
          <w:p>
            <w:pPr>
              <w:spacing w:after="0"/>
              <w:rPr>
                <w:sz w:val="16"/>
                <w:szCs w:val="16"/>
                <w:color w:val="auto"/>
              </w:rPr>
            </w:pPr>
          </w:p>
        </w:tc>
        <w:tc>
          <w:tcPr>
            <w:tcW w:w="120" w:type="dxa"/>
            <w:vAlign w:val="bottom"/>
            <w:tcBorders>
              <w:top w:val="single" w:sz="8" w:color="FDFDFD"/>
            </w:tcBorders>
            <w:shd w:val="clear" w:color="auto" w:fill="FDFDFD"/>
          </w:tcPr>
          <w:p>
            <w:pPr>
              <w:spacing w:after="0"/>
              <w:rPr>
                <w:sz w:val="16"/>
                <w:szCs w:val="16"/>
                <w:color w:val="auto"/>
              </w:rPr>
            </w:pPr>
          </w:p>
        </w:tc>
        <w:tc>
          <w:tcPr>
            <w:tcW w:w="220" w:type="dxa"/>
            <w:vAlign w:val="bottom"/>
            <w:tcBorders>
              <w:top w:val="single" w:sz="8" w:color="auto"/>
            </w:tcBorders>
            <w:shd w:val="clear" w:color="auto" w:fill="FDFDFD"/>
          </w:tcPr>
          <w:p>
            <w:pPr>
              <w:spacing w:after="0"/>
              <w:rPr>
                <w:sz w:val="16"/>
                <w:szCs w:val="16"/>
                <w:color w:val="auto"/>
              </w:rPr>
            </w:pPr>
          </w:p>
        </w:tc>
        <w:tc>
          <w:tcPr>
            <w:tcW w:w="1120" w:type="dxa"/>
            <w:vAlign w:val="bottom"/>
            <w:tcBorders>
              <w:top w:val="single" w:sz="8" w:color="auto"/>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r>
      <w:tr>
        <w:trPr>
          <w:trHeight w:val="250"/>
        </w:trPr>
        <w:tc>
          <w:tcPr>
            <w:tcW w:w="5680" w:type="dxa"/>
            <w:vAlign w:val="bottom"/>
            <w:tcBorders>
              <w:bottom w:val="single" w:sz="8" w:color="E3E3E3"/>
            </w:tcBorders>
            <w:gridSpan w:val="2"/>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Basic and diluted</w:t>
            </w:r>
          </w:p>
        </w:tc>
        <w:tc>
          <w:tcPr>
            <w:tcW w:w="220" w:type="dxa"/>
            <w:vAlign w:val="bottom"/>
            <w:tcBorders>
              <w:bottom w:val="single" w:sz="8" w:color="auto"/>
            </w:tcBorders>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116,640,183</w:t>
            </w:r>
          </w:p>
        </w:tc>
        <w:tc>
          <w:tcPr>
            <w:tcW w:w="100" w:type="dxa"/>
            <w:vAlign w:val="bottom"/>
            <w:tcBorders>
              <w:bottom w:val="single" w:sz="8" w:color="E3E3E3"/>
            </w:tcBorders>
            <w:shd w:val="clear" w:color="auto" w:fill="E3E3E3"/>
          </w:tcPr>
          <w:p>
            <w:pPr>
              <w:spacing w:after="0"/>
              <w:rPr>
                <w:sz w:val="21"/>
                <w:szCs w:val="21"/>
                <w:color w:val="auto"/>
              </w:rPr>
            </w:pPr>
          </w:p>
        </w:tc>
        <w:tc>
          <w:tcPr>
            <w:tcW w:w="140" w:type="dxa"/>
            <w:vAlign w:val="bottom"/>
            <w:tcBorders>
              <w:bottom w:val="single" w:sz="8" w:color="E3E3E3"/>
            </w:tcBorders>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spacing w:after="0"/>
              <w:rPr>
                <w:sz w:val="21"/>
                <w:szCs w:val="21"/>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112,764,537</w:t>
            </w:r>
          </w:p>
        </w:tc>
        <w:tc>
          <w:tcPr>
            <w:tcW w:w="120" w:type="dxa"/>
            <w:vAlign w:val="bottom"/>
            <w:tcBorders>
              <w:bottom w:val="single" w:sz="8" w:color="E3E3E3"/>
            </w:tcBorders>
            <w:shd w:val="clear" w:color="auto" w:fill="E3E3E3"/>
          </w:tcPr>
          <w:p>
            <w:pPr>
              <w:spacing w:after="0"/>
              <w:rPr>
                <w:sz w:val="21"/>
                <w:szCs w:val="21"/>
                <w:color w:val="auto"/>
              </w:rPr>
            </w:pPr>
          </w:p>
        </w:tc>
        <w:tc>
          <w:tcPr>
            <w:tcW w:w="120" w:type="dxa"/>
            <w:vAlign w:val="bottom"/>
            <w:tcBorders>
              <w:bottom w:val="single" w:sz="8" w:color="E3E3E3"/>
            </w:tcBorders>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spacing w:after="0"/>
              <w:rPr>
                <w:sz w:val="21"/>
                <w:szCs w:val="21"/>
                <w:color w:val="auto"/>
              </w:rPr>
            </w:pPr>
          </w:p>
        </w:tc>
        <w:tc>
          <w:tcPr>
            <w:tcW w:w="11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101,114,105</w:t>
            </w:r>
          </w:p>
        </w:tc>
        <w:tc>
          <w:tcPr>
            <w:tcW w:w="100" w:type="dxa"/>
            <w:vAlign w:val="bottom"/>
            <w:tcBorders>
              <w:bottom w:val="single" w:sz="8" w:color="E3E3E3"/>
            </w:tcBorders>
            <w:shd w:val="clear" w:color="auto" w:fill="E3E3E3"/>
          </w:tcPr>
          <w:p>
            <w:pPr>
              <w:spacing w:after="0"/>
              <w:rPr>
                <w:sz w:val="21"/>
                <w:szCs w:val="21"/>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1880" w:h="15480" w:orient="portrait"/>
          <w:cols w:equalWidth="0" w:num="1">
            <w:col w:w="10240"/>
          </w:cols>
          <w:pgMar w:left="820" w:top="80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10240"/>
          </w:cols>
          <w:pgMar w:left="820" w:top="803" w:right="820" w:bottom="0" w:gutter="0" w:footer="0" w:header="0"/>
          <w:type w:val="continuous"/>
        </w:sectPr>
      </w:pPr>
    </w:p>
    <w:bookmarkStart w:id="98" w:name="page99"/>
    <w:bookmarkEnd w:id="98"/>
    <w:p>
      <w:pPr>
        <w:jc w:val="center"/>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DEFINITIVE HEALTHCARE CORP. CONSOLIDATED STATEMENTS OF COMPREHENSIVE LOSS </w:t>
      </w:r>
      <w:r>
        <w:rPr>
          <w:rFonts w:ascii="Times New Roman" w:cs="Times New Roman" w:eastAsia="Times New Roman" w:hAnsi="Times New Roman"/>
          <w:sz w:val="20"/>
          <w:szCs w:val="20"/>
          <w:i w:val="1"/>
          <w:iCs w:val="1"/>
          <w:color w:val="auto"/>
        </w:rPr>
        <w:t>(amounts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60" w:type="dxa"/>
            <w:vAlign w:val="bottom"/>
            <w:tcBorders>
              <w:bottom w:val="single" w:sz="8" w:color="FDFDFD"/>
            </w:tcBorders>
            <w:shd w:val="clear" w:color="auto" w:fill="FDFDFD"/>
          </w:tcPr>
          <w:p>
            <w:pPr>
              <w:spacing w:after="0"/>
              <w:rPr>
                <w:sz w:val="17"/>
                <w:szCs w:val="17"/>
                <w:color w:val="auto"/>
              </w:rPr>
            </w:pPr>
          </w:p>
        </w:tc>
        <w:tc>
          <w:tcPr>
            <w:tcW w:w="140" w:type="dxa"/>
            <w:vAlign w:val="bottom"/>
            <w:tcBorders>
              <w:bottom w:val="single" w:sz="8" w:color="FDFDFD"/>
            </w:tcBorders>
            <w:shd w:val="clear" w:color="auto" w:fill="FDFDFD"/>
          </w:tcPr>
          <w:p>
            <w:pPr>
              <w:spacing w:after="0"/>
              <w:rPr>
                <w:sz w:val="17"/>
                <w:szCs w:val="17"/>
                <w:color w:val="auto"/>
              </w:rPr>
            </w:pPr>
          </w:p>
        </w:tc>
        <w:tc>
          <w:tcPr>
            <w:tcW w:w="120" w:type="dxa"/>
            <w:vAlign w:val="bottom"/>
            <w:tcBorders>
              <w:bottom w:val="single" w:sz="8" w:color="auto"/>
            </w:tcBorders>
            <w:shd w:val="clear" w:color="auto" w:fill="FDFDFD"/>
          </w:tcPr>
          <w:p>
            <w:pPr>
              <w:spacing w:after="0"/>
              <w:rPr>
                <w:sz w:val="17"/>
                <w:szCs w:val="17"/>
                <w:color w:val="auto"/>
              </w:rPr>
            </w:pPr>
          </w:p>
        </w:tc>
        <w:tc>
          <w:tcPr>
            <w:tcW w:w="3000" w:type="dxa"/>
            <w:vAlign w:val="bottom"/>
            <w:tcBorders>
              <w:bottom w:val="single" w:sz="8" w:color="auto"/>
            </w:tcBorders>
            <w:gridSpan w:val="6"/>
            <w:shd w:val="clear" w:color="auto" w:fill="FDFDFD"/>
          </w:tcPr>
          <w:p>
            <w:pPr>
              <w:ind w:left="120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00" w:type="dxa"/>
            <w:vAlign w:val="bottom"/>
            <w:tcBorders>
              <w:bottom w:val="single" w:sz="8" w:color="auto"/>
            </w:tcBorders>
            <w:shd w:val="clear" w:color="auto" w:fill="FDFDFD"/>
          </w:tcPr>
          <w:p>
            <w:pPr>
              <w:spacing w:after="0"/>
              <w:rPr>
                <w:sz w:val="17"/>
                <w:szCs w:val="17"/>
                <w:color w:val="auto"/>
              </w:rPr>
            </w:pPr>
          </w:p>
        </w:tc>
        <w:tc>
          <w:tcPr>
            <w:tcW w:w="102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74"/>
        </w:trPr>
        <w:tc>
          <w:tcPr>
            <w:tcW w:w="5560" w:type="dxa"/>
            <w:vAlign w:val="bottom"/>
            <w:tcBorders>
              <w:bottom w:val="single" w:sz="8" w:color="E3E3E3"/>
            </w:tcBorders>
            <w:shd w:val="clear" w:color="auto" w:fill="FDFDFD"/>
          </w:tcPr>
          <w:p>
            <w:pPr>
              <w:spacing w:after="0"/>
              <w:rPr>
                <w:sz w:val="15"/>
                <w:szCs w:val="15"/>
                <w:color w:val="auto"/>
              </w:rPr>
            </w:pPr>
          </w:p>
        </w:tc>
        <w:tc>
          <w:tcPr>
            <w:tcW w:w="14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auto"/>
            </w:tcBorders>
            <w:shd w:val="clear" w:color="auto" w:fill="FDFDFD"/>
          </w:tcPr>
          <w:p>
            <w:pPr>
              <w:spacing w:after="0"/>
              <w:rPr>
                <w:sz w:val="15"/>
                <w:szCs w:val="15"/>
                <w:color w:val="auto"/>
              </w:rPr>
            </w:pPr>
          </w:p>
        </w:tc>
        <w:tc>
          <w:tcPr>
            <w:tcW w:w="1200" w:type="dxa"/>
            <w:vAlign w:val="bottom"/>
            <w:tcBorders>
              <w:bottom w:val="single" w:sz="8" w:color="auto"/>
            </w:tcBorders>
            <w:shd w:val="clear" w:color="auto" w:fill="FDFDFD"/>
          </w:tcPr>
          <w:p>
            <w:pPr>
              <w:jc w:val="right"/>
              <w:ind w:right="404"/>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3E3E3"/>
            </w:tcBorders>
            <w:shd w:val="clear" w:color="auto" w:fill="FDFDFD"/>
          </w:tcPr>
          <w:p>
            <w:pPr>
              <w:spacing w:after="0"/>
              <w:rPr>
                <w:sz w:val="15"/>
                <w:szCs w:val="15"/>
                <w:color w:val="auto"/>
              </w:rPr>
            </w:pPr>
          </w:p>
        </w:tc>
        <w:tc>
          <w:tcPr>
            <w:tcW w:w="300" w:type="dxa"/>
            <w:vAlign w:val="bottom"/>
            <w:tcBorders>
              <w:bottom w:val="single" w:sz="8" w:color="auto"/>
            </w:tcBorders>
            <w:shd w:val="clear" w:color="auto" w:fill="FDFDFD"/>
          </w:tcPr>
          <w:p>
            <w:pPr>
              <w:spacing w:after="0"/>
              <w:rPr>
                <w:sz w:val="15"/>
                <w:szCs w:val="15"/>
                <w:color w:val="auto"/>
              </w:rPr>
            </w:pPr>
          </w:p>
        </w:tc>
        <w:tc>
          <w:tcPr>
            <w:tcW w:w="1020" w:type="dxa"/>
            <w:vAlign w:val="bottom"/>
            <w:tcBorders>
              <w:bottom w:val="single" w:sz="8" w:color="auto"/>
            </w:tcBorders>
            <w:shd w:val="clear" w:color="auto" w:fill="FDFDFD"/>
          </w:tcPr>
          <w:p>
            <w:pPr>
              <w:jc w:val="right"/>
              <w:ind w:right="403"/>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3E3E3"/>
            </w:tcBorders>
            <w:shd w:val="clear" w:color="auto" w:fill="FDFDFD"/>
          </w:tcPr>
          <w:p>
            <w:pPr>
              <w:spacing w:after="0"/>
              <w:rPr>
                <w:sz w:val="15"/>
                <w:szCs w:val="15"/>
                <w:color w:val="auto"/>
              </w:rPr>
            </w:pPr>
          </w:p>
        </w:tc>
        <w:tc>
          <w:tcPr>
            <w:tcW w:w="140" w:type="dxa"/>
            <w:vAlign w:val="bottom"/>
            <w:tcBorders>
              <w:bottom w:val="single" w:sz="8" w:color="E3E3E3"/>
            </w:tcBorders>
            <w:shd w:val="clear" w:color="auto" w:fill="FDFDFD"/>
          </w:tcPr>
          <w:p>
            <w:pPr>
              <w:spacing w:after="0"/>
              <w:rPr>
                <w:sz w:val="15"/>
                <w:szCs w:val="15"/>
                <w:color w:val="auto"/>
              </w:rPr>
            </w:pPr>
          </w:p>
        </w:tc>
        <w:tc>
          <w:tcPr>
            <w:tcW w:w="300" w:type="dxa"/>
            <w:vAlign w:val="bottom"/>
            <w:tcBorders>
              <w:bottom w:val="single" w:sz="8" w:color="auto"/>
            </w:tcBorders>
            <w:shd w:val="clear" w:color="auto" w:fill="FDFDFD"/>
          </w:tcPr>
          <w:p>
            <w:pPr>
              <w:spacing w:after="0"/>
              <w:rPr>
                <w:sz w:val="15"/>
                <w:szCs w:val="15"/>
                <w:color w:val="auto"/>
              </w:rPr>
            </w:pPr>
          </w:p>
        </w:tc>
        <w:tc>
          <w:tcPr>
            <w:tcW w:w="1020" w:type="dxa"/>
            <w:vAlign w:val="bottom"/>
            <w:tcBorders>
              <w:bottom w:val="single" w:sz="8" w:color="auto"/>
            </w:tcBorders>
            <w:shd w:val="clear" w:color="auto" w:fill="FDFDFD"/>
          </w:tcPr>
          <w:p>
            <w:pPr>
              <w:jc w:val="right"/>
              <w:ind w:right="403"/>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3E3E3"/>
            </w:tcBorders>
            <w:shd w:val="clear" w:color="auto" w:fill="FDFDFD"/>
          </w:tcPr>
          <w:p>
            <w:pPr>
              <w:spacing w:after="0"/>
              <w:rPr>
                <w:sz w:val="15"/>
                <w:szCs w:val="15"/>
                <w:color w:val="auto"/>
              </w:rPr>
            </w:pPr>
          </w:p>
        </w:tc>
      </w:tr>
      <w:tr>
        <w:trPr>
          <w:trHeight w:val="220"/>
        </w:trPr>
        <w:tc>
          <w:tcPr>
            <w:tcW w:w="556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140" w:type="dxa"/>
            <w:vAlign w:val="bottom"/>
            <w:shd w:val="clear" w:color="auto" w:fill="E3E3E3"/>
          </w:tcPr>
          <w:p>
            <w:pPr>
              <w:spacing w:after="0"/>
              <w:rPr>
                <w:sz w:val="19"/>
                <w:szCs w:val="19"/>
                <w:color w:val="auto"/>
              </w:rPr>
            </w:pPr>
          </w:p>
        </w:tc>
        <w:tc>
          <w:tcPr>
            <w:tcW w:w="1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2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(591,446)</w:t>
            </w:r>
          </w:p>
        </w:tc>
        <w:tc>
          <w:tcPr>
            <w:tcW w:w="240" w:type="dxa"/>
            <w:vAlign w:val="bottom"/>
            <w:shd w:val="clear" w:color="auto" w:fill="E3E3E3"/>
          </w:tcPr>
          <w:p>
            <w:pPr>
              <w:spacing w:after="0"/>
              <w:rPr>
                <w:sz w:val="19"/>
                <w:szCs w:val="19"/>
                <w:color w:val="auto"/>
              </w:rPr>
            </w:pPr>
          </w:p>
        </w:tc>
        <w:tc>
          <w:tcPr>
            <w:tcW w:w="300" w:type="dxa"/>
            <w:vAlign w:val="bottom"/>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(289,627)</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300" w:type="dxa"/>
            <w:vAlign w:val="bottom"/>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(24,179)</w:t>
            </w:r>
          </w:p>
        </w:tc>
        <w:tc>
          <w:tcPr>
            <w:tcW w:w="100" w:type="dxa"/>
            <w:vAlign w:val="bottom"/>
            <w:shd w:val="clear" w:color="auto" w:fill="E3E3E3"/>
          </w:tcPr>
          <w:p>
            <w:pPr>
              <w:spacing w:after="0"/>
              <w:rPr>
                <w:sz w:val="19"/>
                <w:szCs w:val="19"/>
                <w:color w:val="auto"/>
              </w:rPr>
            </w:pPr>
          </w:p>
        </w:tc>
      </w:tr>
      <w:tr>
        <w:trPr>
          <w:trHeight w:val="230"/>
        </w:trPr>
        <w:tc>
          <w:tcPr>
            <w:tcW w:w="55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14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20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30"/>
        </w:trPr>
        <w:tc>
          <w:tcPr>
            <w:tcW w:w="570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120" w:type="dxa"/>
            <w:vAlign w:val="bottom"/>
            <w:shd w:val="clear" w:color="auto" w:fill="E3E3E3"/>
          </w:tcPr>
          <w:p>
            <w:pPr>
              <w:spacing w:after="0"/>
              <w:rPr>
                <w:sz w:val="19"/>
                <w:szCs w:val="19"/>
                <w:color w:val="auto"/>
              </w:rPr>
            </w:pPr>
          </w:p>
        </w:tc>
        <w:tc>
          <w:tcPr>
            <w:tcW w:w="1440" w:type="dxa"/>
            <w:vAlign w:val="bottom"/>
            <w:gridSpan w:val="2"/>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(408)</w:t>
            </w:r>
          </w:p>
        </w:tc>
        <w:tc>
          <w:tcPr>
            <w:tcW w:w="300" w:type="dxa"/>
            <w:vAlign w:val="bottom"/>
            <w:shd w:val="clear" w:color="auto" w:fill="E3E3E3"/>
          </w:tcPr>
          <w:p>
            <w:pPr>
              <w:spacing w:after="0"/>
              <w:rPr>
                <w:sz w:val="19"/>
                <w:szCs w:val="19"/>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12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(832)</w:t>
            </w:r>
          </w:p>
        </w:tc>
      </w:tr>
      <w:tr>
        <w:trPr>
          <w:trHeight w:val="230"/>
        </w:trPr>
        <w:tc>
          <w:tcPr>
            <w:tcW w:w="570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Unrealized gain (loss) on available-for-sale securities</w:t>
            </w:r>
          </w:p>
        </w:tc>
        <w:tc>
          <w:tcPr>
            <w:tcW w:w="120" w:type="dxa"/>
            <w:vAlign w:val="bottom"/>
            <w:shd w:val="clear" w:color="auto" w:fill="FDFDFD"/>
          </w:tcPr>
          <w:p>
            <w:pPr>
              <w:spacing w:after="0"/>
              <w:rPr>
                <w:sz w:val="19"/>
                <w:szCs w:val="19"/>
                <w:color w:val="auto"/>
              </w:rPr>
            </w:pPr>
          </w:p>
        </w:tc>
        <w:tc>
          <w:tcPr>
            <w:tcW w:w="12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12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(224)</w:t>
            </w:r>
          </w:p>
        </w:tc>
      </w:tr>
      <w:tr>
        <w:trPr>
          <w:trHeight w:val="230"/>
        </w:trPr>
        <w:tc>
          <w:tcPr>
            <w:tcW w:w="570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Unrealized (loss) gain on interest rate hedging instruments</w:t>
            </w:r>
          </w:p>
        </w:tc>
        <w:tc>
          <w:tcPr>
            <w:tcW w:w="120" w:type="dxa"/>
            <w:vAlign w:val="bottom"/>
            <w:shd w:val="clear" w:color="auto" w:fill="E3E3E3"/>
          </w:tcPr>
          <w:p>
            <w:pPr>
              <w:spacing w:after="0"/>
              <w:rPr>
                <w:sz w:val="19"/>
                <w:szCs w:val="19"/>
                <w:color w:val="auto"/>
              </w:rPr>
            </w:pPr>
          </w:p>
        </w:tc>
        <w:tc>
          <w:tcPr>
            <w:tcW w:w="1440" w:type="dxa"/>
            <w:vAlign w:val="bottom"/>
            <w:gridSpan w:val="2"/>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(3,217)</w:t>
            </w:r>
          </w:p>
        </w:tc>
        <w:tc>
          <w:tcPr>
            <w:tcW w:w="300" w:type="dxa"/>
            <w:vAlign w:val="bottom"/>
            <w:shd w:val="clear" w:color="auto" w:fill="E3E3E3"/>
          </w:tcPr>
          <w:p>
            <w:pPr>
              <w:spacing w:after="0"/>
              <w:rPr>
                <w:sz w:val="19"/>
                <w:szCs w:val="19"/>
                <w:color w:val="auto"/>
              </w:rPr>
            </w:pPr>
          </w:p>
        </w:tc>
        <w:tc>
          <w:tcPr>
            <w:tcW w:w="112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(2,617)</w:t>
            </w:r>
          </w:p>
        </w:tc>
        <w:tc>
          <w:tcPr>
            <w:tcW w:w="14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6,550</w:t>
            </w:r>
          </w:p>
        </w:tc>
        <w:tc>
          <w:tcPr>
            <w:tcW w:w="100" w:type="dxa"/>
            <w:vAlign w:val="bottom"/>
            <w:shd w:val="clear" w:color="auto" w:fill="E3E3E3"/>
          </w:tcPr>
          <w:p>
            <w:pPr>
              <w:spacing w:after="0"/>
              <w:rPr>
                <w:sz w:val="19"/>
                <w:szCs w:val="19"/>
                <w:color w:val="auto"/>
              </w:rPr>
            </w:pPr>
          </w:p>
        </w:tc>
      </w:tr>
      <w:tr>
        <w:trPr>
          <w:trHeight w:val="220"/>
        </w:trPr>
        <w:tc>
          <w:tcPr>
            <w:tcW w:w="5700" w:type="dxa"/>
            <w:vAlign w:val="bottom"/>
            <w:tcBorders>
              <w:top w:val="single" w:sz="8" w:color="FDFDFD"/>
            </w:tcBorders>
            <w:gridSpan w:val="2"/>
            <w:shd w:val="clear" w:color="auto" w:fill="FDFDFD"/>
          </w:tcPr>
          <w:p>
            <w:pPr>
              <w:ind w:left="400"/>
              <w:spacing w:after="0" w:line="220" w:lineRule="exact"/>
              <w:rPr>
                <w:sz w:val="20"/>
                <w:szCs w:val="20"/>
                <w:color w:val="auto"/>
              </w:rPr>
            </w:pPr>
            <w:r>
              <w:rPr>
                <w:rFonts w:ascii="Times New Roman" w:cs="Times New Roman" w:eastAsia="Times New Roman" w:hAnsi="Times New Roman"/>
                <w:sz w:val="20"/>
                <w:szCs w:val="20"/>
                <w:color w:val="auto"/>
              </w:rPr>
              <w:t>Comprehensive loss</w:t>
            </w:r>
          </w:p>
        </w:tc>
        <w:tc>
          <w:tcPr>
            <w:tcW w:w="120" w:type="dxa"/>
            <w:vAlign w:val="bottom"/>
            <w:tcBorders>
              <w:top w:val="single" w:sz="8" w:color="auto"/>
            </w:tcBorders>
            <w:shd w:val="clear" w:color="auto" w:fill="FDFDFD"/>
          </w:tcPr>
          <w:p>
            <w:pPr>
              <w:spacing w:after="0"/>
              <w:rPr>
                <w:sz w:val="19"/>
                <w:szCs w:val="19"/>
                <w:color w:val="auto"/>
              </w:rPr>
            </w:pPr>
          </w:p>
        </w:tc>
        <w:tc>
          <w:tcPr>
            <w:tcW w:w="120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(595,069)</w:t>
            </w:r>
          </w:p>
        </w:tc>
        <w:tc>
          <w:tcPr>
            <w:tcW w:w="240" w:type="dxa"/>
            <w:vAlign w:val="bottom"/>
            <w:tcBorders>
              <w:top w:val="single" w:sz="8" w:color="FDFDFD"/>
            </w:tcBorders>
            <w:shd w:val="clear" w:color="auto" w:fill="FDFDFD"/>
          </w:tcPr>
          <w:p>
            <w:pPr>
              <w:spacing w:after="0"/>
              <w:rPr>
                <w:sz w:val="19"/>
                <w:szCs w:val="19"/>
                <w:color w:val="auto"/>
              </w:rPr>
            </w:pPr>
          </w:p>
        </w:tc>
        <w:tc>
          <w:tcPr>
            <w:tcW w:w="300" w:type="dxa"/>
            <w:vAlign w:val="bottom"/>
            <w:tcBorders>
              <w:top w:val="single" w:sz="8" w:color="auto"/>
            </w:tcBorders>
            <w:shd w:val="clear" w:color="auto" w:fill="FDFDFD"/>
          </w:tcPr>
          <w:p>
            <w:pPr>
              <w:spacing w:after="0"/>
              <w:rPr>
                <w:sz w:val="19"/>
                <w:szCs w:val="19"/>
                <w:color w:val="auto"/>
              </w:rPr>
            </w:pPr>
          </w:p>
        </w:tc>
        <w:tc>
          <w:tcPr>
            <w:tcW w:w="102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(291,782)</w:t>
            </w:r>
          </w:p>
        </w:tc>
        <w:tc>
          <w:tcPr>
            <w:tcW w:w="100" w:type="dxa"/>
            <w:vAlign w:val="bottom"/>
            <w:tcBorders>
              <w:top w:val="single" w:sz="8" w:color="FDFDFD"/>
            </w:tcBorders>
            <w:shd w:val="clear" w:color="auto" w:fill="FDFDFD"/>
          </w:tcPr>
          <w:p>
            <w:pPr>
              <w:spacing w:after="0"/>
              <w:rPr>
                <w:sz w:val="19"/>
                <w:szCs w:val="19"/>
                <w:color w:val="auto"/>
              </w:rPr>
            </w:pPr>
          </w:p>
        </w:tc>
        <w:tc>
          <w:tcPr>
            <w:tcW w:w="140" w:type="dxa"/>
            <w:vAlign w:val="bottom"/>
            <w:tcBorders>
              <w:top w:val="single" w:sz="8" w:color="FDFDFD"/>
            </w:tcBorders>
            <w:shd w:val="clear" w:color="auto" w:fill="FDFDFD"/>
          </w:tcPr>
          <w:p>
            <w:pPr>
              <w:spacing w:after="0"/>
              <w:rPr>
                <w:sz w:val="19"/>
                <w:szCs w:val="19"/>
                <w:color w:val="auto"/>
              </w:rPr>
            </w:pPr>
          </w:p>
        </w:tc>
        <w:tc>
          <w:tcPr>
            <w:tcW w:w="300" w:type="dxa"/>
            <w:vAlign w:val="bottom"/>
            <w:tcBorders>
              <w:top w:val="single" w:sz="8" w:color="auto"/>
            </w:tcBorders>
            <w:shd w:val="clear" w:color="auto" w:fill="FDFDFD"/>
          </w:tcPr>
          <w:p>
            <w:pPr>
              <w:spacing w:after="0"/>
              <w:rPr>
                <w:sz w:val="19"/>
                <w:szCs w:val="19"/>
                <w:color w:val="auto"/>
              </w:rPr>
            </w:pPr>
          </w:p>
        </w:tc>
        <w:tc>
          <w:tcPr>
            <w:tcW w:w="102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(18,685)</w:t>
            </w:r>
          </w:p>
        </w:tc>
        <w:tc>
          <w:tcPr>
            <w:tcW w:w="100" w:type="dxa"/>
            <w:vAlign w:val="bottom"/>
            <w:tcBorders>
              <w:top w:val="single" w:sz="8" w:color="FDFDFD"/>
            </w:tcBorders>
            <w:shd w:val="clear" w:color="auto" w:fill="FDFDFD"/>
          </w:tcPr>
          <w:p>
            <w:pPr>
              <w:spacing w:after="0"/>
              <w:rPr>
                <w:sz w:val="19"/>
                <w:szCs w:val="19"/>
                <w:color w:val="auto"/>
              </w:rPr>
            </w:pPr>
          </w:p>
        </w:tc>
      </w:tr>
      <w:tr>
        <w:trPr>
          <w:trHeight w:val="230"/>
        </w:trPr>
        <w:tc>
          <w:tcPr>
            <w:tcW w:w="5700" w:type="dxa"/>
            <w:vAlign w:val="bottom"/>
            <w:tcBorders>
              <w:bottom w:val="single" w:sz="8" w:color="FDFDFD"/>
            </w:tcBorders>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Less: Comprehensive loss attributable to noncontrolling interests</w:t>
            </w:r>
          </w:p>
        </w:tc>
        <w:tc>
          <w:tcPr>
            <w:tcW w:w="120" w:type="dxa"/>
            <w:vAlign w:val="bottom"/>
            <w:tcBorders>
              <w:bottom w:val="single" w:sz="8" w:color="auto"/>
            </w:tcBorders>
            <w:shd w:val="clear" w:color="auto" w:fill="E3E3E3"/>
          </w:tcPr>
          <w:p>
            <w:pPr>
              <w:spacing w:after="0"/>
              <w:rPr>
                <w:sz w:val="19"/>
                <w:szCs w:val="19"/>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(179,226)</w:t>
            </w:r>
          </w:p>
        </w:tc>
        <w:tc>
          <w:tcPr>
            <w:tcW w:w="240" w:type="dxa"/>
            <w:vAlign w:val="bottom"/>
            <w:tcBorders>
              <w:bottom w:val="single" w:sz="8" w:color="FDFDFD"/>
            </w:tcBorders>
            <w:shd w:val="clear" w:color="auto" w:fill="E3E3E3"/>
          </w:tcPr>
          <w:p>
            <w:pPr>
              <w:spacing w:after="0"/>
              <w:rPr>
                <w:sz w:val="19"/>
                <w:szCs w:val="19"/>
                <w:color w:val="auto"/>
              </w:rPr>
            </w:pPr>
          </w:p>
        </w:tc>
        <w:tc>
          <w:tcPr>
            <w:tcW w:w="300" w:type="dxa"/>
            <w:vAlign w:val="bottom"/>
            <w:tcBorders>
              <w:bottom w:val="single" w:sz="8" w:color="auto"/>
            </w:tcBorders>
            <w:shd w:val="clear" w:color="auto" w:fill="E3E3E3"/>
          </w:tcPr>
          <w:p>
            <w:pPr>
              <w:spacing w:after="0"/>
              <w:rPr>
                <w:sz w:val="19"/>
                <w:szCs w:val="19"/>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(87,835)</w:t>
            </w:r>
          </w:p>
        </w:tc>
        <w:tc>
          <w:tcPr>
            <w:tcW w:w="100" w:type="dxa"/>
            <w:vAlign w:val="bottom"/>
            <w:tcBorders>
              <w:bottom w:val="single" w:sz="8" w:color="FDFDFD"/>
            </w:tcBorders>
            <w:shd w:val="clear" w:color="auto" w:fill="E3E3E3"/>
          </w:tcPr>
          <w:p>
            <w:pPr>
              <w:spacing w:after="0"/>
              <w:rPr>
                <w:sz w:val="19"/>
                <w:szCs w:val="19"/>
                <w:color w:val="auto"/>
              </w:rPr>
            </w:pPr>
          </w:p>
        </w:tc>
        <w:tc>
          <w:tcPr>
            <w:tcW w:w="140" w:type="dxa"/>
            <w:vAlign w:val="bottom"/>
            <w:tcBorders>
              <w:bottom w:val="single" w:sz="8" w:color="FDFDFD"/>
            </w:tcBorders>
            <w:shd w:val="clear" w:color="auto" w:fill="E3E3E3"/>
          </w:tcPr>
          <w:p>
            <w:pPr>
              <w:spacing w:after="0"/>
              <w:rPr>
                <w:sz w:val="19"/>
                <w:szCs w:val="19"/>
                <w:color w:val="auto"/>
              </w:rPr>
            </w:pPr>
          </w:p>
        </w:tc>
        <w:tc>
          <w:tcPr>
            <w:tcW w:w="300" w:type="dxa"/>
            <w:vAlign w:val="bottom"/>
            <w:tcBorders>
              <w:bottom w:val="single" w:sz="8" w:color="auto"/>
            </w:tcBorders>
            <w:shd w:val="clear" w:color="auto" w:fill="E3E3E3"/>
          </w:tcPr>
          <w:p>
            <w:pPr>
              <w:spacing w:after="0"/>
              <w:rPr>
                <w:sz w:val="19"/>
                <w:szCs w:val="19"/>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(15,069)</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5700" w:type="dxa"/>
            <w:vAlign w:val="bottom"/>
            <w:gridSpan w:val="2"/>
            <w:shd w:val="clear" w:color="auto" w:fill="FDFDFD"/>
          </w:tcPr>
          <w:p>
            <w:pPr>
              <w:ind w:left="400"/>
              <w:spacing w:after="0" w:line="220" w:lineRule="exact"/>
              <w:rPr>
                <w:sz w:val="20"/>
                <w:szCs w:val="20"/>
                <w:color w:val="auto"/>
              </w:rPr>
            </w:pPr>
            <w:r>
              <w:rPr>
                <w:rFonts w:ascii="Times New Roman" w:cs="Times New Roman" w:eastAsia="Times New Roman" w:hAnsi="Times New Roman"/>
                <w:sz w:val="20"/>
                <w:szCs w:val="20"/>
                <w:color w:val="auto"/>
              </w:rPr>
              <w:t>Comprehensive loss attributable to Definitive Healthcare Corp.</w:t>
            </w:r>
          </w:p>
        </w:tc>
        <w:tc>
          <w:tcPr>
            <w:tcW w:w="12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(415,843)</w:t>
            </w:r>
          </w:p>
        </w:tc>
        <w:tc>
          <w:tcPr>
            <w:tcW w:w="240" w:type="dxa"/>
            <w:vAlign w:val="bottom"/>
            <w:shd w:val="clear" w:color="auto" w:fill="FDFDFD"/>
          </w:tcPr>
          <w:p>
            <w:pPr>
              <w:spacing w:after="0"/>
              <w:rPr>
                <w:sz w:val="19"/>
                <w:szCs w:val="19"/>
                <w:color w:val="auto"/>
              </w:rPr>
            </w:pPr>
          </w:p>
        </w:tc>
        <w:tc>
          <w:tcPr>
            <w:tcW w:w="300" w:type="dxa"/>
            <w:vAlign w:val="bottom"/>
            <w:tcBorders>
              <w:bottom w:val="single" w:sz="8" w:color="auto"/>
            </w:tcBorders>
            <w:shd w:val="clear" w:color="auto" w:fill="FDFDFD"/>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(203,947)</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300" w:type="dxa"/>
            <w:vAlign w:val="bottom"/>
            <w:tcBorders>
              <w:bottom w:val="single" w:sz="8" w:color="auto"/>
            </w:tcBorders>
            <w:shd w:val="clear" w:color="auto" w:fill="FDFDFD"/>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(3,616)</w:t>
            </w:r>
          </w:p>
        </w:tc>
        <w:tc>
          <w:tcPr>
            <w:tcW w:w="100" w:type="dxa"/>
            <w:vAlign w:val="bottom"/>
            <w:shd w:val="clear" w:color="auto" w:fill="FDFDFD"/>
          </w:tcPr>
          <w:p>
            <w:pPr>
              <w:spacing w:after="0"/>
              <w:rPr>
                <w:sz w:val="19"/>
                <w:szCs w:val="19"/>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-141605</wp:posOffset>
            </wp:positionV>
            <wp:extent cx="280860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08605" cy="9525"/>
                    </a:xfrm>
                    <a:prstGeom prst="rect">
                      <a:avLst/>
                    </a:prstGeom>
                    <a:noFill/>
                  </pic:spPr>
                </pic:pic>
              </a:graphicData>
            </a:graphic>
          </wp:anchor>
        </w:drawing>
      </w:r>
    </w:p>
    <w:p>
      <w:pPr>
        <w:sectPr>
          <w:pgSz w:w="11880" w:h="15480" w:orient="portrait"/>
          <w:cols w:equalWidth="0" w:num="1">
            <w:col w:w="10240"/>
          </w:cols>
          <w:pgMar w:left="820" w:top="80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10240"/>
          </w:cols>
          <w:pgMar w:left="820" w:top="803" w:right="820" w:bottom="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DEFINITIVE HEALTHCARE CORP.</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TOTAL EQUITY</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in thousands, except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20" w:type="dxa"/>
            <w:vAlign w:val="bottom"/>
            <w:shd w:val="clear" w:color="auto" w:fill="FDFDFD"/>
          </w:tcPr>
          <w:p>
            <w:pPr>
              <w:spacing w:after="0"/>
              <w:rPr>
                <w:sz w:val="18"/>
                <w:szCs w:val="18"/>
                <w:color w:val="auto"/>
              </w:rPr>
            </w:pPr>
          </w:p>
        </w:tc>
        <w:tc>
          <w:tcPr>
            <w:tcW w:w="122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160" w:type="dxa"/>
            <w:vAlign w:val="bottom"/>
            <w:shd w:val="clear" w:color="auto" w:fill="FDFDFD"/>
          </w:tcPr>
          <w:p>
            <w:pPr>
              <w:spacing w:after="0"/>
              <w:rPr>
                <w:sz w:val="18"/>
                <w:szCs w:val="18"/>
                <w:color w:val="auto"/>
              </w:rPr>
            </w:pPr>
          </w:p>
        </w:tc>
        <w:tc>
          <w:tcPr>
            <w:tcW w:w="86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122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160" w:type="dxa"/>
            <w:vAlign w:val="bottom"/>
            <w:shd w:val="clear" w:color="auto" w:fill="FDFDFD"/>
          </w:tcPr>
          <w:p>
            <w:pPr>
              <w:spacing w:after="0"/>
              <w:rPr>
                <w:sz w:val="18"/>
                <w:szCs w:val="18"/>
                <w:color w:val="auto"/>
              </w:rPr>
            </w:pPr>
          </w:p>
        </w:tc>
        <w:tc>
          <w:tcPr>
            <w:tcW w:w="92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120" w:type="dxa"/>
            <w:vAlign w:val="bottom"/>
            <w:shd w:val="clear" w:color="auto" w:fill="FDFDFD"/>
          </w:tcPr>
          <w:p>
            <w:pPr>
              <w:spacing w:after="0"/>
              <w:rPr>
                <w:sz w:val="18"/>
                <w:szCs w:val="18"/>
                <w:color w:val="auto"/>
              </w:rPr>
            </w:pPr>
          </w:p>
        </w:tc>
        <w:tc>
          <w:tcPr>
            <w:tcW w:w="92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180" w:type="dxa"/>
            <w:vAlign w:val="bottom"/>
            <w:shd w:val="clear" w:color="auto" w:fill="FDFDFD"/>
          </w:tcPr>
          <w:p>
            <w:pPr>
              <w:spacing w:after="0"/>
              <w:rPr>
                <w:sz w:val="18"/>
                <w:szCs w:val="18"/>
                <w:color w:val="auto"/>
              </w:rPr>
            </w:pPr>
          </w:p>
        </w:tc>
        <w:tc>
          <w:tcPr>
            <w:tcW w:w="82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980" w:type="dxa"/>
            <w:vAlign w:val="bottom"/>
            <w:shd w:val="clear" w:color="auto" w:fill="FDFDFD"/>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10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220" w:type="dxa"/>
            <w:vAlign w:val="bottom"/>
            <w:shd w:val="clear" w:color="auto" w:fill="FDFDFD"/>
          </w:tcPr>
          <w:p>
            <w:pPr>
              <w:spacing w:after="0"/>
              <w:rPr>
                <w:sz w:val="18"/>
                <w:szCs w:val="18"/>
                <w:color w:val="auto"/>
              </w:rPr>
            </w:pPr>
          </w:p>
        </w:tc>
        <w:tc>
          <w:tcPr>
            <w:tcW w:w="94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20" w:type="dxa"/>
            <w:vAlign w:val="bottom"/>
            <w:shd w:val="clear" w:color="auto" w:fill="FDFDFD"/>
          </w:tcPr>
          <w:p>
            <w:pPr>
              <w:spacing w:after="0"/>
              <w:rPr>
                <w:sz w:val="17"/>
                <w:szCs w:val="17"/>
                <w:color w:val="auto"/>
              </w:rPr>
            </w:pPr>
          </w:p>
        </w:tc>
        <w:tc>
          <w:tcPr>
            <w:tcW w:w="122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86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22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60" w:type="dxa"/>
            <w:vAlign w:val="bottom"/>
            <w:gridSpan w:val="2"/>
            <w:shd w:val="clear" w:color="auto" w:fill="FDFDFD"/>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shd w:val="clear" w:color="auto" w:fill="FDFDFD"/>
          </w:tcPr>
          <w:p>
            <w:pPr>
              <w:spacing w:after="0"/>
              <w:rPr>
                <w:sz w:val="17"/>
                <w:szCs w:val="17"/>
                <w:color w:val="auto"/>
              </w:rPr>
            </w:pPr>
          </w:p>
        </w:tc>
        <w:tc>
          <w:tcPr>
            <w:tcW w:w="82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980" w:type="dxa"/>
            <w:vAlign w:val="bottom"/>
            <w:shd w:val="clear" w:color="auto" w:fill="FDFDFD"/>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10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220" w:type="dxa"/>
            <w:vAlign w:val="bottom"/>
            <w:shd w:val="clear" w:color="auto" w:fill="FDFDFD"/>
          </w:tcPr>
          <w:p>
            <w:pPr>
              <w:spacing w:after="0"/>
              <w:rPr>
                <w:sz w:val="17"/>
                <w:szCs w:val="17"/>
                <w:color w:val="auto"/>
              </w:rPr>
            </w:pPr>
          </w:p>
        </w:tc>
        <w:tc>
          <w:tcPr>
            <w:tcW w:w="94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FDFDFD"/>
          </w:tcPr>
          <w:p>
            <w:pPr>
              <w:spacing w:after="0"/>
              <w:rPr>
                <w:sz w:val="17"/>
                <w:szCs w:val="17"/>
                <w:color w:val="auto"/>
              </w:rPr>
            </w:pPr>
          </w:p>
        </w:tc>
        <w:tc>
          <w:tcPr>
            <w:tcW w:w="1220" w:type="dxa"/>
            <w:vAlign w:val="bottom"/>
            <w:shd w:val="clear" w:color="auto" w:fill="FDFDFD"/>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14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1360" w:type="dxa"/>
            <w:vAlign w:val="bottom"/>
            <w:gridSpan w:val="2"/>
            <w:shd w:val="clear" w:color="auto" w:fill="FDFDFD"/>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60" w:type="dxa"/>
            <w:vAlign w:val="bottom"/>
            <w:gridSpan w:val="2"/>
            <w:shd w:val="clear" w:color="auto" w:fill="FDFDFD"/>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140" w:type="dxa"/>
            <w:vAlign w:val="bottom"/>
            <w:gridSpan w:val="3"/>
            <w:shd w:val="clear" w:color="auto" w:fill="FDFDFD"/>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08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100" w:type="dxa"/>
            <w:vAlign w:val="bottom"/>
            <w:shd w:val="clear" w:color="auto" w:fill="FDFDFD"/>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w w:val="99"/>
              </w:rPr>
              <w:t>Noncontrolling</w:t>
            </w:r>
          </w:p>
        </w:tc>
        <w:tc>
          <w:tcPr>
            <w:tcW w:w="140" w:type="dxa"/>
            <w:vAlign w:val="bottom"/>
            <w:shd w:val="clear" w:color="auto" w:fill="FDFDFD"/>
          </w:tcPr>
          <w:p>
            <w:pPr>
              <w:spacing w:after="0"/>
              <w:rPr>
                <w:sz w:val="17"/>
                <w:szCs w:val="17"/>
                <w:color w:val="auto"/>
              </w:rPr>
            </w:pPr>
          </w:p>
        </w:tc>
        <w:tc>
          <w:tcPr>
            <w:tcW w:w="22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3120" w:type="dxa"/>
            <w:vAlign w:val="bottom"/>
            <w:shd w:val="clear" w:color="auto" w:fill="FDFDFD"/>
          </w:tcPr>
          <w:p>
            <w:pPr>
              <w:spacing w:after="0"/>
              <w:rPr>
                <w:sz w:val="17"/>
                <w:szCs w:val="17"/>
                <w:color w:val="auto"/>
              </w:rPr>
            </w:pPr>
          </w:p>
        </w:tc>
        <w:tc>
          <w:tcPr>
            <w:tcW w:w="1220" w:type="dxa"/>
            <w:vAlign w:val="bottom"/>
            <w:shd w:val="clear" w:color="auto" w:fill="FDFDFD"/>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360" w:type="dxa"/>
            <w:vAlign w:val="bottom"/>
            <w:gridSpan w:val="2"/>
            <w:shd w:val="clear" w:color="auto" w:fill="FDFDFD"/>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60" w:type="dxa"/>
            <w:vAlign w:val="bottom"/>
            <w:gridSpan w:val="2"/>
            <w:shd w:val="clear" w:color="auto" w:fill="FDFDFD"/>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100" w:type="dxa"/>
            <w:vAlign w:val="bottom"/>
            <w:shd w:val="clear" w:color="auto" w:fill="FDFDFD"/>
          </w:tcPr>
          <w:p>
            <w:pPr>
              <w:spacing w:after="0"/>
              <w:rPr>
                <w:sz w:val="17"/>
                <w:szCs w:val="17"/>
                <w:color w:val="auto"/>
              </w:rPr>
            </w:pPr>
          </w:p>
        </w:tc>
        <w:tc>
          <w:tcPr>
            <w:tcW w:w="980" w:type="dxa"/>
            <w:vAlign w:val="bottom"/>
            <w:shd w:val="clear" w:color="auto" w:fill="FDFDFD"/>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100" w:type="dxa"/>
            <w:vAlign w:val="bottom"/>
            <w:shd w:val="clear" w:color="auto" w:fill="FDFDFD"/>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40" w:type="dxa"/>
            <w:vAlign w:val="bottom"/>
            <w:shd w:val="clear" w:color="auto" w:fill="FDFDFD"/>
          </w:tcPr>
          <w:p>
            <w:pPr>
              <w:spacing w:after="0"/>
              <w:rPr>
                <w:sz w:val="17"/>
                <w:szCs w:val="17"/>
                <w:color w:val="auto"/>
              </w:rPr>
            </w:pPr>
          </w:p>
        </w:tc>
        <w:tc>
          <w:tcPr>
            <w:tcW w:w="22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88"/>
        </w:trPr>
        <w:tc>
          <w:tcPr>
            <w:tcW w:w="312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2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97,030,095</w:t>
            </w:r>
          </w:p>
        </w:tc>
        <w:tc>
          <w:tcPr>
            <w:tcW w:w="140" w:type="dxa"/>
            <w:vAlign w:val="bottom"/>
            <w:tcBorders>
              <w:top w:val="single" w:sz="8" w:color="E3E3E3"/>
            </w:tcBorders>
            <w:shd w:val="clear" w:color="auto" w:fill="E3E3E3"/>
          </w:tcPr>
          <w:p>
            <w:pPr>
              <w:spacing w:after="0"/>
              <w:rPr>
                <w:sz w:val="16"/>
                <w:szCs w:val="16"/>
                <w:color w:val="auto"/>
              </w:rPr>
            </w:pPr>
          </w:p>
        </w:tc>
        <w:tc>
          <w:tcPr>
            <w:tcW w:w="1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tcBorders>
              <w:top w:val="single" w:sz="8" w:color="E3E3E3"/>
            </w:tcBorders>
            <w:shd w:val="clear" w:color="auto" w:fill="E3E3E3"/>
          </w:tcPr>
          <w:p>
            <w:pPr>
              <w:spacing w:after="0"/>
              <w:rPr>
                <w:sz w:val="16"/>
                <w:szCs w:val="16"/>
                <w:color w:val="auto"/>
              </w:rPr>
            </w:pPr>
          </w:p>
        </w:tc>
        <w:tc>
          <w:tcPr>
            <w:tcW w:w="12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58,244,627</w:t>
            </w:r>
          </w:p>
        </w:tc>
        <w:tc>
          <w:tcPr>
            <w:tcW w:w="140" w:type="dxa"/>
            <w:vAlign w:val="bottom"/>
            <w:tcBorders>
              <w:top w:val="single" w:sz="8" w:color="E3E3E3"/>
            </w:tcBorders>
            <w:shd w:val="clear" w:color="auto" w:fill="E3E3E3"/>
          </w:tcPr>
          <w:p>
            <w:pPr>
              <w:spacing w:after="0"/>
              <w:rPr>
                <w:sz w:val="16"/>
                <w:szCs w:val="16"/>
                <w:color w:val="auto"/>
              </w:rPr>
            </w:pPr>
          </w:p>
        </w:tc>
        <w:tc>
          <w:tcPr>
            <w:tcW w:w="1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E3E3E3"/>
            </w:tcBorders>
            <w:shd w:val="clear" w:color="auto" w:fill="E3E3E3"/>
          </w:tcPr>
          <w:p>
            <w:pPr>
              <w:spacing w:after="0"/>
              <w:rPr>
                <w:sz w:val="16"/>
                <w:szCs w:val="16"/>
                <w:color w:val="auto"/>
              </w:rPr>
            </w:pPr>
          </w:p>
        </w:tc>
        <w:tc>
          <w:tcPr>
            <w:tcW w:w="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888,992</w:t>
            </w:r>
          </w:p>
        </w:tc>
        <w:tc>
          <w:tcPr>
            <w:tcW w:w="140" w:type="dxa"/>
            <w:vAlign w:val="bottom"/>
            <w:tcBorders>
              <w:top w:val="single" w:sz="8" w:color="E3E3E3"/>
            </w:tcBorders>
            <w:shd w:val="clear" w:color="auto" w:fill="E3E3E3"/>
          </w:tcPr>
          <w:p>
            <w:pPr>
              <w:spacing w:after="0"/>
              <w:rPr>
                <w:sz w:val="16"/>
                <w:szCs w:val="16"/>
                <w:color w:val="auto"/>
              </w:rPr>
            </w:pPr>
          </w:p>
        </w:tc>
        <w:tc>
          <w:tcPr>
            <w:tcW w:w="180" w:type="dxa"/>
            <w:vAlign w:val="bottom"/>
            <w:tcBorders>
              <w:top w:val="single" w:sz="8" w:color="auto"/>
            </w:tcBorders>
            <w:shd w:val="clear" w:color="auto" w:fill="E3E3E3"/>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(17,840)</w:t>
            </w:r>
          </w:p>
        </w:tc>
        <w:tc>
          <w:tcPr>
            <w:tcW w:w="140" w:type="dxa"/>
            <w:vAlign w:val="bottom"/>
            <w:tcBorders>
              <w:top w:val="single" w:sz="8" w:color="E3E3E3"/>
            </w:tcBorders>
            <w:shd w:val="clear" w:color="auto" w:fill="E3E3E3"/>
          </w:tcPr>
          <w:p>
            <w:pPr>
              <w:spacing w:after="0"/>
              <w:rPr>
                <w:sz w:val="16"/>
                <w:szCs w:val="16"/>
                <w:color w:val="auto"/>
              </w:rPr>
            </w:pPr>
          </w:p>
        </w:tc>
        <w:tc>
          <w:tcPr>
            <w:tcW w:w="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Borders>
              <w:top w:val="single" w:sz="8" w:color="E3E3E3"/>
            </w:tcBorders>
            <w:shd w:val="clear" w:color="auto" w:fill="E3E3E3"/>
          </w:tcPr>
          <w:p>
            <w:pPr>
              <w:spacing w:after="0"/>
              <w:rPr>
                <w:sz w:val="16"/>
                <w:szCs w:val="16"/>
                <w:color w:val="auto"/>
              </w:rPr>
            </w:pPr>
          </w:p>
        </w:tc>
        <w:tc>
          <w:tcPr>
            <w:tcW w:w="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628,525</w:t>
            </w:r>
          </w:p>
        </w:tc>
        <w:tc>
          <w:tcPr>
            <w:tcW w:w="140" w:type="dxa"/>
            <w:vAlign w:val="bottom"/>
            <w:tcBorders>
              <w:top w:val="single" w:sz="8" w:color="E3E3E3"/>
            </w:tcBorders>
            <w:shd w:val="clear" w:color="auto" w:fill="E3E3E3"/>
          </w:tcPr>
          <w:p>
            <w:pPr>
              <w:spacing w:after="0"/>
              <w:rPr>
                <w:sz w:val="16"/>
                <w:szCs w:val="16"/>
                <w:color w:val="auto"/>
              </w:rPr>
            </w:pPr>
          </w:p>
        </w:tc>
        <w:tc>
          <w:tcPr>
            <w:tcW w:w="220" w:type="dxa"/>
            <w:vAlign w:val="bottom"/>
            <w:tcBorders>
              <w:top w:val="single" w:sz="8" w:color="auto"/>
            </w:tcBorders>
            <w:shd w:val="clear" w:color="auto" w:fill="E3E3E3"/>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1,499,836</w:t>
            </w:r>
          </w:p>
        </w:tc>
        <w:tc>
          <w:tcPr>
            <w:tcW w:w="140" w:type="dxa"/>
            <w:vAlign w:val="bottom"/>
            <w:tcBorders>
              <w:top w:val="single" w:sz="8" w:color="E3E3E3"/>
            </w:tcBorders>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FDFDFD"/>
          </w:tcPr>
          <w:p>
            <w:pPr>
              <w:spacing w:after="0"/>
              <w:rPr>
                <w:sz w:val="17"/>
                <w:szCs w:val="17"/>
                <w:color w:val="auto"/>
              </w:rPr>
            </w:pP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FDFDFD"/>
          </w:tcPr>
          <w:p>
            <w:pPr>
              <w:spacing w:after="0"/>
              <w:rPr>
                <w:sz w:val="17"/>
                <w:szCs w:val="17"/>
                <w:color w:val="auto"/>
              </w:rPr>
            </w:pPr>
          </w:p>
        </w:tc>
        <w:tc>
          <w:tcPr>
            <w:tcW w:w="180" w:type="dxa"/>
            <w:vAlign w:val="bottom"/>
            <w:shd w:val="clear" w:color="auto" w:fill="FDFDFD"/>
          </w:tcPr>
          <w:p>
            <w:pPr>
              <w:spacing w:after="0"/>
              <w:rPr>
                <w:sz w:val="17"/>
                <w:szCs w:val="17"/>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(7,222)</w:t>
            </w:r>
          </w:p>
        </w:tc>
        <w:tc>
          <w:tcPr>
            <w:tcW w:w="1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(16,957)</w:t>
            </w:r>
          </w:p>
        </w:tc>
        <w:tc>
          <w:tcPr>
            <w:tcW w:w="140" w:type="dxa"/>
            <w:vAlign w:val="bottom"/>
            <w:shd w:val="clear" w:color="auto" w:fill="FDFDFD"/>
          </w:tcPr>
          <w:p>
            <w:pPr>
              <w:spacing w:after="0"/>
              <w:rPr>
                <w:sz w:val="17"/>
                <w:szCs w:val="17"/>
                <w:color w:val="auto"/>
              </w:rPr>
            </w:pPr>
          </w:p>
        </w:tc>
        <w:tc>
          <w:tcPr>
            <w:tcW w:w="220" w:type="dxa"/>
            <w:vAlign w:val="bottom"/>
            <w:shd w:val="clear" w:color="auto" w:fill="FDFDFD"/>
          </w:tcPr>
          <w:p>
            <w:pPr>
              <w:spacing w:after="0"/>
              <w:rPr>
                <w:sz w:val="17"/>
                <w:szCs w:val="17"/>
                <w:color w:val="auto"/>
              </w:rPr>
            </w:pP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(24,179)</w:t>
            </w:r>
          </w:p>
        </w:tc>
        <w:tc>
          <w:tcPr>
            <w:tcW w:w="140" w:type="dxa"/>
            <w:vAlign w:val="bottom"/>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3E3E3"/>
          </w:tcPr>
          <w:p>
            <w:pPr>
              <w:spacing w:after="0"/>
              <w:rPr>
                <w:sz w:val="17"/>
                <w:szCs w:val="17"/>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3E3E3"/>
          </w:tcPr>
          <w:p>
            <w:pPr>
              <w:spacing w:after="0"/>
              <w:rPr>
                <w:sz w:val="17"/>
                <w:szCs w:val="17"/>
                <w:color w:val="auto"/>
              </w:rPr>
            </w:pPr>
          </w:p>
        </w:tc>
        <w:tc>
          <w:tcPr>
            <w:tcW w:w="920" w:type="dxa"/>
            <w:vAlign w:val="bottom"/>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10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3E3E3"/>
          </w:tcPr>
          <w:p>
            <w:pPr>
              <w:spacing w:after="0"/>
              <w:rPr>
                <w:sz w:val="17"/>
                <w:szCs w:val="17"/>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7"/>
                <w:szCs w:val="17"/>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3,606</w:t>
            </w:r>
          </w:p>
        </w:tc>
        <w:tc>
          <w:tcPr>
            <w:tcW w:w="1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40" w:type="dxa"/>
            <w:vAlign w:val="bottom"/>
            <w:shd w:val="clear" w:color="auto" w:fill="E3E3E3"/>
          </w:tcPr>
          <w:p>
            <w:pPr>
              <w:spacing w:after="0"/>
              <w:rPr>
                <w:sz w:val="17"/>
                <w:szCs w:val="17"/>
                <w:color w:val="auto"/>
              </w:rPr>
            </w:pPr>
          </w:p>
        </w:tc>
        <w:tc>
          <w:tcPr>
            <w:tcW w:w="220" w:type="dxa"/>
            <w:vAlign w:val="bottom"/>
            <w:shd w:val="clear" w:color="auto" w:fill="E3E3E3"/>
          </w:tcPr>
          <w:p>
            <w:pPr>
              <w:spacing w:after="0"/>
              <w:rPr>
                <w:sz w:val="17"/>
                <w:szCs w:val="17"/>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4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Vested incentive units</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60" w:type="dxa"/>
            <w:vAlign w:val="bottom"/>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16"/>
                <w:szCs w:val="16"/>
                <w:color w:val="auto"/>
              </w:rPr>
              <w:t>(7,955)</w:t>
            </w:r>
          </w:p>
        </w:tc>
        <w:tc>
          <w:tcPr>
            <w:tcW w:w="18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7,955</w:t>
            </w:r>
          </w:p>
        </w:tc>
        <w:tc>
          <w:tcPr>
            <w:tcW w:w="140" w:type="dxa"/>
            <w:vAlign w:val="bottom"/>
            <w:shd w:val="clear" w:color="auto" w:fill="FDFDFD"/>
          </w:tcPr>
          <w:p>
            <w:pPr>
              <w:spacing w:after="0"/>
              <w:rPr>
                <w:sz w:val="17"/>
                <w:szCs w:val="17"/>
                <w:color w:val="auto"/>
              </w:rPr>
            </w:pPr>
          </w:p>
        </w:tc>
        <w:tc>
          <w:tcPr>
            <w:tcW w:w="22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3"/>
        </w:trPr>
        <w:tc>
          <w:tcPr>
            <w:tcW w:w="3120" w:type="dxa"/>
            <w:vAlign w:val="bottom"/>
            <w:shd w:val="clear" w:color="auto" w:fill="E3E3E3"/>
          </w:tcPr>
          <w:p>
            <w:pPr>
              <w:spacing w:after="0" w:line="164" w:lineRule="exact"/>
              <w:rPr>
                <w:sz w:val="20"/>
                <w:szCs w:val="20"/>
                <w:color w:val="auto"/>
              </w:rPr>
            </w:pPr>
            <w:r>
              <w:rPr>
                <w:rFonts w:ascii="Times New Roman" w:cs="Times New Roman" w:eastAsia="Times New Roman" w:hAnsi="Times New Roman"/>
                <w:sz w:val="16"/>
                <w:szCs w:val="16"/>
                <w:color w:val="auto"/>
              </w:rPr>
              <w:t>Issuance of Class A Common Stock upon</w:t>
            </w:r>
          </w:p>
        </w:tc>
        <w:tc>
          <w:tcPr>
            <w:tcW w:w="12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60" w:type="dxa"/>
            <w:vAlign w:val="bottom"/>
            <w:shd w:val="clear" w:color="auto" w:fill="E3E3E3"/>
          </w:tcPr>
          <w:p>
            <w:pPr>
              <w:spacing w:after="0"/>
              <w:rPr>
                <w:sz w:val="14"/>
                <w:szCs w:val="14"/>
                <w:color w:val="auto"/>
              </w:rPr>
            </w:pPr>
          </w:p>
        </w:tc>
        <w:tc>
          <w:tcPr>
            <w:tcW w:w="86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2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60" w:type="dxa"/>
            <w:vAlign w:val="bottom"/>
            <w:shd w:val="clear" w:color="auto" w:fill="E3E3E3"/>
          </w:tcPr>
          <w:p>
            <w:pPr>
              <w:spacing w:after="0"/>
              <w:rPr>
                <w:sz w:val="14"/>
                <w:szCs w:val="14"/>
                <w:color w:val="auto"/>
              </w:rPr>
            </w:pPr>
          </w:p>
        </w:tc>
        <w:tc>
          <w:tcPr>
            <w:tcW w:w="9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9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80" w:type="dxa"/>
            <w:vAlign w:val="bottom"/>
            <w:shd w:val="clear" w:color="auto" w:fill="E3E3E3"/>
          </w:tcPr>
          <w:p>
            <w:pPr>
              <w:spacing w:after="0"/>
              <w:rPr>
                <w:sz w:val="14"/>
                <w:szCs w:val="14"/>
                <w:color w:val="auto"/>
              </w:rPr>
            </w:pPr>
          </w:p>
        </w:tc>
        <w:tc>
          <w:tcPr>
            <w:tcW w:w="8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98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10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220" w:type="dxa"/>
            <w:vAlign w:val="bottom"/>
            <w:shd w:val="clear" w:color="auto" w:fill="E3E3E3"/>
          </w:tcPr>
          <w:p>
            <w:pPr>
              <w:spacing w:after="0"/>
              <w:rPr>
                <w:sz w:val="14"/>
                <w:szCs w:val="14"/>
                <w:color w:val="auto"/>
              </w:rPr>
            </w:pPr>
          </w:p>
        </w:tc>
        <w:tc>
          <w:tcPr>
            <w:tcW w:w="94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vesting of RSUs</w:t>
            </w: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716,776</w:t>
            </w:r>
          </w:p>
        </w:tc>
        <w:tc>
          <w:tcPr>
            <w:tcW w:w="1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3E3E3"/>
          </w:tcPr>
          <w:p>
            <w:pPr>
              <w:spacing w:after="0"/>
              <w:rPr>
                <w:sz w:val="19"/>
                <w:szCs w:val="19"/>
                <w:color w:val="auto"/>
              </w:rPr>
            </w:pPr>
          </w:p>
        </w:tc>
        <w:tc>
          <w:tcPr>
            <w:tcW w:w="920" w:type="dxa"/>
            <w:vAlign w:val="bottom"/>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9"/>
                <w:szCs w:val="19"/>
                <w:color w:val="auto"/>
              </w:rPr>
            </w:pPr>
          </w:p>
        </w:tc>
        <w:tc>
          <w:tcPr>
            <w:tcW w:w="112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9"/>
                <w:szCs w:val="19"/>
                <w:color w:val="auto"/>
              </w:rPr>
            </w:pPr>
          </w:p>
        </w:tc>
        <w:tc>
          <w:tcPr>
            <w:tcW w:w="124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16"/>
                <w:szCs w:val="16"/>
                <w:color w:val="auto"/>
              </w:rPr>
              <w:t>(1,717)</w:t>
            </w:r>
          </w:p>
        </w:tc>
        <w:tc>
          <w:tcPr>
            <w:tcW w:w="220" w:type="dxa"/>
            <w:vAlign w:val="bottom"/>
            <w:shd w:val="clear" w:color="auto" w:fill="E3E3E3"/>
          </w:tcPr>
          <w:p>
            <w:pPr>
              <w:spacing w:after="0"/>
              <w:rPr>
                <w:sz w:val="19"/>
                <w:szCs w:val="19"/>
                <w:color w:val="auto"/>
              </w:rPr>
            </w:pPr>
          </w:p>
        </w:tc>
        <w:tc>
          <w:tcPr>
            <w:tcW w:w="108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13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auto"/>
              </w:rPr>
              <w:t>(233,252)</w:t>
            </w:r>
          </w:p>
        </w:tc>
        <w:tc>
          <w:tcPr>
            <w:tcW w:w="16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60" w:type="dxa"/>
            <w:vAlign w:val="bottom"/>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16"/>
                <w:szCs w:val="16"/>
                <w:color w:val="auto"/>
              </w:rPr>
              <w:t>(4,116)</w:t>
            </w:r>
          </w:p>
        </w:tc>
        <w:tc>
          <w:tcPr>
            <w:tcW w:w="18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24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auto"/>
              </w:rPr>
              <w:t>(4,116)</w:t>
            </w:r>
          </w:p>
        </w:tc>
        <w:tc>
          <w:tcPr>
            <w:tcW w:w="0" w:type="dxa"/>
            <w:vAlign w:val="bottom"/>
          </w:tcPr>
          <w:p>
            <w:pPr>
              <w:spacing w:after="0"/>
              <w:rPr>
                <w:sz w:val="1"/>
                <w:szCs w:val="1"/>
                <w:color w:val="auto"/>
              </w:rPr>
            </w:pPr>
          </w:p>
        </w:tc>
      </w:tr>
      <w:tr>
        <w:trPr>
          <w:trHeight w:val="163"/>
        </w:trPr>
        <w:tc>
          <w:tcPr>
            <w:tcW w:w="3120" w:type="dxa"/>
            <w:vAlign w:val="bottom"/>
            <w:shd w:val="clear" w:color="auto" w:fill="E3E3E3"/>
          </w:tcPr>
          <w:p>
            <w:pPr>
              <w:spacing w:after="0" w:line="164" w:lineRule="exact"/>
              <w:rPr>
                <w:sz w:val="20"/>
                <w:szCs w:val="20"/>
                <w:color w:val="auto"/>
              </w:rPr>
            </w:pPr>
            <w:r>
              <w:rPr>
                <w:rFonts w:ascii="Times New Roman" w:cs="Times New Roman" w:eastAsia="Times New Roman" w:hAnsi="Times New Roman"/>
                <w:sz w:val="16"/>
                <w:szCs w:val="16"/>
                <w:color w:val="auto"/>
              </w:rPr>
              <w:t>Effect of changes in LLC ownership, including</w:t>
            </w:r>
          </w:p>
        </w:tc>
        <w:tc>
          <w:tcPr>
            <w:tcW w:w="12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7,624,654</w:t>
            </w:r>
          </w:p>
        </w:tc>
        <w:tc>
          <w:tcPr>
            <w:tcW w:w="140" w:type="dxa"/>
            <w:vAlign w:val="bottom"/>
            <w:shd w:val="clear" w:color="auto" w:fill="E3E3E3"/>
          </w:tcPr>
          <w:p>
            <w:pPr>
              <w:spacing w:after="0"/>
              <w:rPr>
                <w:sz w:val="14"/>
                <w:szCs w:val="14"/>
                <w:color w:val="auto"/>
              </w:rPr>
            </w:pPr>
          </w:p>
        </w:tc>
        <w:tc>
          <w:tcPr>
            <w:tcW w:w="160" w:type="dxa"/>
            <w:vAlign w:val="bottom"/>
            <w:shd w:val="clear" w:color="auto" w:fill="E3E3E3"/>
          </w:tcPr>
          <w:p>
            <w:pPr>
              <w:spacing w:after="0"/>
              <w:rPr>
                <w:sz w:val="14"/>
                <w:szCs w:val="14"/>
                <w:color w:val="auto"/>
              </w:rPr>
            </w:pPr>
          </w:p>
        </w:tc>
        <w:tc>
          <w:tcPr>
            <w:tcW w:w="86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E3E3E3"/>
          </w:tcPr>
          <w:p>
            <w:pPr>
              <w:spacing w:after="0"/>
              <w:rPr>
                <w:sz w:val="14"/>
                <w:szCs w:val="14"/>
                <w:color w:val="auto"/>
              </w:rPr>
            </w:pPr>
          </w:p>
        </w:tc>
        <w:tc>
          <w:tcPr>
            <w:tcW w:w="1360" w:type="dxa"/>
            <w:vAlign w:val="bottom"/>
            <w:gridSpan w:val="2"/>
            <w:vMerge w:val="restart"/>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auto"/>
              </w:rPr>
              <w:t>(7,624,654)</w:t>
            </w:r>
          </w:p>
        </w:tc>
        <w:tc>
          <w:tcPr>
            <w:tcW w:w="160" w:type="dxa"/>
            <w:vAlign w:val="bottom"/>
            <w:shd w:val="clear" w:color="auto" w:fill="E3E3E3"/>
          </w:tcPr>
          <w:p>
            <w:pPr>
              <w:spacing w:after="0"/>
              <w:rPr>
                <w:sz w:val="14"/>
                <w:szCs w:val="14"/>
                <w:color w:val="auto"/>
              </w:rPr>
            </w:pPr>
          </w:p>
        </w:tc>
        <w:tc>
          <w:tcPr>
            <w:tcW w:w="920" w:type="dxa"/>
            <w:vAlign w:val="bottom"/>
            <w:vMerge w:val="restart"/>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9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63,343</w:t>
            </w:r>
          </w:p>
        </w:tc>
        <w:tc>
          <w:tcPr>
            <w:tcW w:w="140" w:type="dxa"/>
            <w:vAlign w:val="bottom"/>
            <w:shd w:val="clear" w:color="auto" w:fill="E3E3E3"/>
          </w:tcPr>
          <w:p>
            <w:pPr>
              <w:spacing w:after="0"/>
              <w:rPr>
                <w:sz w:val="14"/>
                <w:szCs w:val="14"/>
                <w:color w:val="auto"/>
              </w:rPr>
            </w:pPr>
          </w:p>
        </w:tc>
        <w:tc>
          <w:tcPr>
            <w:tcW w:w="180" w:type="dxa"/>
            <w:vAlign w:val="bottom"/>
            <w:shd w:val="clear" w:color="auto" w:fill="E3E3E3"/>
          </w:tcPr>
          <w:p>
            <w:pPr>
              <w:spacing w:after="0"/>
              <w:rPr>
                <w:sz w:val="14"/>
                <w:szCs w:val="14"/>
                <w:color w:val="auto"/>
              </w:rPr>
            </w:pPr>
          </w:p>
        </w:tc>
        <w:tc>
          <w:tcPr>
            <w:tcW w:w="960" w:type="dxa"/>
            <w:vAlign w:val="bottom"/>
            <w:gridSpan w:val="2"/>
            <w:vMerge w:val="restart"/>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4"/>
                <w:szCs w:val="14"/>
                <w:color w:val="auto"/>
              </w:rPr>
            </w:pPr>
          </w:p>
        </w:tc>
        <w:tc>
          <w:tcPr>
            <w:tcW w:w="1120" w:type="dxa"/>
            <w:vAlign w:val="bottom"/>
            <w:gridSpan w:val="2"/>
            <w:vMerge w:val="restart"/>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4"/>
                <w:szCs w:val="14"/>
                <w:color w:val="auto"/>
              </w:rPr>
            </w:pPr>
          </w:p>
        </w:tc>
        <w:tc>
          <w:tcPr>
            <w:tcW w:w="1240" w:type="dxa"/>
            <w:vAlign w:val="bottom"/>
            <w:gridSpan w:val="2"/>
            <w:vMerge w:val="restart"/>
            <w:shd w:val="clear" w:color="auto" w:fill="E3E3E3"/>
          </w:tcPr>
          <w:p>
            <w:pPr>
              <w:jc w:val="right"/>
              <w:ind w:right="80"/>
              <w:spacing w:after="0"/>
              <w:rPr>
                <w:sz w:val="20"/>
                <w:szCs w:val="20"/>
                <w:color w:val="auto"/>
              </w:rPr>
            </w:pPr>
            <w:r>
              <w:rPr>
                <w:rFonts w:ascii="Times New Roman" w:cs="Times New Roman" w:eastAsia="Times New Roman" w:hAnsi="Times New Roman"/>
                <w:sz w:val="16"/>
                <w:szCs w:val="16"/>
                <w:color w:val="auto"/>
              </w:rPr>
              <w:t>(82,004)</w:t>
            </w:r>
          </w:p>
        </w:tc>
        <w:tc>
          <w:tcPr>
            <w:tcW w:w="220" w:type="dxa"/>
            <w:vAlign w:val="bottom"/>
            <w:shd w:val="clear" w:color="auto" w:fill="E3E3E3"/>
          </w:tcPr>
          <w:p>
            <w:pPr>
              <w:spacing w:after="0"/>
              <w:rPr>
                <w:sz w:val="14"/>
                <w:szCs w:val="14"/>
                <w:color w:val="auto"/>
              </w:rPr>
            </w:pPr>
          </w:p>
        </w:tc>
        <w:tc>
          <w:tcPr>
            <w:tcW w:w="1080" w:type="dxa"/>
            <w:vAlign w:val="bottom"/>
            <w:gridSpan w:val="2"/>
            <w:vMerge w:val="restart"/>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auto"/>
              </w:rPr>
              <w:t>(18,653)</w:t>
            </w:r>
          </w:p>
        </w:tc>
        <w:tc>
          <w:tcPr>
            <w:tcW w:w="0" w:type="dxa"/>
            <w:vAlign w:val="bottom"/>
          </w:tcPr>
          <w:p>
            <w:pPr>
              <w:spacing w:after="0"/>
              <w:rPr>
                <w:sz w:val="1"/>
                <w:szCs w:val="1"/>
                <w:color w:val="auto"/>
              </w:rPr>
            </w:pPr>
          </w:p>
        </w:tc>
      </w:tr>
      <w:tr>
        <w:trPr>
          <w:trHeight w:val="219"/>
        </w:trPr>
        <w:tc>
          <w:tcPr>
            <w:tcW w:w="31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LLC unit exchanges</w:t>
            </w:r>
          </w:p>
        </w:tc>
        <w:tc>
          <w:tcPr>
            <w:tcW w:w="1220" w:type="dxa"/>
            <w:vAlign w:val="bottom"/>
            <w:vMerge w:val="continue"/>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vMerge w:val="continue"/>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360" w:type="dxa"/>
            <w:vAlign w:val="bottom"/>
            <w:gridSpan w:val="2"/>
            <w:vMerge w:val="continue"/>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920" w:type="dxa"/>
            <w:vAlign w:val="bottom"/>
            <w:vMerge w:val="continue"/>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920" w:type="dxa"/>
            <w:vAlign w:val="bottom"/>
            <w:vMerge w:val="continue"/>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960" w:type="dxa"/>
            <w:vAlign w:val="bottom"/>
            <w:gridSpan w:val="2"/>
            <w:vMerge w:val="continue"/>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120" w:type="dxa"/>
            <w:vAlign w:val="bottom"/>
            <w:gridSpan w:val="2"/>
            <w:vMerge w:val="continue"/>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240" w:type="dxa"/>
            <w:vAlign w:val="bottom"/>
            <w:gridSpan w:val="2"/>
            <w:vMerge w:val="continue"/>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080" w:type="dxa"/>
            <w:vAlign w:val="bottom"/>
            <w:gridSpan w:val="2"/>
            <w:vMerge w:val="continue"/>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Forfeited unvested incentive units</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auto"/>
              </w:rPr>
              <w:t>(186,872)</w:t>
            </w: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24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1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3E3E3"/>
          </w:tcPr>
          <w:p>
            <w:pPr>
              <w:spacing w:after="0"/>
              <w:rPr>
                <w:sz w:val="17"/>
                <w:szCs w:val="17"/>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3E3E3"/>
          </w:tcPr>
          <w:p>
            <w:pPr>
              <w:spacing w:after="0"/>
              <w:rPr>
                <w:sz w:val="17"/>
                <w:szCs w:val="17"/>
                <w:color w:val="auto"/>
              </w:rPr>
            </w:pPr>
          </w:p>
        </w:tc>
        <w:tc>
          <w:tcPr>
            <w:tcW w:w="920" w:type="dxa"/>
            <w:vAlign w:val="bottom"/>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24,172</w:t>
            </w:r>
          </w:p>
        </w:tc>
        <w:tc>
          <w:tcPr>
            <w:tcW w:w="14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7"/>
                <w:szCs w:val="17"/>
                <w:color w:val="auto"/>
              </w:rPr>
            </w:pPr>
          </w:p>
        </w:tc>
        <w:tc>
          <w:tcPr>
            <w:tcW w:w="112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7"/>
                <w:szCs w:val="17"/>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12,262</w:t>
            </w:r>
          </w:p>
        </w:tc>
        <w:tc>
          <w:tcPr>
            <w:tcW w:w="140" w:type="dxa"/>
            <w:vAlign w:val="bottom"/>
            <w:shd w:val="clear" w:color="auto" w:fill="E3E3E3"/>
          </w:tcPr>
          <w:p>
            <w:pPr>
              <w:spacing w:after="0"/>
              <w:rPr>
                <w:sz w:val="17"/>
                <w:szCs w:val="17"/>
                <w:color w:val="auto"/>
              </w:rPr>
            </w:pPr>
          </w:p>
        </w:tc>
        <w:tc>
          <w:tcPr>
            <w:tcW w:w="220" w:type="dxa"/>
            <w:vAlign w:val="bottom"/>
            <w:shd w:val="clear" w:color="auto" w:fill="E3E3E3"/>
          </w:tcPr>
          <w:p>
            <w:pPr>
              <w:spacing w:after="0"/>
              <w:rPr>
                <w:sz w:val="17"/>
                <w:szCs w:val="17"/>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36,434</w:t>
            </w:r>
          </w:p>
        </w:tc>
        <w:tc>
          <w:tcPr>
            <w:tcW w:w="14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40" w:type="dxa"/>
            <w:vAlign w:val="bottom"/>
            <w:shd w:val="clear" w:color="auto" w:fill="FDFDFD"/>
          </w:tcPr>
          <w:p>
            <w:pPr>
              <w:spacing w:after="0"/>
              <w:rPr>
                <w:sz w:val="17"/>
                <w:szCs w:val="17"/>
                <w:color w:val="auto"/>
              </w:rPr>
            </w:pPr>
          </w:p>
        </w:tc>
        <w:tc>
          <w:tcPr>
            <w:tcW w:w="18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240" w:type="dxa"/>
            <w:vAlign w:val="bottom"/>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16"/>
                <w:szCs w:val="16"/>
                <w:color w:val="auto"/>
              </w:rPr>
              <w:t>(16,925)</w:t>
            </w:r>
          </w:p>
        </w:tc>
        <w:tc>
          <w:tcPr>
            <w:tcW w:w="22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auto"/>
              </w:rPr>
              <w:t>(12,871)</w:t>
            </w:r>
          </w:p>
        </w:tc>
        <w:tc>
          <w:tcPr>
            <w:tcW w:w="0" w:type="dxa"/>
            <w:vAlign w:val="bottom"/>
          </w:tcPr>
          <w:p>
            <w:pPr>
              <w:spacing w:after="0"/>
              <w:rPr>
                <w:sz w:val="1"/>
                <w:szCs w:val="1"/>
                <w:color w:val="auto"/>
              </w:rPr>
            </w:pPr>
          </w:p>
        </w:tc>
      </w:tr>
      <w:tr>
        <w:trPr>
          <w:trHeight w:val="188"/>
        </w:trPr>
        <w:tc>
          <w:tcPr>
            <w:tcW w:w="3120" w:type="dxa"/>
            <w:vAlign w:val="bottom"/>
            <w:tcBorders>
              <w:top w:val="single" w:sz="8" w:color="E3E3E3"/>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105,138,273</w:t>
            </w:r>
          </w:p>
        </w:tc>
        <w:tc>
          <w:tcPr>
            <w:tcW w:w="140" w:type="dxa"/>
            <w:vAlign w:val="bottom"/>
            <w:tcBorders>
              <w:top w:val="single" w:sz="8" w:color="E3E3E3"/>
              <w:bottom w:val="single" w:sz="8" w:color="FDFDFD"/>
            </w:tcBorders>
            <w:shd w:val="clear" w:color="auto" w:fill="E3E3E3"/>
          </w:tcPr>
          <w:p>
            <w:pPr>
              <w:spacing w:after="0"/>
              <w:rPr>
                <w:sz w:val="16"/>
                <w:szCs w:val="16"/>
                <w:color w:val="auto"/>
              </w:rPr>
            </w:pPr>
          </w:p>
        </w:tc>
        <w:tc>
          <w:tcPr>
            <w:tcW w:w="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Borders>
              <w:top w:val="single" w:sz="8" w:color="E3E3E3"/>
              <w:bottom w:val="single" w:sz="8" w:color="FDFDFD"/>
            </w:tcBorders>
            <w:shd w:val="clear" w:color="auto" w:fill="E3E3E3"/>
          </w:tcPr>
          <w:p>
            <w:pPr>
              <w:spacing w:after="0"/>
              <w:rPr>
                <w:sz w:val="16"/>
                <w:szCs w:val="16"/>
                <w:color w:val="auto"/>
              </w:rPr>
            </w:pPr>
          </w:p>
        </w:tc>
        <w:tc>
          <w:tcPr>
            <w:tcW w:w="12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50,433,101</w:t>
            </w:r>
          </w:p>
        </w:tc>
        <w:tc>
          <w:tcPr>
            <w:tcW w:w="140" w:type="dxa"/>
            <w:vAlign w:val="bottom"/>
            <w:tcBorders>
              <w:top w:val="single" w:sz="8" w:color="E3E3E3"/>
              <w:bottom w:val="single" w:sz="8" w:color="FDFDFD"/>
            </w:tcBorders>
            <w:shd w:val="clear" w:color="auto" w:fill="E3E3E3"/>
          </w:tcPr>
          <w:p>
            <w:pPr>
              <w:spacing w:after="0"/>
              <w:rPr>
                <w:sz w:val="16"/>
                <w:szCs w:val="16"/>
                <w:color w:val="auto"/>
              </w:rPr>
            </w:pPr>
          </w:p>
        </w:tc>
        <w:tc>
          <w:tcPr>
            <w:tcW w:w="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E3E3E3"/>
              <w:bottom w:val="single" w:sz="8" w:color="FDFDFD"/>
            </w:tcBorders>
            <w:shd w:val="clear" w:color="auto" w:fill="E3E3E3"/>
          </w:tcPr>
          <w:p>
            <w:pPr>
              <w:spacing w:after="0"/>
              <w:rPr>
                <w:sz w:val="16"/>
                <w:szCs w:val="16"/>
                <w:color w:val="auto"/>
              </w:rPr>
            </w:pPr>
          </w:p>
        </w:tc>
        <w:tc>
          <w:tcPr>
            <w:tcW w:w="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970,207</w:t>
            </w:r>
          </w:p>
        </w:tc>
        <w:tc>
          <w:tcPr>
            <w:tcW w:w="140" w:type="dxa"/>
            <w:vAlign w:val="bottom"/>
            <w:tcBorders>
              <w:top w:val="single" w:sz="8" w:color="E3E3E3"/>
              <w:bottom w:val="single" w:sz="8" w:color="FDFDFD"/>
            </w:tcBorders>
            <w:shd w:val="clear" w:color="auto" w:fill="E3E3E3"/>
          </w:tcPr>
          <w:p>
            <w:pPr>
              <w:spacing w:after="0"/>
              <w:rPr>
                <w:sz w:val="16"/>
                <w:szCs w:val="16"/>
                <w:color w:val="auto"/>
              </w:rPr>
            </w:pPr>
          </w:p>
        </w:tc>
        <w:tc>
          <w:tcPr>
            <w:tcW w:w="180" w:type="dxa"/>
            <w:vAlign w:val="bottom"/>
            <w:tcBorders>
              <w:top w:val="single" w:sz="8" w:color="auto"/>
              <w:bottom w:val="single" w:sz="8" w:color="auto"/>
            </w:tcBorders>
            <w:shd w:val="clear" w:color="auto" w:fill="E3E3E3"/>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(25,062)</w:t>
            </w:r>
          </w:p>
        </w:tc>
        <w:tc>
          <w:tcPr>
            <w:tcW w:w="140" w:type="dxa"/>
            <w:vAlign w:val="bottom"/>
            <w:tcBorders>
              <w:top w:val="single" w:sz="8" w:color="E3E3E3"/>
              <w:bottom w:val="single" w:sz="8" w:color="FDFDFD"/>
            </w:tcBorders>
            <w:shd w:val="clear" w:color="auto" w:fill="E3E3E3"/>
          </w:tcPr>
          <w:p>
            <w:pPr>
              <w:spacing w:after="0"/>
              <w:rPr>
                <w:sz w:val="16"/>
                <w:szCs w:val="16"/>
                <w:color w:val="auto"/>
              </w:rPr>
            </w:pPr>
          </w:p>
        </w:tc>
        <w:tc>
          <w:tcPr>
            <w:tcW w:w="1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40" w:type="dxa"/>
            <w:vAlign w:val="bottom"/>
            <w:tcBorders>
              <w:top w:val="single" w:sz="8" w:color="E3E3E3"/>
              <w:bottom w:val="single" w:sz="8" w:color="FDFDFD"/>
            </w:tcBorders>
            <w:shd w:val="clear" w:color="auto" w:fill="E3E3E3"/>
          </w:tcPr>
          <w:p>
            <w:pPr>
              <w:spacing w:after="0"/>
              <w:rPr>
                <w:sz w:val="16"/>
                <w:szCs w:val="16"/>
                <w:color w:val="auto"/>
              </w:rPr>
            </w:pPr>
          </w:p>
        </w:tc>
        <w:tc>
          <w:tcPr>
            <w:tcW w:w="1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533,027</w:t>
            </w:r>
          </w:p>
        </w:tc>
        <w:tc>
          <w:tcPr>
            <w:tcW w:w="140" w:type="dxa"/>
            <w:vAlign w:val="bottom"/>
            <w:tcBorders>
              <w:top w:val="single" w:sz="8" w:color="E3E3E3"/>
              <w:bottom w:val="single" w:sz="8" w:color="FDFDFD"/>
            </w:tcBorders>
            <w:shd w:val="clear" w:color="auto" w:fill="E3E3E3"/>
          </w:tcPr>
          <w:p>
            <w:pPr>
              <w:spacing w:after="0"/>
              <w:rPr>
                <w:sz w:val="16"/>
                <w:szCs w:val="16"/>
                <w:color w:val="auto"/>
              </w:rPr>
            </w:pPr>
          </w:p>
        </w:tc>
        <w:tc>
          <w:tcPr>
            <w:tcW w:w="220" w:type="dxa"/>
            <w:vAlign w:val="bottom"/>
            <w:tcBorders>
              <w:top w:val="single" w:sz="8" w:color="auto"/>
              <w:bottom w:val="single" w:sz="8" w:color="auto"/>
            </w:tcBorders>
            <w:shd w:val="clear" w:color="auto" w:fill="E3E3E3"/>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1,481,945</w:t>
            </w:r>
          </w:p>
        </w:tc>
        <w:tc>
          <w:tcPr>
            <w:tcW w:w="140" w:type="dxa"/>
            <w:vAlign w:val="bottom"/>
            <w:tcBorders>
              <w:top w:val="single" w:sz="8" w:color="E3E3E3"/>
              <w:bottom w:val="single" w:sz="8" w:color="FDFDFD"/>
            </w:tcBorders>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FDFDFD"/>
          </w:tcPr>
          <w:p>
            <w:pPr>
              <w:spacing w:after="0"/>
              <w:rPr>
                <w:sz w:val="16"/>
                <w:szCs w:val="16"/>
                <w:color w:val="auto"/>
              </w:rPr>
            </w:pP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920" w:type="dxa"/>
            <w:vAlign w:val="bottom"/>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(202,388)</w:t>
            </w:r>
          </w:p>
        </w:tc>
        <w:tc>
          <w:tcPr>
            <w:tcW w:w="14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(87,239)</w:t>
            </w:r>
          </w:p>
        </w:tc>
        <w:tc>
          <w:tcPr>
            <w:tcW w:w="14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(289,627)</w:t>
            </w:r>
          </w:p>
        </w:tc>
        <w:tc>
          <w:tcPr>
            <w:tcW w:w="14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3E3E3"/>
          </w:tcPr>
          <w:p>
            <w:pPr>
              <w:spacing w:after="0"/>
              <w:rPr>
                <w:sz w:val="17"/>
                <w:szCs w:val="17"/>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920" w:type="dxa"/>
            <w:vAlign w:val="bottom"/>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40" w:type="dxa"/>
            <w:vAlign w:val="bottom"/>
            <w:shd w:val="clear" w:color="auto" w:fill="E3E3E3"/>
          </w:tcPr>
          <w:p>
            <w:pPr>
              <w:spacing w:after="0"/>
              <w:rPr>
                <w:sz w:val="17"/>
                <w:szCs w:val="17"/>
                <w:color w:val="auto"/>
              </w:rPr>
            </w:pPr>
          </w:p>
        </w:tc>
        <w:tc>
          <w:tcPr>
            <w:tcW w:w="220" w:type="dxa"/>
            <w:vAlign w:val="bottom"/>
            <w:shd w:val="clear" w:color="auto" w:fill="E3E3E3"/>
          </w:tcPr>
          <w:p>
            <w:pPr>
              <w:spacing w:after="0"/>
              <w:rPr>
                <w:sz w:val="17"/>
                <w:szCs w:val="17"/>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4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Vested incentive units</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60" w:type="dxa"/>
            <w:vAlign w:val="bottom"/>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16"/>
                <w:szCs w:val="16"/>
                <w:color w:val="auto"/>
              </w:rPr>
              <w:t>(6,327)</w:t>
            </w:r>
          </w:p>
        </w:tc>
        <w:tc>
          <w:tcPr>
            <w:tcW w:w="18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6,327</w:t>
            </w:r>
          </w:p>
        </w:tc>
        <w:tc>
          <w:tcPr>
            <w:tcW w:w="140" w:type="dxa"/>
            <w:vAlign w:val="bottom"/>
            <w:shd w:val="clear" w:color="auto" w:fill="FDFDFD"/>
          </w:tcPr>
          <w:p>
            <w:pPr>
              <w:spacing w:after="0"/>
              <w:rPr>
                <w:sz w:val="17"/>
                <w:szCs w:val="17"/>
                <w:color w:val="auto"/>
              </w:rPr>
            </w:pPr>
          </w:p>
        </w:tc>
        <w:tc>
          <w:tcPr>
            <w:tcW w:w="22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3"/>
        </w:trPr>
        <w:tc>
          <w:tcPr>
            <w:tcW w:w="3120" w:type="dxa"/>
            <w:vAlign w:val="bottom"/>
            <w:shd w:val="clear" w:color="auto" w:fill="E3E3E3"/>
          </w:tcPr>
          <w:p>
            <w:pPr>
              <w:spacing w:after="0" w:line="164" w:lineRule="exact"/>
              <w:rPr>
                <w:sz w:val="20"/>
                <w:szCs w:val="20"/>
                <w:color w:val="auto"/>
              </w:rPr>
            </w:pPr>
            <w:r>
              <w:rPr>
                <w:rFonts w:ascii="Times New Roman" w:cs="Times New Roman" w:eastAsia="Times New Roman" w:hAnsi="Times New Roman"/>
                <w:sz w:val="16"/>
                <w:szCs w:val="16"/>
                <w:color w:val="auto"/>
              </w:rPr>
              <w:t>Issuance of Class A Common Stock upon</w:t>
            </w:r>
          </w:p>
        </w:tc>
        <w:tc>
          <w:tcPr>
            <w:tcW w:w="12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60" w:type="dxa"/>
            <w:vAlign w:val="bottom"/>
            <w:shd w:val="clear" w:color="auto" w:fill="E3E3E3"/>
          </w:tcPr>
          <w:p>
            <w:pPr>
              <w:spacing w:after="0"/>
              <w:rPr>
                <w:sz w:val="14"/>
                <w:szCs w:val="14"/>
                <w:color w:val="auto"/>
              </w:rPr>
            </w:pPr>
          </w:p>
        </w:tc>
        <w:tc>
          <w:tcPr>
            <w:tcW w:w="86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2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60" w:type="dxa"/>
            <w:vAlign w:val="bottom"/>
            <w:shd w:val="clear" w:color="auto" w:fill="E3E3E3"/>
          </w:tcPr>
          <w:p>
            <w:pPr>
              <w:spacing w:after="0"/>
              <w:rPr>
                <w:sz w:val="14"/>
                <w:szCs w:val="14"/>
                <w:color w:val="auto"/>
              </w:rPr>
            </w:pPr>
          </w:p>
        </w:tc>
        <w:tc>
          <w:tcPr>
            <w:tcW w:w="9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9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80" w:type="dxa"/>
            <w:vAlign w:val="bottom"/>
            <w:shd w:val="clear" w:color="auto" w:fill="E3E3E3"/>
          </w:tcPr>
          <w:p>
            <w:pPr>
              <w:spacing w:after="0"/>
              <w:rPr>
                <w:sz w:val="14"/>
                <w:szCs w:val="14"/>
                <w:color w:val="auto"/>
              </w:rPr>
            </w:pPr>
          </w:p>
        </w:tc>
        <w:tc>
          <w:tcPr>
            <w:tcW w:w="8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98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10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220" w:type="dxa"/>
            <w:vAlign w:val="bottom"/>
            <w:shd w:val="clear" w:color="auto" w:fill="E3E3E3"/>
          </w:tcPr>
          <w:p>
            <w:pPr>
              <w:spacing w:after="0"/>
              <w:rPr>
                <w:sz w:val="14"/>
                <w:szCs w:val="14"/>
                <w:color w:val="auto"/>
              </w:rPr>
            </w:pPr>
          </w:p>
        </w:tc>
        <w:tc>
          <w:tcPr>
            <w:tcW w:w="94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vesting of RSUs</w:t>
            </w: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1,300,786</w:t>
            </w:r>
          </w:p>
        </w:tc>
        <w:tc>
          <w:tcPr>
            <w:tcW w:w="1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3E3E3"/>
          </w:tcPr>
          <w:p>
            <w:pPr>
              <w:spacing w:after="0"/>
              <w:rPr>
                <w:sz w:val="19"/>
                <w:szCs w:val="19"/>
                <w:color w:val="auto"/>
              </w:rPr>
            </w:pPr>
          </w:p>
        </w:tc>
        <w:tc>
          <w:tcPr>
            <w:tcW w:w="920" w:type="dxa"/>
            <w:vAlign w:val="bottom"/>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1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9"/>
                <w:szCs w:val="19"/>
                <w:color w:val="auto"/>
              </w:rPr>
            </w:pPr>
          </w:p>
        </w:tc>
        <w:tc>
          <w:tcPr>
            <w:tcW w:w="112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9"/>
                <w:szCs w:val="19"/>
                <w:color w:val="auto"/>
              </w:rPr>
            </w:pPr>
          </w:p>
        </w:tc>
        <w:tc>
          <w:tcPr>
            <w:tcW w:w="124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16"/>
                <w:szCs w:val="16"/>
                <w:color w:val="auto"/>
              </w:rPr>
              <w:t>(2,419)</w:t>
            </w:r>
          </w:p>
        </w:tc>
        <w:tc>
          <w:tcPr>
            <w:tcW w:w="220" w:type="dxa"/>
            <w:vAlign w:val="bottom"/>
            <w:shd w:val="clear" w:color="auto" w:fill="E3E3E3"/>
          </w:tcPr>
          <w:p>
            <w:pPr>
              <w:spacing w:after="0"/>
              <w:rPr>
                <w:sz w:val="19"/>
                <w:szCs w:val="19"/>
                <w:color w:val="auto"/>
              </w:rPr>
            </w:pPr>
          </w:p>
        </w:tc>
        <w:tc>
          <w:tcPr>
            <w:tcW w:w="108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13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auto"/>
              </w:rPr>
              <w:t>(438,840)</w:t>
            </w:r>
          </w:p>
        </w:tc>
        <w:tc>
          <w:tcPr>
            <w:tcW w:w="16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60" w:type="dxa"/>
            <w:vAlign w:val="bottom"/>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16"/>
                <w:szCs w:val="16"/>
                <w:color w:val="auto"/>
              </w:rPr>
              <w:t>(4,432)</w:t>
            </w:r>
          </w:p>
        </w:tc>
        <w:tc>
          <w:tcPr>
            <w:tcW w:w="18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24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auto"/>
              </w:rPr>
              <w:t>(4,432)</w:t>
            </w:r>
          </w:p>
        </w:tc>
        <w:tc>
          <w:tcPr>
            <w:tcW w:w="0" w:type="dxa"/>
            <w:vAlign w:val="bottom"/>
          </w:tcPr>
          <w:p>
            <w:pPr>
              <w:spacing w:after="0"/>
              <w:rPr>
                <w:sz w:val="1"/>
                <w:szCs w:val="1"/>
                <w:color w:val="auto"/>
              </w:rPr>
            </w:pPr>
          </w:p>
        </w:tc>
      </w:tr>
      <w:tr>
        <w:trPr>
          <w:trHeight w:val="163"/>
        </w:trPr>
        <w:tc>
          <w:tcPr>
            <w:tcW w:w="3120" w:type="dxa"/>
            <w:vAlign w:val="bottom"/>
            <w:shd w:val="clear" w:color="auto" w:fill="E3E3E3"/>
          </w:tcPr>
          <w:p>
            <w:pPr>
              <w:spacing w:after="0" w:line="164" w:lineRule="exact"/>
              <w:rPr>
                <w:sz w:val="20"/>
                <w:szCs w:val="20"/>
                <w:color w:val="auto"/>
              </w:rPr>
            </w:pPr>
            <w:r>
              <w:rPr>
                <w:rFonts w:ascii="Times New Roman" w:cs="Times New Roman" w:eastAsia="Times New Roman" w:hAnsi="Times New Roman"/>
                <w:sz w:val="16"/>
                <w:szCs w:val="16"/>
                <w:color w:val="auto"/>
              </w:rPr>
              <w:t>Effect of changes in LLC ownership, including</w:t>
            </w:r>
          </w:p>
        </w:tc>
        <w:tc>
          <w:tcPr>
            <w:tcW w:w="12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60" w:type="dxa"/>
            <w:vAlign w:val="bottom"/>
            <w:shd w:val="clear" w:color="auto" w:fill="E3E3E3"/>
          </w:tcPr>
          <w:p>
            <w:pPr>
              <w:spacing w:after="0"/>
              <w:rPr>
                <w:sz w:val="14"/>
                <w:szCs w:val="14"/>
                <w:color w:val="auto"/>
              </w:rPr>
            </w:pPr>
          </w:p>
        </w:tc>
        <w:tc>
          <w:tcPr>
            <w:tcW w:w="86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2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60" w:type="dxa"/>
            <w:vAlign w:val="bottom"/>
            <w:shd w:val="clear" w:color="auto" w:fill="E3E3E3"/>
          </w:tcPr>
          <w:p>
            <w:pPr>
              <w:spacing w:after="0"/>
              <w:rPr>
                <w:sz w:val="14"/>
                <w:szCs w:val="14"/>
                <w:color w:val="auto"/>
              </w:rPr>
            </w:pPr>
          </w:p>
        </w:tc>
        <w:tc>
          <w:tcPr>
            <w:tcW w:w="9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9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80" w:type="dxa"/>
            <w:vAlign w:val="bottom"/>
            <w:shd w:val="clear" w:color="auto" w:fill="E3E3E3"/>
          </w:tcPr>
          <w:p>
            <w:pPr>
              <w:spacing w:after="0"/>
              <w:rPr>
                <w:sz w:val="14"/>
                <w:szCs w:val="14"/>
                <w:color w:val="auto"/>
              </w:rPr>
            </w:pPr>
          </w:p>
        </w:tc>
        <w:tc>
          <w:tcPr>
            <w:tcW w:w="8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98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10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220" w:type="dxa"/>
            <w:vAlign w:val="bottom"/>
            <w:shd w:val="clear" w:color="auto" w:fill="E3E3E3"/>
          </w:tcPr>
          <w:p>
            <w:pPr>
              <w:spacing w:after="0"/>
              <w:rPr>
                <w:sz w:val="14"/>
                <w:szCs w:val="14"/>
                <w:color w:val="auto"/>
              </w:rPr>
            </w:pPr>
          </w:p>
        </w:tc>
        <w:tc>
          <w:tcPr>
            <w:tcW w:w="94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LLC unit exchanges</w:t>
            </w: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10,562,033</w:t>
            </w:r>
          </w:p>
        </w:tc>
        <w:tc>
          <w:tcPr>
            <w:tcW w:w="1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E3E3E3"/>
          </w:tcPr>
          <w:p>
            <w:pPr>
              <w:spacing w:after="0"/>
              <w:rPr>
                <w:sz w:val="19"/>
                <w:szCs w:val="19"/>
                <w:color w:val="auto"/>
              </w:rPr>
            </w:pPr>
          </w:p>
        </w:tc>
        <w:tc>
          <w:tcPr>
            <w:tcW w:w="13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auto"/>
              </w:rPr>
              <w:t>(10,562,033)</w:t>
            </w:r>
          </w:p>
        </w:tc>
        <w:tc>
          <w:tcPr>
            <w:tcW w:w="160" w:type="dxa"/>
            <w:vAlign w:val="bottom"/>
            <w:shd w:val="clear" w:color="auto" w:fill="E3E3E3"/>
          </w:tcPr>
          <w:p>
            <w:pPr>
              <w:spacing w:after="0"/>
              <w:rPr>
                <w:sz w:val="19"/>
                <w:szCs w:val="19"/>
                <w:color w:val="auto"/>
              </w:rPr>
            </w:pPr>
          </w:p>
        </w:tc>
        <w:tc>
          <w:tcPr>
            <w:tcW w:w="920" w:type="dxa"/>
            <w:vAlign w:val="bottom"/>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89,177</w:t>
            </w:r>
          </w:p>
        </w:tc>
        <w:tc>
          <w:tcPr>
            <w:tcW w:w="1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9"/>
                <w:szCs w:val="19"/>
                <w:color w:val="auto"/>
              </w:rPr>
            </w:pPr>
          </w:p>
        </w:tc>
        <w:tc>
          <w:tcPr>
            <w:tcW w:w="112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9"/>
                <w:szCs w:val="19"/>
                <w:color w:val="auto"/>
              </w:rPr>
            </w:pPr>
          </w:p>
        </w:tc>
        <w:tc>
          <w:tcPr>
            <w:tcW w:w="124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16"/>
                <w:szCs w:val="16"/>
                <w:color w:val="auto"/>
              </w:rPr>
              <w:t>(112,203)</w:t>
            </w:r>
          </w:p>
        </w:tc>
        <w:tc>
          <w:tcPr>
            <w:tcW w:w="220" w:type="dxa"/>
            <w:vAlign w:val="bottom"/>
            <w:shd w:val="clear" w:color="auto" w:fill="E3E3E3"/>
          </w:tcPr>
          <w:p>
            <w:pPr>
              <w:spacing w:after="0"/>
              <w:rPr>
                <w:sz w:val="19"/>
                <w:szCs w:val="19"/>
                <w:color w:val="auto"/>
              </w:rPr>
            </w:pPr>
          </w:p>
        </w:tc>
        <w:tc>
          <w:tcPr>
            <w:tcW w:w="108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auto"/>
              </w:rPr>
              <w:t>(23,014)</w:t>
            </w:r>
          </w:p>
        </w:tc>
        <w:tc>
          <w:tcPr>
            <w:tcW w:w="0" w:type="dxa"/>
            <w:vAlign w:val="bottom"/>
          </w:tcPr>
          <w:p>
            <w:pPr>
              <w:spacing w:after="0"/>
              <w:rPr>
                <w:sz w:val="1"/>
                <w:szCs w:val="1"/>
                <w:color w:val="auto"/>
              </w:rPr>
            </w:pPr>
          </w:p>
        </w:tc>
      </w:tr>
      <w:tr>
        <w:trPr>
          <w:trHeight w:val="198"/>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Forfeited unvested incentive units</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auto"/>
              </w:rPr>
              <w:t>(108,368)</w:t>
            </w: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24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1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3E3E3"/>
          </w:tcPr>
          <w:p>
            <w:pPr>
              <w:spacing w:after="0"/>
              <w:rPr>
                <w:sz w:val="17"/>
                <w:szCs w:val="17"/>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3E3E3"/>
          </w:tcPr>
          <w:p>
            <w:pPr>
              <w:spacing w:after="0"/>
              <w:rPr>
                <w:sz w:val="17"/>
                <w:szCs w:val="17"/>
                <w:color w:val="auto"/>
              </w:rPr>
            </w:pPr>
          </w:p>
        </w:tc>
        <w:tc>
          <w:tcPr>
            <w:tcW w:w="920" w:type="dxa"/>
            <w:vAlign w:val="bottom"/>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35,537</w:t>
            </w:r>
          </w:p>
        </w:tc>
        <w:tc>
          <w:tcPr>
            <w:tcW w:w="14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7"/>
                <w:szCs w:val="17"/>
                <w:color w:val="auto"/>
              </w:rPr>
            </w:pPr>
          </w:p>
        </w:tc>
        <w:tc>
          <w:tcPr>
            <w:tcW w:w="112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7"/>
                <w:szCs w:val="17"/>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13,202</w:t>
            </w:r>
          </w:p>
        </w:tc>
        <w:tc>
          <w:tcPr>
            <w:tcW w:w="140" w:type="dxa"/>
            <w:vAlign w:val="bottom"/>
            <w:shd w:val="clear" w:color="auto" w:fill="E3E3E3"/>
          </w:tcPr>
          <w:p>
            <w:pPr>
              <w:spacing w:after="0"/>
              <w:rPr>
                <w:sz w:val="17"/>
                <w:szCs w:val="17"/>
                <w:color w:val="auto"/>
              </w:rPr>
            </w:pPr>
          </w:p>
        </w:tc>
        <w:tc>
          <w:tcPr>
            <w:tcW w:w="220" w:type="dxa"/>
            <w:vAlign w:val="bottom"/>
            <w:shd w:val="clear" w:color="auto" w:fill="E3E3E3"/>
          </w:tcPr>
          <w:p>
            <w:pPr>
              <w:spacing w:after="0"/>
              <w:rPr>
                <w:sz w:val="17"/>
                <w:szCs w:val="17"/>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48,739</w:t>
            </w:r>
          </w:p>
        </w:tc>
        <w:tc>
          <w:tcPr>
            <w:tcW w:w="14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240" w:type="dxa"/>
            <w:vAlign w:val="bottom"/>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16"/>
                <w:szCs w:val="16"/>
                <w:color w:val="auto"/>
              </w:rPr>
              <w:t>(12,282)</w:t>
            </w:r>
          </w:p>
        </w:tc>
        <w:tc>
          <w:tcPr>
            <w:tcW w:w="22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auto"/>
              </w:rPr>
              <w:t>(12,282)</w:t>
            </w:r>
          </w:p>
        </w:tc>
        <w:tc>
          <w:tcPr>
            <w:tcW w:w="0" w:type="dxa"/>
            <w:vAlign w:val="bottom"/>
          </w:tcPr>
          <w:p>
            <w:pPr>
              <w:spacing w:after="0"/>
              <w:rPr>
                <w:sz w:val="1"/>
                <w:szCs w:val="1"/>
                <w:color w:val="auto"/>
              </w:rPr>
            </w:pPr>
          </w:p>
        </w:tc>
      </w:tr>
      <w:tr>
        <w:trPr>
          <w:trHeight w:val="213"/>
        </w:trPr>
        <w:tc>
          <w:tcPr>
            <w:tcW w:w="3120" w:type="dxa"/>
            <w:vAlign w:val="bottom"/>
            <w:tcBorders>
              <w:top w:val="single" w:sz="8" w:color="E3E3E3"/>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116,562,252</w:t>
            </w:r>
          </w:p>
        </w:tc>
        <w:tc>
          <w:tcPr>
            <w:tcW w:w="140" w:type="dxa"/>
            <w:vAlign w:val="bottom"/>
            <w:tcBorders>
              <w:top w:val="single" w:sz="8" w:color="E3E3E3"/>
              <w:bottom w:val="single" w:sz="8" w:color="E3E3E3"/>
            </w:tcBorders>
            <w:shd w:val="clear" w:color="auto" w:fill="E3E3E3"/>
          </w:tcPr>
          <w:p>
            <w:pPr>
              <w:spacing w:after="0"/>
              <w:rPr>
                <w:sz w:val="18"/>
                <w:szCs w:val="18"/>
                <w:color w:val="auto"/>
              </w:rPr>
            </w:pPr>
          </w:p>
        </w:tc>
        <w:tc>
          <w:tcPr>
            <w:tcW w:w="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tcBorders>
              <w:top w:val="single" w:sz="8" w:color="E3E3E3"/>
              <w:bottom w:val="single" w:sz="8" w:color="E3E3E3"/>
            </w:tcBorders>
            <w:shd w:val="clear" w:color="auto" w:fill="E3E3E3"/>
          </w:tcPr>
          <w:p>
            <w:pPr>
              <w:spacing w:after="0"/>
              <w:rPr>
                <w:sz w:val="18"/>
                <w:szCs w:val="18"/>
                <w:color w:val="auto"/>
              </w:rPr>
            </w:pPr>
          </w:p>
        </w:tc>
        <w:tc>
          <w:tcPr>
            <w:tcW w:w="12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39,762,700</w:t>
            </w:r>
          </w:p>
        </w:tc>
        <w:tc>
          <w:tcPr>
            <w:tcW w:w="140" w:type="dxa"/>
            <w:vAlign w:val="bottom"/>
            <w:tcBorders>
              <w:top w:val="single" w:sz="8" w:color="E3E3E3"/>
              <w:bottom w:val="single" w:sz="8" w:color="E3E3E3"/>
            </w:tcBorders>
            <w:shd w:val="clear" w:color="auto" w:fill="E3E3E3"/>
          </w:tcPr>
          <w:p>
            <w:pPr>
              <w:spacing w:after="0"/>
              <w:rPr>
                <w:sz w:val="18"/>
                <w:szCs w:val="18"/>
                <w:color w:val="auto"/>
              </w:rPr>
            </w:pPr>
          </w:p>
        </w:tc>
        <w:tc>
          <w:tcPr>
            <w:tcW w:w="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E3E3E3"/>
              <w:bottom w:val="single" w:sz="8" w:color="E3E3E3"/>
            </w:tcBorders>
            <w:shd w:val="clear" w:color="auto" w:fill="E3E3E3"/>
          </w:tcPr>
          <w:p>
            <w:pPr>
              <w:spacing w:after="0"/>
              <w:rPr>
                <w:sz w:val="18"/>
                <w:szCs w:val="18"/>
                <w:color w:val="auto"/>
              </w:rPr>
            </w:pPr>
          </w:p>
        </w:tc>
        <w:tc>
          <w:tcPr>
            <w:tcW w:w="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1,086,581</w:t>
            </w:r>
          </w:p>
        </w:tc>
        <w:tc>
          <w:tcPr>
            <w:tcW w:w="140" w:type="dxa"/>
            <w:vAlign w:val="bottom"/>
            <w:tcBorders>
              <w:top w:val="single" w:sz="8" w:color="E3E3E3"/>
              <w:bottom w:val="single" w:sz="8" w:color="E3E3E3"/>
            </w:tcBorders>
            <w:shd w:val="clear" w:color="auto" w:fill="E3E3E3"/>
          </w:tcPr>
          <w:p>
            <w:pPr>
              <w:spacing w:after="0"/>
              <w:rPr>
                <w:sz w:val="18"/>
                <w:szCs w:val="18"/>
                <w:color w:val="auto"/>
              </w:rPr>
            </w:pPr>
          </w:p>
        </w:tc>
        <w:tc>
          <w:tcPr>
            <w:tcW w:w="180" w:type="dxa"/>
            <w:vAlign w:val="bottom"/>
            <w:tcBorders>
              <w:top w:val="single" w:sz="8" w:color="auto"/>
              <w:bottom w:val="single" w:sz="8" w:color="auto"/>
            </w:tcBorders>
            <w:shd w:val="clear" w:color="auto" w:fill="E3E3E3"/>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(227,450)</w:t>
            </w:r>
          </w:p>
        </w:tc>
        <w:tc>
          <w:tcPr>
            <w:tcW w:w="140" w:type="dxa"/>
            <w:vAlign w:val="bottom"/>
            <w:tcBorders>
              <w:top w:val="single" w:sz="8" w:color="E3E3E3"/>
              <w:bottom w:val="single" w:sz="8" w:color="E3E3E3"/>
            </w:tcBorders>
            <w:shd w:val="clear" w:color="auto" w:fill="E3E3E3"/>
          </w:tcPr>
          <w:p>
            <w:pPr>
              <w:spacing w:after="0"/>
              <w:rPr>
                <w:sz w:val="18"/>
                <w:szCs w:val="18"/>
                <w:color w:val="auto"/>
              </w:rPr>
            </w:pPr>
          </w:p>
        </w:tc>
        <w:tc>
          <w:tcPr>
            <w:tcW w:w="1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40" w:type="dxa"/>
            <w:vAlign w:val="bottom"/>
            <w:tcBorders>
              <w:top w:val="single" w:sz="8" w:color="E3E3E3"/>
              <w:bottom w:val="single" w:sz="8" w:color="E3E3E3"/>
            </w:tcBorders>
            <w:shd w:val="clear" w:color="auto" w:fill="E3E3E3"/>
          </w:tcPr>
          <w:p>
            <w:pPr>
              <w:spacing w:after="0"/>
              <w:rPr>
                <w:sz w:val="18"/>
                <w:szCs w:val="18"/>
                <w:color w:val="auto"/>
              </w:rPr>
            </w:pPr>
          </w:p>
        </w:tc>
        <w:tc>
          <w:tcPr>
            <w:tcW w:w="1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337,817</w:t>
            </w:r>
          </w:p>
        </w:tc>
        <w:tc>
          <w:tcPr>
            <w:tcW w:w="140" w:type="dxa"/>
            <w:vAlign w:val="bottom"/>
            <w:tcBorders>
              <w:top w:val="single" w:sz="8" w:color="E3E3E3"/>
              <w:bottom w:val="single" w:sz="8" w:color="E3E3E3"/>
            </w:tcBorders>
            <w:shd w:val="clear" w:color="auto" w:fill="E3E3E3"/>
          </w:tcPr>
          <w:p>
            <w:pPr>
              <w:spacing w:after="0"/>
              <w:rPr>
                <w:sz w:val="18"/>
                <w:szCs w:val="18"/>
                <w:color w:val="auto"/>
              </w:rPr>
            </w:pPr>
          </w:p>
        </w:tc>
        <w:tc>
          <w:tcPr>
            <w:tcW w:w="220" w:type="dxa"/>
            <w:vAlign w:val="bottom"/>
            <w:tcBorders>
              <w:top w:val="single" w:sz="8" w:color="auto"/>
              <w:bottom w:val="single" w:sz="8" w:color="auto"/>
            </w:tcBorders>
            <w:shd w:val="clear" w:color="auto" w:fill="E3E3E3"/>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1,199,174</w:t>
            </w:r>
          </w:p>
        </w:tc>
        <w:tc>
          <w:tcPr>
            <w:tcW w:w="140" w:type="dxa"/>
            <w:vAlign w:val="bottom"/>
            <w:tcBorders>
              <w:top w:val="single" w:sz="8" w:color="E3E3E3"/>
              <w:bottom w:val="single" w:sz="8" w:color="E3E3E3"/>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120" w:type="dxa"/>
            <w:vAlign w:val="bottom"/>
            <w:tcBorders>
              <w:top w:val="single" w:sz="8" w:color="FDFDFD"/>
            </w:tcBorders>
            <w:shd w:val="clear" w:color="auto" w:fill="FDFDFD"/>
          </w:tcPr>
          <w:p>
            <w:pPr>
              <w:spacing w:after="0" w:line="168" w:lineRule="exact"/>
              <w:rPr>
                <w:sz w:val="20"/>
                <w:szCs w:val="20"/>
                <w:color w:val="auto"/>
              </w:rPr>
            </w:pPr>
            <w:r>
              <w:rPr>
                <w:rFonts w:ascii="Times New Roman" w:cs="Times New Roman" w:eastAsia="Times New Roman" w:hAnsi="Times New Roman"/>
                <w:sz w:val="16"/>
                <w:szCs w:val="16"/>
                <w:color w:val="auto"/>
              </w:rPr>
              <w:t>Net loss</w:t>
            </w:r>
          </w:p>
        </w:tc>
        <w:tc>
          <w:tcPr>
            <w:tcW w:w="1220" w:type="dxa"/>
            <w:vAlign w:val="bottom"/>
            <w:tcBorders>
              <w:top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FDFDFD"/>
            </w:tcBorders>
            <w:shd w:val="clear" w:color="auto" w:fill="FDFDFD"/>
          </w:tcPr>
          <w:p>
            <w:pPr>
              <w:spacing w:after="0"/>
              <w:rPr>
                <w:sz w:val="14"/>
                <w:szCs w:val="14"/>
                <w:color w:val="auto"/>
              </w:rPr>
            </w:pPr>
          </w:p>
        </w:tc>
        <w:tc>
          <w:tcPr>
            <w:tcW w:w="160" w:type="dxa"/>
            <w:vAlign w:val="bottom"/>
            <w:tcBorders>
              <w:top w:val="single" w:sz="8" w:color="auto"/>
            </w:tcBorders>
            <w:shd w:val="clear" w:color="auto" w:fill="FDFDFD"/>
          </w:tcPr>
          <w:p>
            <w:pPr>
              <w:spacing w:after="0"/>
              <w:rPr>
                <w:sz w:val="14"/>
                <w:szCs w:val="14"/>
                <w:color w:val="auto"/>
              </w:rPr>
            </w:pPr>
          </w:p>
        </w:tc>
        <w:tc>
          <w:tcPr>
            <w:tcW w:w="860" w:type="dxa"/>
            <w:vAlign w:val="bottom"/>
            <w:tcBorders>
              <w:top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FDFDFD"/>
            </w:tcBorders>
            <w:shd w:val="clear" w:color="auto" w:fill="FDFDFD"/>
          </w:tcPr>
          <w:p>
            <w:pPr>
              <w:spacing w:after="0"/>
              <w:rPr>
                <w:sz w:val="14"/>
                <w:szCs w:val="14"/>
                <w:color w:val="auto"/>
              </w:rPr>
            </w:pPr>
          </w:p>
        </w:tc>
        <w:tc>
          <w:tcPr>
            <w:tcW w:w="1220" w:type="dxa"/>
            <w:vAlign w:val="bottom"/>
            <w:tcBorders>
              <w:top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FDFDFD"/>
            </w:tcBorders>
            <w:shd w:val="clear" w:color="auto" w:fill="FDFDFD"/>
          </w:tcPr>
          <w:p>
            <w:pPr>
              <w:spacing w:after="0"/>
              <w:rPr>
                <w:sz w:val="14"/>
                <w:szCs w:val="14"/>
                <w:color w:val="auto"/>
              </w:rPr>
            </w:pPr>
          </w:p>
        </w:tc>
        <w:tc>
          <w:tcPr>
            <w:tcW w:w="160" w:type="dxa"/>
            <w:vAlign w:val="bottom"/>
            <w:tcBorders>
              <w:top w:val="single" w:sz="8" w:color="auto"/>
            </w:tcBorders>
            <w:shd w:val="clear" w:color="auto" w:fill="FDFDFD"/>
          </w:tcPr>
          <w:p>
            <w:pPr>
              <w:spacing w:after="0"/>
              <w:rPr>
                <w:sz w:val="14"/>
                <w:szCs w:val="14"/>
                <w:color w:val="auto"/>
              </w:rPr>
            </w:pPr>
          </w:p>
        </w:tc>
        <w:tc>
          <w:tcPr>
            <w:tcW w:w="920" w:type="dxa"/>
            <w:vAlign w:val="bottom"/>
            <w:tcBorders>
              <w:top w:val="single" w:sz="8" w:color="auto"/>
            </w:tcBorders>
            <w:shd w:val="clear" w:color="auto" w:fill="FDFDFD"/>
          </w:tcPr>
          <w:p>
            <w:pPr>
              <w:ind w:left="740"/>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FDFDFD"/>
            </w:tcBorders>
            <w:shd w:val="clear" w:color="auto" w:fill="FDFDFD"/>
          </w:tcPr>
          <w:p>
            <w:pPr>
              <w:spacing w:after="0"/>
              <w:rPr>
                <w:sz w:val="14"/>
                <w:szCs w:val="14"/>
                <w:color w:val="auto"/>
              </w:rPr>
            </w:pPr>
          </w:p>
        </w:tc>
        <w:tc>
          <w:tcPr>
            <w:tcW w:w="120" w:type="dxa"/>
            <w:vAlign w:val="bottom"/>
            <w:tcBorders>
              <w:top w:val="single" w:sz="8" w:color="auto"/>
            </w:tcBorders>
            <w:shd w:val="clear" w:color="auto" w:fill="FDFDFD"/>
          </w:tcPr>
          <w:p>
            <w:pPr>
              <w:spacing w:after="0"/>
              <w:rPr>
                <w:sz w:val="14"/>
                <w:szCs w:val="14"/>
                <w:color w:val="auto"/>
              </w:rPr>
            </w:pPr>
          </w:p>
        </w:tc>
        <w:tc>
          <w:tcPr>
            <w:tcW w:w="920" w:type="dxa"/>
            <w:vAlign w:val="bottom"/>
            <w:tcBorders>
              <w:top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FDFDFD"/>
            </w:tcBorders>
            <w:shd w:val="clear" w:color="auto" w:fill="FDFDFD"/>
          </w:tcPr>
          <w:p>
            <w:pPr>
              <w:spacing w:after="0"/>
              <w:rPr>
                <w:sz w:val="14"/>
                <w:szCs w:val="14"/>
                <w:color w:val="auto"/>
              </w:rPr>
            </w:pPr>
          </w:p>
        </w:tc>
        <w:tc>
          <w:tcPr>
            <w:tcW w:w="180" w:type="dxa"/>
            <w:vAlign w:val="bottom"/>
            <w:tcBorders>
              <w:top w:val="single" w:sz="8" w:color="auto"/>
            </w:tcBorders>
            <w:shd w:val="clear" w:color="auto" w:fill="FDFDFD"/>
          </w:tcPr>
          <w:p>
            <w:pPr>
              <w:spacing w:after="0"/>
              <w:rPr>
                <w:sz w:val="14"/>
                <w:szCs w:val="14"/>
                <w:color w:val="auto"/>
              </w:rPr>
            </w:pPr>
          </w:p>
        </w:tc>
        <w:tc>
          <w:tcPr>
            <w:tcW w:w="820" w:type="dxa"/>
            <w:vAlign w:val="bottom"/>
            <w:tcBorders>
              <w:top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(413,124)</w:t>
            </w:r>
          </w:p>
        </w:tc>
        <w:tc>
          <w:tcPr>
            <w:tcW w:w="140" w:type="dxa"/>
            <w:vAlign w:val="bottom"/>
            <w:tcBorders>
              <w:top w:val="single" w:sz="8" w:color="FDFDFD"/>
            </w:tcBorders>
            <w:shd w:val="clear" w:color="auto" w:fill="FDFDFD"/>
          </w:tcPr>
          <w:p>
            <w:pPr>
              <w:spacing w:after="0"/>
              <w:rPr>
                <w:sz w:val="14"/>
                <w:szCs w:val="14"/>
                <w:color w:val="auto"/>
              </w:rPr>
            </w:pPr>
          </w:p>
        </w:tc>
        <w:tc>
          <w:tcPr>
            <w:tcW w:w="100" w:type="dxa"/>
            <w:vAlign w:val="bottom"/>
            <w:tcBorders>
              <w:top w:val="single" w:sz="8" w:color="auto"/>
            </w:tcBorders>
            <w:shd w:val="clear" w:color="auto" w:fill="FDFDFD"/>
          </w:tcPr>
          <w:p>
            <w:pPr>
              <w:spacing w:after="0"/>
              <w:rPr>
                <w:sz w:val="14"/>
                <w:szCs w:val="14"/>
                <w:color w:val="auto"/>
              </w:rPr>
            </w:pPr>
          </w:p>
        </w:tc>
        <w:tc>
          <w:tcPr>
            <w:tcW w:w="980" w:type="dxa"/>
            <w:vAlign w:val="bottom"/>
            <w:tcBorders>
              <w:top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FDFDFD"/>
            </w:tcBorders>
            <w:shd w:val="clear" w:color="auto" w:fill="FDFDFD"/>
          </w:tcPr>
          <w:p>
            <w:pPr>
              <w:spacing w:after="0"/>
              <w:rPr>
                <w:sz w:val="14"/>
                <w:szCs w:val="14"/>
                <w:color w:val="auto"/>
              </w:rPr>
            </w:pPr>
          </w:p>
        </w:tc>
        <w:tc>
          <w:tcPr>
            <w:tcW w:w="100" w:type="dxa"/>
            <w:vAlign w:val="bottom"/>
            <w:tcBorders>
              <w:top w:val="single" w:sz="8" w:color="auto"/>
            </w:tcBorders>
            <w:shd w:val="clear" w:color="auto" w:fill="FDFDFD"/>
          </w:tcPr>
          <w:p>
            <w:pPr>
              <w:spacing w:after="0"/>
              <w:rPr>
                <w:sz w:val="14"/>
                <w:szCs w:val="14"/>
                <w:color w:val="auto"/>
              </w:rPr>
            </w:pPr>
          </w:p>
        </w:tc>
        <w:tc>
          <w:tcPr>
            <w:tcW w:w="1100" w:type="dxa"/>
            <w:vAlign w:val="bottom"/>
            <w:tcBorders>
              <w:top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(178,322)</w:t>
            </w:r>
          </w:p>
        </w:tc>
        <w:tc>
          <w:tcPr>
            <w:tcW w:w="140" w:type="dxa"/>
            <w:vAlign w:val="bottom"/>
            <w:tcBorders>
              <w:top w:val="single" w:sz="8" w:color="FDFDFD"/>
            </w:tcBorders>
            <w:shd w:val="clear" w:color="auto" w:fill="FDFDFD"/>
          </w:tcPr>
          <w:p>
            <w:pPr>
              <w:spacing w:after="0"/>
              <w:rPr>
                <w:sz w:val="14"/>
                <w:szCs w:val="14"/>
                <w:color w:val="auto"/>
              </w:rPr>
            </w:pPr>
          </w:p>
        </w:tc>
        <w:tc>
          <w:tcPr>
            <w:tcW w:w="220" w:type="dxa"/>
            <w:vAlign w:val="bottom"/>
            <w:tcBorders>
              <w:top w:val="single" w:sz="8" w:color="auto"/>
            </w:tcBorders>
            <w:shd w:val="clear" w:color="auto" w:fill="FDFDFD"/>
          </w:tcPr>
          <w:p>
            <w:pPr>
              <w:spacing w:after="0"/>
              <w:rPr>
                <w:sz w:val="14"/>
                <w:szCs w:val="14"/>
                <w:color w:val="auto"/>
              </w:rPr>
            </w:pPr>
          </w:p>
        </w:tc>
        <w:tc>
          <w:tcPr>
            <w:tcW w:w="940" w:type="dxa"/>
            <w:vAlign w:val="bottom"/>
            <w:tcBorders>
              <w:top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(591,446)</w:t>
            </w:r>
          </w:p>
        </w:tc>
        <w:tc>
          <w:tcPr>
            <w:tcW w:w="140" w:type="dxa"/>
            <w:vAlign w:val="bottom"/>
            <w:tcBorders>
              <w:top w:val="single" w:sz="8" w:color="FDFDFD"/>
            </w:tcBorders>
            <w:shd w:val="clear" w:color="auto" w:fill="FDFDFD"/>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3E3E3"/>
          </w:tcPr>
          <w:p>
            <w:pPr>
              <w:spacing w:after="0"/>
              <w:rPr>
                <w:sz w:val="17"/>
                <w:szCs w:val="17"/>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920" w:type="dxa"/>
            <w:vAlign w:val="bottom"/>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40" w:type="dxa"/>
            <w:vAlign w:val="bottom"/>
            <w:shd w:val="clear" w:color="auto" w:fill="E3E3E3"/>
          </w:tcPr>
          <w:p>
            <w:pPr>
              <w:spacing w:after="0"/>
              <w:rPr>
                <w:sz w:val="17"/>
                <w:szCs w:val="17"/>
                <w:color w:val="auto"/>
              </w:rPr>
            </w:pPr>
          </w:p>
        </w:tc>
        <w:tc>
          <w:tcPr>
            <w:tcW w:w="220" w:type="dxa"/>
            <w:vAlign w:val="bottom"/>
            <w:shd w:val="clear" w:color="auto" w:fill="E3E3E3"/>
          </w:tcPr>
          <w:p>
            <w:pPr>
              <w:spacing w:after="0"/>
              <w:rPr>
                <w:sz w:val="17"/>
                <w:szCs w:val="17"/>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(3,623)</w:t>
            </w:r>
          </w:p>
        </w:tc>
        <w:tc>
          <w:tcPr>
            <w:tcW w:w="14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Vested incentive units</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60" w:type="dxa"/>
            <w:vAlign w:val="bottom"/>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16"/>
                <w:szCs w:val="16"/>
                <w:color w:val="auto"/>
              </w:rPr>
              <w:t>(2,468)</w:t>
            </w:r>
          </w:p>
        </w:tc>
        <w:tc>
          <w:tcPr>
            <w:tcW w:w="18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40" w:type="dxa"/>
            <w:vAlign w:val="bottom"/>
            <w:shd w:val="clear" w:color="auto" w:fill="FDFDFD"/>
          </w:tcPr>
          <w:p>
            <w:pPr>
              <w:spacing w:after="0"/>
              <w:rPr>
                <w:sz w:val="17"/>
                <w:szCs w:val="17"/>
                <w:color w:val="auto"/>
              </w:rPr>
            </w:pPr>
          </w:p>
        </w:tc>
        <w:tc>
          <w:tcPr>
            <w:tcW w:w="22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3"/>
        </w:trPr>
        <w:tc>
          <w:tcPr>
            <w:tcW w:w="3120" w:type="dxa"/>
            <w:vAlign w:val="bottom"/>
            <w:shd w:val="clear" w:color="auto" w:fill="E3E3E3"/>
          </w:tcPr>
          <w:p>
            <w:pPr>
              <w:spacing w:after="0" w:line="164" w:lineRule="exact"/>
              <w:rPr>
                <w:sz w:val="20"/>
                <w:szCs w:val="20"/>
                <w:color w:val="auto"/>
              </w:rPr>
            </w:pPr>
            <w:r>
              <w:rPr>
                <w:rFonts w:ascii="Times New Roman" w:cs="Times New Roman" w:eastAsia="Times New Roman" w:hAnsi="Times New Roman"/>
                <w:sz w:val="16"/>
                <w:szCs w:val="16"/>
                <w:color w:val="auto"/>
              </w:rPr>
              <w:t>Issuance of Class A Common Stock upon</w:t>
            </w:r>
          </w:p>
        </w:tc>
        <w:tc>
          <w:tcPr>
            <w:tcW w:w="12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60" w:type="dxa"/>
            <w:vAlign w:val="bottom"/>
            <w:shd w:val="clear" w:color="auto" w:fill="E3E3E3"/>
          </w:tcPr>
          <w:p>
            <w:pPr>
              <w:spacing w:after="0"/>
              <w:rPr>
                <w:sz w:val="14"/>
                <w:szCs w:val="14"/>
                <w:color w:val="auto"/>
              </w:rPr>
            </w:pPr>
          </w:p>
        </w:tc>
        <w:tc>
          <w:tcPr>
            <w:tcW w:w="86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2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60" w:type="dxa"/>
            <w:vAlign w:val="bottom"/>
            <w:shd w:val="clear" w:color="auto" w:fill="E3E3E3"/>
          </w:tcPr>
          <w:p>
            <w:pPr>
              <w:spacing w:after="0"/>
              <w:rPr>
                <w:sz w:val="14"/>
                <w:szCs w:val="14"/>
                <w:color w:val="auto"/>
              </w:rPr>
            </w:pPr>
          </w:p>
        </w:tc>
        <w:tc>
          <w:tcPr>
            <w:tcW w:w="9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9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80" w:type="dxa"/>
            <w:vAlign w:val="bottom"/>
            <w:shd w:val="clear" w:color="auto" w:fill="E3E3E3"/>
          </w:tcPr>
          <w:p>
            <w:pPr>
              <w:spacing w:after="0"/>
              <w:rPr>
                <w:sz w:val="14"/>
                <w:szCs w:val="14"/>
                <w:color w:val="auto"/>
              </w:rPr>
            </w:pPr>
          </w:p>
        </w:tc>
        <w:tc>
          <w:tcPr>
            <w:tcW w:w="82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98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10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220" w:type="dxa"/>
            <w:vAlign w:val="bottom"/>
            <w:shd w:val="clear" w:color="auto" w:fill="E3E3E3"/>
          </w:tcPr>
          <w:p>
            <w:pPr>
              <w:spacing w:after="0"/>
              <w:rPr>
                <w:sz w:val="14"/>
                <w:szCs w:val="14"/>
                <w:color w:val="auto"/>
              </w:rPr>
            </w:pPr>
          </w:p>
        </w:tc>
        <w:tc>
          <w:tcPr>
            <w:tcW w:w="940" w:type="dxa"/>
            <w:vAlign w:val="bottom"/>
            <w:shd w:val="clear" w:color="auto" w:fill="E3E3E3"/>
          </w:tcPr>
          <w:p>
            <w:pPr>
              <w:spacing w:after="0"/>
              <w:rPr>
                <w:sz w:val="14"/>
                <w:szCs w:val="14"/>
                <w:color w:val="auto"/>
              </w:rPr>
            </w:pPr>
          </w:p>
        </w:tc>
        <w:tc>
          <w:tcPr>
            <w:tcW w:w="140" w:type="dxa"/>
            <w:vAlign w:val="bottom"/>
            <w:shd w:val="clear" w:color="auto" w:fill="E3E3E3"/>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1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vesting of RSUs</w:t>
            </w: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2,883,145</w:t>
            </w:r>
          </w:p>
        </w:tc>
        <w:tc>
          <w:tcPr>
            <w:tcW w:w="14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E3E3E3"/>
          </w:tcPr>
          <w:p>
            <w:pPr>
              <w:spacing w:after="0"/>
              <w:rPr>
                <w:sz w:val="18"/>
                <w:szCs w:val="18"/>
                <w:color w:val="auto"/>
              </w:rPr>
            </w:pP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3E3E3"/>
          </w:tcPr>
          <w:p>
            <w:pPr>
              <w:spacing w:after="0"/>
              <w:rPr>
                <w:sz w:val="18"/>
                <w:szCs w:val="18"/>
                <w:color w:val="auto"/>
              </w:rPr>
            </w:pPr>
          </w:p>
        </w:tc>
        <w:tc>
          <w:tcPr>
            <w:tcW w:w="920" w:type="dxa"/>
            <w:vAlign w:val="bottom"/>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4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8"/>
                <w:szCs w:val="18"/>
                <w:color w:val="auto"/>
              </w:rPr>
            </w:pPr>
          </w:p>
        </w:tc>
        <w:tc>
          <w:tcPr>
            <w:tcW w:w="112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8"/>
                <w:szCs w:val="18"/>
                <w:color w:val="auto"/>
              </w:rPr>
            </w:pPr>
          </w:p>
        </w:tc>
        <w:tc>
          <w:tcPr>
            <w:tcW w:w="124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16"/>
                <w:szCs w:val="16"/>
                <w:color w:val="auto"/>
              </w:rPr>
              <w:t>(3,819)</w:t>
            </w:r>
          </w:p>
        </w:tc>
        <w:tc>
          <w:tcPr>
            <w:tcW w:w="220" w:type="dxa"/>
            <w:vAlign w:val="bottom"/>
            <w:shd w:val="clear" w:color="auto" w:fill="E3E3E3"/>
          </w:tcPr>
          <w:p>
            <w:pPr>
              <w:spacing w:after="0"/>
              <w:rPr>
                <w:sz w:val="18"/>
                <w:szCs w:val="18"/>
                <w:color w:val="auto"/>
              </w:rPr>
            </w:pPr>
          </w:p>
        </w:tc>
        <w:tc>
          <w:tcPr>
            <w:tcW w:w="108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13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auto"/>
              </w:rPr>
              <w:t>(981,295)</w:t>
            </w:r>
          </w:p>
        </w:tc>
        <w:tc>
          <w:tcPr>
            <w:tcW w:w="16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60" w:type="dxa"/>
            <w:vAlign w:val="bottom"/>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16"/>
                <w:szCs w:val="16"/>
                <w:color w:val="auto"/>
              </w:rPr>
              <w:t>(7,547)</w:t>
            </w:r>
          </w:p>
        </w:tc>
        <w:tc>
          <w:tcPr>
            <w:tcW w:w="18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24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auto"/>
              </w:rPr>
              <w:t>(7,548)</w:t>
            </w:r>
          </w:p>
        </w:tc>
        <w:tc>
          <w:tcPr>
            <w:tcW w:w="0" w:type="dxa"/>
            <w:vAlign w:val="bottom"/>
          </w:tcPr>
          <w:p>
            <w:pPr>
              <w:spacing w:after="0"/>
              <w:rPr>
                <w:sz w:val="1"/>
                <w:szCs w:val="1"/>
                <w:color w:val="auto"/>
              </w:rPr>
            </w:pPr>
          </w:p>
        </w:tc>
      </w:tr>
      <w:tr>
        <w:trPr>
          <w:trHeight w:val="198"/>
        </w:trPr>
        <w:tc>
          <w:tcPr>
            <w:tcW w:w="31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Repurchases of Class A Common Stock</w:t>
            </w:r>
          </w:p>
        </w:tc>
        <w:tc>
          <w:tcPr>
            <w:tcW w:w="13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auto"/>
              </w:rPr>
              <w:t>(4,780,799)</w:t>
            </w:r>
          </w:p>
        </w:tc>
        <w:tc>
          <w:tcPr>
            <w:tcW w:w="160" w:type="dxa"/>
            <w:vAlign w:val="bottom"/>
            <w:shd w:val="clear" w:color="auto" w:fill="E3E3E3"/>
          </w:tcPr>
          <w:p>
            <w:pPr>
              <w:spacing w:after="0"/>
              <w:rPr>
                <w:sz w:val="17"/>
                <w:szCs w:val="17"/>
                <w:color w:val="auto"/>
              </w:rPr>
            </w:pPr>
          </w:p>
        </w:tc>
        <w:tc>
          <w:tcPr>
            <w:tcW w:w="100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3E3E3"/>
          </w:tcPr>
          <w:p>
            <w:pPr>
              <w:spacing w:after="0"/>
              <w:rPr>
                <w:sz w:val="17"/>
                <w:szCs w:val="17"/>
                <w:color w:val="auto"/>
              </w:rPr>
            </w:pPr>
          </w:p>
        </w:tc>
        <w:tc>
          <w:tcPr>
            <w:tcW w:w="920" w:type="dxa"/>
            <w:vAlign w:val="bottom"/>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106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16"/>
                <w:szCs w:val="16"/>
                <w:color w:val="auto"/>
              </w:rPr>
              <w:t>(29,999)</w:t>
            </w:r>
          </w:p>
        </w:tc>
        <w:tc>
          <w:tcPr>
            <w:tcW w:w="180" w:type="dxa"/>
            <w:vAlign w:val="bottom"/>
            <w:shd w:val="clear" w:color="auto" w:fill="E3E3E3"/>
          </w:tcPr>
          <w:p>
            <w:pPr>
              <w:spacing w:after="0"/>
              <w:rPr>
                <w:sz w:val="17"/>
                <w:szCs w:val="17"/>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7"/>
                <w:szCs w:val="17"/>
                <w:color w:val="auto"/>
              </w:rPr>
            </w:pPr>
          </w:p>
        </w:tc>
        <w:tc>
          <w:tcPr>
            <w:tcW w:w="112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7"/>
                <w:szCs w:val="17"/>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140" w:type="dxa"/>
            <w:vAlign w:val="bottom"/>
            <w:shd w:val="clear" w:color="auto" w:fill="E3E3E3"/>
          </w:tcPr>
          <w:p>
            <w:pPr>
              <w:spacing w:after="0"/>
              <w:rPr>
                <w:sz w:val="17"/>
                <w:szCs w:val="17"/>
                <w:color w:val="auto"/>
              </w:rPr>
            </w:pPr>
          </w:p>
        </w:tc>
        <w:tc>
          <w:tcPr>
            <w:tcW w:w="220" w:type="dxa"/>
            <w:vAlign w:val="bottom"/>
            <w:shd w:val="clear" w:color="auto" w:fill="E3E3E3"/>
          </w:tcPr>
          <w:p>
            <w:pPr>
              <w:spacing w:after="0"/>
              <w:rPr>
                <w:sz w:val="17"/>
                <w:szCs w:val="17"/>
                <w:color w:val="auto"/>
              </w:rPr>
            </w:pPr>
          </w:p>
        </w:tc>
        <w:tc>
          <w:tcPr>
            <w:tcW w:w="108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auto"/>
              </w:rPr>
              <w:t>(22,366)</w:t>
            </w:r>
          </w:p>
        </w:tc>
        <w:tc>
          <w:tcPr>
            <w:tcW w:w="0" w:type="dxa"/>
            <w:vAlign w:val="bottom"/>
          </w:tcPr>
          <w:p>
            <w:pPr>
              <w:spacing w:after="0"/>
              <w:rPr>
                <w:sz w:val="1"/>
                <w:szCs w:val="1"/>
                <w:color w:val="auto"/>
              </w:rPr>
            </w:pPr>
          </w:p>
        </w:tc>
      </w:tr>
      <w:tr>
        <w:trPr>
          <w:trHeight w:val="163"/>
        </w:trPr>
        <w:tc>
          <w:tcPr>
            <w:tcW w:w="3120" w:type="dxa"/>
            <w:vAlign w:val="bottom"/>
            <w:shd w:val="clear" w:color="auto" w:fill="FDFDFD"/>
          </w:tcPr>
          <w:p>
            <w:pPr>
              <w:spacing w:after="0" w:line="164" w:lineRule="exact"/>
              <w:rPr>
                <w:sz w:val="20"/>
                <w:szCs w:val="20"/>
                <w:color w:val="auto"/>
              </w:rPr>
            </w:pPr>
            <w:r>
              <w:rPr>
                <w:rFonts w:ascii="Times New Roman" w:cs="Times New Roman" w:eastAsia="Times New Roman" w:hAnsi="Times New Roman"/>
                <w:sz w:val="16"/>
                <w:szCs w:val="16"/>
                <w:color w:val="auto"/>
              </w:rPr>
              <w:t>Effect of changes in LLC ownership, including</w:t>
            </w:r>
          </w:p>
        </w:tc>
        <w:tc>
          <w:tcPr>
            <w:tcW w:w="1220" w:type="dxa"/>
            <w:vAlign w:val="bottom"/>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270,251</w:t>
            </w:r>
          </w:p>
        </w:tc>
        <w:tc>
          <w:tcPr>
            <w:tcW w:w="140" w:type="dxa"/>
            <w:vAlign w:val="bottom"/>
            <w:shd w:val="clear" w:color="auto" w:fill="FDFDFD"/>
          </w:tcPr>
          <w:p>
            <w:pPr>
              <w:spacing w:after="0"/>
              <w:rPr>
                <w:sz w:val="14"/>
                <w:szCs w:val="14"/>
                <w:color w:val="auto"/>
              </w:rPr>
            </w:pPr>
          </w:p>
        </w:tc>
        <w:tc>
          <w:tcPr>
            <w:tcW w:w="160" w:type="dxa"/>
            <w:vAlign w:val="bottom"/>
            <w:shd w:val="clear" w:color="auto" w:fill="FDFDFD"/>
          </w:tcPr>
          <w:p>
            <w:pPr>
              <w:spacing w:after="0"/>
              <w:rPr>
                <w:sz w:val="14"/>
                <w:szCs w:val="14"/>
                <w:color w:val="auto"/>
              </w:rPr>
            </w:pPr>
          </w:p>
        </w:tc>
        <w:tc>
          <w:tcPr>
            <w:tcW w:w="1000" w:type="dxa"/>
            <w:vAlign w:val="bottom"/>
            <w:gridSpan w:val="2"/>
            <w:vMerge w:val="restart"/>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restart"/>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auto"/>
              </w:rPr>
              <w:t>(270,251)</w:t>
            </w:r>
          </w:p>
        </w:tc>
        <w:tc>
          <w:tcPr>
            <w:tcW w:w="160" w:type="dxa"/>
            <w:vAlign w:val="bottom"/>
            <w:shd w:val="clear" w:color="auto" w:fill="FDFDFD"/>
          </w:tcPr>
          <w:p>
            <w:pPr>
              <w:spacing w:after="0"/>
              <w:rPr>
                <w:sz w:val="14"/>
                <w:szCs w:val="14"/>
                <w:color w:val="auto"/>
              </w:rPr>
            </w:pPr>
          </w:p>
        </w:tc>
        <w:tc>
          <w:tcPr>
            <w:tcW w:w="920" w:type="dxa"/>
            <w:vAlign w:val="bottom"/>
            <w:vMerge w:val="restart"/>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4"/>
                <w:szCs w:val="14"/>
                <w:color w:val="auto"/>
              </w:rPr>
            </w:pPr>
          </w:p>
        </w:tc>
        <w:tc>
          <w:tcPr>
            <w:tcW w:w="120" w:type="dxa"/>
            <w:vAlign w:val="bottom"/>
            <w:shd w:val="clear" w:color="auto" w:fill="FDFDFD"/>
          </w:tcPr>
          <w:p>
            <w:pPr>
              <w:spacing w:after="0"/>
              <w:rPr>
                <w:sz w:val="14"/>
                <w:szCs w:val="14"/>
                <w:color w:val="auto"/>
              </w:rPr>
            </w:pPr>
          </w:p>
        </w:tc>
        <w:tc>
          <w:tcPr>
            <w:tcW w:w="920" w:type="dxa"/>
            <w:vAlign w:val="bottom"/>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6,544</w:t>
            </w:r>
          </w:p>
        </w:tc>
        <w:tc>
          <w:tcPr>
            <w:tcW w:w="140" w:type="dxa"/>
            <w:vAlign w:val="bottom"/>
            <w:shd w:val="clear" w:color="auto" w:fill="FDFDFD"/>
          </w:tcPr>
          <w:p>
            <w:pPr>
              <w:spacing w:after="0"/>
              <w:rPr>
                <w:sz w:val="14"/>
                <w:szCs w:val="14"/>
                <w:color w:val="auto"/>
              </w:rPr>
            </w:pPr>
          </w:p>
        </w:tc>
        <w:tc>
          <w:tcPr>
            <w:tcW w:w="180" w:type="dxa"/>
            <w:vAlign w:val="bottom"/>
            <w:shd w:val="clear" w:color="auto" w:fill="FDFDFD"/>
          </w:tcPr>
          <w:p>
            <w:pPr>
              <w:spacing w:after="0"/>
              <w:rPr>
                <w:sz w:val="14"/>
                <w:szCs w:val="14"/>
                <w:color w:val="auto"/>
              </w:rPr>
            </w:pPr>
          </w:p>
        </w:tc>
        <w:tc>
          <w:tcPr>
            <w:tcW w:w="960" w:type="dxa"/>
            <w:vAlign w:val="bottom"/>
            <w:gridSpan w:val="2"/>
            <w:vMerge w:val="restart"/>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4"/>
                <w:szCs w:val="14"/>
                <w:color w:val="auto"/>
              </w:rPr>
            </w:pPr>
          </w:p>
        </w:tc>
        <w:tc>
          <w:tcPr>
            <w:tcW w:w="1120" w:type="dxa"/>
            <w:vAlign w:val="bottom"/>
            <w:gridSpan w:val="2"/>
            <w:vMerge w:val="restart"/>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4"/>
                <w:szCs w:val="14"/>
                <w:color w:val="auto"/>
              </w:rPr>
            </w:pPr>
          </w:p>
        </w:tc>
        <w:tc>
          <w:tcPr>
            <w:tcW w:w="1240" w:type="dxa"/>
            <w:vAlign w:val="bottom"/>
            <w:gridSpan w:val="2"/>
            <w:vMerge w:val="restart"/>
            <w:shd w:val="clear" w:color="auto" w:fill="FDFDFD"/>
          </w:tcPr>
          <w:p>
            <w:pPr>
              <w:jc w:val="right"/>
              <w:ind w:right="80"/>
              <w:spacing w:after="0"/>
              <w:rPr>
                <w:sz w:val="20"/>
                <w:szCs w:val="20"/>
                <w:color w:val="auto"/>
              </w:rPr>
            </w:pPr>
            <w:r>
              <w:rPr>
                <w:rFonts w:ascii="Times New Roman" w:cs="Times New Roman" w:eastAsia="Times New Roman" w:hAnsi="Times New Roman"/>
                <w:sz w:val="16"/>
                <w:szCs w:val="16"/>
                <w:color w:val="auto"/>
              </w:rPr>
              <w:t>(6,491)</w:t>
            </w:r>
          </w:p>
        </w:tc>
        <w:tc>
          <w:tcPr>
            <w:tcW w:w="220" w:type="dxa"/>
            <w:vAlign w:val="bottom"/>
            <w:shd w:val="clear" w:color="auto" w:fill="FDFDFD"/>
          </w:tcPr>
          <w:p>
            <w:pPr>
              <w:spacing w:after="0"/>
              <w:rPr>
                <w:sz w:val="14"/>
                <w:szCs w:val="14"/>
                <w:color w:val="auto"/>
              </w:rPr>
            </w:pPr>
          </w:p>
        </w:tc>
        <w:tc>
          <w:tcPr>
            <w:tcW w:w="940" w:type="dxa"/>
            <w:vAlign w:val="bottom"/>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FDFDFD"/>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LLC unit exchanges</w:t>
            </w:r>
          </w:p>
        </w:tc>
        <w:tc>
          <w:tcPr>
            <w:tcW w:w="1220" w:type="dxa"/>
            <w:vAlign w:val="bottom"/>
            <w:vMerge w:val="continue"/>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160" w:type="dxa"/>
            <w:vAlign w:val="bottom"/>
            <w:shd w:val="clear" w:color="auto" w:fill="FDFDFD"/>
          </w:tcPr>
          <w:p>
            <w:pPr>
              <w:spacing w:after="0"/>
              <w:rPr>
                <w:sz w:val="18"/>
                <w:szCs w:val="18"/>
                <w:color w:val="auto"/>
              </w:rPr>
            </w:pPr>
          </w:p>
        </w:tc>
        <w:tc>
          <w:tcPr>
            <w:tcW w:w="1000" w:type="dxa"/>
            <w:vAlign w:val="bottom"/>
            <w:gridSpan w:val="2"/>
            <w:vMerge w:val="continue"/>
            <w:shd w:val="clear" w:color="auto" w:fill="FDFDFD"/>
          </w:tcPr>
          <w:p>
            <w:pPr>
              <w:spacing w:after="0"/>
              <w:rPr>
                <w:sz w:val="18"/>
                <w:szCs w:val="18"/>
                <w:color w:val="auto"/>
              </w:rPr>
            </w:pPr>
          </w:p>
        </w:tc>
        <w:tc>
          <w:tcPr>
            <w:tcW w:w="1360" w:type="dxa"/>
            <w:vAlign w:val="bottom"/>
            <w:gridSpan w:val="2"/>
            <w:vMerge w:val="continue"/>
            <w:shd w:val="clear" w:color="auto" w:fill="FDFDFD"/>
          </w:tcPr>
          <w:p>
            <w:pPr>
              <w:spacing w:after="0"/>
              <w:rPr>
                <w:sz w:val="18"/>
                <w:szCs w:val="18"/>
                <w:color w:val="auto"/>
              </w:rPr>
            </w:pPr>
          </w:p>
        </w:tc>
        <w:tc>
          <w:tcPr>
            <w:tcW w:w="160" w:type="dxa"/>
            <w:vAlign w:val="bottom"/>
            <w:shd w:val="clear" w:color="auto" w:fill="FDFDFD"/>
          </w:tcPr>
          <w:p>
            <w:pPr>
              <w:spacing w:after="0"/>
              <w:rPr>
                <w:sz w:val="18"/>
                <w:szCs w:val="18"/>
                <w:color w:val="auto"/>
              </w:rPr>
            </w:pPr>
          </w:p>
        </w:tc>
        <w:tc>
          <w:tcPr>
            <w:tcW w:w="920" w:type="dxa"/>
            <w:vAlign w:val="bottom"/>
            <w:vMerge w:val="continue"/>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120" w:type="dxa"/>
            <w:vAlign w:val="bottom"/>
            <w:shd w:val="clear" w:color="auto" w:fill="FDFDFD"/>
          </w:tcPr>
          <w:p>
            <w:pPr>
              <w:spacing w:after="0"/>
              <w:rPr>
                <w:sz w:val="18"/>
                <w:szCs w:val="18"/>
                <w:color w:val="auto"/>
              </w:rPr>
            </w:pPr>
          </w:p>
        </w:tc>
        <w:tc>
          <w:tcPr>
            <w:tcW w:w="920" w:type="dxa"/>
            <w:vAlign w:val="bottom"/>
            <w:vMerge w:val="continue"/>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180" w:type="dxa"/>
            <w:vAlign w:val="bottom"/>
            <w:shd w:val="clear" w:color="auto" w:fill="FDFDFD"/>
          </w:tcPr>
          <w:p>
            <w:pPr>
              <w:spacing w:after="0"/>
              <w:rPr>
                <w:sz w:val="18"/>
                <w:szCs w:val="18"/>
                <w:color w:val="auto"/>
              </w:rPr>
            </w:pPr>
          </w:p>
        </w:tc>
        <w:tc>
          <w:tcPr>
            <w:tcW w:w="960" w:type="dxa"/>
            <w:vAlign w:val="bottom"/>
            <w:gridSpan w:val="2"/>
            <w:vMerge w:val="continue"/>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120" w:type="dxa"/>
            <w:vAlign w:val="bottom"/>
            <w:gridSpan w:val="2"/>
            <w:vMerge w:val="continue"/>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240" w:type="dxa"/>
            <w:vAlign w:val="bottom"/>
            <w:gridSpan w:val="2"/>
            <w:vMerge w:val="continue"/>
            <w:shd w:val="clear" w:color="auto" w:fill="FDFDFD"/>
          </w:tcPr>
          <w:p>
            <w:pPr>
              <w:spacing w:after="0"/>
              <w:rPr>
                <w:sz w:val="18"/>
                <w:szCs w:val="18"/>
                <w:color w:val="auto"/>
              </w:rPr>
            </w:pPr>
          </w:p>
        </w:tc>
        <w:tc>
          <w:tcPr>
            <w:tcW w:w="220" w:type="dxa"/>
            <w:vAlign w:val="bottom"/>
            <w:shd w:val="clear" w:color="auto" w:fill="FDFDFD"/>
          </w:tcPr>
          <w:p>
            <w:pPr>
              <w:spacing w:after="0"/>
              <w:rPr>
                <w:sz w:val="18"/>
                <w:szCs w:val="18"/>
                <w:color w:val="auto"/>
              </w:rPr>
            </w:pPr>
          </w:p>
        </w:tc>
        <w:tc>
          <w:tcPr>
            <w:tcW w:w="940" w:type="dxa"/>
            <w:vAlign w:val="bottom"/>
            <w:vMerge w:val="continue"/>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Forfeited unvested incentive units</w:t>
            </w: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3E3E3"/>
          </w:tcPr>
          <w:p>
            <w:pPr>
              <w:spacing w:after="0"/>
              <w:rPr>
                <w:sz w:val="17"/>
                <w:szCs w:val="17"/>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auto"/>
              </w:rPr>
              <w:t>(53,251)</w:t>
            </w:r>
          </w:p>
        </w:tc>
        <w:tc>
          <w:tcPr>
            <w:tcW w:w="160" w:type="dxa"/>
            <w:vAlign w:val="bottom"/>
            <w:shd w:val="clear" w:color="auto" w:fill="E3E3E3"/>
          </w:tcPr>
          <w:p>
            <w:pPr>
              <w:spacing w:after="0"/>
              <w:rPr>
                <w:sz w:val="17"/>
                <w:szCs w:val="17"/>
                <w:color w:val="auto"/>
              </w:rPr>
            </w:pPr>
          </w:p>
        </w:tc>
        <w:tc>
          <w:tcPr>
            <w:tcW w:w="920" w:type="dxa"/>
            <w:vAlign w:val="bottom"/>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10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3E3E3"/>
          </w:tcPr>
          <w:p>
            <w:pPr>
              <w:spacing w:after="0"/>
              <w:rPr>
                <w:sz w:val="17"/>
                <w:szCs w:val="17"/>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7"/>
                <w:szCs w:val="17"/>
                <w:color w:val="auto"/>
              </w:rPr>
            </w:pPr>
          </w:p>
        </w:tc>
        <w:tc>
          <w:tcPr>
            <w:tcW w:w="112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7"/>
                <w:szCs w:val="17"/>
                <w:color w:val="auto"/>
              </w:rPr>
            </w:pPr>
          </w:p>
        </w:tc>
        <w:tc>
          <w:tcPr>
            <w:tcW w:w="124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3E3E3"/>
          </w:tcPr>
          <w:p>
            <w:pPr>
              <w:spacing w:after="0"/>
              <w:rPr>
                <w:sz w:val="17"/>
                <w:szCs w:val="17"/>
                <w:color w:val="auto"/>
              </w:rPr>
            </w:pPr>
          </w:p>
        </w:tc>
        <w:tc>
          <w:tcPr>
            <w:tcW w:w="108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31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FDFDFD"/>
          </w:tcPr>
          <w:p>
            <w:pPr>
              <w:spacing w:after="0"/>
              <w:rPr>
                <w:sz w:val="17"/>
                <w:szCs w:val="17"/>
                <w:color w:val="auto"/>
              </w:rPr>
            </w:pPr>
          </w:p>
        </w:tc>
        <w:tc>
          <w:tcPr>
            <w:tcW w:w="920" w:type="dxa"/>
            <w:vAlign w:val="bottom"/>
            <w:shd w:val="clear" w:color="auto" w:fill="FDFDFD"/>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9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28,517</w:t>
            </w:r>
          </w:p>
        </w:tc>
        <w:tc>
          <w:tcPr>
            <w:tcW w:w="140" w:type="dxa"/>
            <w:vAlign w:val="bottom"/>
            <w:shd w:val="clear" w:color="auto" w:fill="FDFDFD"/>
          </w:tcPr>
          <w:p>
            <w:pPr>
              <w:spacing w:after="0"/>
              <w:rPr>
                <w:sz w:val="17"/>
                <w:szCs w:val="17"/>
                <w:color w:val="auto"/>
              </w:rPr>
            </w:pPr>
          </w:p>
        </w:tc>
        <w:tc>
          <w:tcPr>
            <w:tcW w:w="180" w:type="dxa"/>
            <w:vAlign w:val="bottom"/>
            <w:shd w:val="clear" w:color="auto" w:fill="FDFDFD"/>
          </w:tcPr>
          <w:p>
            <w:pPr>
              <w:spacing w:after="0"/>
              <w:rPr>
                <w:sz w:val="17"/>
                <w:szCs w:val="17"/>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FDFDFD"/>
          </w:tcPr>
          <w:p>
            <w:pPr>
              <w:spacing w:after="0"/>
              <w:rPr>
                <w:sz w:val="17"/>
                <w:szCs w:val="17"/>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140" w:type="dxa"/>
            <w:vAlign w:val="bottom"/>
            <w:shd w:val="clear" w:color="auto" w:fill="FDFDFD"/>
          </w:tcPr>
          <w:p>
            <w:pPr>
              <w:spacing w:after="0"/>
              <w:rPr>
                <w:sz w:val="17"/>
                <w:szCs w:val="17"/>
                <w:color w:val="auto"/>
              </w:rPr>
            </w:pPr>
          </w:p>
        </w:tc>
        <w:tc>
          <w:tcPr>
            <w:tcW w:w="220" w:type="dxa"/>
            <w:vAlign w:val="bottom"/>
            <w:shd w:val="clear" w:color="auto" w:fill="FDFDFD"/>
          </w:tcPr>
          <w:p>
            <w:pPr>
              <w:spacing w:after="0"/>
              <w:rPr>
                <w:sz w:val="17"/>
                <w:szCs w:val="17"/>
                <w:color w:val="auto"/>
              </w:rPr>
            </w:pP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auto"/>
              </w:rPr>
              <w:t>38,085</w:t>
            </w:r>
          </w:p>
        </w:tc>
        <w:tc>
          <w:tcPr>
            <w:tcW w:w="140" w:type="dxa"/>
            <w:vAlign w:val="bottom"/>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1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3E3E3"/>
          </w:tcPr>
          <w:p>
            <w:pPr>
              <w:spacing w:after="0"/>
              <w:rPr>
                <w:sz w:val="18"/>
                <w:szCs w:val="18"/>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3E3E3"/>
          </w:tcPr>
          <w:p>
            <w:pPr>
              <w:spacing w:after="0"/>
              <w:rPr>
                <w:sz w:val="18"/>
                <w:szCs w:val="18"/>
                <w:color w:val="auto"/>
              </w:rPr>
            </w:pPr>
          </w:p>
        </w:tc>
        <w:tc>
          <w:tcPr>
            <w:tcW w:w="920" w:type="dxa"/>
            <w:vAlign w:val="bottom"/>
            <w:shd w:val="clear" w:color="auto" w:fill="E3E3E3"/>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3E3E3"/>
          </w:tcPr>
          <w:p>
            <w:pPr>
              <w:spacing w:after="0"/>
              <w:rPr>
                <w:sz w:val="18"/>
                <w:szCs w:val="18"/>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8"/>
                <w:szCs w:val="18"/>
                <w:color w:val="auto"/>
              </w:rPr>
            </w:pPr>
          </w:p>
        </w:tc>
        <w:tc>
          <w:tcPr>
            <w:tcW w:w="112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3E3E3"/>
          </w:tcPr>
          <w:p>
            <w:pPr>
              <w:spacing w:after="0"/>
              <w:rPr>
                <w:sz w:val="18"/>
                <w:szCs w:val="18"/>
                <w:color w:val="auto"/>
              </w:rPr>
            </w:pPr>
          </w:p>
        </w:tc>
        <w:tc>
          <w:tcPr>
            <w:tcW w:w="124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16"/>
                <w:szCs w:val="16"/>
                <w:color w:val="auto"/>
              </w:rPr>
              <w:t>(5,135)</w:t>
            </w:r>
          </w:p>
        </w:tc>
        <w:tc>
          <w:tcPr>
            <w:tcW w:w="220" w:type="dxa"/>
            <w:vAlign w:val="bottom"/>
            <w:shd w:val="clear" w:color="auto" w:fill="E3E3E3"/>
          </w:tcPr>
          <w:p>
            <w:pPr>
              <w:spacing w:after="0"/>
              <w:rPr>
                <w:sz w:val="18"/>
                <w:szCs w:val="18"/>
                <w:color w:val="auto"/>
              </w:rPr>
            </w:pPr>
          </w:p>
        </w:tc>
        <w:tc>
          <w:tcPr>
            <w:tcW w:w="108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auto"/>
              </w:rPr>
              <w:t>(5,135)</w:t>
            </w:r>
          </w:p>
        </w:tc>
        <w:tc>
          <w:tcPr>
            <w:tcW w:w="0" w:type="dxa"/>
            <w:vAlign w:val="bottom"/>
          </w:tcPr>
          <w:p>
            <w:pPr>
              <w:spacing w:after="0"/>
              <w:rPr>
                <w:sz w:val="1"/>
                <w:szCs w:val="1"/>
                <w:color w:val="auto"/>
              </w:rPr>
            </w:pPr>
          </w:p>
        </w:tc>
      </w:tr>
      <w:tr>
        <w:trPr>
          <w:trHeight w:val="168"/>
        </w:trPr>
        <w:tc>
          <w:tcPr>
            <w:tcW w:w="3120" w:type="dxa"/>
            <w:vAlign w:val="bottom"/>
            <w:tcBorders>
              <w:top w:val="single" w:sz="8" w:color="E3E3E3"/>
              <w:bottom w:val="single" w:sz="8" w:color="FDFDFD"/>
            </w:tcBorders>
            <w:shd w:val="clear" w:color="auto" w:fill="FDFDFD"/>
          </w:tcPr>
          <w:p>
            <w:pPr>
              <w:spacing w:after="0" w:line="168"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220" w:type="dxa"/>
            <w:vAlign w:val="bottom"/>
            <w:tcBorders>
              <w:top w:val="single" w:sz="8" w:color="auto"/>
              <w:bottom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113,953,554</w:t>
            </w:r>
          </w:p>
        </w:tc>
        <w:tc>
          <w:tcPr>
            <w:tcW w:w="140" w:type="dxa"/>
            <w:vAlign w:val="bottom"/>
            <w:tcBorders>
              <w:top w:val="single" w:sz="8" w:color="E3E3E3"/>
              <w:bottom w:val="single" w:sz="8" w:color="FDFDFD"/>
            </w:tcBorders>
            <w:shd w:val="clear" w:color="auto" w:fill="FDFDFD"/>
          </w:tcPr>
          <w:p>
            <w:pPr>
              <w:spacing w:after="0"/>
              <w:rPr>
                <w:sz w:val="14"/>
                <w:szCs w:val="14"/>
                <w:color w:val="auto"/>
              </w:rPr>
            </w:pPr>
          </w:p>
        </w:tc>
        <w:tc>
          <w:tcPr>
            <w:tcW w:w="160" w:type="dxa"/>
            <w:vAlign w:val="bottom"/>
            <w:tcBorders>
              <w:top w:val="single" w:sz="8" w:color="auto"/>
              <w:bottom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114</w:t>
            </w:r>
          </w:p>
        </w:tc>
        <w:tc>
          <w:tcPr>
            <w:tcW w:w="140" w:type="dxa"/>
            <w:vAlign w:val="bottom"/>
            <w:tcBorders>
              <w:top w:val="single" w:sz="8" w:color="E3E3E3"/>
              <w:bottom w:val="single" w:sz="8" w:color="FDFDFD"/>
            </w:tcBorders>
            <w:shd w:val="clear" w:color="auto" w:fill="FDFDFD"/>
          </w:tcPr>
          <w:p>
            <w:pPr>
              <w:spacing w:after="0"/>
              <w:rPr>
                <w:sz w:val="14"/>
                <w:szCs w:val="14"/>
                <w:color w:val="auto"/>
              </w:rPr>
            </w:pPr>
          </w:p>
        </w:tc>
        <w:tc>
          <w:tcPr>
            <w:tcW w:w="1220" w:type="dxa"/>
            <w:vAlign w:val="bottom"/>
            <w:tcBorders>
              <w:top w:val="single" w:sz="8" w:color="auto"/>
              <w:bottom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39,439,198</w:t>
            </w:r>
          </w:p>
        </w:tc>
        <w:tc>
          <w:tcPr>
            <w:tcW w:w="140" w:type="dxa"/>
            <w:vAlign w:val="bottom"/>
            <w:tcBorders>
              <w:top w:val="single" w:sz="8" w:color="E3E3E3"/>
              <w:bottom w:val="single" w:sz="8" w:color="FDFDFD"/>
            </w:tcBorders>
            <w:shd w:val="clear" w:color="auto" w:fill="FDFDFD"/>
          </w:tcPr>
          <w:p>
            <w:pPr>
              <w:spacing w:after="0"/>
              <w:rPr>
                <w:sz w:val="14"/>
                <w:szCs w:val="14"/>
                <w:color w:val="auto"/>
              </w:rPr>
            </w:pPr>
          </w:p>
        </w:tc>
        <w:tc>
          <w:tcPr>
            <w:tcW w:w="160" w:type="dxa"/>
            <w:vAlign w:val="bottom"/>
            <w:tcBorders>
              <w:top w:val="single" w:sz="8" w:color="auto"/>
              <w:bottom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FDFDFD"/>
          </w:tcPr>
          <w:p>
            <w:pPr>
              <w:ind w:left="740"/>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E3E3E3"/>
              <w:bottom w:val="single" w:sz="8" w:color="FDFDFD"/>
            </w:tcBorders>
            <w:shd w:val="clear" w:color="auto" w:fill="FDFDFD"/>
          </w:tcPr>
          <w:p>
            <w:pPr>
              <w:spacing w:after="0"/>
              <w:rPr>
                <w:sz w:val="14"/>
                <w:szCs w:val="14"/>
                <w:color w:val="auto"/>
              </w:rPr>
            </w:pPr>
          </w:p>
        </w:tc>
        <w:tc>
          <w:tcPr>
            <w:tcW w:w="120" w:type="dxa"/>
            <w:vAlign w:val="bottom"/>
            <w:tcBorders>
              <w:top w:val="single" w:sz="8" w:color="auto"/>
              <w:bottom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1,085,445</w:t>
            </w:r>
          </w:p>
        </w:tc>
        <w:tc>
          <w:tcPr>
            <w:tcW w:w="140" w:type="dxa"/>
            <w:vAlign w:val="bottom"/>
            <w:tcBorders>
              <w:top w:val="single" w:sz="8" w:color="E3E3E3"/>
              <w:bottom w:val="single" w:sz="8" w:color="FDFDFD"/>
            </w:tcBorders>
            <w:shd w:val="clear" w:color="auto" w:fill="FDFDFD"/>
          </w:tcPr>
          <w:p>
            <w:pPr>
              <w:spacing w:after="0"/>
              <w:rPr>
                <w:sz w:val="14"/>
                <w:szCs w:val="14"/>
                <w:color w:val="auto"/>
              </w:rPr>
            </w:pPr>
          </w:p>
        </w:tc>
        <w:tc>
          <w:tcPr>
            <w:tcW w:w="180" w:type="dxa"/>
            <w:vAlign w:val="bottom"/>
            <w:tcBorders>
              <w:top w:val="single" w:sz="8" w:color="auto"/>
              <w:bottom w:val="single" w:sz="8" w:color="auto"/>
            </w:tcBorders>
            <w:shd w:val="clear" w:color="auto" w:fill="FDFDFD"/>
          </w:tcPr>
          <w:p>
            <w:pPr>
              <w:jc w:val="right"/>
              <w:ind w:right="21"/>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(640,574)</w:t>
            </w:r>
          </w:p>
        </w:tc>
        <w:tc>
          <w:tcPr>
            <w:tcW w:w="140" w:type="dxa"/>
            <w:vAlign w:val="bottom"/>
            <w:tcBorders>
              <w:top w:val="single" w:sz="8" w:color="E3E3E3"/>
              <w:bottom w:val="single" w:sz="8" w:color="FDFDFD"/>
            </w:tcBorders>
            <w:shd w:val="clear" w:color="auto" w:fill="FDFDFD"/>
          </w:tcPr>
          <w:p>
            <w:pPr>
              <w:spacing w:after="0"/>
              <w:rPr>
                <w:sz w:val="14"/>
                <w:szCs w:val="14"/>
                <w:color w:val="auto"/>
              </w:rPr>
            </w:pPr>
          </w:p>
        </w:tc>
        <w:tc>
          <w:tcPr>
            <w:tcW w:w="100" w:type="dxa"/>
            <w:vAlign w:val="bottom"/>
            <w:tcBorders>
              <w:top w:val="single" w:sz="8" w:color="auto"/>
              <w:bottom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(610)</w:t>
            </w:r>
          </w:p>
        </w:tc>
        <w:tc>
          <w:tcPr>
            <w:tcW w:w="140" w:type="dxa"/>
            <w:vAlign w:val="bottom"/>
            <w:tcBorders>
              <w:top w:val="single" w:sz="8" w:color="E3E3E3"/>
              <w:bottom w:val="single" w:sz="8" w:color="FDFDFD"/>
            </w:tcBorders>
            <w:shd w:val="clear" w:color="auto" w:fill="FDFDFD"/>
          </w:tcPr>
          <w:p>
            <w:pPr>
              <w:spacing w:after="0"/>
              <w:rPr>
                <w:sz w:val="14"/>
                <w:szCs w:val="14"/>
                <w:color w:val="auto"/>
              </w:rPr>
            </w:pPr>
          </w:p>
        </w:tc>
        <w:tc>
          <w:tcPr>
            <w:tcW w:w="100" w:type="dxa"/>
            <w:vAlign w:val="bottom"/>
            <w:tcBorders>
              <w:top w:val="single" w:sz="8" w:color="auto"/>
              <w:bottom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162,819</w:t>
            </w:r>
          </w:p>
        </w:tc>
        <w:tc>
          <w:tcPr>
            <w:tcW w:w="140" w:type="dxa"/>
            <w:vAlign w:val="bottom"/>
            <w:tcBorders>
              <w:top w:val="single" w:sz="8" w:color="E3E3E3"/>
              <w:bottom w:val="single" w:sz="8" w:color="FDFDFD"/>
            </w:tcBorders>
            <w:shd w:val="clear" w:color="auto" w:fill="FDFDFD"/>
          </w:tcPr>
          <w:p>
            <w:pPr>
              <w:spacing w:after="0"/>
              <w:rPr>
                <w:sz w:val="14"/>
                <w:szCs w:val="14"/>
                <w:color w:val="auto"/>
              </w:rPr>
            </w:pPr>
          </w:p>
        </w:tc>
        <w:tc>
          <w:tcPr>
            <w:tcW w:w="220" w:type="dxa"/>
            <w:vAlign w:val="bottom"/>
            <w:tcBorders>
              <w:top w:val="single" w:sz="8" w:color="auto"/>
              <w:bottom w:val="single" w:sz="8" w:color="auto"/>
            </w:tcBorders>
            <w:shd w:val="clear" w:color="auto" w:fill="FDFDFD"/>
          </w:tcPr>
          <w:p>
            <w:pPr>
              <w:jc w:val="right"/>
              <w:ind w:right="60"/>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FDFDFD"/>
          </w:tcPr>
          <w:p>
            <w:pPr>
              <w:jc w:val="right"/>
              <w:spacing w:after="0" w:line="168" w:lineRule="exact"/>
              <w:rPr>
                <w:sz w:val="20"/>
                <w:szCs w:val="20"/>
                <w:color w:val="auto"/>
              </w:rPr>
            </w:pPr>
            <w:r>
              <w:rPr>
                <w:rFonts w:ascii="Times New Roman" w:cs="Times New Roman" w:eastAsia="Times New Roman" w:hAnsi="Times New Roman"/>
                <w:sz w:val="16"/>
                <w:szCs w:val="16"/>
                <w:color w:val="auto"/>
              </w:rPr>
              <w:t>607,194</w:t>
            </w:r>
          </w:p>
        </w:tc>
        <w:tc>
          <w:tcPr>
            <w:tcW w:w="140" w:type="dxa"/>
            <w:vAlign w:val="bottom"/>
            <w:tcBorders>
              <w:top w:val="single" w:sz="8" w:color="E3E3E3"/>
              <w:bottom w:val="single" w:sz="8" w:color="FDFDFD"/>
            </w:tcBorders>
            <w:shd w:val="clear" w:color="auto" w:fill="FDFDFD"/>
          </w:tcPr>
          <w:p>
            <w:pPr>
              <w:spacing w:after="0"/>
              <w:rPr>
                <w:sz w:val="14"/>
                <w:szCs w:val="14"/>
                <w:color w:val="auto"/>
              </w:rPr>
            </w:pPr>
          </w:p>
        </w:tc>
        <w:tc>
          <w:tcPr>
            <w:tcW w:w="0" w:type="dxa"/>
            <w:vAlign w:val="bottom"/>
          </w:tcPr>
          <w:p>
            <w:pPr>
              <w:spacing w:after="0"/>
              <w:rPr>
                <w:sz w:val="1"/>
                <w:szCs w:val="1"/>
                <w:color w:val="auto"/>
              </w:rPr>
            </w:pPr>
          </w:p>
        </w:tc>
      </w:tr>
    </w:tbl>
    <w:p>
      <w:pPr>
        <w:jc w:val="center"/>
        <w:spacing w:after="0" w:line="226" w:lineRule="auto"/>
        <w:rPr>
          <w:sz w:val="20"/>
          <w:szCs w:val="20"/>
          <w:color w:val="auto"/>
        </w:rPr>
      </w:pPr>
      <w:r>
        <w:rPr>
          <w:rFonts w:ascii="Times New Roman" w:cs="Times New Roman" w:eastAsia="Times New Roman" w:hAnsi="Times New Roman"/>
          <w:sz w:val="20"/>
          <w:szCs w:val="20"/>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-127635</wp:posOffset>
            </wp:positionV>
            <wp:extent cx="707707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77075" cy="9525"/>
                    </a:xfrm>
                    <a:prstGeom prst="rect">
                      <a:avLst/>
                    </a:prstGeom>
                    <a:noFill/>
                  </pic:spPr>
                </pic:pic>
              </a:graphicData>
            </a:graphic>
          </wp:anchor>
        </w:drawing>
      </w:r>
    </w:p>
    <w:p>
      <w:pPr>
        <w:sectPr>
          <w:pgSz w:w="15480" w:h="11880" w:orient="landscape"/>
          <w:cols w:equalWidth="0" w:num="1">
            <w:col w:w="14400"/>
          </w:cols>
          <w:pgMar w:left="540" w:top="681" w:right="540" w:bottom="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5480" w:h="11880" w:orient="landscape"/>
          <w:cols w:equalWidth="0" w:num="1">
            <w:col w:w="14400"/>
          </w:cols>
          <w:pgMar w:left="540" w:top="681" w:right="540" w:bottom="57"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DEFINITIVE HEALTHCARE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60" w:type="dxa"/>
            <w:vAlign w:val="bottom"/>
            <w:tcBorders>
              <w:bottom w:val="single" w:sz="8" w:color="FDFDFD"/>
            </w:tcBorders>
            <w:shd w:val="clear" w:color="auto" w:fill="FDFDFD"/>
          </w:tcPr>
          <w:p>
            <w:pPr>
              <w:spacing w:after="0"/>
              <w:rPr>
                <w:sz w:val="19"/>
                <w:szCs w:val="19"/>
                <w:color w:val="auto"/>
              </w:rPr>
            </w:pPr>
          </w:p>
        </w:tc>
        <w:tc>
          <w:tcPr>
            <w:tcW w:w="140" w:type="dxa"/>
            <w:vAlign w:val="bottom"/>
            <w:tcBorders>
              <w:bottom w:val="single" w:sz="8" w:color="FDFDFD"/>
            </w:tcBorders>
            <w:shd w:val="clear" w:color="auto" w:fill="FDFDFD"/>
          </w:tcPr>
          <w:p>
            <w:pPr>
              <w:spacing w:after="0"/>
              <w:rPr>
                <w:sz w:val="19"/>
                <w:szCs w:val="19"/>
                <w:color w:val="auto"/>
              </w:rPr>
            </w:pPr>
          </w:p>
        </w:tc>
        <w:tc>
          <w:tcPr>
            <w:tcW w:w="280" w:type="dxa"/>
            <w:vAlign w:val="bottom"/>
            <w:tcBorders>
              <w:bottom w:val="single" w:sz="8" w:color="auto"/>
            </w:tcBorders>
            <w:shd w:val="clear" w:color="auto" w:fill="FDFDFD"/>
          </w:tcPr>
          <w:p>
            <w:pPr>
              <w:spacing w:after="0"/>
              <w:rPr>
                <w:sz w:val="19"/>
                <w:szCs w:val="19"/>
                <w:color w:val="auto"/>
              </w:rPr>
            </w:pPr>
          </w:p>
        </w:tc>
        <w:tc>
          <w:tcPr>
            <w:tcW w:w="3020" w:type="dxa"/>
            <w:vAlign w:val="bottom"/>
            <w:tcBorders>
              <w:bottom w:val="single" w:sz="8" w:color="auto"/>
            </w:tcBorders>
            <w:gridSpan w:val="8"/>
            <w:shd w:val="clear" w:color="auto" w:fill="FDFDFD"/>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shd w:val="clear" w:color="auto" w:fill="FDFDFD"/>
          </w:tcPr>
          <w:p>
            <w:pPr>
              <w:spacing w:after="0"/>
              <w:rPr>
                <w:sz w:val="19"/>
                <w:szCs w:val="19"/>
                <w:color w:val="auto"/>
              </w:rPr>
            </w:pPr>
          </w:p>
        </w:tc>
        <w:tc>
          <w:tcPr>
            <w:tcW w:w="100" w:type="dxa"/>
            <w:vAlign w:val="bottom"/>
            <w:tcBorders>
              <w:bottom w:val="single" w:sz="8" w:color="FDFDFD"/>
            </w:tcBorders>
            <w:shd w:val="clear" w:color="auto" w:fill="FDFDFD"/>
          </w:tcPr>
          <w:p>
            <w:pPr>
              <w:spacing w:after="0"/>
              <w:rPr>
                <w:sz w:val="19"/>
                <w:szCs w:val="19"/>
                <w:color w:val="auto"/>
              </w:rPr>
            </w:pPr>
          </w:p>
        </w:tc>
      </w:tr>
      <w:tr>
        <w:trPr>
          <w:trHeight w:val="211"/>
        </w:trPr>
        <w:tc>
          <w:tcPr>
            <w:tcW w:w="6260" w:type="dxa"/>
            <w:vAlign w:val="bottom"/>
            <w:tcBorders>
              <w:bottom w:val="single" w:sz="8" w:color="E3E3E3"/>
            </w:tcBorders>
            <w:shd w:val="clear" w:color="auto" w:fill="FDFDFD"/>
          </w:tcPr>
          <w:p>
            <w:pPr>
              <w:spacing w:after="0"/>
              <w:rPr>
                <w:sz w:val="18"/>
                <w:szCs w:val="18"/>
                <w:color w:val="auto"/>
              </w:rPr>
            </w:pPr>
          </w:p>
        </w:tc>
        <w:tc>
          <w:tcPr>
            <w:tcW w:w="140" w:type="dxa"/>
            <w:vAlign w:val="bottom"/>
            <w:tcBorders>
              <w:bottom w:val="single" w:sz="8" w:color="E3E3E3"/>
            </w:tcBorders>
            <w:shd w:val="clear" w:color="auto" w:fill="FDFDFD"/>
          </w:tcPr>
          <w:p>
            <w:pPr>
              <w:spacing w:after="0"/>
              <w:rPr>
                <w:sz w:val="18"/>
                <w:szCs w:val="18"/>
                <w:color w:val="auto"/>
              </w:rPr>
            </w:pPr>
          </w:p>
        </w:tc>
        <w:tc>
          <w:tcPr>
            <w:tcW w:w="280" w:type="dxa"/>
            <w:vAlign w:val="bottom"/>
            <w:tcBorders>
              <w:bottom w:val="single" w:sz="8" w:color="auto"/>
            </w:tcBorders>
            <w:shd w:val="clear" w:color="auto" w:fill="FDFDFD"/>
          </w:tcPr>
          <w:p>
            <w:pPr>
              <w:spacing w:after="0"/>
              <w:rPr>
                <w:sz w:val="18"/>
                <w:szCs w:val="18"/>
                <w:color w:val="auto"/>
              </w:rPr>
            </w:pPr>
          </w:p>
        </w:tc>
        <w:tc>
          <w:tcPr>
            <w:tcW w:w="980" w:type="dxa"/>
            <w:vAlign w:val="bottom"/>
            <w:tcBorders>
              <w:bottom w:val="single" w:sz="8" w:color="auto"/>
            </w:tcBorders>
            <w:shd w:val="clear" w:color="auto" w:fill="FDFDFD"/>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E3E3E3"/>
            </w:tcBorders>
            <w:shd w:val="clear" w:color="auto" w:fill="FDFDFD"/>
          </w:tcPr>
          <w:p>
            <w:pPr>
              <w:spacing w:after="0"/>
              <w:rPr>
                <w:sz w:val="18"/>
                <w:szCs w:val="18"/>
                <w:color w:val="auto"/>
              </w:rPr>
            </w:pPr>
          </w:p>
        </w:tc>
        <w:tc>
          <w:tcPr>
            <w:tcW w:w="140" w:type="dxa"/>
            <w:vAlign w:val="bottom"/>
            <w:tcBorders>
              <w:bottom w:val="single" w:sz="8" w:color="E3E3E3"/>
            </w:tcBorders>
            <w:shd w:val="clear" w:color="auto" w:fill="FDFDFD"/>
          </w:tcPr>
          <w:p>
            <w:pPr>
              <w:spacing w:after="0"/>
              <w:rPr>
                <w:sz w:val="18"/>
                <w:szCs w:val="18"/>
                <w:color w:val="auto"/>
              </w:rPr>
            </w:pPr>
          </w:p>
        </w:tc>
        <w:tc>
          <w:tcPr>
            <w:tcW w:w="280" w:type="dxa"/>
            <w:vAlign w:val="bottom"/>
            <w:tcBorders>
              <w:bottom w:val="single" w:sz="8" w:color="auto"/>
            </w:tcBorders>
            <w:shd w:val="clear" w:color="auto" w:fill="FDFDFD"/>
          </w:tcPr>
          <w:p>
            <w:pPr>
              <w:spacing w:after="0"/>
              <w:rPr>
                <w:sz w:val="18"/>
                <w:szCs w:val="18"/>
                <w:color w:val="auto"/>
              </w:rPr>
            </w:pPr>
          </w:p>
        </w:tc>
        <w:tc>
          <w:tcPr>
            <w:tcW w:w="980" w:type="dxa"/>
            <w:vAlign w:val="bottom"/>
            <w:tcBorders>
              <w:bottom w:val="single" w:sz="8" w:color="auto"/>
            </w:tcBorders>
            <w:shd w:val="clear" w:color="auto" w:fill="FDFDFD"/>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3E3E3"/>
            </w:tcBorders>
            <w:shd w:val="clear" w:color="auto" w:fill="FDFDFD"/>
          </w:tcPr>
          <w:p>
            <w:pPr>
              <w:spacing w:after="0"/>
              <w:rPr>
                <w:sz w:val="18"/>
                <w:szCs w:val="18"/>
                <w:color w:val="auto"/>
              </w:rPr>
            </w:pPr>
          </w:p>
        </w:tc>
        <w:tc>
          <w:tcPr>
            <w:tcW w:w="160" w:type="dxa"/>
            <w:vAlign w:val="bottom"/>
            <w:tcBorders>
              <w:bottom w:val="single" w:sz="8" w:color="E3E3E3"/>
            </w:tcBorders>
            <w:shd w:val="clear" w:color="auto" w:fill="FDFDFD"/>
          </w:tcPr>
          <w:p>
            <w:pPr>
              <w:spacing w:after="0"/>
              <w:rPr>
                <w:sz w:val="18"/>
                <w:szCs w:val="18"/>
                <w:color w:val="auto"/>
              </w:rPr>
            </w:pPr>
          </w:p>
        </w:tc>
        <w:tc>
          <w:tcPr>
            <w:tcW w:w="260" w:type="dxa"/>
            <w:vAlign w:val="bottom"/>
            <w:tcBorders>
              <w:bottom w:val="single" w:sz="8" w:color="auto"/>
            </w:tcBorders>
            <w:shd w:val="clear" w:color="auto" w:fill="FDFDFD"/>
          </w:tcPr>
          <w:p>
            <w:pPr>
              <w:spacing w:after="0"/>
              <w:rPr>
                <w:sz w:val="18"/>
                <w:szCs w:val="18"/>
                <w:color w:val="auto"/>
              </w:rPr>
            </w:pPr>
          </w:p>
        </w:tc>
        <w:tc>
          <w:tcPr>
            <w:tcW w:w="1000" w:type="dxa"/>
            <w:vAlign w:val="bottom"/>
            <w:tcBorders>
              <w:bottom w:val="single" w:sz="8" w:color="auto"/>
            </w:tcBorders>
            <w:shd w:val="clear" w:color="auto" w:fill="FDFDFD"/>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3E3E3"/>
            </w:tcBorders>
            <w:shd w:val="clear" w:color="auto" w:fill="FDFDFD"/>
          </w:tcPr>
          <w:p>
            <w:pPr>
              <w:spacing w:after="0"/>
              <w:rPr>
                <w:sz w:val="18"/>
                <w:szCs w:val="18"/>
                <w:color w:val="auto"/>
              </w:rPr>
            </w:pPr>
          </w:p>
        </w:tc>
      </w:tr>
      <w:tr>
        <w:trPr>
          <w:trHeight w:val="211"/>
        </w:trPr>
        <w:tc>
          <w:tcPr>
            <w:tcW w:w="64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280" w:type="dxa"/>
            <w:vAlign w:val="bottom"/>
            <w:shd w:val="clear" w:color="auto" w:fill="E3E3E3"/>
          </w:tcPr>
          <w:p>
            <w:pPr>
              <w:spacing w:after="0"/>
              <w:rPr>
                <w:sz w:val="18"/>
                <w:szCs w:val="18"/>
                <w:color w:val="auto"/>
              </w:rPr>
            </w:pPr>
          </w:p>
        </w:tc>
        <w:tc>
          <w:tcPr>
            <w:tcW w:w="98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98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00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r>
      <w:tr>
        <w:trPr>
          <w:trHeight w:val="221"/>
        </w:trPr>
        <w:tc>
          <w:tcPr>
            <w:tcW w:w="626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(591,446)</w:t>
            </w:r>
          </w:p>
        </w:tc>
        <w:tc>
          <w:tcPr>
            <w:tcW w:w="1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(289,627)</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(24,179)</w:t>
            </w:r>
          </w:p>
        </w:tc>
        <w:tc>
          <w:tcPr>
            <w:tcW w:w="100" w:type="dxa"/>
            <w:vAlign w:val="bottom"/>
            <w:shd w:val="clear" w:color="auto" w:fill="FDFDFD"/>
          </w:tcPr>
          <w:p>
            <w:pPr>
              <w:spacing w:after="0"/>
              <w:rPr>
                <w:sz w:val="19"/>
                <w:szCs w:val="19"/>
                <w:color w:val="auto"/>
              </w:rPr>
            </w:pPr>
          </w:p>
        </w:tc>
      </w:tr>
      <w:tr>
        <w:trPr>
          <w:trHeight w:val="202"/>
        </w:trPr>
        <w:tc>
          <w:tcPr>
            <w:tcW w:w="6260" w:type="dxa"/>
            <w:vAlign w:val="bottom"/>
            <w:shd w:val="clear" w:color="auto" w:fill="E3E3E3"/>
          </w:tcPr>
          <w:p>
            <w:pPr>
              <w:spacing w:after="0" w:line="202" w:lineRule="exact"/>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w:t>
            </w:r>
          </w:p>
        </w:tc>
        <w:tc>
          <w:tcPr>
            <w:tcW w:w="140" w:type="dxa"/>
            <w:vAlign w:val="bottom"/>
            <w:shd w:val="clear" w:color="auto" w:fill="E3E3E3"/>
          </w:tcPr>
          <w:p>
            <w:pPr>
              <w:spacing w:after="0"/>
              <w:rPr>
                <w:sz w:val="17"/>
                <w:szCs w:val="17"/>
                <w:color w:val="auto"/>
              </w:rPr>
            </w:pPr>
          </w:p>
        </w:tc>
        <w:tc>
          <w:tcPr>
            <w:tcW w:w="28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28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260" w:type="dxa"/>
            <w:vAlign w:val="bottom"/>
            <w:shd w:val="clear" w:color="auto" w:fill="E3E3E3"/>
          </w:tcPr>
          <w:p>
            <w:pPr>
              <w:spacing w:after="0"/>
              <w:rPr>
                <w:sz w:val="17"/>
                <w:szCs w:val="17"/>
                <w:color w:val="auto"/>
              </w:rPr>
            </w:pPr>
          </w:p>
        </w:tc>
        <w:tc>
          <w:tcPr>
            <w:tcW w:w="10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r>
      <w:tr>
        <w:trPr>
          <w:trHeight w:val="226"/>
        </w:trPr>
        <w:tc>
          <w:tcPr>
            <w:tcW w:w="64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8"/>
                <w:szCs w:val="18"/>
                <w:color w:val="auto"/>
              </w:rPr>
              <w:t>activities:</w:t>
            </w: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21"/>
        </w:trPr>
        <w:tc>
          <w:tcPr>
            <w:tcW w:w="6400" w:type="dxa"/>
            <w:vAlign w:val="bottom"/>
            <w:gridSpan w:val="2"/>
            <w:shd w:val="clear" w:color="auto" w:fill="FDFDFD"/>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FDFDFD"/>
          </w:tcPr>
          <w:p>
            <w:pPr>
              <w:spacing w:after="0"/>
              <w:rPr>
                <w:sz w:val="19"/>
                <w:szCs w:val="19"/>
                <w:color w:val="auto"/>
              </w:rPr>
            </w:pPr>
          </w:p>
        </w:tc>
      </w:tr>
      <w:tr>
        <w:trPr>
          <w:trHeight w:val="221"/>
        </w:trPr>
        <w:tc>
          <w:tcPr>
            <w:tcW w:w="6400" w:type="dxa"/>
            <w:vAlign w:val="bottom"/>
            <w:gridSpan w:val="2"/>
            <w:shd w:val="clear" w:color="auto" w:fill="E3E3E3"/>
          </w:tcPr>
          <w:p>
            <w:pPr>
              <w:ind w:left="7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49,422</w:t>
            </w:r>
          </w:p>
        </w:tc>
        <w:tc>
          <w:tcPr>
            <w:tcW w:w="1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49,797</w:t>
            </w: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54,711</w:t>
            </w:r>
          </w:p>
        </w:tc>
        <w:tc>
          <w:tcPr>
            <w:tcW w:w="100" w:type="dxa"/>
            <w:vAlign w:val="bottom"/>
            <w:shd w:val="clear" w:color="auto" w:fill="E3E3E3"/>
          </w:tcPr>
          <w:p>
            <w:pPr>
              <w:spacing w:after="0"/>
              <w:rPr>
                <w:sz w:val="19"/>
                <w:szCs w:val="19"/>
                <w:color w:val="auto"/>
              </w:rPr>
            </w:pPr>
          </w:p>
        </w:tc>
      </w:tr>
      <w:tr>
        <w:trPr>
          <w:trHeight w:val="221"/>
        </w:trPr>
        <w:tc>
          <w:tcPr>
            <w:tcW w:w="6400" w:type="dxa"/>
            <w:vAlign w:val="bottom"/>
            <w:gridSpan w:val="2"/>
            <w:shd w:val="clear" w:color="auto" w:fill="FDFDFD"/>
          </w:tcPr>
          <w:p>
            <w:pPr>
              <w:ind w:left="700"/>
              <w:spacing w:after="0"/>
              <w:rPr>
                <w:sz w:val="20"/>
                <w:szCs w:val="20"/>
                <w:color w:val="auto"/>
              </w:rPr>
            </w:pPr>
            <w:r>
              <w:rPr>
                <w:rFonts w:ascii="Times New Roman" w:cs="Times New Roman" w:eastAsia="Times New Roman" w:hAnsi="Times New Roman"/>
                <w:sz w:val="18"/>
                <w:szCs w:val="18"/>
                <w:color w:val="auto"/>
              </w:rPr>
              <w:t>Amortization of deferred contract costs</w:t>
            </w: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15,441</w:t>
            </w:r>
          </w:p>
        </w:tc>
        <w:tc>
          <w:tcPr>
            <w:tcW w:w="1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100" w:type="dxa"/>
            <w:vAlign w:val="bottom"/>
            <w:shd w:val="clear" w:color="auto" w:fill="FDFDFD"/>
          </w:tcPr>
          <w:p>
            <w:pPr>
              <w:spacing w:after="0"/>
              <w:rPr>
                <w:sz w:val="19"/>
                <w:szCs w:val="19"/>
                <w:color w:val="auto"/>
              </w:rPr>
            </w:pPr>
          </w:p>
        </w:tc>
      </w:tr>
      <w:tr>
        <w:trPr>
          <w:trHeight w:val="221"/>
        </w:trPr>
        <w:tc>
          <w:tcPr>
            <w:tcW w:w="6400" w:type="dxa"/>
            <w:vAlign w:val="bottom"/>
            <w:gridSpan w:val="2"/>
            <w:shd w:val="clear" w:color="auto" w:fill="E3E3E3"/>
          </w:tcPr>
          <w:p>
            <w:pPr>
              <w:ind w:left="7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38,085</w:t>
            </w:r>
          </w:p>
        </w:tc>
        <w:tc>
          <w:tcPr>
            <w:tcW w:w="1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36,434</w:t>
            </w:r>
          </w:p>
        </w:tc>
        <w:tc>
          <w:tcPr>
            <w:tcW w:w="100" w:type="dxa"/>
            <w:vAlign w:val="bottom"/>
            <w:shd w:val="clear" w:color="auto" w:fill="E3E3E3"/>
          </w:tcPr>
          <w:p>
            <w:pPr>
              <w:spacing w:after="0"/>
              <w:rPr>
                <w:sz w:val="19"/>
                <w:szCs w:val="19"/>
                <w:color w:val="auto"/>
              </w:rPr>
            </w:pPr>
          </w:p>
        </w:tc>
      </w:tr>
      <w:tr>
        <w:trPr>
          <w:trHeight w:val="221"/>
        </w:trPr>
        <w:tc>
          <w:tcPr>
            <w:tcW w:w="6400" w:type="dxa"/>
            <w:vAlign w:val="bottom"/>
            <w:gridSpan w:val="2"/>
            <w:shd w:val="clear" w:color="auto" w:fill="FDFDFD"/>
          </w:tcPr>
          <w:p>
            <w:pPr>
              <w:ind w:left="7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FDFDFD"/>
          </w:tcPr>
          <w:p>
            <w:pPr>
              <w:spacing w:after="0"/>
              <w:rPr>
                <w:sz w:val="19"/>
                <w:szCs w:val="19"/>
                <w:color w:val="auto"/>
              </w:rPr>
            </w:pPr>
          </w:p>
        </w:tc>
      </w:tr>
      <w:tr>
        <w:trPr>
          <w:trHeight w:val="221"/>
        </w:trPr>
        <w:tc>
          <w:tcPr>
            <w:tcW w:w="6400" w:type="dxa"/>
            <w:vAlign w:val="bottom"/>
            <w:gridSpan w:val="2"/>
            <w:shd w:val="clear" w:color="auto" w:fill="E3E3E3"/>
          </w:tcPr>
          <w:p>
            <w:pPr>
              <w:ind w:left="70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E3E3E3"/>
          </w:tcPr>
          <w:p>
            <w:pPr>
              <w:spacing w:after="0"/>
              <w:rPr>
                <w:sz w:val="19"/>
                <w:szCs w:val="19"/>
                <w:color w:val="auto"/>
              </w:rPr>
            </w:pPr>
          </w:p>
        </w:tc>
      </w:tr>
      <w:tr>
        <w:trPr>
          <w:trHeight w:val="221"/>
        </w:trPr>
        <w:tc>
          <w:tcPr>
            <w:tcW w:w="6400" w:type="dxa"/>
            <w:vAlign w:val="bottom"/>
            <w:gridSpan w:val="2"/>
            <w:shd w:val="clear" w:color="auto" w:fill="FDFDFD"/>
          </w:tcPr>
          <w:p>
            <w:pPr>
              <w:ind w:left="700"/>
              <w:spacing w:after="0"/>
              <w:rPr>
                <w:sz w:val="20"/>
                <w:szCs w:val="20"/>
                <w:color w:val="auto"/>
              </w:rPr>
            </w:pPr>
            <w:r>
              <w:rPr>
                <w:rFonts w:ascii="Times New Roman" w:cs="Times New Roman" w:eastAsia="Times New Roman" w:hAnsi="Times New Roman"/>
                <w:sz w:val="18"/>
                <w:szCs w:val="18"/>
                <w:color w:val="auto"/>
              </w:rPr>
              <w:t>Non-cash restructuring charges</w:t>
            </w: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FDFDFD"/>
          </w:tcPr>
          <w:p>
            <w:pPr>
              <w:spacing w:after="0"/>
              <w:rPr>
                <w:sz w:val="19"/>
                <w:szCs w:val="19"/>
                <w:color w:val="auto"/>
              </w:rPr>
            </w:pPr>
          </w:p>
        </w:tc>
      </w:tr>
      <w:tr>
        <w:trPr>
          <w:trHeight w:val="221"/>
        </w:trPr>
        <w:tc>
          <w:tcPr>
            <w:tcW w:w="6400" w:type="dxa"/>
            <w:vAlign w:val="bottom"/>
            <w:gridSpan w:val="2"/>
            <w:shd w:val="clear" w:color="auto" w:fill="E3E3E3"/>
          </w:tcPr>
          <w:p>
            <w:pPr>
              <w:ind w:left="70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688,854</w:t>
            </w:r>
          </w:p>
        </w:tc>
        <w:tc>
          <w:tcPr>
            <w:tcW w:w="1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400" w:type="dxa"/>
            <w:vAlign w:val="bottom"/>
            <w:gridSpan w:val="2"/>
            <w:shd w:val="clear" w:color="auto" w:fill="FDFDFD"/>
          </w:tcPr>
          <w:p>
            <w:pPr>
              <w:ind w:left="700"/>
              <w:spacing w:after="0"/>
              <w:rPr>
                <w:sz w:val="20"/>
                <w:szCs w:val="20"/>
                <w:color w:val="auto"/>
              </w:rPr>
            </w:pPr>
            <w:r>
              <w:rPr>
                <w:rFonts w:ascii="Times New Roman" w:cs="Times New Roman" w:eastAsia="Times New Roman" w:hAnsi="Times New Roman"/>
                <w:sz w:val="18"/>
                <w:szCs w:val="18"/>
                <w:color w:val="auto"/>
              </w:rPr>
              <w:t>Tax receivable agreement remeasurement</w:t>
            </w:r>
          </w:p>
        </w:tc>
        <w:tc>
          <w:tcPr>
            <w:tcW w:w="28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8"/>
                <w:szCs w:val="18"/>
                <w:color w:val="auto"/>
              </w:rPr>
              <w:t>(76,909)</w:t>
            </w: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8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8"/>
                <w:szCs w:val="18"/>
                <w:color w:val="auto"/>
              </w:rPr>
              <w:t>(23,470)</w:t>
            </w: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8"/>
                <w:szCs w:val="18"/>
                <w:color w:val="auto"/>
              </w:rPr>
              <w:t>(9,717)</w:t>
            </w:r>
          </w:p>
        </w:tc>
      </w:tr>
      <w:tr>
        <w:trPr>
          <w:trHeight w:val="221"/>
        </w:trPr>
        <w:tc>
          <w:tcPr>
            <w:tcW w:w="6400" w:type="dxa"/>
            <w:vAlign w:val="bottom"/>
            <w:gridSpan w:val="2"/>
            <w:shd w:val="clear" w:color="auto" w:fill="E3E3E3"/>
          </w:tcPr>
          <w:p>
            <w:pPr>
              <w:ind w:left="70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28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8"/>
                <w:szCs w:val="18"/>
                <w:color w:val="auto"/>
              </w:rPr>
              <w:t>(1,780)</w:t>
            </w: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E3E3E3"/>
          </w:tcPr>
          <w:p>
            <w:pPr>
              <w:spacing w:after="0"/>
              <w:rPr>
                <w:sz w:val="19"/>
                <w:szCs w:val="19"/>
                <w:color w:val="auto"/>
              </w:rPr>
            </w:pPr>
          </w:p>
        </w:tc>
      </w:tr>
      <w:tr>
        <w:trPr>
          <w:trHeight w:val="221"/>
        </w:trPr>
        <w:tc>
          <w:tcPr>
            <w:tcW w:w="6400" w:type="dxa"/>
            <w:vAlign w:val="bottom"/>
            <w:gridSpan w:val="2"/>
            <w:shd w:val="clear" w:color="auto" w:fill="FDFDFD"/>
          </w:tcPr>
          <w:p>
            <w:pPr>
              <w:ind w:left="70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8"/>
                <w:szCs w:val="18"/>
                <w:color w:val="auto"/>
              </w:rPr>
              <w:t>(42,670)</w:t>
            </w: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8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8"/>
                <w:szCs w:val="18"/>
                <w:color w:val="auto"/>
              </w:rPr>
              <w:t>(18,713)</w:t>
            </w: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8"/>
                <w:szCs w:val="18"/>
                <w:color w:val="auto"/>
              </w:rPr>
              <w:t>(17,806)</w:t>
            </w:r>
          </w:p>
        </w:tc>
      </w:tr>
      <w:tr>
        <w:trPr>
          <w:trHeight w:val="221"/>
        </w:trPr>
        <w:tc>
          <w:tcPr>
            <w:tcW w:w="640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21"/>
        </w:trPr>
        <w:tc>
          <w:tcPr>
            <w:tcW w:w="6400" w:type="dxa"/>
            <w:vAlign w:val="bottom"/>
            <w:gridSpan w:val="2"/>
            <w:shd w:val="clear" w:color="auto" w:fill="FDFDFD"/>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8"/>
                <w:szCs w:val="18"/>
                <w:color w:val="auto"/>
              </w:rPr>
              <w:t>(13,222)</w:t>
            </w:r>
          </w:p>
        </w:tc>
      </w:tr>
      <w:tr>
        <w:trPr>
          <w:trHeight w:val="221"/>
        </w:trPr>
        <w:tc>
          <w:tcPr>
            <w:tcW w:w="6400" w:type="dxa"/>
            <w:vAlign w:val="bottom"/>
            <w:gridSpan w:val="2"/>
            <w:shd w:val="clear" w:color="auto" w:fill="E3E3E3"/>
          </w:tcPr>
          <w:p>
            <w:pPr>
              <w:ind w:left="7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8"/>
                <w:szCs w:val="18"/>
                <w:color w:val="auto"/>
              </w:rPr>
              <w:t>(7,832)</w:t>
            </w: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8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(7,156)</w:t>
            </w: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21"/>
        </w:trPr>
        <w:tc>
          <w:tcPr>
            <w:tcW w:w="6400" w:type="dxa"/>
            <w:vAlign w:val="bottom"/>
            <w:gridSpan w:val="2"/>
            <w:shd w:val="clear" w:color="auto" w:fill="FDFDFD"/>
          </w:tcPr>
          <w:p>
            <w:pPr>
              <w:ind w:left="700"/>
              <w:spacing w:after="0"/>
              <w:rPr>
                <w:sz w:val="20"/>
                <w:szCs w:val="20"/>
                <w:color w:val="auto"/>
              </w:rPr>
            </w:pPr>
            <w:r>
              <w:rPr>
                <w:rFonts w:ascii="Times New Roman" w:cs="Times New Roman" w:eastAsia="Times New Roman" w:hAnsi="Times New Roman"/>
                <w:sz w:val="18"/>
                <w:szCs w:val="18"/>
                <w:color w:val="auto"/>
              </w:rPr>
              <w:t>Deferred contract costs</w:t>
            </w:r>
          </w:p>
        </w:tc>
        <w:tc>
          <w:tcPr>
            <w:tcW w:w="28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8"/>
                <w:szCs w:val="18"/>
                <w:color w:val="auto"/>
              </w:rPr>
              <w:t>(12,756)</w:t>
            </w: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8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8"/>
                <w:szCs w:val="18"/>
                <w:color w:val="auto"/>
              </w:rPr>
              <w:t>(18,790)</w:t>
            </w: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8"/>
                <w:szCs w:val="18"/>
                <w:color w:val="auto"/>
              </w:rPr>
              <w:t>(15,252)</w:t>
            </w:r>
          </w:p>
        </w:tc>
      </w:tr>
      <w:tr>
        <w:trPr>
          <w:trHeight w:val="221"/>
        </w:trPr>
        <w:tc>
          <w:tcPr>
            <w:tcW w:w="6400" w:type="dxa"/>
            <w:vAlign w:val="bottom"/>
            <w:gridSpan w:val="2"/>
            <w:shd w:val="clear" w:color="auto" w:fill="E3E3E3"/>
          </w:tcPr>
          <w:p>
            <w:pPr>
              <w:ind w:left="7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8"/>
                <w:szCs w:val="18"/>
                <w:color w:val="auto"/>
              </w:rPr>
              <w:t>(602)</w:t>
            </w: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8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(6,400)</w:t>
            </w:r>
          </w:p>
        </w:tc>
      </w:tr>
      <w:tr>
        <w:trPr>
          <w:trHeight w:val="221"/>
        </w:trPr>
        <w:tc>
          <w:tcPr>
            <w:tcW w:w="6400" w:type="dxa"/>
            <w:vAlign w:val="bottom"/>
            <w:gridSpan w:val="2"/>
            <w:shd w:val="clear" w:color="auto" w:fill="FDFDFD"/>
          </w:tcPr>
          <w:p>
            <w:pPr>
              <w:ind w:left="7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8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8"/>
                <w:szCs w:val="18"/>
                <w:color w:val="auto"/>
              </w:rPr>
              <w:t>(5,458)</w:t>
            </w: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shd w:val="clear" w:color="auto" w:fill="FDFDFD"/>
          </w:tcPr>
          <w:p>
            <w:pPr>
              <w:spacing w:after="0"/>
              <w:rPr>
                <w:sz w:val="19"/>
                <w:szCs w:val="19"/>
                <w:color w:val="auto"/>
              </w:rPr>
            </w:pPr>
          </w:p>
        </w:tc>
      </w:tr>
      <w:tr>
        <w:trPr>
          <w:trHeight w:val="221"/>
        </w:trPr>
        <w:tc>
          <w:tcPr>
            <w:tcW w:w="6400" w:type="dxa"/>
            <w:vAlign w:val="bottom"/>
            <w:gridSpan w:val="2"/>
            <w:shd w:val="clear" w:color="auto" w:fill="E3E3E3"/>
          </w:tcPr>
          <w:p>
            <w:pPr>
              <w:ind w:left="7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8"/>
                <w:szCs w:val="18"/>
                <w:color w:val="auto"/>
              </w:rPr>
              <w:t>(4,979)</w:t>
            </w: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8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(6,580)</w:t>
            </w: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100" w:type="dxa"/>
            <w:vAlign w:val="bottom"/>
            <w:shd w:val="clear" w:color="auto" w:fill="E3E3E3"/>
          </w:tcPr>
          <w:p>
            <w:pPr>
              <w:spacing w:after="0"/>
              <w:rPr>
                <w:sz w:val="19"/>
                <w:szCs w:val="19"/>
                <w:color w:val="auto"/>
              </w:rPr>
            </w:pPr>
          </w:p>
        </w:tc>
      </w:tr>
      <w:tr>
        <w:trPr>
          <w:trHeight w:val="211"/>
        </w:trPr>
        <w:tc>
          <w:tcPr>
            <w:tcW w:w="6400" w:type="dxa"/>
            <w:vAlign w:val="bottom"/>
            <w:tcBorders>
              <w:top w:val="single" w:sz="8" w:color="FDFDFD"/>
              <w:bottom w:val="single" w:sz="8" w:color="E3E3E3"/>
            </w:tcBorders>
            <w:gridSpan w:val="2"/>
            <w:shd w:val="clear" w:color="auto" w:fill="FDFDFD"/>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bottom w:val="single" w:sz="8" w:color="auto"/>
            </w:tcBorders>
            <w:shd w:val="clear" w:color="auto" w:fill="FDFDFD"/>
          </w:tcPr>
          <w:p>
            <w:pPr>
              <w:spacing w:after="0"/>
              <w:rPr>
                <w:sz w:val="18"/>
                <w:szCs w:val="18"/>
                <w:color w:val="auto"/>
              </w:rPr>
            </w:pPr>
          </w:p>
        </w:tc>
        <w:tc>
          <w:tcPr>
            <w:tcW w:w="98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58,196</w:t>
            </w:r>
          </w:p>
        </w:tc>
        <w:tc>
          <w:tcPr>
            <w:tcW w:w="120" w:type="dxa"/>
            <w:vAlign w:val="bottom"/>
            <w:tcBorders>
              <w:top w:val="single" w:sz="8" w:color="FDFDFD"/>
              <w:bottom w:val="single" w:sz="8" w:color="E3E3E3"/>
            </w:tcBorders>
            <w:shd w:val="clear" w:color="auto" w:fill="FDFDFD"/>
          </w:tcPr>
          <w:p>
            <w:pPr>
              <w:spacing w:after="0"/>
              <w:rPr>
                <w:sz w:val="18"/>
                <w:szCs w:val="18"/>
                <w:color w:val="auto"/>
              </w:rPr>
            </w:pPr>
          </w:p>
        </w:tc>
        <w:tc>
          <w:tcPr>
            <w:tcW w:w="140" w:type="dxa"/>
            <w:vAlign w:val="bottom"/>
            <w:tcBorders>
              <w:top w:val="single" w:sz="8" w:color="FDFDFD"/>
              <w:bottom w:val="single" w:sz="8" w:color="E3E3E3"/>
            </w:tcBorders>
            <w:shd w:val="clear" w:color="auto" w:fill="FDFDFD"/>
          </w:tcPr>
          <w:p>
            <w:pPr>
              <w:spacing w:after="0"/>
              <w:rPr>
                <w:sz w:val="18"/>
                <w:szCs w:val="18"/>
                <w:color w:val="auto"/>
              </w:rPr>
            </w:pPr>
          </w:p>
        </w:tc>
        <w:tc>
          <w:tcPr>
            <w:tcW w:w="280" w:type="dxa"/>
            <w:vAlign w:val="bottom"/>
            <w:tcBorders>
              <w:top w:val="single" w:sz="8" w:color="auto"/>
              <w:bottom w:val="single" w:sz="8" w:color="auto"/>
            </w:tcBorders>
            <w:shd w:val="clear" w:color="auto" w:fill="FDFDFD"/>
          </w:tcPr>
          <w:p>
            <w:pPr>
              <w:spacing w:after="0"/>
              <w:rPr>
                <w:sz w:val="18"/>
                <w:szCs w:val="18"/>
                <w:color w:val="auto"/>
              </w:rPr>
            </w:pPr>
          </w:p>
        </w:tc>
        <w:tc>
          <w:tcPr>
            <w:tcW w:w="98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41,190</w:t>
            </w:r>
          </w:p>
        </w:tc>
        <w:tc>
          <w:tcPr>
            <w:tcW w:w="100" w:type="dxa"/>
            <w:vAlign w:val="bottom"/>
            <w:tcBorders>
              <w:top w:val="single" w:sz="8" w:color="FDFDFD"/>
              <w:bottom w:val="single" w:sz="8" w:color="E3E3E3"/>
            </w:tcBorders>
            <w:shd w:val="clear" w:color="auto" w:fill="FDFDFD"/>
          </w:tcPr>
          <w:p>
            <w:pPr>
              <w:spacing w:after="0"/>
              <w:rPr>
                <w:sz w:val="18"/>
                <w:szCs w:val="18"/>
                <w:color w:val="auto"/>
              </w:rPr>
            </w:pPr>
          </w:p>
        </w:tc>
        <w:tc>
          <w:tcPr>
            <w:tcW w:w="160" w:type="dxa"/>
            <w:vAlign w:val="bottom"/>
            <w:tcBorders>
              <w:top w:val="single" w:sz="8" w:color="FDFDFD"/>
              <w:bottom w:val="single" w:sz="8" w:color="E3E3E3"/>
            </w:tcBorders>
            <w:shd w:val="clear" w:color="auto" w:fill="FDFDFD"/>
          </w:tcPr>
          <w:p>
            <w:pPr>
              <w:spacing w:after="0"/>
              <w:rPr>
                <w:sz w:val="18"/>
                <w:szCs w:val="18"/>
                <w:color w:val="auto"/>
              </w:rPr>
            </w:pPr>
          </w:p>
        </w:tc>
        <w:tc>
          <w:tcPr>
            <w:tcW w:w="260" w:type="dxa"/>
            <w:vAlign w:val="bottom"/>
            <w:tcBorders>
              <w:top w:val="single" w:sz="8" w:color="auto"/>
              <w:bottom w:val="single" w:sz="8" w:color="auto"/>
            </w:tcBorders>
            <w:shd w:val="clear" w:color="auto" w:fill="FDFDFD"/>
          </w:tcPr>
          <w:p>
            <w:pPr>
              <w:spacing w:after="0"/>
              <w:rPr>
                <w:sz w:val="18"/>
                <w:szCs w:val="18"/>
                <w:color w:val="auto"/>
              </w:rPr>
            </w:pPr>
          </w:p>
        </w:tc>
        <w:tc>
          <w:tcPr>
            <w:tcW w:w="100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35,579</w:t>
            </w:r>
          </w:p>
        </w:tc>
        <w:tc>
          <w:tcPr>
            <w:tcW w:w="100" w:type="dxa"/>
            <w:vAlign w:val="bottom"/>
            <w:tcBorders>
              <w:top w:val="single" w:sz="8" w:color="FDFDFD"/>
              <w:bottom w:val="single" w:sz="8" w:color="E3E3E3"/>
            </w:tcBorders>
            <w:shd w:val="clear" w:color="auto" w:fill="FDFDFD"/>
          </w:tcPr>
          <w:p>
            <w:pPr>
              <w:spacing w:after="0"/>
              <w:rPr>
                <w:sz w:val="18"/>
                <w:szCs w:val="18"/>
                <w:color w:val="auto"/>
              </w:rPr>
            </w:pPr>
          </w:p>
        </w:tc>
      </w:tr>
      <w:tr>
        <w:trPr>
          <w:trHeight w:val="211"/>
        </w:trPr>
        <w:tc>
          <w:tcPr>
            <w:tcW w:w="626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b w:val="1"/>
                <w:bCs w:val="1"/>
                <w:color w:val="auto"/>
              </w:rPr>
              <w:t>Cash flows (used in) provided by investing activities:</w:t>
            </w:r>
          </w:p>
        </w:tc>
        <w:tc>
          <w:tcPr>
            <w:tcW w:w="14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98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98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00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r>
      <w:tr>
        <w:trPr>
          <w:trHeight w:val="221"/>
        </w:trPr>
        <w:tc>
          <w:tcPr>
            <w:tcW w:w="626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(12,344)</w:t>
            </w:r>
          </w:p>
        </w:tc>
        <w:tc>
          <w:tcPr>
            <w:tcW w:w="1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shd w:val="clear" w:color="auto" w:fill="FDFDFD"/>
          </w:tcPr>
          <w:p>
            <w:pPr>
              <w:spacing w:after="0"/>
              <w:rPr>
                <w:sz w:val="19"/>
                <w:szCs w:val="19"/>
                <w:color w:val="auto"/>
              </w:rPr>
            </w:pPr>
          </w:p>
        </w:tc>
      </w:tr>
      <w:tr>
        <w:trPr>
          <w:trHeight w:val="221"/>
        </w:trPr>
        <w:tc>
          <w:tcPr>
            <w:tcW w:w="62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8"/>
                <w:szCs w:val="18"/>
                <w:color w:val="auto"/>
              </w:rPr>
              <w:t>(304,304)</w:t>
            </w: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8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(259,208)</w:t>
            </w: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(337,961)</w:t>
            </w:r>
          </w:p>
        </w:tc>
      </w:tr>
      <w:tr>
        <w:trPr>
          <w:trHeight w:val="221"/>
        </w:trPr>
        <w:tc>
          <w:tcPr>
            <w:tcW w:w="640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303,769</w:t>
            </w:r>
          </w:p>
        </w:tc>
        <w:tc>
          <w:tcPr>
            <w:tcW w:w="1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275,426</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153,680</w:t>
            </w:r>
          </w:p>
        </w:tc>
        <w:tc>
          <w:tcPr>
            <w:tcW w:w="100" w:type="dxa"/>
            <w:vAlign w:val="bottom"/>
            <w:shd w:val="clear" w:color="auto" w:fill="FDFDFD"/>
          </w:tcPr>
          <w:p>
            <w:pPr>
              <w:spacing w:after="0"/>
              <w:rPr>
                <w:sz w:val="19"/>
                <w:szCs w:val="19"/>
                <w:color w:val="auto"/>
              </w:rPr>
            </w:pPr>
          </w:p>
        </w:tc>
      </w:tr>
      <w:tr>
        <w:trPr>
          <w:trHeight w:val="221"/>
        </w:trPr>
        <w:tc>
          <w:tcPr>
            <w:tcW w:w="640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8"/>
                <w:szCs w:val="18"/>
                <w:color w:val="auto"/>
              </w:rPr>
              <w:t>Cash paid for acquisitions and investments, net of cash acquired</w:t>
            </w:r>
          </w:p>
        </w:tc>
        <w:tc>
          <w:tcPr>
            <w:tcW w:w="28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8"/>
                <w:szCs w:val="18"/>
                <w:color w:val="auto"/>
              </w:rPr>
              <w:t>(13,530)</w:t>
            </w: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8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(45,023)</w:t>
            </w: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(56,296)</w:t>
            </w:r>
          </w:p>
        </w:tc>
      </w:tr>
      <w:tr>
        <w:trPr>
          <w:trHeight w:val="211"/>
        </w:trPr>
        <w:tc>
          <w:tcPr>
            <w:tcW w:w="6400" w:type="dxa"/>
            <w:vAlign w:val="bottom"/>
            <w:tcBorders>
              <w:top w:val="single" w:sz="8" w:color="FDFDFD"/>
              <w:bottom w:val="single" w:sz="8" w:color="E3E3E3"/>
            </w:tcBorders>
            <w:gridSpan w:val="2"/>
            <w:shd w:val="clear" w:color="auto" w:fill="FDFDFD"/>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bottom w:val="single" w:sz="8" w:color="auto"/>
            </w:tcBorders>
            <w:shd w:val="clear" w:color="auto" w:fill="FDFDFD"/>
          </w:tcPr>
          <w:p>
            <w:pPr>
              <w:spacing w:after="0"/>
              <w:rPr>
                <w:sz w:val="18"/>
                <w:szCs w:val="18"/>
                <w:color w:val="auto"/>
              </w:rPr>
            </w:pPr>
          </w:p>
        </w:tc>
        <w:tc>
          <w:tcPr>
            <w:tcW w:w="98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(26,409)</w:t>
            </w:r>
          </w:p>
        </w:tc>
        <w:tc>
          <w:tcPr>
            <w:tcW w:w="120" w:type="dxa"/>
            <w:vAlign w:val="bottom"/>
            <w:tcBorders>
              <w:top w:val="single" w:sz="8" w:color="FDFDFD"/>
              <w:bottom w:val="single" w:sz="8" w:color="E3E3E3"/>
            </w:tcBorders>
            <w:shd w:val="clear" w:color="auto" w:fill="FDFDFD"/>
          </w:tcPr>
          <w:p>
            <w:pPr>
              <w:spacing w:after="0"/>
              <w:rPr>
                <w:sz w:val="18"/>
                <w:szCs w:val="18"/>
                <w:color w:val="auto"/>
              </w:rPr>
            </w:pPr>
          </w:p>
        </w:tc>
        <w:tc>
          <w:tcPr>
            <w:tcW w:w="140" w:type="dxa"/>
            <w:vAlign w:val="bottom"/>
            <w:tcBorders>
              <w:top w:val="single" w:sz="8" w:color="FDFDFD"/>
              <w:bottom w:val="single" w:sz="8" w:color="E3E3E3"/>
            </w:tcBorders>
            <w:shd w:val="clear" w:color="auto" w:fill="FDFDFD"/>
          </w:tcPr>
          <w:p>
            <w:pPr>
              <w:spacing w:after="0"/>
              <w:rPr>
                <w:sz w:val="18"/>
                <w:szCs w:val="18"/>
                <w:color w:val="auto"/>
              </w:rPr>
            </w:pPr>
          </w:p>
        </w:tc>
        <w:tc>
          <w:tcPr>
            <w:tcW w:w="280" w:type="dxa"/>
            <w:vAlign w:val="bottom"/>
            <w:tcBorders>
              <w:top w:val="single" w:sz="8" w:color="auto"/>
              <w:bottom w:val="single" w:sz="8" w:color="auto"/>
            </w:tcBorders>
            <w:shd w:val="clear" w:color="auto" w:fill="FDFDFD"/>
          </w:tcPr>
          <w:p>
            <w:pPr>
              <w:spacing w:after="0"/>
              <w:rPr>
                <w:sz w:val="18"/>
                <w:szCs w:val="18"/>
                <w:color w:val="auto"/>
              </w:rPr>
            </w:pPr>
          </w:p>
        </w:tc>
        <w:tc>
          <w:tcPr>
            <w:tcW w:w="98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(31,782)</w:t>
            </w:r>
          </w:p>
        </w:tc>
        <w:tc>
          <w:tcPr>
            <w:tcW w:w="100" w:type="dxa"/>
            <w:vAlign w:val="bottom"/>
            <w:tcBorders>
              <w:top w:val="single" w:sz="8" w:color="FDFDFD"/>
              <w:bottom w:val="single" w:sz="8" w:color="E3E3E3"/>
            </w:tcBorders>
            <w:shd w:val="clear" w:color="auto" w:fill="FDFDFD"/>
          </w:tcPr>
          <w:p>
            <w:pPr>
              <w:spacing w:after="0"/>
              <w:rPr>
                <w:sz w:val="18"/>
                <w:szCs w:val="18"/>
                <w:color w:val="auto"/>
              </w:rPr>
            </w:pPr>
          </w:p>
        </w:tc>
        <w:tc>
          <w:tcPr>
            <w:tcW w:w="160" w:type="dxa"/>
            <w:vAlign w:val="bottom"/>
            <w:tcBorders>
              <w:top w:val="single" w:sz="8" w:color="FDFDFD"/>
              <w:bottom w:val="single" w:sz="8" w:color="E3E3E3"/>
            </w:tcBorders>
            <w:shd w:val="clear" w:color="auto" w:fill="FDFDFD"/>
          </w:tcPr>
          <w:p>
            <w:pPr>
              <w:spacing w:after="0"/>
              <w:rPr>
                <w:sz w:val="18"/>
                <w:szCs w:val="18"/>
                <w:color w:val="auto"/>
              </w:rPr>
            </w:pPr>
          </w:p>
        </w:tc>
        <w:tc>
          <w:tcPr>
            <w:tcW w:w="260" w:type="dxa"/>
            <w:vAlign w:val="bottom"/>
            <w:tcBorders>
              <w:top w:val="single" w:sz="8" w:color="auto"/>
              <w:bottom w:val="single" w:sz="8" w:color="auto"/>
            </w:tcBorders>
            <w:shd w:val="clear" w:color="auto" w:fill="FDFDFD"/>
          </w:tcPr>
          <w:p>
            <w:pPr>
              <w:spacing w:after="0"/>
              <w:rPr>
                <w:sz w:val="18"/>
                <w:szCs w:val="18"/>
                <w:color w:val="auto"/>
              </w:rPr>
            </w:pPr>
          </w:p>
        </w:tc>
        <w:tc>
          <w:tcPr>
            <w:tcW w:w="100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(248,903)</w:t>
            </w:r>
          </w:p>
        </w:tc>
        <w:tc>
          <w:tcPr>
            <w:tcW w:w="100" w:type="dxa"/>
            <w:vAlign w:val="bottom"/>
            <w:tcBorders>
              <w:top w:val="single" w:sz="8" w:color="FDFDFD"/>
              <w:bottom w:val="single" w:sz="8" w:color="E3E3E3"/>
            </w:tcBorders>
            <w:shd w:val="clear" w:color="auto" w:fill="FDFDFD"/>
          </w:tcPr>
          <w:p>
            <w:pPr>
              <w:spacing w:after="0"/>
              <w:rPr>
                <w:sz w:val="18"/>
                <w:szCs w:val="18"/>
                <w:color w:val="auto"/>
              </w:rPr>
            </w:pPr>
          </w:p>
        </w:tc>
      </w:tr>
      <w:tr>
        <w:trPr>
          <w:trHeight w:val="211"/>
        </w:trPr>
        <w:tc>
          <w:tcPr>
            <w:tcW w:w="626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b w:val="1"/>
                <w:bCs w:val="1"/>
                <w:color w:val="auto"/>
              </w:rPr>
              <w:t>Cash flows (used in) provided by financing activities:</w:t>
            </w:r>
          </w:p>
        </w:tc>
        <w:tc>
          <w:tcPr>
            <w:tcW w:w="14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98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98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00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r>
      <w:tr>
        <w:trPr>
          <w:trHeight w:val="221"/>
        </w:trPr>
        <w:tc>
          <w:tcPr>
            <w:tcW w:w="626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18"/>
                <w:szCs w:val="18"/>
                <w:color w:val="auto"/>
              </w:rPr>
              <w:t>Repayments of term loans</w:t>
            </w: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shd w:val="clear" w:color="auto" w:fill="FDFDFD"/>
          </w:tcPr>
          <w:p>
            <w:pPr>
              <w:spacing w:after="0"/>
              <w:rPr>
                <w:sz w:val="19"/>
                <w:szCs w:val="19"/>
                <w:color w:val="auto"/>
              </w:rPr>
            </w:pPr>
          </w:p>
        </w:tc>
      </w:tr>
      <w:tr>
        <w:trPr>
          <w:trHeight w:val="221"/>
        </w:trPr>
        <w:tc>
          <w:tcPr>
            <w:tcW w:w="62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8"/>
                <w:szCs w:val="18"/>
                <w:color w:val="auto"/>
              </w:rPr>
              <w:t>(7,548)</w:t>
            </w: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8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(4,432)</w:t>
            </w: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(4,116)</w:t>
            </w:r>
          </w:p>
        </w:tc>
      </w:tr>
      <w:tr>
        <w:trPr>
          <w:trHeight w:val="221"/>
        </w:trPr>
        <w:tc>
          <w:tcPr>
            <w:tcW w:w="640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18"/>
                <w:szCs w:val="18"/>
                <w:color w:val="auto"/>
              </w:rPr>
              <w:t>Repurchases of Class A Common Stock</w:t>
            </w:r>
          </w:p>
        </w:tc>
        <w:tc>
          <w:tcPr>
            <w:tcW w:w="28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8"/>
                <w:szCs w:val="18"/>
                <w:color w:val="auto"/>
              </w:rPr>
              <w:t>(22,366)</w:t>
            </w: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8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40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8"/>
                <w:szCs w:val="18"/>
                <w:color w:val="auto"/>
              </w:rPr>
              <w:t>Payments of contingent consideration</w:t>
            </w:r>
          </w:p>
        </w:tc>
        <w:tc>
          <w:tcPr>
            <w:tcW w:w="28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8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r>
      <w:tr>
        <w:trPr>
          <w:trHeight w:val="221"/>
        </w:trPr>
        <w:tc>
          <w:tcPr>
            <w:tcW w:w="640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18"/>
                <w:szCs w:val="18"/>
                <w:color w:val="auto"/>
              </w:rPr>
              <w:t>Payments under tax receivable agreement</w:t>
            </w:r>
          </w:p>
        </w:tc>
        <w:tc>
          <w:tcPr>
            <w:tcW w:w="28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8"/>
                <w:szCs w:val="18"/>
                <w:color w:val="auto"/>
              </w:rPr>
              <w:t>(6,950)</w:t>
            </w: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8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40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8"/>
                <w:szCs w:val="18"/>
                <w:color w:val="auto"/>
              </w:rPr>
              <w:t>Payments of equity offering issuance costs</w:t>
            </w:r>
          </w:p>
        </w:tc>
        <w:tc>
          <w:tcPr>
            <w:tcW w:w="28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8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(1,734)</w:t>
            </w:r>
          </w:p>
        </w:tc>
      </w:tr>
      <w:tr>
        <w:trPr>
          <w:trHeight w:val="221"/>
        </w:trPr>
        <w:tc>
          <w:tcPr>
            <w:tcW w:w="640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18"/>
                <w:szCs w:val="18"/>
                <w:color w:val="auto"/>
              </w:rPr>
              <w:t>Member distributions</w:t>
            </w:r>
          </w:p>
        </w:tc>
        <w:tc>
          <w:tcPr>
            <w:tcW w:w="28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8"/>
                <w:szCs w:val="18"/>
                <w:color w:val="auto"/>
              </w:rPr>
              <w:t>(5,135)</w:t>
            </w: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8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8"/>
                <w:szCs w:val="18"/>
                <w:color w:val="auto"/>
              </w:rPr>
              <w:t>(12,282)</w:t>
            </w:r>
          </w:p>
        </w:tc>
        <w:tc>
          <w:tcPr>
            <w:tcW w:w="16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8"/>
                <w:szCs w:val="18"/>
                <w:color w:val="auto"/>
              </w:rPr>
              <w:t>(12,871)</w:t>
            </w:r>
          </w:p>
        </w:tc>
      </w:tr>
      <w:tr>
        <w:trPr>
          <w:trHeight w:val="211"/>
        </w:trPr>
        <w:tc>
          <w:tcPr>
            <w:tcW w:w="6400" w:type="dxa"/>
            <w:vAlign w:val="bottom"/>
            <w:tcBorders>
              <w:top w:val="single" w:sz="8" w:color="E3E3E3"/>
              <w:bottom w:val="single" w:sz="8" w:color="FDFDFD"/>
            </w:tcBorders>
            <w:gridSpan w:val="2"/>
            <w:shd w:val="clear" w:color="auto" w:fill="E3E3E3"/>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top w:val="single" w:sz="8" w:color="auto"/>
              <w:bottom w:val="single" w:sz="8" w:color="auto"/>
            </w:tcBorders>
            <w:shd w:val="clear" w:color="auto" w:fill="E3E3E3"/>
          </w:tcPr>
          <w:p>
            <w:pPr>
              <w:spacing w:after="0"/>
              <w:rPr>
                <w:sz w:val="18"/>
                <w:szCs w:val="18"/>
                <w:color w:val="auto"/>
              </w:rPr>
            </w:pPr>
          </w:p>
        </w:tc>
        <w:tc>
          <w:tcPr>
            <w:tcW w:w="9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(56,749)</w:t>
            </w:r>
          </w:p>
        </w:tc>
        <w:tc>
          <w:tcPr>
            <w:tcW w:w="120" w:type="dxa"/>
            <w:vAlign w:val="bottom"/>
            <w:tcBorders>
              <w:top w:val="single" w:sz="8" w:color="E3E3E3"/>
              <w:bottom w:val="single" w:sz="8" w:color="FDFDFD"/>
            </w:tcBorders>
            <w:shd w:val="clear" w:color="auto" w:fill="E3E3E3"/>
          </w:tcPr>
          <w:p>
            <w:pPr>
              <w:spacing w:after="0"/>
              <w:rPr>
                <w:sz w:val="18"/>
                <w:szCs w:val="18"/>
                <w:color w:val="auto"/>
              </w:rPr>
            </w:pPr>
          </w:p>
        </w:tc>
        <w:tc>
          <w:tcPr>
            <w:tcW w:w="140" w:type="dxa"/>
            <w:vAlign w:val="bottom"/>
            <w:tcBorders>
              <w:top w:val="single" w:sz="8" w:color="E3E3E3"/>
              <w:bottom w:val="single" w:sz="8" w:color="FDFDFD"/>
            </w:tcBorders>
            <w:shd w:val="clear" w:color="auto" w:fill="E3E3E3"/>
          </w:tcPr>
          <w:p>
            <w:pPr>
              <w:spacing w:after="0"/>
              <w:rPr>
                <w:sz w:val="18"/>
                <w:szCs w:val="18"/>
                <w:color w:val="auto"/>
              </w:rPr>
            </w:pPr>
          </w:p>
        </w:tc>
        <w:tc>
          <w:tcPr>
            <w:tcW w:w="280" w:type="dxa"/>
            <w:vAlign w:val="bottom"/>
            <w:tcBorders>
              <w:top w:val="single" w:sz="8" w:color="auto"/>
              <w:bottom w:val="single" w:sz="8" w:color="auto"/>
            </w:tcBorders>
            <w:shd w:val="clear" w:color="auto" w:fill="E3E3E3"/>
          </w:tcPr>
          <w:p>
            <w:pPr>
              <w:spacing w:after="0"/>
              <w:rPr>
                <w:sz w:val="18"/>
                <w:szCs w:val="18"/>
                <w:color w:val="auto"/>
              </w:rPr>
            </w:pPr>
          </w:p>
        </w:tc>
        <w:tc>
          <w:tcPr>
            <w:tcW w:w="9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(25,584)</w:t>
            </w:r>
          </w:p>
        </w:tc>
        <w:tc>
          <w:tcPr>
            <w:tcW w:w="100" w:type="dxa"/>
            <w:vAlign w:val="bottom"/>
            <w:tcBorders>
              <w:top w:val="single" w:sz="8" w:color="E3E3E3"/>
              <w:bottom w:val="single" w:sz="8" w:color="FDFDFD"/>
            </w:tcBorders>
            <w:shd w:val="clear" w:color="auto" w:fill="E3E3E3"/>
          </w:tcPr>
          <w:p>
            <w:pPr>
              <w:spacing w:after="0"/>
              <w:rPr>
                <w:sz w:val="18"/>
                <w:szCs w:val="18"/>
                <w:color w:val="auto"/>
              </w:rPr>
            </w:pPr>
          </w:p>
        </w:tc>
        <w:tc>
          <w:tcPr>
            <w:tcW w:w="160" w:type="dxa"/>
            <w:vAlign w:val="bottom"/>
            <w:tcBorders>
              <w:top w:val="single" w:sz="8" w:color="E3E3E3"/>
              <w:bottom w:val="single" w:sz="8" w:color="FDFDFD"/>
            </w:tcBorders>
            <w:shd w:val="clear" w:color="auto" w:fill="E3E3E3"/>
          </w:tcPr>
          <w:p>
            <w:pPr>
              <w:spacing w:after="0"/>
              <w:rPr>
                <w:sz w:val="18"/>
                <w:szCs w:val="18"/>
                <w:color w:val="auto"/>
              </w:rPr>
            </w:pPr>
          </w:p>
        </w:tc>
        <w:tc>
          <w:tcPr>
            <w:tcW w:w="260" w:type="dxa"/>
            <w:vAlign w:val="bottom"/>
            <w:tcBorders>
              <w:top w:val="single" w:sz="8" w:color="auto"/>
              <w:bottom w:val="single" w:sz="8" w:color="auto"/>
            </w:tcBorders>
            <w:shd w:val="clear" w:color="auto" w:fill="E3E3E3"/>
          </w:tcPr>
          <w:p>
            <w:pPr>
              <w:spacing w:after="0"/>
              <w:rPr>
                <w:sz w:val="18"/>
                <w:szCs w:val="18"/>
                <w:color w:val="auto"/>
              </w:rPr>
            </w:pPr>
          </w:p>
        </w:tc>
        <w:tc>
          <w:tcPr>
            <w:tcW w:w="10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100" w:type="dxa"/>
            <w:vAlign w:val="bottom"/>
            <w:tcBorders>
              <w:top w:val="single" w:sz="8" w:color="E3E3E3"/>
              <w:bottom w:val="single" w:sz="8" w:color="FDFDFD"/>
            </w:tcBorders>
            <w:shd w:val="clear" w:color="auto" w:fill="E3E3E3"/>
          </w:tcPr>
          <w:p>
            <w:pPr>
              <w:spacing w:after="0"/>
              <w:rPr>
                <w:sz w:val="18"/>
                <w:szCs w:val="18"/>
                <w:color w:val="auto"/>
              </w:rPr>
            </w:pPr>
          </w:p>
        </w:tc>
      </w:tr>
      <w:tr>
        <w:trPr>
          <w:trHeight w:val="211"/>
        </w:trPr>
        <w:tc>
          <w:tcPr>
            <w:tcW w:w="640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80" w:type="dxa"/>
            <w:vAlign w:val="bottom"/>
            <w:shd w:val="clear" w:color="auto" w:fill="FDFDFD"/>
          </w:tcPr>
          <w:p>
            <w:pPr>
              <w:spacing w:after="0"/>
              <w:rPr>
                <w:sz w:val="18"/>
                <w:szCs w:val="18"/>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(24,962)</w:t>
            </w:r>
          </w:p>
        </w:tc>
        <w:tc>
          <w:tcPr>
            <w:tcW w:w="12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280" w:type="dxa"/>
            <w:vAlign w:val="bottom"/>
            <w:shd w:val="clear" w:color="auto" w:fill="FDFDFD"/>
          </w:tcPr>
          <w:p>
            <w:pPr>
              <w:spacing w:after="0"/>
              <w:rPr>
                <w:sz w:val="18"/>
                <w:szCs w:val="18"/>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(16,176)</w:t>
            </w:r>
          </w:p>
        </w:tc>
        <w:tc>
          <w:tcPr>
            <w:tcW w:w="100" w:type="dxa"/>
            <w:vAlign w:val="bottom"/>
            <w:shd w:val="clear" w:color="auto" w:fill="FDFDFD"/>
          </w:tcPr>
          <w:p>
            <w:pPr>
              <w:spacing w:after="0"/>
              <w:rPr>
                <w:sz w:val="18"/>
                <w:szCs w:val="18"/>
                <w:color w:val="auto"/>
              </w:rPr>
            </w:pPr>
          </w:p>
        </w:tc>
        <w:tc>
          <w:tcPr>
            <w:tcW w:w="160" w:type="dxa"/>
            <w:vAlign w:val="bottom"/>
            <w:shd w:val="clear" w:color="auto" w:fill="FDFDFD"/>
          </w:tcPr>
          <w:p>
            <w:pPr>
              <w:spacing w:after="0"/>
              <w:rPr>
                <w:sz w:val="18"/>
                <w:szCs w:val="18"/>
                <w:color w:val="auto"/>
              </w:rPr>
            </w:pPr>
          </w:p>
        </w:tc>
        <w:tc>
          <w:tcPr>
            <w:tcW w:w="260" w:type="dxa"/>
            <w:vAlign w:val="bottom"/>
            <w:shd w:val="clear" w:color="auto" w:fill="FDFDFD"/>
          </w:tcPr>
          <w:p>
            <w:pPr>
              <w:spacing w:after="0"/>
              <w:rPr>
                <w:sz w:val="18"/>
                <w:szCs w:val="18"/>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(240,020)</w:t>
            </w:r>
          </w:p>
        </w:tc>
        <w:tc>
          <w:tcPr>
            <w:tcW w:w="100" w:type="dxa"/>
            <w:vAlign w:val="bottom"/>
            <w:shd w:val="clear" w:color="auto" w:fill="FDFDFD"/>
          </w:tcPr>
          <w:p>
            <w:pPr>
              <w:spacing w:after="0"/>
              <w:rPr>
                <w:sz w:val="18"/>
                <w:szCs w:val="18"/>
                <w:color w:val="auto"/>
              </w:rPr>
            </w:pPr>
          </w:p>
        </w:tc>
      </w:tr>
      <w:tr>
        <w:trPr>
          <w:trHeight w:val="221"/>
        </w:trPr>
        <w:tc>
          <w:tcPr>
            <w:tcW w:w="640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E3E3E3"/>
          </w:tcPr>
          <w:p>
            <w:pPr>
              <w:spacing w:after="0"/>
              <w:rPr>
                <w:sz w:val="19"/>
                <w:szCs w:val="19"/>
                <w:color w:val="auto"/>
              </w:rPr>
            </w:pPr>
          </w:p>
        </w:tc>
      </w:tr>
      <w:tr>
        <w:trPr>
          <w:trHeight w:val="221"/>
        </w:trPr>
        <w:tc>
          <w:tcPr>
            <w:tcW w:w="6400" w:type="dxa"/>
            <w:vAlign w:val="bottom"/>
            <w:tcBorders>
              <w:bottom w:val="single" w:sz="8" w:color="E3E3E3"/>
            </w:tcBorders>
            <w:gridSpan w:val="2"/>
            <w:shd w:val="clear" w:color="auto" w:fill="FDFDFD"/>
          </w:tcPr>
          <w:p>
            <w:pPr>
              <w:ind w:left="40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80" w:type="dxa"/>
            <w:vAlign w:val="bottom"/>
            <w:tcBorders>
              <w:bottom w:val="single" w:sz="8" w:color="auto"/>
            </w:tcBorders>
            <w:shd w:val="clear" w:color="auto" w:fill="FDFDFD"/>
          </w:tcPr>
          <w:p>
            <w:pPr>
              <w:spacing w:after="0"/>
              <w:rPr>
                <w:sz w:val="19"/>
                <w:szCs w:val="19"/>
                <w:color w:val="auto"/>
              </w:rPr>
            </w:pPr>
          </w:p>
        </w:tc>
        <w:tc>
          <w:tcPr>
            <w:tcW w:w="98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130,976</w:t>
            </w:r>
          </w:p>
        </w:tc>
        <w:tc>
          <w:tcPr>
            <w:tcW w:w="120" w:type="dxa"/>
            <w:vAlign w:val="bottom"/>
            <w:tcBorders>
              <w:bottom w:val="single" w:sz="8" w:color="E3E3E3"/>
            </w:tcBorders>
            <w:shd w:val="clear" w:color="auto" w:fill="FDFDFD"/>
          </w:tcPr>
          <w:p>
            <w:pPr>
              <w:spacing w:after="0"/>
              <w:rPr>
                <w:sz w:val="19"/>
                <w:szCs w:val="19"/>
                <w:color w:val="auto"/>
              </w:rPr>
            </w:pPr>
          </w:p>
        </w:tc>
        <w:tc>
          <w:tcPr>
            <w:tcW w:w="140" w:type="dxa"/>
            <w:vAlign w:val="bottom"/>
            <w:tcBorders>
              <w:bottom w:val="single" w:sz="8" w:color="E3E3E3"/>
            </w:tcBorders>
            <w:shd w:val="clear" w:color="auto" w:fill="FDFDFD"/>
          </w:tcPr>
          <w:p>
            <w:pPr>
              <w:spacing w:after="0"/>
              <w:rPr>
                <w:sz w:val="19"/>
                <w:szCs w:val="19"/>
                <w:color w:val="auto"/>
              </w:rPr>
            </w:pPr>
          </w:p>
        </w:tc>
        <w:tc>
          <w:tcPr>
            <w:tcW w:w="280" w:type="dxa"/>
            <w:vAlign w:val="bottom"/>
            <w:tcBorders>
              <w:bottom w:val="single" w:sz="8" w:color="auto"/>
            </w:tcBorders>
            <w:shd w:val="clear" w:color="auto" w:fill="FDFDFD"/>
          </w:tcPr>
          <w:p>
            <w:pPr>
              <w:spacing w:after="0"/>
              <w:rPr>
                <w:sz w:val="19"/>
                <w:szCs w:val="19"/>
                <w:color w:val="auto"/>
              </w:rPr>
            </w:pPr>
          </w:p>
        </w:tc>
        <w:tc>
          <w:tcPr>
            <w:tcW w:w="98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146,934</w:t>
            </w:r>
          </w:p>
        </w:tc>
        <w:tc>
          <w:tcPr>
            <w:tcW w:w="100" w:type="dxa"/>
            <w:vAlign w:val="bottom"/>
            <w:tcBorders>
              <w:bottom w:val="single" w:sz="8" w:color="E3E3E3"/>
            </w:tcBorders>
            <w:shd w:val="clear" w:color="auto" w:fill="FDFDFD"/>
          </w:tcPr>
          <w:p>
            <w:pPr>
              <w:spacing w:after="0"/>
              <w:rPr>
                <w:sz w:val="19"/>
                <w:szCs w:val="19"/>
                <w:color w:val="auto"/>
              </w:rPr>
            </w:pPr>
          </w:p>
        </w:tc>
        <w:tc>
          <w:tcPr>
            <w:tcW w:w="160" w:type="dxa"/>
            <w:vAlign w:val="bottom"/>
            <w:tcBorders>
              <w:bottom w:val="single" w:sz="8" w:color="E3E3E3"/>
            </w:tcBorders>
            <w:shd w:val="clear" w:color="auto" w:fill="FDFDFD"/>
          </w:tcPr>
          <w:p>
            <w:pPr>
              <w:spacing w:after="0"/>
              <w:rPr>
                <w:sz w:val="19"/>
                <w:szCs w:val="19"/>
                <w:color w:val="auto"/>
              </w:rPr>
            </w:pPr>
          </w:p>
        </w:tc>
        <w:tc>
          <w:tcPr>
            <w:tcW w:w="260" w:type="dxa"/>
            <w:vAlign w:val="bottom"/>
            <w:tcBorders>
              <w:bottom w:val="single" w:sz="8" w:color="auto"/>
            </w:tcBorders>
            <w:shd w:val="clear" w:color="auto" w:fill="FDFDFD"/>
          </w:tcPr>
          <w:p>
            <w:pPr>
              <w:spacing w:after="0"/>
              <w:rPr>
                <w:sz w:val="19"/>
                <w:szCs w:val="19"/>
                <w:color w:val="auto"/>
              </w:rPr>
            </w:pPr>
          </w:p>
        </w:tc>
        <w:tc>
          <w:tcPr>
            <w:tcW w:w="10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387,498</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11"/>
        </w:trPr>
        <w:tc>
          <w:tcPr>
            <w:tcW w:w="640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80" w:type="dxa"/>
            <w:vAlign w:val="bottom"/>
            <w:tcBorders>
              <w:bottom w:val="single" w:sz="8" w:color="auto"/>
            </w:tcBorders>
            <w:shd w:val="clear" w:color="auto" w:fill="E3E3E3"/>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105,378</w:t>
            </w:r>
          </w:p>
        </w:tc>
        <w:tc>
          <w:tcPr>
            <w:tcW w:w="12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280" w:type="dxa"/>
            <w:vAlign w:val="bottom"/>
            <w:tcBorders>
              <w:bottom w:val="single" w:sz="8" w:color="auto"/>
            </w:tcBorders>
            <w:shd w:val="clear" w:color="auto" w:fill="E3E3E3"/>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130,976</w:t>
            </w:r>
          </w:p>
        </w:tc>
        <w:tc>
          <w:tcPr>
            <w:tcW w:w="10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260" w:type="dxa"/>
            <w:vAlign w:val="bottom"/>
            <w:tcBorders>
              <w:bottom w:val="single" w:sz="8" w:color="auto"/>
            </w:tcBorders>
            <w:shd w:val="clear" w:color="auto" w:fill="E3E3E3"/>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146,934</w:t>
            </w:r>
          </w:p>
        </w:tc>
        <w:tc>
          <w:tcPr>
            <w:tcW w:w="100" w:type="dxa"/>
            <w:vAlign w:val="bottom"/>
            <w:shd w:val="clear" w:color="auto" w:fill="E3E3E3"/>
          </w:tcPr>
          <w:p>
            <w:pPr>
              <w:spacing w:after="0"/>
              <w:rPr>
                <w:sz w:val="18"/>
                <w:szCs w:val="18"/>
                <w:color w:val="auto"/>
              </w:rPr>
            </w:pPr>
          </w:p>
        </w:tc>
      </w:tr>
    </w:tbl>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-141605</wp:posOffset>
            </wp:positionV>
            <wp:extent cx="272351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23515" cy="9525"/>
                    </a:xfrm>
                    <a:prstGeom prst="rect">
                      <a:avLst/>
                    </a:prstGeom>
                    <a:noFill/>
                  </pic:spPr>
                </pic:pic>
              </a:graphicData>
            </a:graphic>
          </wp:anchor>
        </w:drawing>
      </w: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10800"/>
          </w:cols>
          <w:pgMar w:left="540" w:top="745" w:right="540" w:bottom="0" w:gutter="0" w:footer="0" w:header="0"/>
          <w:type w:val="continuous"/>
        </w:sectPr>
      </w:pPr>
    </w:p>
    <w:bookmarkStart w:id="101" w:name="page102"/>
    <w:bookmarkEnd w:id="101"/>
    <w:p>
      <w:pPr>
        <w:jc w:val="center"/>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DEFINITIVE HEALTHCARE CORP. CONSOLIDATED STATEMENTS OF CASH FLOWS (CONTINUED) </w:t>
      </w:r>
      <w:r>
        <w:rPr>
          <w:rFonts w:ascii="Times New Roman" w:cs="Times New Roman" w:eastAsia="Times New Roman" w:hAnsi="Times New Roman"/>
          <w:sz w:val="20"/>
          <w:szCs w:val="20"/>
          <w:i w:val="1"/>
          <w:iCs w:val="1"/>
          <w:color w:val="auto"/>
        </w:rPr>
        <w:t>(amounts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60" w:type="dxa"/>
            <w:vAlign w:val="bottom"/>
            <w:tcBorders>
              <w:bottom w:val="single" w:sz="8" w:color="FDFDFD"/>
            </w:tcBorders>
            <w:shd w:val="clear" w:color="auto" w:fill="FDFDFD"/>
          </w:tcPr>
          <w:p>
            <w:pPr>
              <w:spacing w:after="0"/>
              <w:rPr>
                <w:sz w:val="17"/>
                <w:szCs w:val="17"/>
                <w:color w:val="auto"/>
              </w:rPr>
            </w:pPr>
          </w:p>
        </w:tc>
        <w:tc>
          <w:tcPr>
            <w:tcW w:w="140" w:type="dxa"/>
            <w:vAlign w:val="bottom"/>
            <w:tcBorders>
              <w:bottom w:val="single" w:sz="8" w:color="FDFDFD"/>
            </w:tcBorders>
            <w:shd w:val="clear" w:color="auto" w:fill="FDFDFD"/>
          </w:tcPr>
          <w:p>
            <w:pPr>
              <w:spacing w:after="0"/>
              <w:rPr>
                <w:sz w:val="17"/>
                <w:szCs w:val="17"/>
                <w:color w:val="auto"/>
              </w:rPr>
            </w:pPr>
          </w:p>
        </w:tc>
        <w:tc>
          <w:tcPr>
            <w:tcW w:w="280" w:type="dxa"/>
            <w:vAlign w:val="bottom"/>
            <w:tcBorders>
              <w:bottom w:val="single" w:sz="8" w:color="auto"/>
            </w:tcBorders>
            <w:shd w:val="clear" w:color="auto" w:fill="FDFDFD"/>
          </w:tcPr>
          <w:p>
            <w:pPr>
              <w:spacing w:after="0"/>
              <w:rPr>
                <w:sz w:val="17"/>
                <w:szCs w:val="17"/>
                <w:color w:val="auto"/>
              </w:rPr>
            </w:pPr>
          </w:p>
        </w:tc>
        <w:tc>
          <w:tcPr>
            <w:tcW w:w="3040" w:type="dxa"/>
            <w:vAlign w:val="bottom"/>
            <w:tcBorders>
              <w:bottom w:val="single" w:sz="8" w:color="auto"/>
            </w:tcBorders>
            <w:gridSpan w:val="8"/>
            <w:shd w:val="clear" w:color="auto" w:fill="FDFDFD"/>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40" w:type="dxa"/>
            <w:vAlign w:val="bottom"/>
            <w:tcBorders>
              <w:bottom w:val="single" w:sz="8" w:color="FDFDFD"/>
            </w:tcBorders>
            <w:shd w:val="clear" w:color="auto" w:fill="FDFDFD"/>
          </w:tcPr>
          <w:p>
            <w:pPr>
              <w:spacing w:after="0"/>
              <w:rPr>
                <w:sz w:val="17"/>
                <w:szCs w:val="17"/>
                <w:color w:val="auto"/>
              </w:rPr>
            </w:pPr>
          </w:p>
        </w:tc>
        <w:tc>
          <w:tcPr>
            <w:tcW w:w="280" w:type="dxa"/>
            <w:vAlign w:val="bottom"/>
            <w:tcBorders>
              <w:bottom w:val="single" w:sz="8" w:color="auto"/>
            </w:tcBorders>
            <w:shd w:val="clear" w:color="auto" w:fill="FDFDFD"/>
          </w:tcPr>
          <w:p>
            <w:pPr>
              <w:spacing w:after="0"/>
              <w:rPr>
                <w:sz w:val="17"/>
                <w:szCs w:val="17"/>
                <w:color w:val="auto"/>
              </w:rPr>
            </w:pPr>
          </w:p>
        </w:tc>
        <w:tc>
          <w:tcPr>
            <w:tcW w:w="980" w:type="dxa"/>
            <w:vAlign w:val="bottom"/>
            <w:tcBorders>
              <w:bottom w:val="single" w:sz="8" w:color="auto"/>
            </w:tcBorders>
            <w:shd w:val="clear" w:color="auto" w:fill="FDFDFD"/>
          </w:tcPr>
          <w:p>
            <w:pPr>
              <w:jc w:val="right"/>
              <w:ind w:right="350"/>
              <w:spacing w:after="0" w:line="197"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FDFDFD"/>
            </w:tcBorders>
            <w:shd w:val="clear" w:color="auto" w:fill="FDFDFD"/>
          </w:tcPr>
          <w:p>
            <w:pPr>
              <w:spacing w:after="0"/>
              <w:rPr>
                <w:sz w:val="17"/>
                <w:szCs w:val="17"/>
                <w:color w:val="auto"/>
              </w:rPr>
            </w:pPr>
          </w:p>
        </w:tc>
        <w:tc>
          <w:tcPr>
            <w:tcW w:w="140" w:type="dxa"/>
            <w:vAlign w:val="bottom"/>
            <w:tcBorders>
              <w:bottom w:val="single" w:sz="8" w:color="FDFDFD"/>
            </w:tcBorders>
            <w:shd w:val="clear" w:color="auto" w:fill="FDFDFD"/>
          </w:tcPr>
          <w:p>
            <w:pPr>
              <w:spacing w:after="0"/>
              <w:rPr>
                <w:sz w:val="17"/>
                <w:szCs w:val="17"/>
                <w:color w:val="auto"/>
              </w:rPr>
            </w:pPr>
          </w:p>
        </w:tc>
        <w:tc>
          <w:tcPr>
            <w:tcW w:w="260" w:type="dxa"/>
            <w:vAlign w:val="bottom"/>
            <w:tcBorders>
              <w:bottom w:val="single" w:sz="8" w:color="auto"/>
            </w:tcBorders>
            <w:shd w:val="clear" w:color="auto" w:fill="FDFDFD"/>
          </w:tcPr>
          <w:p>
            <w:pPr>
              <w:spacing w:after="0"/>
              <w:rPr>
                <w:sz w:val="17"/>
                <w:szCs w:val="17"/>
                <w:color w:val="auto"/>
              </w:rPr>
            </w:pPr>
          </w:p>
        </w:tc>
        <w:tc>
          <w:tcPr>
            <w:tcW w:w="1000" w:type="dxa"/>
            <w:vAlign w:val="bottom"/>
            <w:tcBorders>
              <w:bottom w:val="single" w:sz="8" w:color="auto"/>
            </w:tcBorders>
            <w:shd w:val="clear" w:color="auto" w:fill="FDFDFD"/>
          </w:tcPr>
          <w:p>
            <w:pPr>
              <w:jc w:val="right"/>
              <w:ind w:right="370"/>
              <w:spacing w:after="0" w:line="197"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FDFDFD"/>
            </w:tcBorders>
            <w:shd w:val="clear" w:color="auto" w:fill="FDFDFD"/>
          </w:tcPr>
          <w:p>
            <w:pPr>
              <w:spacing w:after="0"/>
              <w:rPr>
                <w:sz w:val="17"/>
                <w:szCs w:val="17"/>
                <w:color w:val="auto"/>
              </w:rPr>
            </w:pPr>
          </w:p>
        </w:tc>
        <w:tc>
          <w:tcPr>
            <w:tcW w:w="160" w:type="dxa"/>
            <w:vAlign w:val="bottom"/>
            <w:tcBorders>
              <w:bottom w:val="single" w:sz="8" w:color="FDFDFD"/>
            </w:tcBorders>
            <w:shd w:val="clear" w:color="auto" w:fill="FDFDFD"/>
          </w:tcPr>
          <w:p>
            <w:pPr>
              <w:spacing w:after="0"/>
              <w:rPr>
                <w:sz w:val="17"/>
                <w:szCs w:val="17"/>
                <w:color w:val="auto"/>
              </w:rPr>
            </w:pPr>
          </w:p>
        </w:tc>
        <w:tc>
          <w:tcPr>
            <w:tcW w:w="280" w:type="dxa"/>
            <w:vAlign w:val="bottom"/>
            <w:tcBorders>
              <w:bottom w:val="single" w:sz="8" w:color="auto"/>
            </w:tcBorders>
            <w:shd w:val="clear" w:color="auto" w:fill="FDFDFD"/>
          </w:tcPr>
          <w:p>
            <w:pPr>
              <w:spacing w:after="0"/>
              <w:rPr>
                <w:sz w:val="17"/>
                <w:szCs w:val="17"/>
                <w:color w:val="auto"/>
              </w:rPr>
            </w:pPr>
          </w:p>
        </w:tc>
        <w:tc>
          <w:tcPr>
            <w:tcW w:w="980" w:type="dxa"/>
            <w:vAlign w:val="bottom"/>
            <w:tcBorders>
              <w:bottom w:val="single" w:sz="8" w:color="auto"/>
            </w:tcBorders>
            <w:shd w:val="clear" w:color="auto" w:fill="FDFDFD"/>
          </w:tcPr>
          <w:p>
            <w:pPr>
              <w:jc w:val="right"/>
              <w:ind w:right="370"/>
              <w:spacing w:after="0" w:line="197"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vMerge w:val="continue"/>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280" w:type="dxa"/>
            <w:vAlign w:val="bottom"/>
            <w:shd w:val="clear" w:color="auto" w:fill="FDFDFD"/>
          </w:tcPr>
          <w:p>
            <w:pPr>
              <w:spacing w:after="0"/>
              <w:rPr>
                <w:sz w:val="17"/>
                <w:szCs w:val="17"/>
                <w:color w:val="auto"/>
              </w:rPr>
            </w:pPr>
          </w:p>
        </w:tc>
        <w:tc>
          <w:tcPr>
            <w:tcW w:w="98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260" w:type="dxa"/>
            <w:vAlign w:val="bottom"/>
            <w:shd w:val="clear" w:color="auto" w:fill="FDFDFD"/>
          </w:tcPr>
          <w:p>
            <w:pPr>
              <w:spacing w:after="0"/>
              <w:rPr>
                <w:sz w:val="17"/>
                <w:szCs w:val="17"/>
                <w:color w:val="auto"/>
              </w:rPr>
            </w:pPr>
          </w:p>
        </w:tc>
        <w:tc>
          <w:tcPr>
            <w:tcW w:w="10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280" w:type="dxa"/>
            <w:vAlign w:val="bottom"/>
            <w:shd w:val="clear" w:color="auto" w:fill="FDFDFD"/>
          </w:tcPr>
          <w:p>
            <w:pPr>
              <w:spacing w:after="0"/>
              <w:rPr>
                <w:sz w:val="17"/>
                <w:szCs w:val="17"/>
                <w:color w:val="auto"/>
              </w:rPr>
            </w:pPr>
          </w:p>
        </w:tc>
        <w:tc>
          <w:tcPr>
            <w:tcW w:w="98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40" w:type="dxa"/>
            <w:vAlign w:val="bottom"/>
            <w:shd w:val="clear" w:color="auto" w:fill="E3E3E3"/>
          </w:tcPr>
          <w:p>
            <w:pPr>
              <w:spacing w:after="0"/>
              <w:rPr>
                <w:sz w:val="17"/>
                <w:szCs w:val="17"/>
                <w:color w:val="auto"/>
              </w:rPr>
            </w:pPr>
          </w:p>
        </w:tc>
        <w:tc>
          <w:tcPr>
            <w:tcW w:w="28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260" w:type="dxa"/>
            <w:vAlign w:val="bottom"/>
            <w:shd w:val="clear" w:color="auto" w:fill="E3E3E3"/>
          </w:tcPr>
          <w:p>
            <w:pPr>
              <w:spacing w:after="0"/>
              <w:rPr>
                <w:sz w:val="17"/>
                <w:szCs w:val="17"/>
                <w:color w:val="auto"/>
              </w:rPr>
            </w:pPr>
          </w:p>
        </w:tc>
        <w:tc>
          <w:tcPr>
            <w:tcW w:w="10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28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6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shd w:val="clear" w:color="auto" w:fill="FDFDFD"/>
          </w:tcPr>
          <w:p>
            <w:pPr>
              <w:spacing w:after="0"/>
              <w:rPr>
                <w:sz w:val="17"/>
                <w:szCs w:val="17"/>
                <w:color w:val="auto"/>
              </w:rPr>
            </w:pPr>
          </w:p>
        </w:tc>
        <w:tc>
          <w:tcPr>
            <w:tcW w:w="280" w:type="dxa"/>
            <w:vAlign w:val="bottom"/>
            <w:shd w:val="clear" w:color="auto" w:fill="FDFDFD"/>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120" w:type="dxa"/>
            <w:vAlign w:val="bottom"/>
            <w:shd w:val="clear" w:color="auto" w:fill="FDFDFD"/>
          </w:tcPr>
          <w:p>
            <w:pPr>
              <w:spacing w:after="0"/>
              <w:rPr>
                <w:sz w:val="17"/>
                <w:szCs w:val="17"/>
                <w:color w:val="auto"/>
              </w:rPr>
            </w:pPr>
          </w:p>
        </w:tc>
        <w:tc>
          <w:tcPr>
            <w:tcW w:w="400" w:type="dxa"/>
            <w:vAlign w:val="bottom"/>
            <w:gridSpan w:val="2"/>
            <w:shd w:val="clear" w:color="auto" w:fill="FDFDFD"/>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100" w:type="dxa"/>
            <w:vAlign w:val="bottom"/>
            <w:shd w:val="clear" w:color="auto" w:fill="FDFDFD"/>
          </w:tcPr>
          <w:p>
            <w:pPr>
              <w:spacing w:after="0"/>
              <w:rPr>
                <w:sz w:val="17"/>
                <w:szCs w:val="17"/>
                <w:color w:val="auto"/>
              </w:rPr>
            </w:pPr>
          </w:p>
        </w:tc>
        <w:tc>
          <w:tcPr>
            <w:tcW w:w="440" w:type="dxa"/>
            <w:vAlign w:val="bottom"/>
            <w:gridSpan w:val="2"/>
            <w:shd w:val="clear" w:color="auto" w:fill="FDFDFD"/>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00" w:type="dxa"/>
            <w:vAlign w:val="bottom"/>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E3E3E3"/>
          </w:tcPr>
          <w:p>
            <w:pPr>
              <w:spacing w:after="0"/>
              <w:rPr>
                <w:sz w:val="17"/>
                <w:szCs w:val="17"/>
                <w:color w:val="auto"/>
              </w:rPr>
            </w:pPr>
          </w:p>
        </w:tc>
        <w:tc>
          <w:tcPr>
            <w:tcW w:w="11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3E3E3"/>
          </w:tcPr>
          <w:p>
            <w:pPr>
              <w:spacing w:after="0"/>
              <w:rPr>
                <w:sz w:val="17"/>
                <w:szCs w:val="17"/>
                <w:color w:val="auto"/>
              </w:rPr>
            </w:pPr>
          </w:p>
        </w:tc>
        <w:tc>
          <w:tcPr>
            <w:tcW w:w="260" w:type="dxa"/>
            <w:vAlign w:val="bottom"/>
            <w:shd w:val="clear" w:color="auto" w:fill="E3E3E3"/>
          </w:tcPr>
          <w:p>
            <w:pPr>
              <w:spacing w:after="0"/>
              <w:rPr>
                <w:sz w:val="17"/>
                <w:szCs w:val="17"/>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280" w:type="dxa"/>
            <w:vAlign w:val="bottom"/>
            <w:shd w:val="clear" w:color="auto" w:fill="E3E3E3"/>
          </w:tcPr>
          <w:p>
            <w:pPr>
              <w:spacing w:after="0"/>
              <w:rPr>
                <w:sz w:val="17"/>
                <w:szCs w:val="17"/>
                <w:color w:val="auto"/>
              </w:rPr>
            </w:pPr>
          </w:p>
        </w:tc>
        <w:tc>
          <w:tcPr>
            <w:tcW w:w="108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640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shd w:val="clear" w:color="auto" w:fill="FDFDFD"/>
          </w:tcPr>
          <w:p>
            <w:pPr>
              <w:spacing w:after="0"/>
              <w:rPr>
                <w:sz w:val="17"/>
                <w:szCs w:val="17"/>
                <w:color w:val="auto"/>
              </w:rPr>
            </w:pPr>
          </w:p>
        </w:tc>
        <w:tc>
          <w:tcPr>
            <w:tcW w:w="98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260" w:type="dxa"/>
            <w:vAlign w:val="bottom"/>
            <w:shd w:val="clear" w:color="auto" w:fill="FDFDFD"/>
          </w:tcPr>
          <w:p>
            <w:pPr>
              <w:spacing w:after="0"/>
              <w:rPr>
                <w:sz w:val="17"/>
                <w:szCs w:val="17"/>
                <w:color w:val="auto"/>
              </w:rPr>
            </w:pPr>
          </w:p>
        </w:tc>
        <w:tc>
          <w:tcPr>
            <w:tcW w:w="10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280" w:type="dxa"/>
            <w:vAlign w:val="bottom"/>
            <w:shd w:val="clear" w:color="auto" w:fill="FDFDFD"/>
          </w:tcPr>
          <w:p>
            <w:pPr>
              <w:spacing w:after="0"/>
              <w:rPr>
                <w:sz w:val="17"/>
                <w:szCs w:val="17"/>
                <w:color w:val="auto"/>
              </w:rPr>
            </w:pPr>
          </w:p>
        </w:tc>
        <w:tc>
          <w:tcPr>
            <w:tcW w:w="98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0" w:type="dxa"/>
            <w:vAlign w:val="bottom"/>
            <w:gridSpan w:val="2"/>
            <w:shd w:val="clear" w:color="auto" w:fill="E3E3E3"/>
          </w:tcPr>
          <w:p>
            <w:pPr>
              <w:ind w:left="600"/>
              <w:spacing w:after="0"/>
              <w:rPr>
                <w:sz w:val="20"/>
                <w:szCs w:val="20"/>
                <w:color w:val="auto"/>
              </w:rPr>
            </w:pPr>
            <w:r>
              <w:rPr>
                <w:rFonts w:ascii="Times New Roman" w:cs="Times New Roman" w:eastAsia="Times New Roman" w:hAnsi="Times New Roman"/>
                <w:sz w:val="18"/>
                <w:szCs w:val="18"/>
                <w:color w:val="auto"/>
              </w:rPr>
              <w:t>Net assets acquired, net of cash acquired</w:t>
            </w:r>
          </w:p>
        </w:tc>
        <w:tc>
          <w:tcPr>
            <w:tcW w:w="280" w:type="dxa"/>
            <w:vAlign w:val="bottom"/>
            <w:shd w:val="clear" w:color="auto" w:fill="E3E3E3"/>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120" w:type="dxa"/>
            <w:vAlign w:val="bottom"/>
            <w:shd w:val="clear" w:color="auto" w:fill="E3E3E3"/>
          </w:tcPr>
          <w:p>
            <w:pPr>
              <w:spacing w:after="0"/>
              <w:rPr>
                <w:sz w:val="17"/>
                <w:szCs w:val="17"/>
                <w:color w:val="auto"/>
              </w:rPr>
            </w:pPr>
          </w:p>
        </w:tc>
        <w:tc>
          <w:tcPr>
            <w:tcW w:w="400" w:type="dxa"/>
            <w:vAlign w:val="bottom"/>
            <w:gridSpan w:val="2"/>
            <w:shd w:val="clear" w:color="auto" w:fill="E3E3E3"/>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52,678</w:t>
            </w:r>
          </w:p>
        </w:tc>
        <w:tc>
          <w:tcPr>
            <w:tcW w:w="100" w:type="dxa"/>
            <w:vAlign w:val="bottom"/>
            <w:shd w:val="clear" w:color="auto" w:fill="E3E3E3"/>
          </w:tcPr>
          <w:p>
            <w:pPr>
              <w:spacing w:after="0"/>
              <w:rPr>
                <w:sz w:val="17"/>
                <w:szCs w:val="17"/>
                <w:color w:val="auto"/>
              </w:rPr>
            </w:pPr>
          </w:p>
        </w:tc>
        <w:tc>
          <w:tcPr>
            <w:tcW w:w="440" w:type="dxa"/>
            <w:vAlign w:val="bottom"/>
            <w:gridSpan w:val="2"/>
            <w:shd w:val="clear" w:color="auto" w:fill="E3E3E3"/>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97,296</w:t>
            </w:r>
          </w:p>
        </w:tc>
        <w:tc>
          <w:tcPr>
            <w:tcW w:w="10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0" w:type="dxa"/>
            <w:vAlign w:val="bottom"/>
            <w:gridSpan w:val="2"/>
            <w:shd w:val="clear" w:color="auto" w:fill="FDFDFD"/>
          </w:tcPr>
          <w:p>
            <w:pPr>
              <w:ind w:left="600"/>
              <w:spacing w:after="0"/>
              <w:rPr>
                <w:sz w:val="20"/>
                <w:szCs w:val="20"/>
                <w:color w:val="auto"/>
              </w:rPr>
            </w:pPr>
            <w:r>
              <w:rPr>
                <w:rFonts w:ascii="Times New Roman" w:cs="Times New Roman" w:eastAsia="Times New Roman" w:hAnsi="Times New Roman"/>
                <w:sz w:val="18"/>
                <w:szCs w:val="18"/>
                <w:color w:val="auto"/>
              </w:rPr>
              <w:t>Working capital adjustment receivable</w:t>
            </w:r>
          </w:p>
        </w:tc>
        <w:tc>
          <w:tcPr>
            <w:tcW w:w="280" w:type="dxa"/>
            <w:vAlign w:val="bottom"/>
            <w:shd w:val="clear" w:color="auto" w:fill="FDFDFD"/>
          </w:tcPr>
          <w:p>
            <w:pPr>
              <w:spacing w:after="0"/>
              <w:rPr>
                <w:sz w:val="17"/>
                <w:szCs w:val="17"/>
                <w:color w:val="auto"/>
              </w:rPr>
            </w:pPr>
          </w:p>
        </w:tc>
        <w:tc>
          <w:tcPr>
            <w:tcW w:w="110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FDFDFD"/>
          </w:tcPr>
          <w:p>
            <w:pPr>
              <w:spacing w:after="0"/>
              <w:rPr>
                <w:sz w:val="17"/>
                <w:szCs w:val="17"/>
                <w:color w:val="auto"/>
              </w:rPr>
            </w:pPr>
          </w:p>
        </w:tc>
        <w:tc>
          <w:tcPr>
            <w:tcW w:w="260" w:type="dxa"/>
            <w:vAlign w:val="bottom"/>
            <w:shd w:val="clear" w:color="auto" w:fill="FDFDFD"/>
          </w:tcPr>
          <w:p>
            <w:pPr>
              <w:spacing w:after="0"/>
              <w:rPr>
                <w:sz w:val="17"/>
                <w:szCs w:val="17"/>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28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6400" w:type="dxa"/>
            <w:vAlign w:val="bottom"/>
            <w:gridSpan w:val="2"/>
            <w:shd w:val="clear" w:color="auto" w:fill="E3E3E3"/>
          </w:tcPr>
          <w:p>
            <w:pPr>
              <w:ind w:left="600"/>
              <w:spacing w:after="0"/>
              <w:rPr>
                <w:sz w:val="20"/>
                <w:szCs w:val="20"/>
                <w:color w:val="auto"/>
              </w:rPr>
            </w:pPr>
            <w:r>
              <w:rPr>
                <w:rFonts w:ascii="Times New Roman" w:cs="Times New Roman" w:eastAsia="Times New Roman" w:hAnsi="Times New Roman"/>
                <w:sz w:val="18"/>
                <w:szCs w:val="18"/>
                <w:color w:val="auto"/>
              </w:rPr>
              <w:t>Initial cash investment in prior year</w:t>
            </w:r>
          </w:p>
        </w:tc>
        <w:tc>
          <w:tcPr>
            <w:tcW w:w="280" w:type="dxa"/>
            <w:vAlign w:val="bottom"/>
            <w:shd w:val="clear" w:color="auto" w:fill="E3E3E3"/>
          </w:tcPr>
          <w:p>
            <w:pPr>
              <w:spacing w:after="0"/>
              <w:rPr>
                <w:sz w:val="17"/>
                <w:szCs w:val="17"/>
                <w:color w:val="auto"/>
              </w:rPr>
            </w:pPr>
          </w:p>
        </w:tc>
        <w:tc>
          <w:tcPr>
            <w:tcW w:w="11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3E3E3"/>
          </w:tcPr>
          <w:p>
            <w:pPr>
              <w:spacing w:after="0"/>
              <w:rPr>
                <w:sz w:val="17"/>
                <w:szCs w:val="17"/>
                <w:color w:val="auto"/>
              </w:rPr>
            </w:pPr>
          </w:p>
        </w:tc>
        <w:tc>
          <w:tcPr>
            <w:tcW w:w="260" w:type="dxa"/>
            <w:vAlign w:val="bottom"/>
            <w:shd w:val="clear" w:color="auto" w:fill="E3E3E3"/>
          </w:tcPr>
          <w:p>
            <w:pPr>
              <w:spacing w:after="0"/>
              <w:rPr>
                <w:sz w:val="17"/>
                <w:szCs w:val="17"/>
                <w:color w:val="auto"/>
              </w:rPr>
            </w:pPr>
          </w:p>
        </w:tc>
        <w:tc>
          <w:tcPr>
            <w:tcW w:w="110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3E3E3"/>
          </w:tcPr>
          <w:p>
            <w:pPr>
              <w:spacing w:after="0"/>
              <w:rPr>
                <w:sz w:val="17"/>
                <w:szCs w:val="17"/>
                <w:color w:val="auto"/>
              </w:rPr>
            </w:pPr>
          </w:p>
        </w:tc>
        <w:tc>
          <w:tcPr>
            <w:tcW w:w="280" w:type="dxa"/>
            <w:vAlign w:val="bottom"/>
            <w:shd w:val="clear" w:color="auto" w:fill="E3E3E3"/>
          </w:tcPr>
          <w:p>
            <w:pPr>
              <w:spacing w:after="0"/>
              <w:rPr>
                <w:sz w:val="17"/>
                <w:szCs w:val="17"/>
                <w:color w:val="auto"/>
              </w:rPr>
            </w:pPr>
          </w:p>
        </w:tc>
        <w:tc>
          <w:tcPr>
            <w:tcW w:w="108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07"/>
        </w:trPr>
        <w:tc>
          <w:tcPr>
            <w:tcW w:w="6400" w:type="dxa"/>
            <w:vAlign w:val="bottom"/>
            <w:gridSpan w:val="2"/>
            <w:shd w:val="clear" w:color="auto" w:fill="FDFDFD"/>
          </w:tcPr>
          <w:p>
            <w:pPr>
              <w:ind w:left="6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shd w:val="clear" w:color="auto" w:fill="FDFDFD"/>
          </w:tcPr>
          <w:p>
            <w:pPr>
              <w:spacing w:after="0"/>
              <w:rPr>
                <w:sz w:val="17"/>
                <w:szCs w:val="17"/>
                <w:color w:val="auto"/>
              </w:rPr>
            </w:pPr>
          </w:p>
        </w:tc>
        <w:tc>
          <w:tcPr>
            <w:tcW w:w="11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FDFDFD"/>
          </w:tcPr>
          <w:p>
            <w:pPr>
              <w:spacing w:after="0"/>
              <w:rPr>
                <w:sz w:val="17"/>
                <w:szCs w:val="17"/>
                <w:color w:val="auto"/>
              </w:rPr>
            </w:pPr>
          </w:p>
        </w:tc>
        <w:tc>
          <w:tcPr>
            <w:tcW w:w="260" w:type="dxa"/>
            <w:vAlign w:val="bottom"/>
            <w:shd w:val="clear" w:color="auto" w:fill="FDFDFD"/>
          </w:tcPr>
          <w:p>
            <w:pPr>
              <w:spacing w:after="0"/>
              <w:rPr>
                <w:sz w:val="17"/>
                <w:szCs w:val="17"/>
                <w:color w:val="auto"/>
              </w:rPr>
            </w:pPr>
          </w:p>
        </w:tc>
        <w:tc>
          <w:tcPr>
            <w:tcW w:w="110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8"/>
                <w:szCs w:val="18"/>
                <w:color w:val="auto"/>
              </w:rPr>
              <w:t>(7,800)</w:t>
            </w:r>
          </w:p>
        </w:tc>
        <w:tc>
          <w:tcPr>
            <w:tcW w:w="160" w:type="dxa"/>
            <w:vAlign w:val="bottom"/>
            <w:shd w:val="clear" w:color="auto" w:fill="FDFDFD"/>
          </w:tcPr>
          <w:p>
            <w:pPr>
              <w:spacing w:after="0"/>
              <w:rPr>
                <w:sz w:val="17"/>
                <w:szCs w:val="17"/>
                <w:color w:val="auto"/>
              </w:rPr>
            </w:pPr>
          </w:p>
        </w:tc>
        <w:tc>
          <w:tcPr>
            <w:tcW w:w="28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7"/>
        </w:trPr>
        <w:tc>
          <w:tcPr>
            <w:tcW w:w="6400" w:type="dxa"/>
            <w:vAlign w:val="bottom"/>
            <w:tcBorders>
              <w:top w:val="single" w:sz="8" w:color="E3E3E3"/>
              <w:bottom w:val="single" w:sz="8" w:color="FDFDFD"/>
            </w:tcBorders>
            <w:gridSpan w:val="2"/>
            <w:shd w:val="clear" w:color="auto" w:fill="E3E3E3"/>
          </w:tcPr>
          <w:p>
            <w:pPr>
              <w:ind w:left="800"/>
              <w:spacing w:after="0" w:line="197" w:lineRule="exact"/>
              <w:rPr>
                <w:sz w:val="20"/>
                <w:szCs w:val="20"/>
                <w:color w:val="auto"/>
              </w:rPr>
            </w:pPr>
            <w:r>
              <w:rPr>
                <w:rFonts w:ascii="Times New Roman" w:cs="Times New Roman" w:eastAsia="Times New Roman" w:hAnsi="Times New Roman"/>
                <w:sz w:val="18"/>
                <w:szCs w:val="18"/>
                <w:color w:val="auto"/>
              </w:rPr>
              <w:t>Net cash paid for acquisitions</w:t>
            </w:r>
          </w:p>
        </w:tc>
        <w:tc>
          <w:tcPr>
            <w:tcW w:w="280" w:type="dxa"/>
            <w:vAlign w:val="bottom"/>
            <w:tcBorders>
              <w:top w:val="single" w:sz="8" w:color="auto"/>
              <w:bottom w:val="single" w:sz="8" w:color="auto"/>
            </w:tcBorders>
            <w:shd w:val="clear" w:color="auto" w:fill="E3E3E3"/>
          </w:tcPr>
          <w:p>
            <w:pPr>
              <w:jc w:val="right"/>
              <w:ind w:right="9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E3E3E3"/>
          </w:tcPr>
          <w:p>
            <w:pPr>
              <w:jc w:val="right"/>
              <w:spacing w:after="0" w:line="197" w:lineRule="exact"/>
              <w:rPr>
                <w:sz w:val="20"/>
                <w:szCs w:val="20"/>
                <w:color w:val="auto"/>
              </w:rPr>
            </w:pPr>
            <w:r>
              <w:rPr>
                <w:rFonts w:ascii="Times New Roman" w:cs="Times New Roman" w:eastAsia="Times New Roman" w:hAnsi="Times New Roman"/>
                <w:sz w:val="18"/>
                <w:szCs w:val="18"/>
                <w:color w:val="auto"/>
              </w:rPr>
              <w:t>13,530</w:t>
            </w:r>
          </w:p>
        </w:tc>
        <w:tc>
          <w:tcPr>
            <w:tcW w:w="120" w:type="dxa"/>
            <w:vAlign w:val="bottom"/>
            <w:tcBorders>
              <w:top w:val="single" w:sz="8" w:color="E3E3E3"/>
              <w:bottom w:val="single" w:sz="8" w:color="FDFDFD"/>
            </w:tcBorders>
            <w:shd w:val="clear" w:color="auto" w:fill="E3E3E3"/>
          </w:tcPr>
          <w:p>
            <w:pPr>
              <w:spacing w:after="0"/>
              <w:rPr>
                <w:sz w:val="17"/>
                <w:szCs w:val="17"/>
                <w:color w:val="auto"/>
              </w:rPr>
            </w:pPr>
          </w:p>
        </w:tc>
        <w:tc>
          <w:tcPr>
            <w:tcW w:w="140" w:type="dxa"/>
            <w:vAlign w:val="bottom"/>
            <w:tcBorders>
              <w:top w:val="single" w:sz="8" w:color="E3E3E3"/>
              <w:bottom w:val="single" w:sz="8" w:color="FDFDFD"/>
            </w:tcBorders>
            <w:shd w:val="clear" w:color="auto" w:fill="E3E3E3"/>
          </w:tcPr>
          <w:p>
            <w:pPr>
              <w:spacing w:after="0"/>
              <w:rPr>
                <w:sz w:val="17"/>
                <w:szCs w:val="17"/>
                <w:color w:val="auto"/>
              </w:rPr>
            </w:pPr>
          </w:p>
        </w:tc>
        <w:tc>
          <w:tcPr>
            <w:tcW w:w="260" w:type="dxa"/>
            <w:vAlign w:val="bottom"/>
            <w:tcBorders>
              <w:top w:val="single" w:sz="8" w:color="auto"/>
              <w:bottom w:val="single" w:sz="8" w:color="auto"/>
            </w:tcBorders>
            <w:shd w:val="clear" w:color="auto" w:fill="E3E3E3"/>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3E3E3"/>
          </w:tcPr>
          <w:p>
            <w:pPr>
              <w:jc w:val="right"/>
              <w:spacing w:after="0" w:line="197" w:lineRule="exact"/>
              <w:rPr>
                <w:sz w:val="20"/>
                <w:szCs w:val="20"/>
                <w:color w:val="auto"/>
              </w:rPr>
            </w:pPr>
            <w:r>
              <w:rPr>
                <w:rFonts w:ascii="Times New Roman" w:cs="Times New Roman" w:eastAsia="Times New Roman" w:hAnsi="Times New Roman"/>
                <w:sz w:val="18"/>
                <w:szCs w:val="18"/>
                <w:color w:val="auto"/>
              </w:rPr>
              <w:t>45,023</w:t>
            </w:r>
          </w:p>
        </w:tc>
        <w:tc>
          <w:tcPr>
            <w:tcW w:w="100" w:type="dxa"/>
            <w:vAlign w:val="bottom"/>
            <w:tcBorders>
              <w:top w:val="single" w:sz="8" w:color="E3E3E3"/>
              <w:bottom w:val="single" w:sz="8" w:color="FDFDFD"/>
            </w:tcBorders>
            <w:shd w:val="clear" w:color="auto" w:fill="E3E3E3"/>
          </w:tcPr>
          <w:p>
            <w:pPr>
              <w:spacing w:after="0"/>
              <w:rPr>
                <w:sz w:val="17"/>
                <w:szCs w:val="17"/>
                <w:color w:val="auto"/>
              </w:rPr>
            </w:pPr>
          </w:p>
        </w:tc>
        <w:tc>
          <w:tcPr>
            <w:tcW w:w="160" w:type="dxa"/>
            <w:vAlign w:val="bottom"/>
            <w:tcBorders>
              <w:top w:val="single" w:sz="8" w:color="E3E3E3"/>
              <w:bottom w:val="single" w:sz="8" w:color="FDFDFD"/>
            </w:tcBorders>
            <w:shd w:val="clear" w:color="auto" w:fill="E3E3E3"/>
          </w:tcPr>
          <w:p>
            <w:pPr>
              <w:spacing w:after="0"/>
              <w:rPr>
                <w:sz w:val="17"/>
                <w:szCs w:val="17"/>
                <w:color w:val="auto"/>
              </w:rPr>
            </w:pPr>
          </w:p>
        </w:tc>
        <w:tc>
          <w:tcPr>
            <w:tcW w:w="280" w:type="dxa"/>
            <w:vAlign w:val="bottom"/>
            <w:tcBorders>
              <w:top w:val="single" w:sz="8" w:color="auto"/>
              <w:bottom w:val="single" w:sz="8" w:color="auto"/>
            </w:tcBorders>
            <w:shd w:val="clear" w:color="auto" w:fill="E3E3E3"/>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E3E3E3"/>
          </w:tcPr>
          <w:p>
            <w:pPr>
              <w:jc w:val="right"/>
              <w:spacing w:after="0" w:line="197" w:lineRule="exact"/>
              <w:rPr>
                <w:sz w:val="20"/>
                <w:szCs w:val="20"/>
                <w:color w:val="auto"/>
              </w:rPr>
            </w:pPr>
            <w:r>
              <w:rPr>
                <w:rFonts w:ascii="Times New Roman" w:cs="Times New Roman" w:eastAsia="Times New Roman" w:hAnsi="Times New Roman"/>
                <w:sz w:val="18"/>
                <w:szCs w:val="18"/>
                <w:color w:val="auto"/>
              </w:rPr>
              <w:t>56,296</w:t>
            </w:r>
          </w:p>
        </w:tc>
        <w:tc>
          <w:tcPr>
            <w:tcW w:w="100" w:type="dxa"/>
            <w:vAlign w:val="bottom"/>
            <w:tcBorders>
              <w:top w:val="single" w:sz="8" w:color="E3E3E3"/>
              <w:bottom w:val="single" w:sz="8" w:color="FDFDFD"/>
            </w:tcBorders>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6260" w:type="dxa"/>
            <w:vAlign w:val="bottom"/>
            <w:shd w:val="clear" w:color="auto" w:fill="FDFDFD"/>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140" w:type="dxa"/>
            <w:vAlign w:val="bottom"/>
            <w:shd w:val="clear" w:color="auto" w:fill="FDFDFD"/>
          </w:tcPr>
          <w:p>
            <w:pPr>
              <w:spacing w:after="0"/>
              <w:rPr>
                <w:sz w:val="24"/>
                <w:szCs w:val="24"/>
                <w:color w:val="auto"/>
              </w:rPr>
            </w:pPr>
          </w:p>
        </w:tc>
        <w:tc>
          <w:tcPr>
            <w:tcW w:w="280" w:type="dxa"/>
            <w:vAlign w:val="bottom"/>
            <w:shd w:val="clear" w:color="auto" w:fill="FDFDFD"/>
          </w:tcPr>
          <w:p>
            <w:pPr>
              <w:spacing w:after="0"/>
              <w:rPr>
                <w:sz w:val="24"/>
                <w:szCs w:val="24"/>
                <w:color w:val="auto"/>
              </w:rPr>
            </w:pPr>
          </w:p>
        </w:tc>
        <w:tc>
          <w:tcPr>
            <w:tcW w:w="980" w:type="dxa"/>
            <w:vAlign w:val="bottom"/>
            <w:shd w:val="clear" w:color="auto" w:fill="FDFDFD"/>
          </w:tcPr>
          <w:p>
            <w:pPr>
              <w:spacing w:after="0"/>
              <w:rPr>
                <w:sz w:val="24"/>
                <w:szCs w:val="24"/>
                <w:color w:val="auto"/>
              </w:rPr>
            </w:pPr>
          </w:p>
        </w:tc>
        <w:tc>
          <w:tcPr>
            <w:tcW w:w="120" w:type="dxa"/>
            <w:vAlign w:val="bottom"/>
            <w:shd w:val="clear" w:color="auto" w:fill="FDFDFD"/>
          </w:tcPr>
          <w:p>
            <w:pPr>
              <w:spacing w:after="0"/>
              <w:rPr>
                <w:sz w:val="24"/>
                <w:szCs w:val="24"/>
                <w:color w:val="auto"/>
              </w:rPr>
            </w:pPr>
          </w:p>
        </w:tc>
        <w:tc>
          <w:tcPr>
            <w:tcW w:w="140" w:type="dxa"/>
            <w:vAlign w:val="bottom"/>
            <w:shd w:val="clear" w:color="auto" w:fill="FDFDFD"/>
          </w:tcPr>
          <w:p>
            <w:pPr>
              <w:spacing w:after="0"/>
              <w:rPr>
                <w:sz w:val="24"/>
                <w:szCs w:val="24"/>
                <w:color w:val="auto"/>
              </w:rPr>
            </w:pPr>
          </w:p>
        </w:tc>
        <w:tc>
          <w:tcPr>
            <w:tcW w:w="260" w:type="dxa"/>
            <w:vAlign w:val="bottom"/>
            <w:shd w:val="clear" w:color="auto" w:fill="FDFDFD"/>
          </w:tcPr>
          <w:p>
            <w:pPr>
              <w:spacing w:after="0"/>
              <w:rPr>
                <w:sz w:val="24"/>
                <w:szCs w:val="24"/>
                <w:color w:val="auto"/>
              </w:rPr>
            </w:pPr>
          </w:p>
        </w:tc>
        <w:tc>
          <w:tcPr>
            <w:tcW w:w="100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c>
          <w:tcPr>
            <w:tcW w:w="160" w:type="dxa"/>
            <w:vAlign w:val="bottom"/>
            <w:shd w:val="clear" w:color="auto" w:fill="FDFDFD"/>
          </w:tcPr>
          <w:p>
            <w:pPr>
              <w:spacing w:after="0"/>
              <w:rPr>
                <w:sz w:val="24"/>
                <w:szCs w:val="24"/>
                <w:color w:val="auto"/>
              </w:rPr>
            </w:pPr>
          </w:p>
        </w:tc>
        <w:tc>
          <w:tcPr>
            <w:tcW w:w="280" w:type="dxa"/>
            <w:vAlign w:val="bottom"/>
            <w:shd w:val="clear" w:color="auto" w:fill="FDFDFD"/>
          </w:tcPr>
          <w:p>
            <w:pPr>
              <w:spacing w:after="0"/>
              <w:rPr>
                <w:sz w:val="24"/>
                <w:szCs w:val="24"/>
                <w:color w:val="auto"/>
              </w:rPr>
            </w:pPr>
          </w:p>
        </w:tc>
        <w:tc>
          <w:tcPr>
            <w:tcW w:w="98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260" w:type="dxa"/>
            <w:vAlign w:val="bottom"/>
          </w:tcPr>
          <w:p>
            <w:pPr>
              <w:ind w:left="400"/>
              <w:spacing w:after="0" w:line="188" w:lineRule="exact"/>
              <w:rPr>
                <w:sz w:val="20"/>
                <w:szCs w:val="20"/>
                <w:color w:val="auto"/>
              </w:rPr>
            </w:pPr>
            <w:r>
              <w:rPr>
                <w:rFonts w:ascii="Times New Roman" w:cs="Times New Roman" w:eastAsia="Times New Roman" w:hAnsi="Times New Roman"/>
                <w:sz w:val="18"/>
                <w:szCs w:val="18"/>
                <w:color w:val="auto"/>
              </w:rPr>
              <w:t>Capital expenditures included in accounts payable and accrued expenses and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400" w:type="dxa"/>
            <w:vAlign w:val="bottom"/>
            <w:gridSpan w:val="2"/>
          </w:tcPr>
          <w:p>
            <w:pPr>
              <w:ind w:left="400"/>
              <w:spacing w:after="0" w:line="205" w:lineRule="exact"/>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6,870</w:t>
            </w:r>
          </w:p>
        </w:tc>
        <w:tc>
          <w:tcPr>
            <w:tcW w:w="120" w:type="dxa"/>
            <w:vAlign w:val="bottom"/>
          </w:tcPr>
          <w:p>
            <w:pPr>
              <w:spacing w:after="0"/>
              <w:rPr>
                <w:sz w:val="17"/>
                <w:szCs w:val="17"/>
                <w:color w:val="auto"/>
              </w:rPr>
            </w:pPr>
          </w:p>
        </w:tc>
        <w:tc>
          <w:tcPr>
            <w:tcW w:w="400" w:type="dxa"/>
            <w:vAlign w:val="bottom"/>
            <w:gridSpan w:val="2"/>
          </w:tcPr>
          <w:p>
            <w:pPr>
              <w:jc w:val="right"/>
              <w:ind w:right="95"/>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440" w:type="dxa"/>
            <w:vAlign w:val="bottom"/>
            <w:gridSpan w:val="2"/>
          </w:tcPr>
          <w:p>
            <w:pPr>
              <w:jc w:val="right"/>
              <w:ind w:right="115"/>
              <w:spacing w:after="0" w:line="20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6858000" cy="262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00" cy="262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1880" w:h="15480" w:orient="portrait"/>
          <w:cols w:equalWidth="0" w:num="1">
            <w:col w:w="10800"/>
          </w:cols>
          <w:pgMar w:left="540" w:top="7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1880" w:h="15480" w:orient="portrait"/>
          <w:cols w:equalWidth="0" w:num="1">
            <w:col w:w="10800"/>
          </w:cols>
          <w:pgMar w:left="540" w:top="745" w:right="540" w:bottom="8" w:gutter="0" w:footer="0" w:header="0"/>
          <w:type w:val="continuous"/>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DEFINITIVE HEALTHCARE CORP.</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360"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Business</w:t>
      </w:r>
    </w:p>
    <w:p>
      <w:pPr>
        <w:spacing w:after="0" w:line="123"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Definitive Healthcare Corp. (together with its subsidiaries, “Definitive Healthcare” or the “Company”), through its operating subsidiary, Definitive OpCo, provides comprehensive and up-to-date hospital and healthcare-related information and insight across the entire healthcare continuum via a multi-tenant database platform which combines proprietary and public sources to deliver insights. Unless otherwise stated or the context otherwise indicates, references to “we”, “us”, “our”, “Definitive Healthcare”, and the “Company” refer (1) prior to the consummation of the Reorganization Transactions, to Definitive OpCo and its consolidated subsidiaries, and (2) after consummation of the Reorganization Transactions, to Definitive Healthcare Corp. and its consolidated subsidiaries.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Organization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Definitive Healthcare LLC, a subsidiary of Definitive Healthcare Holdings, LLC (“Definitive Holdco”), was founded in</w:t>
      </w:r>
    </w:p>
    <w:p>
      <w:pPr>
        <w:jc w:val="both"/>
        <w:ind w:right="260"/>
        <w:spacing w:after="0" w:line="253" w:lineRule="auto"/>
        <w:rPr>
          <w:sz w:val="20"/>
          <w:szCs w:val="20"/>
          <w:color w:val="auto"/>
        </w:rPr>
      </w:pPr>
      <w:r>
        <w:rPr>
          <w:rFonts w:ascii="Times New Roman" w:cs="Times New Roman" w:eastAsia="Times New Roman" w:hAnsi="Times New Roman"/>
          <w:sz w:val="20"/>
          <w:szCs w:val="20"/>
          <w:color w:val="auto"/>
        </w:rPr>
        <w:t>2011 for the purpose of providing healthcare commercial intelligence that enables all companies that compete within or sell into the healthcare ecosystem to be more successful. AIDH TopCo, LLC (“Definitive OpCo”) is a Delaware limited liability company that was formed by investment funds affiliated with Advent International for the purposes of acquiring Definitive HoldCo. In July 2019, Definitive OpCo acquired a majority of the issued and outstanding units of Definitive HoldCo.</w:t>
      </w:r>
    </w:p>
    <w:p>
      <w:pPr>
        <w:spacing w:after="0" w:line="70"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In May 2021, Definitive Healthcare Corp. was formed as a Delaware corporation for the purposes of facilitating an IPO and other related transactions in order to carry on the business of Definitive OpCo. Following consummation of the Reorganization Transactions, Definitive OpCo became a subsidiary of Definitive Healthcare Corp.</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is headquartered in Framingham, Massachusetts.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Reorganization Transactions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connection with its initial public offering (“IPO”) in September 2021,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LLC Units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w:t>
      </w:r>
    </w:p>
    <w:p>
      <w:pPr>
        <w:spacing w:after="0" w:line="8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consolidated financial statements.</w:t>
      </w:r>
    </w:p>
    <w:p>
      <w:pPr>
        <w:spacing w:after="0" w:line="77"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 xml:space="preserve">In connection with the Reorganization Transactions and the IPO, Definitive Healthcare Corp entered into a tax receivable agreement. See Note 19.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w:t>
      </w: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F-11</w:t>
      </w:r>
    </w:p>
    <w:p>
      <w:pPr>
        <w:sectPr>
          <w:pgSz w:w="11880" w:h="15480" w:orient="portrait"/>
          <w:cols w:equalWidth="0" w:num="1">
            <w:col w:w="10220"/>
          </w:cols>
          <w:pgMar w:left="820" w:top="803" w:right="840" w:bottom="8" w:gutter="0" w:footer="0" w:header="0"/>
          <w:type w:val="continuous"/>
        </w:sectPr>
      </w:pPr>
    </w:p>
    <w:bookmarkStart w:id="103" w:name="page104"/>
    <w:bookmarkEnd w:id="103"/>
    <w:p>
      <w:pPr>
        <w:ind w:right="5960" w:firstLine="8"/>
        <w:spacing w:after="0" w:line="366" w:lineRule="auto"/>
        <w:tabs>
          <w:tab w:leader="none" w:pos="49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Basis of Presentation</w:t>
      </w:r>
    </w:p>
    <w:p>
      <w:pPr>
        <w:spacing w:after="0" w:line="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118" w:lineRule="exact"/>
        <w:rPr>
          <w:sz w:val="20"/>
          <w:szCs w:val="20"/>
          <w:color w:val="auto"/>
        </w:rPr>
      </w:pPr>
    </w:p>
    <w:p>
      <w:pPr>
        <w:ind w:right="700" w:firstLine="490"/>
        <w:spacing w:after="0" w:line="279"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consolidated subsidiaries. All significant intercompany accounts and transactions have been eliminated in consolidation.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 in the Preparation of Financial Statements</w:t>
      </w:r>
    </w:p>
    <w:p>
      <w:pPr>
        <w:spacing w:after="0" w:line="11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 -based compensation, reporting unit valuations used in impairment testing, and income taxes. Actual results could differ from those estimates.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18"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The Company derives revenue primarily from subscription license fees charged for access to the Company’s database platform, and professional services. The customer arrangements include a promise to allow customers to access a subscription license to the database platform which is hosted by the Company over the contract period, without allowing the customer to take possession of the subscription license or transfer hosting to a third party.</w:t>
      </w:r>
    </w:p>
    <w:p>
      <w:pPr>
        <w:spacing w:after="0" w:line="70" w:lineRule="exact"/>
        <w:rPr>
          <w:sz w:val="20"/>
          <w:szCs w:val="20"/>
          <w:color w:val="auto"/>
        </w:rPr>
      </w:pPr>
    </w:p>
    <w:p>
      <w:pPr>
        <w:ind w:right="400" w:firstLine="490"/>
        <w:spacing w:after="0" w:line="253" w:lineRule="auto"/>
        <w:rPr>
          <w:sz w:val="20"/>
          <w:szCs w:val="20"/>
          <w:color w:val="auto"/>
        </w:rPr>
      </w:pPr>
      <w:r>
        <w:rPr>
          <w:rFonts w:ascii="Times New Roman" w:cs="Times New Roman" w:eastAsia="Times New Roman" w:hAnsi="Times New Roman"/>
          <w:sz w:val="20"/>
          <w:szCs w:val="20"/>
          <w:color w:val="auto"/>
        </w:rPr>
        <w:t>The Company recognizes revenue in accordance with ASC 606–</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70" w:lineRule="exact"/>
        <w:rPr>
          <w:sz w:val="20"/>
          <w:szCs w:val="20"/>
          <w:color w:val="auto"/>
        </w:rPr>
      </w:pPr>
    </w:p>
    <w:p>
      <w:pPr>
        <w:jc w:val="both"/>
        <w:ind w:right="200" w:firstLine="490"/>
        <w:spacing w:after="0" w:line="259" w:lineRule="auto"/>
        <w:rPr>
          <w:sz w:val="20"/>
          <w:szCs w:val="20"/>
          <w:color w:val="auto"/>
        </w:rPr>
      </w:pPr>
      <w:r>
        <w:rPr>
          <w:rFonts w:ascii="Times New Roman" w:cs="Times New Roman" w:eastAsia="Times New Roman" w:hAnsi="Times New Roman"/>
          <w:sz w:val="20"/>
          <w:szCs w:val="20"/>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65"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For revenue related to non-hosted subscription license arrangements where customers can purchase a specified quantity of data based on their selection criteria and data layout, each data record is considered a distinct performance obligation, satisfied on delivery. If the Company promises to update the initial data set at specified intervals, each update is a performance obligation, which the Company satisfies when the updated data is delivered.</w:t>
      </w:r>
    </w:p>
    <w:p>
      <w:pPr>
        <w:spacing w:after="0" w:line="70"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20"/>
          <w:szCs w:val="20"/>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recognized at the time the services are performed.</w:t>
      </w:r>
    </w:p>
    <w:p>
      <w:pPr>
        <w:spacing w:after="0" w:line="65" w:lineRule="exact"/>
        <w:rPr>
          <w:sz w:val="20"/>
          <w:szCs w:val="20"/>
          <w:color w:val="auto"/>
        </w:rPr>
      </w:pPr>
    </w:p>
    <w:p>
      <w:pPr>
        <w:ind w:right="400" w:firstLine="490"/>
        <w:spacing w:after="0" w:line="253" w:lineRule="auto"/>
        <w:rPr>
          <w:sz w:val="20"/>
          <w:szCs w:val="20"/>
          <w:color w:val="auto"/>
        </w:rPr>
      </w:pPr>
      <w:r>
        <w:rPr>
          <w:rFonts w:ascii="Times New Roman" w:cs="Times New Roman" w:eastAsia="Times New Roman" w:hAnsi="Times New Roman"/>
          <w:sz w:val="20"/>
          <w:szCs w:val="20"/>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F-12</w:t>
      </w:r>
    </w:p>
    <w:p>
      <w:pPr>
        <w:sectPr>
          <w:pgSz w:w="11880" w:h="15480" w:orient="portrait"/>
          <w:cols w:equalWidth="0" w:num="1">
            <w:col w:w="10220"/>
          </w:cols>
          <w:pgMar w:left="820" w:top="803" w:right="840" w:bottom="8" w:gutter="0" w:footer="0" w:header="0"/>
          <w:type w:val="continuous"/>
        </w:sectPr>
      </w:pPr>
    </w:p>
    <w:bookmarkStart w:id="104" w:name="page105"/>
    <w:bookmarkEnd w:id="104"/>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82"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Company’s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97" w:lineRule="exact"/>
        <w:rPr>
          <w:sz w:val="20"/>
          <w:szCs w:val="20"/>
          <w:color w:val="auto"/>
        </w:rPr>
      </w:pPr>
    </w:p>
    <w:p>
      <w:pPr>
        <w:ind w:left="500" w:right="580"/>
        <w:spacing w:after="0"/>
        <w:rPr>
          <w:sz w:val="20"/>
          <w:szCs w:val="20"/>
          <w:color w:val="auto"/>
        </w:rPr>
      </w:pPr>
      <w:r>
        <w:rPr>
          <w:rFonts w:ascii="Times New Roman" w:cs="Times New Roman" w:eastAsia="Times New Roman" w:hAnsi="Times New Roman"/>
          <w:sz w:val="20"/>
          <w:szCs w:val="20"/>
          <w:color w:val="auto"/>
        </w:rPr>
        <w:t>Level 1 - Observable inputs that reflect unadjusted quoted prices in active markets for identical assets or liabilities Level 2 - Other inputs that are directly or indirectly observable in the marketplace</w:t>
      </w:r>
    </w:p>
    <w:p>
      <w:pPr>
        <w:ind w:right="920" w:firstLine="490"/>
        <w:spacing w:after="0" w:line="279" w:lineRule="auto"/>
        <w:rPr>
          <w:sz w:val="20"/>
          <w:szCs w:val="20"/>
          <w:color w:val="auto"/>
        </w:rPr>
      </w:pPr>
      <w:r>
        <w:rPr>
          <w:rFonts w:ascii="Times New Roman" w:cs="Times New Roman" w:eastAsia="Times New Roman" w:hAnsi="Times New Roman"/>
          <w:sz w:val="20"/>
          <w:szCs w:val="20"/>
          <w:color w:val="auto"/>
        </w:rPr>
        <w:t>Level 3 - Unobservable inputs that are supported by little or no market activity, including the Company’s own assumptions in determining fair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18" w:lineRule="exact"/>
        <w:rPr>
          <w:sz w:val="20"/>
          <w:szCs w:val="20"/>
          <w:color w:val="auto"/>
        </w:rPr>
      </w:pPr>
    </w:p>
    <w:p>
      <w:pPr>
        <w:ind w:right="160" w:firstLine="490"/>
        <w:spacing w:after="0" w:line="279" w:lineRule="auto"/>
        <w:rPr>
          <w:sz w:val="20"/>
          <w:szCs w:val="20"/>
          <w:color w:val="auto"/>
        </w:rPr>
      </w:pPr>
      <w:r>
        <w:rPr>
          <w:rFonts w:ascii="Times New Roman" w:cs="Times New Roman" w:eastAsia="Times New Roman" w:hAnsi="Times New Roman"/>
          <w:sz w:val="20"/>
          <w:szCs w:val="20"/>
          <w:color w:val="auto"/>
        </w:rPr>
        <w:t>The Company considers all short-term, highly liquid investments with an original maturity of three months or less to be cash and cash equivalents.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118" w:lineRule="exact"/>
        <w:rPr>
          <w:sz w:val="20"/>
          <w:szCs w:val="20"/>
          <w:color w:val="auto"/>
        </w:rPr>
      </w:pPr>
    </w:p>
    <w:p>
      <w:pPr>
        <w:ind w:right="60" w:firstLine="540"/>
        <w:spacing w:after="0" w:line="249" w:lineRule="auto"/>
        <w:rPr>
          <w:sz w:val="20"/>
          <w:szCs w:val="20"/>
          <w:color w:val="auto"/>
        </w:rPr>
      </w:pPr>
      <w:r>
        <w:rPr>
          <w:rFonts w:ascii="Times New Roman" w:cs="Times New Roman" w:eastAsia="Times New Roman" w:hAnsi="Times New Roman"/>
          <w:sz w:val="20"/>
          <w:szCs w:val="20"/>
          <w:color w:val="auto"/>
        </w:rPr>
        <w:t>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sectPr>
          <w:pgSz w:w="11880" w:h="15480" w:orient="portrait"/>
          <w:cols w:equalWidth="0" w:num="1">
            <w:col w:w="10220"/>
          </w:cols>
          <w:pgMar w:left="820" w:top="806"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F-13</w:t>
      </w:r>
    </w:p>
    <w:p>
      <w:pPr>
        <w:sectPr>
          <w:pgSz w:w="11880" w:h="15480" w:orient="portrait"/>
          <w:cols w:equalWidth="0" w:num="1">
            <w:col w:w="10220"/>
          </w:cols>
          <w:pgMar w:left="820" w:top="806" w:right="840" w:bottom="8"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Significant Customers</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w:t>
      </w:r>
    </w:p>
    <w:p>
      <w:pPr>
        <w:spacing w:after="0" w:line="206"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Concentrations of credit risk with respect to trade account receivables are limited due to the large number of customers comprising the Company’s customer base. No single customer accounted for more than 10% of total net sales or receivables in 2024, 2023 or 2022.</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 and Contract Assets</w:t>
      </w:r>
    </w:p>
    <w:p>
      <w:pPr>
        <w:spacing w:after="0" w:line="11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Accounts receivable are stated at the amount management expects to collect from outstanding balances. Allowances for estimated credit losses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2024 and 2023, the allowance for doubtful accounts was $2.1 million and $2.3 million, respectively.</w:t>
      </w:r>
    </w:p>
    <w:p>
      <w:pPr>
        <w:spacing w:after="0" w:line="200"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Contract Costs</w:t>
      </w:r>
    </w:p>
    <w:p>
      <w:pPr>
        <w:spacing w:after="0" w:line="11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9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straight-line basis over two years, which reflects the average renewal period. Renewal contracts with a term of one year or less are expensed.</w:t>
      </w:r>
    </w:p>
    <w:p>
      <w:pPr>
        <w:spacing w:after="0" w:line="197" w:lineRule="exact"/>
        <w:rPr>
          <w:sz w:val="20"/>
          <w:szCs w:val="20"/>
          <w:color w:val="auto"/>
        </w:rPr>
      </w:pPr>
    </w:p>
    <w:p>
      <w:pPr>
        <w:jc w:val="both"/>
        <w:ind w:right="160" w:firstLine="490"/>
        <w:spacing w:after="0" w:line="253" w:lineRule="auto"/>
        <w:rPr>
          <w:sz w:val="20"/>
          <w:szCs w:val="20"/>
          <w:color w:val="auto"/>
        </w:rPr>
      </w:pPr>
      <w:r>
        <w:rPr>
          <w:rFonts w:ascii="Times New Roman" w:cs="Times New Roman" w:eastAsia="Times New Roman" w:hAnsi="Times New Roman"/>
          <w:sz w:val="20"/>
          <w:szCs w:val="20"/>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 There were no impairments of these costs in the years ended December 31, 2024, 2023 or 2022.</w:t>
      </w:r>
    </w:p>
    <w:p>
      <w:pPr>
        <w:sectPr>
          <w:pgSz w:w="11880" w:h="15480" w:orient="portrait"/>
          <w:cols w:equalWidth="0" w:num="1">
            <w:col w:w="10220"/>
          </w:cols>
          <w:pgMar w:left="820" w:top="808"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F-14</w:t>
      </w:r>
    </w:p>
    <w:p>
      <w:pPr>
        <w:sectPr>
          <w:pgSz w:w="11880" w:h="15480" w:orient="portrait"/>
          <w:cols w:equalWidth="0" w:num="1">
            <w:col w:w="10220"/>
          </w:cols>
          <w:pgMar w:left="820" w:top="808" w:right="840" w:bottom="8"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18"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auto"/>
        </w:rPr>
        <w:t>Property and equipment are stated at cost, net of accumulated depreciation and amortization. The assets are depreciated on a straight-line basis over the estimated useful lives as follows:</w:t>
      </w:r>
    </w:p>
    <w:p>
      <w:pPr>
        <w:spacing w:after="0" w:line="201" w:lineRule="exact"/>
        <w:rPr>
          <w:sz w:val="20"/>
          <w:szCs w:val="20"/>
          <w:color w:val="auto"/>
        </w:rPr>
      </w:pPr>
    </w:p>
    <w:p>
      <w:pPr>
        <w:ind w:left="1440"/>
        <w:spacing w:after="0"/>
        <w:tabs>
          <w:tab w:leader="none" w:pos="4980" w:val="left"/>
        </w:tabs>
        <w:rPr>
          <w:sz w:val="20"/>
          <w:szCs w:val="20"/>
          <w:color w:val="auto"/>
        </w:rPr>
      </w:pPr>
      <w:r>
        <w:rPr>
          <w:rFonts w:ascii="Times New Roman" w:cs="Times New Roman" w:eastAsia="Times New Roman" w:hAnsi="Times New Roman"/>
          <w:sz w:val="20"/>
          <w:szCs w:val="20"/>
          <w:color w:val="auto"/>
        </w:rPr>
        <w:t>Furniture and equipment</w:t>
      </w:r>
      <w:r>
        <w:rPr>
          <w:sz w:val="20"/>
          <w:szCs w:val="20"/>
          <w:color w:val="auto"/>
        </w:rPr>
        <w:tab/>
      </w:r>
      <w:r>
        <w:rPr>
          <w:rFonts w:ascii="Times New Roman" w:cs="Times New Roman" w:eastAsia="Times New Roman" w:hAnsi="Times New Roman"/>
          <w:sz w:val="20"/>
          <w:szCs w:val="20"/>
          <w:color w:val="auto"/>
        </w:rPr>
        <w:t>5 years</w:t>
      </w:r>
    </w:p>
    <w:p>
      <w:pPr>
        <w:ind w:left="1440"/>
        <w:spacing w:after="0"/>
        <w:tabs>
          <w:tab w:leader="none" w:pos="4980" w:val="left"/>
        </w:tabs>
        <w:rPr>
          <w:sz w:val="20"/>
          <w:szCs w:val="20"/>
          <w:color w:val="auto"/>
        </w:rPr>
      </w:pPr>
      <w:r>
        <w:rPr>
          <w:rFonts w:ascii="Times New Roman" w:cs="Times New Roman" w:eastAsia="Times New Roman" w:hAnsi="Times New Roman"/>
          <w:sz w:val="20"/>
          <w:szCs w:val="20"/>
          <w:color w:val="auto"/>
        </w:rPr>
        <w:t>Computers and software</w:t>
      </w:r>
      <w:r>
        <w:rPr>
          <w:sz w:val="20"/>
          <w:szCs w:val="20"/>
          <w:color w:val="auto"/>
        </w:rPr>
        <w:tab/>
      </w:r>
      <w:r>
        <w:rPr>
          <w:rFonts w:ascii="Times New Roman" w:cs="Times New Roman" w:eastAsia="Times New Roman" w:hAnsi="Times New Roman"/>
          <w:sz w:val="20"/>
          <w:szCs w:val="20"/>
          <w:color w:val="auto"/>
        </w:rPr>
        <w:t>3 years</w:t>
      </w:r>
    </w:p>
    <w:p>
      <w:pPr>
        <w:ind w:left="1440"/>
        <w:spacing w:after="0"/>
        <w:tabs>
          <w:tab w:leader="none" w:pos="4980" w:val="left"/>
        </w:tabs>
        <w:rPr>
          <w:sz w:val="20"/>
          <w:szCs w:val="20"/>
          <w:color w:val="auto"/>
        </w:rPr>
      </w:pPr>
      <w:r>
        <w:rPr>
          <w:rFonts w:ascii="Times New Roman" w:cs="Times New Roman" w:eastAsia="Times New Roman" w:hAnsi="Times New Roman"/>
          <w:sz w:val="20"/>
          <w:szCs w:val="20"/>
          <w:color w:val="auto"/>
        </w:rPr>
        <w:t>Leasehold improvements</w:t>
      </w:r>
      <w:r>
        <w:rPr>
          <w:sz w:val="20"/>
          <w:szCs w:val="20"/>
          <w:color w:val="auto"/>
        </w:rPr>
        <w:tab/>
      </w:r>
      <w:r>
        <w:rPr>
          <w:rFonts w:ascii="Times New Roman" w:cs="Times New Roman" w:eastAsia="Times New Roman" w:hAnsi="Times New Roman"/>
          <w:sz w:val="20"/>
          <w:szCs w:val="20"/>
          <w:color w:val="auto"/>
        </w:rPr>
        <w:t>Lesser of the asset life or lease term</w:t>
      </w:r>
    </w:p>
    <w:p>
      <w:pPr>
        <w:spacing w:after="0" w:line="240" w:lineRule="exact"/>
        <w:rPr>
          <w:sz w:val="20"/>
          <w:szCs w:val="20"/>
          <w:color w:val="auto"/>
        </w:rPr>
      </w:pPr>
    </w:p>
    <w:p>
      <w:pPr>
        <w:ind w:right="460" w:firstLine="490"/>
        <w:spacing w:after="0" w:line="253" w:lineRule="auto"/>
        <w:rPr>
          <w:sz w:val="20"/>
          <w:szCs w:val="20"/>
          <w:color w:val="auto"/>
        </w:rPr>
      </w:pPr>
      <w:r>
        <w:rPr>
          <w:rFonts w:ascii="Times New Roman" w:cs="Times New Roman" w:eastAsia="Times New Roman" w:hAnsi="Times New Roman"/>
          <w:sz w:val="20"/>
          <w:szCs w:val="20"/>
          <w:color w:val="auto"/>
        </w:rPr>
        <w:t>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1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w:t>
      </w:r>
    </w:p>
    <w:p>
      <w:pPr>
        <w:spacing w:after="0" w:line="8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Some of the Company’s leases contain rent escalations over the lease term. The Company recognizes expense for operating leases on a straight-line basis over the lease term. The Company’s lease agreements contain variable lease payments for common area maintenance, utility, and taxes. The Company has elected the practical expedient to combine lease and non-lease components for all asset categories. Therefore, the lease payments used to measure the lease liability for these leases include fixed minimum rentals along with fixed non-lease component charges. The Company does not have significant residual value guarantees or restrictive covenants in the lease portfolio.</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Instruments and Hedging Activities</w:t>
      </w:r>
    </w:p>
    <w:p>
      <w:pPr>
        <w:spacing w:after="0" w:line="11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The Company measures the credit risk of its derivative financial instruments that are subject to master netting agreements on a net basis by counterparty portfolio.</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and Promotional Expenses</w:t>
      </w:r>
    </w:p>
    <w:p>
      <w:pPr>
        <w:spacing w:after="0" w:line="118"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auto"/>
        </w:rPr>
        <w:t>The Company expenses advertising costs as incurred in accordance with ASC 720—</w:t>
      </w:r>
      <w:r>
        <w:rPr>
          <w:rFonts w:ascii="Times New Roman" w:cs="Times New Roman" w:eastAsia="Times New Roman" w:hAnsi="Times New Roman"/>
          <w:sz w:val="20"/>
          <w:szCs w:val="20"/>
          <w:i w:val="1"/>
          <w:iCs w:val="1"/>
          <w:color w:val="auto"/>
        </w:rPr>
        <w:t>Other Expenses – Advertising Cost</w:t>
      </w:r>
      <w:r>
        <w:rPr>
          <w:rFonts w:ascii="Times New Roman" w:cs="Times New Roman" w:eastAsia="Times New Roman" w:hAnsi="Times New Roman"/>
          <w:sz w:val="20"/>
          <w:szCs w:val="20"/>
          <w:color w:val="auto"/>
        </w:rPr>
        <w:t>. Advertising expenses of $1.9 million, $1.6 million, and $1.6 million for the years ended December 31, 2024, 2023 and 2022, respectively, are included in sales and marketing expenses on the consolidated statements of operations.</w:t>
      </w:r>
    </w:p>
    <w:p>
      <w:pPr>
        <w:sectPr>
          <w:pgSz w:w="11880" w:h="15480" w:orient="portrait"/>
          <w:cols w:equalWidth="0" w:num="1">
            <w:col w:w="10220"/>
          </w:cols>
          <w:pgMar w:left="820" w:top="808"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F-15</w:t>
      </w:r>
    </w:p>
    <w:p>
      <w:pPr>
        <w:sectPr>
          <w:pgSz w:w="11880" w:h="15480" w:orient="portrait"/>
          <w:cols w:equalWidth="0" w:num="1">
            <w:col w:w="10220"/>
          </w:cols>
          <w:pgMar w:left="820" w:top="808" w:right="840" w:bottom="8"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i w:val="1"/>
          <w:iCs w:val="1"/>
          <w:color w:val="auto"/>
        </w:rPr>
        <w:t>Software Development Costs</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its software development costs in accordance with the guidance set forth in ASC 350-40— </w:t>
      </w:r>
      <w:r>
        <w:rPr>
          <w:rFonts w:ascii="Times New Roman" w:cs="Times New Roman" w:eastAsia="Times New Roman" w:hAnsi="Times New Roman"/>
          <w:sz w:val="20"/>
          <w:szCs w:val="20"/>
          <w:i w:val="1"/>
          <w:iCs w:val="1"/>
          <w:color w:val="auto"/>
        </w:rPr>
        <w:t xml:space="preserve">Intangibles – Goodwill and Other – Internal Use Software. </w:t>
      </w:r>
      <w:r>
        <w:rPr>
          <w:rFonts w:ascii="Times New Roman" w:cs="Times New Roman" w:eastAsia="Times New Roman" w:hAnsi="Times New Roman"/>
          <w:sz w:val="20"/>
          <w:szCs w:val="20"/>
          <w:color w:val="auto"/>
        </w:rPr>
        <w:t>The Company capitalizes costs to develop software for internal use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incurred during the application development stage. Costs related to preliminary project activities and post implementation activities are expensed as incurred. Capitalized costs of $2.3 million and $1.6 million as of December 31, 2024 and 2023, respectively, are included in property and equipment, net.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11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 xml:space="preserve">The Company accounts for business combinations using the acquisition method in accordance with ASC 805,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Combinations</w:t>
      </w:r>
      <w:r>
        <w:rPr>
          <w:rFonts w:ascii="Times New Roman" w:cs="Times New Roman" w:eastAsia="Times New Roman" w:hAnsi="Times New Roman"/>
          <w:sz w:val="20"/>
          <w:szCs w:val="20"/>
          <w:color w:val="auto"/>
        </w:rPr>
        <w:t>. Each acquired company’s operating results are included in the Company’s consolidated financial statements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8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77"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Intangible Assets</w:t>
      </w:r>
    </w:p>
    <w:p>
      <w:pPr>
        <w:spacing w:after="0" w:line="118"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7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combination of an income and market approach. The income approach utilizes a projected discounted cash flow model that includes significant assumptions and estimates, including the discount rate, growth rate, and future financial performance. The market approach utilizes the Company’s market capitalization plus an appropriate control premium. Market capitalization is determined by multiplying the number of shares of Class A Common Stock outstanding by the market price of the Company’s Class A Common Stock. The control premium is determined by utilizing data from publicly available premium studies for similarly situated public company transactions. If the carrying value of the reporting unit exceeds the fair value, then a goodwill impairment loss is recognized for the difference. The Company performs its annual impairment assessment in the first month of the fourth quarter of each calendar year.</w:t>
      </w:r>
    </w:p>
    <w:p>
      <w:pPr>
        <w:sectPr>
          <w:pgSz w:w="11880" w:h="15480" w:orient="portrait"/>
          <w:cols w:equalWidth="0" w:num="1">
            <w:col w:w="10220"/>
          </w:cols>
          <w:pgMar w:left="820" w:top="808" w:right="840" w:bottom="8"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F-16</w:t>
      </w:r>
    </w:p>
    <w:p>
      <w:pPr>
        <w:sectPr>
          <w:pgSz w:w="11880" w:h="15480" w:orient="portrait"/>
          <w:cols w:equalWidth="0" w:num="1">
            <w:col w:w="10220"/>
          </w:cols>
          <w:pgMar w:left="820" w:top="808" w:right="840" w:bottom="8" w:gutter="0" w:footer="0" w:header="0"/>
          <w:type w:val="continuous"/>
        </w:sectPr>
      </w:pPr>
    </w:p>
    <w:bookmarkStart w:id="108" w:name="page109"/>
    <w:bookmarkEnd w:id="108"/>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240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w w:val="96"/>
              </w:rPr>
              <w:t>14 – 20 years</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Technology</w:t>
            </w:r>
          </w:p>
        </w:tc>
        <w:tc>
          <w:tcPr>
            <w:tcW w:w="1460" w:type="dxa"/>
            <w:vAlign w:val="bottom"/>
          </w:tcPr>
          <w:p>
            <w:pPr>
              <w:ind w:left="1340"/>
              <w:spacing w:after="0"/>
              <w:rPr>
                <w:sz w:val="20"/>
                <w:szCs w:val="20"/>
                <w:color w:val="auto"/>
              </w:rPr>
            </w:pPr>
            <w:r>
              <w:rPr>
                <w:rFonts w:ascii="Times New Roman" w:cs="Times New Roman" w:eastAsia="Times New Roman" w:hAnsi="Times New Roman"/>
                <w:sz w:val="20"/>
                <w:szCs w:val="20"/>
                <w:color w:val="auto"/>
                <w:w w:val="99"/>
              </w:rPr>
              <w:t>6</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8 years</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Tradenames / trademark</w:t>
            </w:r>
          </w:p>
        </w:tc>
        <w:tc>
          <w:tcPr>
            <w:tcW w:w="1460" w:type="dxa"/>
            <w:vAlign w:val="bottom"/>
          </w:tcPr>
          <w:p>
            <w:pPr>
              <w:ind w:left="1340"/>
              <w:spacing w:after="0"/>
              <w:rPr>
                <w:sz w:val="20"/>
                <w:szCs w:val="20"/>
                <w:color w:val="auto"/>
              </w:rPr>
            </w:pPr>
            <w:r>
              <w:rPr>
                <w:rFonts w:ascii="Times New Roman" w:cs="Times New Roman" w:eastAsia="Times New Roman" w:hAnsi="Times New Roman"/>
                <w:sz w:val="20"/>
                <w:szCs w:val="20"/>
                <w:color w:val="auto"/>
                <w:w w:val="99"/>
              </w:rPr>
              <w:t>5</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19 years</w:t>
            </w:r>
          </w:p>
        </w:tc>
      </w:tr>
      <w:tr>
        <w:trPr>
          <w:trHeight w:val="268"/>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Data</w:t>
            </w:r>
          </w:p>
        </w:tc>
        <w:tc>
          <w:tcPr>
            <w:tcW w:w="240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3 years</w:t>
            </w:r>
          </w:p>
        </w:tc>
      </w:tr>
    </w:tbl>
    <w:p>
      <w:pPr>
        <w:spacing w:after="0" w:line="20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Recently, the Company has experienced declines in its market capitalization as a result of sustained decreases in its stock price, which represented triggering events requiring the Company’s management to perform quantitative goodwill impairment tests. As a result of each impairment test, the Company determined that the fair value of its single reporting unit was lower than its carrying value and, accordingly, recorded non-cash, pre-tax, goodwill impairment charges of $688.9 million and $287.4 million during the years ended December 31, 2024 and 2023, respectively. The goodwill impairment charges did not affect the Company’s liquidity or the financial covenants in our outstanding debt agreement.</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will continue to monitor for potential impairment should impairment indicators arise. Refer to Note 9.</w:t>
      </w:r>
    </w:p>
    <w:p>
      <w:pPr>
        <w:spacing w:after="0"/>
        <w:rPr>
          <w:sz w:val="20"/>
          <w:szCs w:val="20"/>
          <w:color w:val="auto"/>
        </w:rPr>
      </w:pPr>
      <w:r>
        <w:rPr>
          <w:rFonts w:ascii="Times New Roman" w:cs="Times New Roman" w:eastAsia="Times New Roman" w:hAnsi="Times New Roman"/>
          <w:sz w:val="20"/>
          <w:szCs w:val="20"/>
          <w:i w:val="1"/>
          <w:iCs w:val="1"/>
          <w:color w:val="auto"/>
        </w:rPr>
        <w:t xml:space="preserve">Goodwill and Intangible Assets </w:t>
      </w:r>
      <w:r>
        <w:rPr>
          <w:rFonts w:ascii="Times New Roman" w:cs="Times New Roman" w:eastAsia="Times New Roman" w:hAnsi="Times New Roman"/>
          <w:sz w:val="20"/>
          <w:szCs w:val="20"/>
          <w:color w:val="auto"/>
        </w:rPr>
        <w:t>for further details.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1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w:t>
      </w:r>
    </w:p>
    <w:p>
      <w:pPr>
        <w:spacing w:after="0" w:line="118" w:lineRule="exact"/>
        <w:rPr>
          <w:sz w:val="20"/>
          <w:szCs w:val="20"/>
          <w:color w:val="auto"/>
        </w:rPr>
      </w:pPr>
    </w:p>
    <w:p>
      <w:pPr>
        <w:ind w:right="260" w:firstLine="490"/>
        <w:spacing w:after="0" w:line="253" w:lineRule="auto"/>
        <w:rPr>
          <w:sz w:val="20"/>
          <w:szCs w:val="20"/>
          <w:color w:val="auto"/>
        </w:rPr>
      </w:pPr>
      <w:r>
        <w:rPr>
          <w:rFonts w:ascii="Times New Roman" w:cs="Times New Roman" w:eastAsia="Times New Roman" w:hAnsi="Times New Roman"/>
          <w:sz w:val="20"/>
          <w:szCs w:val="20"/>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long term liabilities as deferred revenue on the consolidated balance sheets.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 Issuance Costs</w:t>
      </w:r>
    </w:p>
    <w:p>
      <w:pPr>
        <w:spacing w:after="0" w:line="11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2024 and 2023, the Company had $0.9 million and $1.5 million, respectively, of unamortized deferred financing costs related to its non-revolving credit facilities, and $0.3 million and $0.4 million, respectively, of unamortized deferred financing costs related to its revolving credit facility.</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Tax</w:t>
      </w:r>
    </w:p>
    <w:p>
      <w:pPr>
        <w:spacing w:after="0" w:line="11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 Any amounts payable, inclusive of interest and penalties, to taxation authorities in which the Company did not charge the customer for sales taxes is recorded within general and administrative expenses in the consolidated statements of operations and is included in accrued expenses and other current liabilities in the consolidated balance sheets.</w:t>
      </w:r>
    </w:p>
    <w:p>
      <w:pPr>
        <w:sectPr>
          <w:pgSz w:w="11880" w:h="15480" w:orient="portrait"/>
          <w:cols w:equalWidth="0" w:num="1">
            <w:col w:w="10220"/>
          </w:cols>
          <w:pgMar w:left="820" w:top="806" w:right="840" w:bottom="8"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F-17</w:t>
      </w:r>
    </w:p>
    <w:p>
      <w:pPr>
        <w:sectPr>
          <w:pgSz w:w="11880" w:h="15480" w:orient="portrait"/>
          <w:cols w:equalWidth="0" w:num="1">
            <w:col w:w="10220"/>
          </w:cols>
          <w:pgMar w:left="820" w:top="806" w:right="840" w:bottom="8"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18"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auto"/>
        </w:rPr>
        <w:t>Definitive OpCo is taxed as a partnership. For federal and state income tax purposes, income, losses, and other tax attributes not generated by AW and its wholly owned U.S. and foreign subsidiaries generally pass through to the Definitive OpCo members’ individual income tax returns. Additionally, Definitive OpCo may be subject to certain taxes on behalf of its members in certain states.</w:t>
      </w:r>
    </w:p>
    <w:p>
      <w:pPr>
        <w:spacing w:after="0" w:line="7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AW and its wholly owned U.S. and foreign subsidiaries are taxed as corporations. Accordingly, AW accounts for income taxes by recognizing tax assets and liabilities for the cumulative effect of all the temporary differences between financial statement carrying amounts and the tax basis of assets and liabilities. Deferred taxes for AW are determined using enacted federal, state, or foreign income tax rates in effect in the year in which the differences are expected to reverse.</w:t>
      </w:r>
    </w:p>
    <w:p>
      <w:pPr>
        <w:spacing w:after="0" w:line="7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Tax Receivable Agreement, which the Company expects to be significant. The Company anticipates that it will account for the income tax effects and corresponding Tax Receivable Agreement’s effects resulting from future redemptions or exchanges of LLC Units by recognizing an increase in Definitive Healthcare Corp.’s deferred tax assets, based on enacted tax rates at the date of the purchase or exchange.</w:t>
      </w:r>
    </w:p>
    <w:p>
      <w:pPr>
        <w:spacing w:after="0" w:line="80"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auto"/>
        </w:rPr>
        <w:t>Further, the Company accounts for amounts payable under the Tax Receivable Agreement in accordance with ASC 450—</w:t>
      </w:r>
      <w:r>
        <w:rPr>
          <w:rFonts w:ascii="Times New Roman" w:cs="Times New Roman" w:eastAsia="Times New Roman" w:hAnsi="Times New Roman"/>
          <w:sz w:val="20"/>
          <w:szCs w:val="20"/>
          <w:i w:val="1"/>
          <w:iCs w:val="1"/>
          <w:color w:val="auto"/>
        </w:rPr>
        <w:t>Contingencies</w:t>
      </w:r>
      <w:r>
        <w:rPr>
          <w:rFonts w:ascii="Times New Roman" w:cs="Times New Roman" w:eastAsia="Times New Roman" w:hAnsi="Times New Roman"/>
          <w:sz w:val="20"/>
          <w:szCs w:val="20"/>
          <w:color w:val="auto"/>
        </w:rPr>
        <w:t>. The amounts to be recorded for both the deferred tax assets and the liability for the Company’s obligations under the Tax Receivable Agreement will be estimated at the time of any purchase or exchange as a reduction to shareholders’ equity, and the effects of changes in any of the Company’s estimates after this date will be included in net income or loss. Similarly, the effect of subsequent changes in the enacted tax rates will be included in net income or loss.</w:t>
      </w:r>
    </w:p>
    <w:p>
      <w:pPr>
        <w:spacing w:after="0" w:line="77"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In assessing the realizability of deferred tax assets of the Company and its subsidiaries, management considers the weight of available evidence and whether it is more likely than not that some or all of the deferred tax assets will be realized; when necessary, a valuation allowance is established.</w:t>
      </w:r>
    </w:p>
    <w:p>
      <w:pPr>
        <w:spacing w:after="0" w:line="65"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auto"/>
        </w:rPr>
        <w:t>Under the provisions of ASC 740—</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2024, 2023 and 2022, the Company did not have any uncertain tax positions.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118"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Net income or loss per share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80" w:lineRule="exact"/>
        <w:rPr>
          <w:sz w:val="20"/>
          <w:szCs w:val="20"/>
          <w:color w:val="auto"/>
        </w:rPr>
      </w:pPr>
    </w:p>
    <w:p>
      <w:pPr>
        <w:ind w:right="280" w:firstLine="490"/>
        <w:spacing w:after="0" w:line="246" w:lineRule="auto"/>
        <w:rPr>
          <w:sz w:val="20"/>
          <w:szCs w:val="20"/>
          <w:color w:val="auto"/>
        </w:rPr>
      </w:pPr>
      <w:r>
        <w:rPr>
          <w:rFonts w:ascii="Times New Roman" w:cs="Times New Roman" w:eastAsia="Times New Roman" w:hAnsi="Times New Roman"/>
          <w:sz w:val="20"/>
          <w:szCs w:val="20"/>
          <w:color w:val="auto"/>
        </w:rPr>
        <w:t xml:space="preserve">Basic net income or loss per share is computed by dividing the net income or loss by the weighted-average number of common shares of the Company outstanding during the period. Diluted net income or loss per share is computed by giving effect to all potential shares, including exchangeable Definitive OpCo LLC Units and restricted stock units, to the extent dilutive. The Company uses the treasury stock method to calculate potentially dilutive shares, as if they were converted into Common Stock at the beginning of the period. Basic and diluted net income or loss per share was the same for the periods presented as the inclusion of all potential shares outstanding would have been anti-dilutive. See Note 20. </w:t>
      </w:r>
      <w:r>
        <w:rPr>
          <w:rFonts w:ascii="Times New Roman" w:cs="Times New Roman" w:eastAsia="Times New Roman" w:hAnsi="Times New Roman"/>
          <w:sz w:val="20"/>
          <w:szCs w:val="20"/>
          <w:i w:val="1"/>
          <w:iCs w:val="1"/>
          <w:color w:val="auto"/>
        </w:rPr>
        <w:t>Loss Per Share</w:t>
      </w:r>
      <w:r>
        <w:rPr>
          <w:rFonts w:ascii="Times New Roman" w:cs="Times New Roman" w:eastAsia="Times New Roman" w:hAnsi="Times New Roman"/>
          <w:sz w:val="20"/>
          <w:szCs w:val="20"/>
          <w:color w:val="auto"/>
        </w:rPr>
        <w:t xml:space="preserve"> for additional information on dilutive securities.</w:t>
      </w:r>
    </w:p>
    <w:p>
      <w:pPr>
        <w:sectPr>
          <w:pgSz w:w="11880" w:h="15480" w:orient="portrait"/>
          <w:cols w:equalWidth="0" w:num="1">
            <w:col w:w="10220"/>
          </w:cols>
          <w:pgMar w:left="820" w:top="808"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F-18</w:t>
      </w:r>
    </w:p>
    <w:p>
      <w:pPr>
        <w:sectPr>
          <w:pgSz w:w="11880" w:h="15480" w:orient="portrait"/>
          <w:cols w:equalWidth="0" w:num="1">
            <w:col w:w="10220"/>
          </w:cols>
          <w:pgMar w:left="820" w:top="808" w:right="840" w:bottom="8"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i w:val="1"/>
          <w:iCs w:val="1"/>
          <w:color w:val="auto"/>
        </w:rPr>
        <w:t>Equity-based Compensation</w:t>
      </w:r>
    </w:p>
    <w:p>
      <w:pPr>
        <w:spacing w:after="0" w:line="118"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Equity instruments issued in exchange for services performed by officers, employees, consultants, and directors of the Company are accounted for using a fair-value based method, and the fair value of such equity instruments is recognized as expense in the consolidated statements of operations. The Company has issued restricted stock units (“RSUs”), the fair values of which are determined by the closing stock price on the date of grant, and prior to the IPO, issued profit interest units (“PIUs”) to certain employees and officers with a return threshold that was set based on the fair value of the Company.</w:t>
      </w:r>
    </w:p>
    <w:p>
      <w:pPr>
        <w:spacing w:after="0" w:line="77"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For PIUs, fair value was determined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required the Company to make estimates and assumptions, such as expected volatility, expected term and expected risk-free interest rate.</w:t>
      </w:r>
    </w:p>
    <w:p>
      <w:pPr>
        <w:spacing w:after="0" w:line="8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Equity-based compensation expense is measured at the grant date fair value of the stock-based awards and is recognized as expense on a straight-line basis over the requisite service periods, which is generally the vesting period of the respective award. The Company estimates the fair value of each stock-based award on its measurement date using either the current market price of the stock or the Monte Carlo Simulation valuation model. The Monte Carlo Simulation valuation models incorporate assumptions as to stock price volatility, the expected life of options or awards, a risk-free interest rate and dividend yield.</w:t>
      </w:r>
    </w:p>
    <w:p>
      <w:pPr>
        <w:spacing w:after="0" w:line="80"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Expense for performance restricted stock units with market-based vesting criteria is recognized based upon the fair value of the awards on the date of grant and the number of shares expected to vest based on the terms of the underlying award agreement and the requisite service periods.</w:t>
      </w:r>
    </w:p>
    <w:p>
      <w:pPr>
        <w:spacing w:after="0" w:line="65"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For units and shares which had a performance conditions not tied to market-based criteria, we recognized compensation expense based on the Company’s assessment of the probability that the performance condition(s) would be achieved. Any related compensation expense was recognized when the probability of the event was likely and performance criteria were met. Forfeitures are recognized as they occur.</w:t>
      </w:r>
    </w:p>
    <w:p>
      <w:pPr>
        <w:spacing w:after="0" w:line="70" w:lineRule="exact"/>
        <w:rPr>
          <w:sz w:val="20"/>
          <w:szCs w:val="20"/>
          <w:color w:val="auto"/>
        </w:rPr>
      </w:pPr>
    </w:p>
    <w:p>
      <w:pPr>
        <w:ind w:right="380" w:firstLine="490"/>
        <w:spacing w:after="0" w:line="279" w:lineRule="auto"/>
        <w:rPr>
          <w:sz w:val="20"/>
          <w:szCs w:val="20"/>
          <w:color w:val="auto"/>
        </w:rPr>
      </w:pPr>
      <w:r>
        <w:rPr>
          <w:rFonts w:ascii="Times New Roman" w:cs="Times New Roman" w:eastAsia="Times New Roman" w:hAnsi="Times New Roman"/>
          <w:sz w:val="20"/>
          <w:szCs w:val="20"/>
          <w:color w:val="auto"/>
        </w:rPr>
        <w:t>The Company classifies equity-based compensation expense in its consolidated statements of operations in the same manner in which the award recipient’s salary and related costs are classified.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Adoption of Recently Issued Financial Accounting Standards</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 xml:space="preserve">In November 2023, the FASB issued Accounting Standards Update No. 2023-07, </w:t>
      </w:r>
      <w:r>
        <w:rPr>
          <w:rFonts w:ascii="Times New Roman" w:cs="Times New Roman" w:eastAsia="Times New Roman" w:hAnsi="Times New Roman"/>
          <w:sz w:val="20"/>
          <w:szCs w:val="20"/>
          <w:i w:val="1"/>
          <w:iCs w:val="1"/>
          <w:color w:val="auto"/>
        </w:rPr>
        <w:t>Segment Reporting (Topic 280):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Improvements to Reportable Segment Disclosures (“ASU 2023-07”)</w:t>
      </w:r>
      <w:r>
        <w:rPr>
          <w:rFonts w:ascii="Times New Roman" w:cs="Times New Roman" w:eastAsia="Times New Roman" w:hAnsi="Times New Roman"/>
          <w:sz w:val="20"/>
          <w:szCs w:val="20"/>
          <w:color w:val="auto"/>
        </w:rPr>
        <w:t>, which expands annual and interim disclosure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requirements for reportable segments, primarily through enhanced disclosures about significant segment expenses. These disclosures are required for entities with a single reportable segment. ASU 2023-07 is effective for annual filings for the Company’s fiscal year beginning January 1, 2024, and interim filings for the fiscal year beginning January 1, 2025, and should be applied on a retrospective basis to all periods presented. The Company has adopted the guidance retrospectively, with comparative period segment disclosures adjusted to reflect the change in accounting guidance, as applicable.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 xml:space="preserve">In December 2023, the FASB issued Accounting Standards Update 2023-09,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(“ASU 2023-09”)</w:t>
      </w:r>
      <w:r>
        <w:rPr>
          <w:rFonts w:ascii="Times New Roman" w:cs="Times New Roman" w:eastAsia="Times New Roman" w:hAnsi="Times New Roman"/>
          <w:sz w:val="20"/>
          <w:szCs w:val="20"/>
          <w:color w:val="auto"/>
        </w:rPr>
        <w:t>, which is effective for annual periods beginning after December 15, 2024. ASU 2023-09 intends to enhance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transparency as well as usefulness of income tax disclosures, primarily related to the rate reconciliation and income taxes paid. The Company is currently assessing the impact that adoption of this new accounting guidance will have on its consolidated financial statements and footnote disclosures.</w:t>
      </w:r>
    </w:p>
    <w:p>
      <w:pPr>
        <w:sectPr>
          <w:pgSz w:w="11880" w:h="15480" w:orient="portrait"/>
          <w:cols w:equalWidth="0" w:num="1">
            <w:col w:w="10180"/>
          </w:cols>
          <w:pgMar w:left="820" w:top="808" w:right="8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F-19</w:t>
      </w:r>
    </w:p>
    <w:p>
      <w:pPr>
        <w:sectPr>
          <w:pgSz w:w="11880" w:h="15480" w:orient="portrait"/>
          <w:cols w:equalWidth="0" w:num="1">
            <w:col w:w="10180"/>
          </w:cols>
          <w:pgMar w:left="820" w:top="808" w:right="880" w:bottom="8" w:gutter="0" w:footer="0" w:header="0"/>
          <w:type w:val="continuous"/>
        </w:sectPr>
      </w:pPr>
    </w:p>
    <w:bookmarkStart w:id="111" w:name="page112"/>
    <w:bookmarkEnd w:id="111"/>
    <w:p>
      <w:pPr>
        <w:ind w:left="500" w:hanging="492"/>
        <w:spacing w:after="0"/>
        <w:tabs>
          <w:tab w:leader="none" w:pos="50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Carevoyance</w:t>
      </w:r>
    </w:p>
    <w:p>
      <w:pPr>
        <w:spacing w:after="0" w:line="118"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auto"/>
        </w:rPr>
        <w:t>On January 16, 2024, the Company completed the purchase of assets comprising the Carevoyance business line of H1 Insights, Inc. (“Carevoyance”), a product that helps medical technology (“MedTech”) customers to improve segmentation, targeting, and prospect engagement, for $13.7 million in cash consideration. The Carevoyance assets meet the definition of a business and accordingly, the Company has accounted for the Carevoyance transaction under the acquisition method. The assets acquired and liabilities assumed were recorded at their estimated fair values and the results of operations were included in the Company’s consolidated results prospectively from the acquisition date.</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finalized the purchase price allocations of the Carevoyance acquisition during the fourth quarter of 2024.</w:t>
      </w:r>
    </w:p>
    <w:p>
      <w:pPr>
        <w:spacing w:after="0"/>
        <w:rPr>
          <w:sz w:val="20"/>
          <w:szCs w:val="20"/>
          <w:color w:val="auto"/>
        </w:rPr>
      </w:pPr>
      <w:r>
        <w:rPr>
          <w:rFonts w:ascii="Times New Roman" w:cs="Times New Roman" w:eastAsia="Times New Roman" w:hAnsi="Times New Roman"/>
          <w:sz w:val="20"/>
          <w:szCs w:val="20"/>
          <w:color w:val="auto"/>
        </w:rPr>
        <w:t>Acquisition-date fair values of assets and liabilities pertaining to this business combination have been allocated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0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20" w:type="dxa"/>
            <w:vAlign w:val="bottom"/>
            <w:shd w:val="clear" w:color="auto" w:fill="FDFDFD"/>
          </w:tcPr>
          <w:p>
            <w:pPr>
              <w:spacing w:after="0"/>
              <w:rPr>
                <w:sz w:val="17"/>
                <w:szCs w:val="17"/>
                <w:color w:val="auto"/>
              </w:rPr>
            </w:pPr>
          </w:p>
        </w:tc>
        <w:tc>
          <w:tcPr>
            <w:tcW w:w="420" w:type="dxa"/>
            <w:vAlign w:val="bottom"/>
            <w:shd w:val="clear" w:color="auto" w:fill="FDFDFD"/>
          </w:tcPr>
          <w:p>
            <w:pPr>
              <w:spacing w:after="0"/>
              <w:rPr>
                <w:sz w:val="17"/>
                <w:szCs w:val="17"/>
                <w:color w:val="auto"/>
              </w:rPr>
            </w:pPr>
          </w:p>
        </w:tc>
        <w:tc>
          <w:tcPr>
            <w:tcW w:w="19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r>
      <w:tr>
        <w:trPr>
          <w:trHeight w:val="204"/>
        </w:trPr>
        <w:tc>
          <w:tcPr>
            <w:tcW w:w="760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auto"/>
              </w:rPr>
              <w:t>Purchase price allocation:</w:t>
            </w:r>
          </w:p>
        </w:tc>
        <w:tc>
          <w:tcPr>
            <w:tcW w:w="220" w:type="dxa"/>
            <w:vAlign w:val="bottom"/>
            <w:shd w:val="clear" w:color="auto" w:fill="FDFDFD"/>
          </w:tcPr>
          <w:p>
            <w:pPr>
              <w:spacing w:after="0"/>
              <w:rPr>
                <w:sz w:val="17"/>
                <w:szCs w:val="17"/>
                <w:color w:val="auto"/>
              </w:rPr>
            </w:pPr>
          </w:p>
        </w:tc>
        <w:tc>
          <w:tcPr>
            <w:tcW w:w="420" w:type="dxa"/>
            <w:vAlign w:val="bottom"/>
            <w:shd w:val="clear" w:color="auto" w:fill="FDFDFD"/>
          </w:tcPr>
          <w:p>
            <w:pPr>
              <w:spacing w:after="0"/>
              <w:rPr>
                <w:sz w:val="17"/>
                <w:szCs w:val="17"/>
                <w:color w:val="auto"/>
              </w:rPr>
            </w:pPr>
          </w:p>
        </w:tc>
        <w:tc>
          <w:tcPr>
            <w:tcW w:w="2000" w:type="dxa"/>
            <w:vAlign w:val="bottom"/>
            <w:gridSpan w:val="2"/>
            <w:shd w:val="clear" w:color="auto" w:fill="FDFDFD"/>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Preliminary</w:t>
            </w:r>
          </w:p>
        </w:tc>
      </w:tr>
      <w:tr>
        <w:trPr>
          <w:trHeight w:val="224"/>
        </w:trPr>
        <w:tc>
          <w:tcPr>
            <w:tcW w:w="7600" w:type="dxa"/>
            <w:vAlign w:val="bottom"/>
            <w:tcBorders>
              <w:top w:val="single" w:sz="8" w:color="E3E3E3"/>
            </w:tcBorders>
            <w:shd w:val="clear" w:color="auto" w:fill="E3E3E3"/>
          </w:tcPr>
          <w:p>
            <w:pPr>
              <w:spacing w:after="0" w:line="224" w:lineRule="exact"/>
              <w:rPr>
                <w:sz w:val="20"/>
                <w:szCs w:val="20"/>
                <w:color w:val="auto"/>
              </w:rPr>
            </w:pPr>
            <w:r>
              <w:rPr>
                <w:rFonts w:ascii="Times New Roman" w:cs="Times New Roman" w:eastAsia="Times New Roman" w:hAnsi="Times New Roman"/>
                <w:sz w:val="20"/>
                <w:szCs w:val="20"/>
                <w:color w:val="auto"/>
              </w:rPr>
              <w:t>Accounts receivable</w:t>
            </w:r>
          </w:p>
        </w:tc>
        <w:tc>
          <w:tcPr>
            <w:tcW w:w="220" w:type="dxa"/>
            <w:vAlign w:val="bottom"/>
            <w:tcBorders>
              <w:top w:val="single" w:sz="8" w:color="E3E3E3"/>
            </w:tcBorders>
            <w:shd w:val="clear" w:color="auto" w:fill="E3E3E3"/>
          </w:tcPr>
          <w:p>
            <w:pPr>
              <w:spacing w:after="0"/>
              <w:rPr>
                <w:sz w:val="19"/>
                <w:szCs w:val="19"/>
                <w:color w:val="auto"/>
              </w:rPr>
            </w:pPr>
          </w:p>
        </w:tc>
        <w:tc>
          <w:tcPr>
            <w:tcW w:w="420" w:type="dxa"/>
            <w:vAlign w:val="bottom"/>
            <w:tcBorders>
              <w:top w:val="single" w:sz="8" w:color="auto"/>
            </w:tcBorders>
            <w:shd w:val="clear" w:color="auto" w:fill="E3E3E3"/>
          </w:tcPr>
          <w:p>
            <w:pPr>
              <w:jc w:val="right"/>
              <w:ind w:right="220"/>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900" w:type="dxa"/>
            <w:vAlign w:val="bottom"/>
            <w:tcBorders>
              <w:top w:val="single" w:sz="8" w:color="auto"/>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auto"/>
              </w:rPr>
              <w:t>605</w:t>
            </w:r>
          </w:p>
        </w:tc>
        <w:tc>
          <w:tcPr>
            <w:tcW w:w="100" w:type="dxa"/>
            <w:vAlign w:val="bottom"/>
            <w:tcBorders>
              <w:top w:val="single" w:sz="8" w:color="E3E3E3"/>
            </w:tcBorders>
            <w:shd w:val="clear" w:color="auto" w:fill="E3E3E3"/>
          </w:tcPr>
          <w:p>
            <w:pPr>
              <w:spacing w:after="0"/>
              <w:rPr>
                <w:sz w:val="19"/>
                <w:szCs w:val="19"/>
                <w:color w:val="auto"/>
              </w:rPr>
            </w:pPr>
          </w:p>
        </w:tc>
      </w:tr>
      <w:tr>
        <w:trPr>
          <w:trHeight w:val="244"/>
        </w:trPr>
        <w:tc>
          <w:tcPr>
            <w:tcW w:w="76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Intangible assets</w:t>
            </w:r>
          </w:p>
        </w:tc>
        <w:tc>
          <w:tcPr>
            <w:tcW w:w="220" w:type="dxa"/>
            <w:vAlign w:val="bottom"/>
            <w:shd w:val="clear" w:color="auto" w:fill="FDFDFD"/>
          </w:tcPr>
          <w:p>
            <w:pPr>
              <w:spacing w:after="0"/>
              <w:rPr>
                <w:sz w:val="21"/>
                <w:szCs w:val="21"/>
                <w:color w:val="auto"/>
              </w:rPr>
            </w:pPr>
          </w:p>
        </w:tc>
        <w:tc>
          <w:tcPr>
            <w:tcW w:w="420" w:type="dxa"/>
            <w:vAlign w:val="bottom"/>
            <w:shd w:val="clear" w:color="auto" w:fill="FDFDFD"/>
          </w:tcPr>
          <w:p>
            <w:pPr>
              <w:spacing w:after="0"/>
              <w:rPr>
                <w:sz w:val="21"/>
                <w:szCs w:val="21"/>
                <w:color w:val="auto"/>
              </w:rPr>
            </w:pPr>
          </w:p>
        </w:tc>
        <w:tc>
          <w:tcPr>
            <w:tcW w:w="1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7,000</w:t>
            </w:r>
          </w:p>
        </w:tc>
        <w:tc>
          <w:tcPr>
            <w:tcW w:w="100" w:type="dxa"/>
            <w:vAlign w:val="bottom"/>
            <w:shd w:val="clear" w:color="auto" w:fill="FDFDFD"/>
          </w:tcPr>
          <w:p>
            <w:pPr>
              <w:spacing w:after="0"/>
              <w:rPr>
                <w:sz w:val="21"/>
                <w:szCs w:val="21"/>
                <w:color w:val="auto"/>
              </w:rPr>
            </w:pPr>
          </w:p>
        </w:tc>
      </w:tr>
      <w:tr>
        <w:trPr>
          <w:trHeight w:val="244"/>
        </w:trPr>
        <w:tc>
          <w:tcPr>
            <w:tcW w:w="76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22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20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(987)</w:t>
            </w:r>
          </w:p>
        </w:tc>
      </w:tr>
      <w:tr>
        <w:trPr>
          <w:trHeight w:val="234"/>
        </w:trPr>
        <w:tc>
          <w:tcPr>
            <w:tcW w:w="7600" w:type="dxa"/>
            <w:vAlign w:val="bottom"/>
            <w:tcBorders>
              <w:top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Total assets acquired and liabilities assumed</w:t>
            </w:r>
          </w:p>
        </w:tc>
        <w:tc>
          <w:tcPr>
            <w:tcW w:w="220" w:type="dxa"/>
            <w:vAlign w:val="bottom"/>
            <w:tcBorders>
              <w:top w:val="single" w:sz="8" w:color="FDFDFD"/>
            </w:tcBorders>
            <w:shd w:val="clear" w:color="auto" w:fill="FDFDFD"/>
          </w:tcPr>
          <w:p>
            <w:pPr>
              <w:spacing w:after="0"/>
              <w:rPr>
                <w:sz w:val="20"/>
                <w:szCs w:val="20"/>
                <w:color w:val="auto"/>
              </w:rPr>
            </w:pPr>
          </w:p>
        </w:tc>
        <w:tc>
          <w:tcPr>
            <w:tcW w:w="420" w:type="dxa"/>
            <w:vAlign w:val="bottom"/>
            <w:tcBorders>
              <w:top w:val="single" w:sz="8" w:color="auto"/>
            </w:tcBorders>
            <w:shd w:val="clear" w:color="auto" w:fill="FDFDFD"/>
          </w:tcPr>
          <w:p>
            <w:pPr>
              <w:spacing w:after="0"/>
              <w:rPr>
                <w:sz w:val="20"/>
                <w:szCs w:val="20"/>
                <w:color w:val="auto"/>
              </w:rPr>
            </w:pPr>
          </w:p>
        </w:tc>
        <w:tc>
          <w:tcPr>
            <w:tcW w:w="190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6,618</w:t>
            </w:r>
          </w:p>
        </w:tc>
        <w:tc>
          <w:tcPr>
            <w:tcW w:w="100" w:type="dxa"/>
            <w:vAlign w:val="bottom"/>
            <w:tcBorders>
              <w:top w:val="single" w:sz="8" w:color="FDFDFD"/>
            </w:tcBorders>
            <w:shd w:val="clear" w:color="auto" w:fill="FDFDFD"/>
          </w:tcPr>
          <w:p>
            <w:pPr>
              <w:spacing w:after="0"/>
              <w:rPr>
                <w:sz w:val="20"/>
                <w:szCs w:val="20"/>
                <w:color w:val="auto"/>
              </w:rPr>
            </w:pPr>
          </w:p>
        </w:tc>
      </w:tr>
      <w:tr>
        <w:trPr>
          <w:trHeight w:val="244"/>
        </w:trPr>
        <w:tc>
          <w:tcPr>
            <w:tcW w:w="7600" w:type="dxa"/>
            <w:vAlign w:val="bottom"/>
            <w:tcBorders>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Goodwill</w:t>
            </w:r>
          </w:p>
        </w:tc>
        <w:tc>
          <w:tcPr>
            <w:tcW w:w="220" w:type="dxa"/>
            <w:vAlign w:val="bottom"/>
            <w:tcBorders>
              <w:bottom w:val="single" w:sz="8" w:color="FDFDFD"/>
            </w:tcBorders>
            <w:shd w:val="clear" w:color="auto" w:fill="E3E3E3"/>
          </w:tcPr>
          <w:p>
            <w:pPr>
              <w:spacing w:after="0"/>
              <w:rPr>
                <w:sz w:val="21"/>
                <w:szCs w:val="21"/>
                <w:color w:val="auto"/>
              </w:rPr>
            </w:pPr>
          </w:p>
        </w:tc>
        <w:tc>
          <w:tcPr>
            <w:tcW w:w="420" w:type="dxa"/>
            <w:vAlign w:val="bottom"/>
            <w:tcBorders>
              <w:bottom w:val="single" w:sz="8" w:color="auto"/>
            </w:tcBorders>
            <w:shd w:val="clear" w:color="auto" w:fill="E3E3E3"/>
          </w:tcPr>
          <w:p>
            <w:pPr>
              <w:spacing w:after="0"/>
              <w:rPr>
                <w:sz w:val="21"/>
                <w:szCs w:val="21"/>
                <w:color w:val="auto"/>
              </w:rPr>
            </w:pPr>
          </w:p>
        </w:tc>
        <w:tc>
          <w:tcPr>
            <w:tcW w:w="19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7,057</w:t>
            </w:r>
          </w:p>
        </w:tc>
        <w:tc>
          <w:tcPr>
            <w:tcW w:w="100" w:type="dxa"/>
            <w:vAlign w:val="bottom"/>
            <w:tcBorders>
              <w:bottom w:val="single" w:sz="8" w:color="FDFDFD"/>
            </w:tcBorders>
            <w:shd w:val="clear" w:color="auto" w:fill="E3E3E3"/>
          </w:tcPr>
          <w:p>
            <w:pPr>
              <w:spacing w:after="0"/>
              <w:rPr>
                <w:sz w:val="21"/>
                <w:szCs w:val="21"/>
                <w:color w:val="auto"/>
              </w:rPr>
            </w:pPr>
          </w:p>
        </w:tc>
      </w:tr>
      <w:tr>
        <w:trPr>
          <w:trHeight w:val="234"/>
        </w:trPr>
        <w:tc>
          <w:tcPr>
            <w:tcW w:w="7600" w:type="dxa"/>
            <w:vAlign w:val="bottom"/>
            <w:shd w:val="clear" w:color="auto" w:fill="FDFDFD"/>
          </w:tcPr>
          <w:p>
            <w:pPr>
              <w:ind w:left="300"/>
              <w:spacing w:after="0"/>
              <w:rPr>
                <w:sz w:val="20"/>
                <w:szCs w:val="20"/>
                <w:color w:val="auto"/>
              </w:rPr>
            </w:pPr>
            <w:r>
              <w:rPr>
                <w:rFonts w:ascii="Times New Roman" w:cs="Times New Roman" w:eastAsia="Times New Roman" w:hAnsi="Times New Roman"/>
                <w:sz w:val="20"/>
                <w:szCs w:val="20"/>
                <w:color w:val="auto"/>
              </w:rPr>
              <w:t>Purchase price</w:t>
            </w:r>
          </w:p>
        </w:tc>
        <w:tc>
          <w:tcPr>
            <w:tcW w:w="220" w:type="dxa"/>
            <w:vAlign w:val="bottom"/>
            <w:shd w:val="clear" w:color="auto" w:fill="FDFDFD"/>
          </w:tcPr>
          <w:p>
            <w:pPr>
              <w:spacing w:after="0"/>
              <w:rPr>
                <w:sz w:val="20"/>
                <w:szCs w:val="20"/>
                <w:color w:val="auto"/>
              </w:rPr>
            </w:pPr>
          </w:p>
        </w:tc>
        <w:tc>
          <w:tcPr>
            <w:tcW w:w="420" w:type="dxa"/>
            <w:vAlign w:val="bottom"/>
            <w:tcBorders>
              <w:bottom w:val="single" w:sz="8" w:color="auto"/>
            </w:tcBorders>
            <w:shd w:val="clear" w:color="auto" w:fill="FDFDFD"/>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9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13,675</w:t>
            </w:r>
          </w:p>
        </w:tc>
        <w:tc>
          <w:tcPr>
            <w:tcW w:w="100" w:type="dxa"/>
            <w:vAlign w:val="bottom"/>
            <w:shd w:val="clear" w:color="auto" w:fill="FDFDFD"/>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As a result of the Carevoyance acquisition, the Company recorded goodwill, developed technology, customer relationships, and tradename of $7.1 million, $6.8 million, $0.2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deductible for tax purposes. All goodwill has been allocated to the Company’s single reporting unit.</w:t>
      </w:r>
    </w:p>
    <w:p>
      <w:pPr>
        <w:spacing w:after="0" w:line="8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The developed technology represents Carevoyance’s proprietary solutions that are designed to assist MedTech customers with improving segmentation, targeting, and prospect engagement. The Company used the income approach, specifically the multi-period excess earnings method, to determine the value of developed technology. Significant assumptions include an obsolescence factor, tax rate, and discount rate. The developed technology was valued at $6.8 million and is amortized using the economic value method, which represents the pattern of cash flows over the estimated 7-year life of this asset.</w:t>
      </w:r>
    </w:p>
    <w:p>
      <w:pPr>
        <w:spacing w:after="0" w:line="77"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$0.2 million and is amortized using the straight-line method over the estimated remaining useful life of 5 years.</w:t>
      </w:r>
    </w:p>
    <w:p>
      <w:pPr>
        <w:spacing w:after="0" w:line="77"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The tradename represents the estimated fair value of the registered trade name associated with the Carevoyance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2 years.</w:t>
      </w:r>
    </w:p>
    <w:p>
      <w:pPr>
        <w:spacing w:after="0" w:line="70" w:lineRule="exact"/>
        <w:rPr>
          <w:sz w:val="20"/>
          <w:szCs w:val="20"/>
          <w:color w:val="auto"/>
        </w:rPr>
      </w:pPr>
    </w:p>
    <w:p>
      <w:pPr>
        <w:jc w:val="both"/>
        <w:ind w:right="40" w:firstLine="490"/>
        <w:spacing w:after="0" w:line="259" w:lineRule="auto"/>
        <w:rPr>
          <w:sz w:val="20"/>
          <w:szCs w:val="20"/>
          <w:color w:val="auto"/>
        </w:rPr>
      </w:pPr>
      <w:r>
        <w:rPr>
          <w:rFonts w:ascii="Times New Roman" w:cs="Times New Roman" w:eastAsia="Times New Roman" w:hAnsi="Times New Roman"/>
          <w:sz w:val="20"/>
          <w:szCs w:val="20"/>
          <w:color w:val="auto"/>
        </w:rPr>
        <w:t xml:space="preserve">In total, intangible assets acquired in the Carevoyance acquisition are estimated to be amortized over a weighted average of 6.9 years. See Note 9. </w:t>
      </w:r>
      <w:r>
        <w:rPr>
          <w:rFonts w:ascii="Times New Roman" w:cs="Times New Roman" w:eastAsia="Times New Roman" w:hAnsi="Times New Roman"/>
          <w:sz w:val="20"/>
          <w:szCs w:val="20"/>
          <w:i w:val="1"/>
          <w:iCs w:val="1"/>
          <w:color w:val="auto"/>
        </w:rPr>
        <w:t>Goodwill and Intangible Assets</w:t>
      </w:r>
      <w:r>
        <w:rPr>
          <w:rFonts w:ascii="Times New Roman" w:cs="Times New Roman" w:eastAsia="Times New Roman" w:hAnsi="Times New Roman"/>
          <w:sz w:val="20"/>
          <w:szCs w:val="20"/>
          <w:color w:val="auto"/>
        </w:rPr>
        <w:t xml:space="preserve"> for the estimated total intangible amortization expense during the next five years and thereafter.</w:t>
      </w:r>
    </w:p>
    <w:p>
      <w:pPr>
        <w:spacing w:after="0" w:line="65" w:lineRule="exact"/>
        <w:rPr>
          <w:sz w:val="20"/>
          <w:szCs w:val="20"/>
          <w:color w:val="auto"/>
        </w:rPr>
      </w:pPr>
    </w:p>
    <w:p>
      <w:pPr>
        <w:ind w:right="300" w:firstLine="490"/>
        <w:spacing w:after="0" w:line="279" w:lineRule="auto"/>
        <w:rPr>
          <w:sz w:val="20"/>
          <w:szCs w:val="20"/>
          <w:color w:val="auto"/>
        </w:rPr>
      </w:pPr>
      <w:r>
        <w:rPr>
          <w:rFonts w:ascii="Times New Roman" w:cs="Times New Roman" w:eastAsia="Times New Roman" w:hAnsi="Times New Roman"/>
          <w:sz w:val="20"/>
          <w:szCs w:val="20"/>
          <w:color w:val="auto"/>
        </w:rPr>
        <w:t>Pro forma results of operation for this acquisition have not been presented because the effects were not material to the Company’s consolidated financial results.</w:t>
      </w:r>
    </w:p>
    <w:p>
      <w:pPr>
        <w:sectPr>
          <w:pgSz w:w="11880" w:h="15480" w:orient="portrait"/>
          <w:cols w:equalWidth="0" w:num="1">
            <w:col w:w="10240"/>
          </w:cols>
          <w:pgMar w:left="820" w:top="803" w:right="8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10240"/>
          </w:cols>
          <w:pgMar w:left="820" w:top="803" w:right="820" w:bottom="8"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i w:val="1"/>
          <w:iCs w:val="1"/>
          <w:color w:val="auto"/>
        </w:rPr>
        <w:t>Populi, Inc.</w:t>
      </w:r>
    </w:p>
    <w:p>
      <w:pPr>
        <w:spacing w:after="0" w:line="11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On July 21, 2023, the Company completed the acquisition of Populi, Inc. (“Populi”), a provider-focused data and analytics company that works with healthcare organizations to optimize physician relationships, reduce network leakage, and expand market share, for total consideration of $54.1 million, consisting of approximately $46.4 million of cash paid at closing, $0.1 reimbursement from sellers for working capital adjustments, and up to $28.0 million of contingent consideration, with an initial estimated fair value of $7.8 million. The contingent consideration relates to earn-out payments that may be paid subject to meeting certain revenue metrics during calendar years 2024 and 2025. In addition to the purchase consideration and pursuant to holdback agreements with certain key Populi employees, the Company agreed to pay $4.8 million to certain key Populi employees in quarterly installments beginning on December 31, 2023, and continuing through September 30, 2025. The payout of the holdback is subject to continued employment, and therefore recognized as compensation expense over the requisite service period as a component of transaction, integration and restructuring expenses in the accompanying consolidated statements of operations. The assets acquired and liabilities assumed were recorded at their estimated fair values and the results of operations were included in the Company’s consolidated results as of the acquisition date.</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consideration transferred for the transaction is summarized as follows:</w:t>
      </w:r>
    </w:p>
    <w:p>
      <w:pPr>
        <w:spacing w:after="0" w:line="251" w:lineRule="exact"/>
        <w:rPr>
          <w:sz w:val="20"/>
          <w:szCs w:val="20"/>
          <w:color w:val="auto"/>
        </w:rPr>
      </w:pPr>
    </w:p>
    <w:tbl>
      <w:tblPr>
        <w:tblLayout w:type="fixed"/>
        <w:tblInd w:w="1040" w:type="dxa"/>
        <w:tblCellMar>
          <w:top w:w="0" w:type="dxa"/>
          <w:left w:w="0" w:type="dxa"/>
          <w:bottom w:w="0" w:type="dxa"/>
          <w:right w:w="0" w:type="dxa"/>
        </w:tblCellMar>
      </w:tblPr>
      <w:tr>
        <w:trPr>
          <w:trHeight w:val="269"/>
        </w:trPr>
        <w:tc>
          <w:tcPr>
            <w:tcW w:w="654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shd w:val="clear" w:color="auto" w:fill="FDFDFD"/>
          </w:tcPr>
          <w:p>
            <w:pPr>
              <w:spacing w:after="0"/>
              <w:rPr>
                <w:sz w:val="23"/>
                <w:szCs w:val="23"/>
                <w:color w:val="auto"/>
              </w:rPr>
            </w:pPr>
          </w:p>
        </w:tc>
        <w:tc>
          <w:tcPr>
            <w:tcW w:w="480" w:type="dxa"/>
            <w:vAlign w:val="bottom"/>
            <w:shd w:val="clear" w:color="auto" w:fill="FDFDFD"/>
          </w:tcPr>
          <w:p>
            <w:pPr>
              <w:spacing w:after="0"/>
              <w:rPr>
                <w:sz w:val="23"/>
                <w:szCs w:val="23"/>
                <w:color w:val="auto"/>
              </w:rPr>
            </w:pPr>
          </w:p>
        </w:tc>
        <w:tc>
          <w:tcPr>
            <w:tcW w:w="920" w:type="dxa"/>
            <w:vAlign w:val="bottom"/>
            <w:shd w:val="clear" w:color="auto" w:fill="FDFDFD"/>
          </w:tcPr>
          <w:p>
            <w:pPr>
              <w:spacing w:after="0"/>
              <w:rPr>
                <w:sz w:val="23"/>
                <w:szCs w:val="23"/>
                <w:color w:val="auto"/>
              </w:rPr>
            </w:pPr>
          </w:p>
        </w:tc>
        <w:tc>
          <w:tcPr>
            <w:tcW w:w="60" w:type="dxa"/>
            <w:vAlign w:val="bottom"/>
            <w:shd w:val="clear" w:color="auto" w:fill="FDFDFD"/>
          </w:tcPr>
          <w:p>
            <w:pPr>
              <w:spacing w:after="0"/>
              <w:rPr>
                <w:sz w:val="23"/>
                <w:szCs w:val="23"/>
                <w:color w:val="auto"/>
              </w:rPr>
            </w:pPr>
          </w:p>
        </w:tc>
      </w:tr>
      <w:tr>
        <w:trPr>
          <w:trHeight w:val="230"/>
        </w:trPr>
        <w:tc>
          <w:tcPr>
            <w:tcW w:w="65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Cash consideration paid at closing</w:t>
            </w:r>
          </w:p>
        </w:tc>
        <w:tc>
          <w:tcPr>
            <w:tcW w:w="640" w:type="dxa"/>
            <w:vAlign w:val="bottom"/>
            <w:gridSpan w:val="2"/>
            <w:shd w:val="clear" w:color="auto" w:fill="E3E3E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auto"/>
              </w:rPr>
              <w:t>46,446</w:t>
            </w:r>
          </w:p>
        </w:tc>
      </w:tr>
      <w:tr>
        <w:trPr>
          <w:trHeight w:val="230"/>
        </w:trPr>
        <w:tc>
          <w:tcPr>
            <w:tcW w:w="65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Working capital adjustment</w:t>
            </w:r>
          </w:p>
        </w:tc>
        <w:tc>
          <w:tcPr>
            <w:tcW w:w="160" w:type="dxa"/>
            <w:vAlign w:val="bottom"/>
            <w:shd w:val="clear" w:color="auto" w:fill="FDFDFD"/>
          </w:tcPr>
          <w:p>
            <w:pPr>
              <w:spacing w:after="0"/>
              <w:rPr>
                <w:sz w:val="19"/>
                <w:szCs w:val="19"/>
                <w:color w:val="auto"/>
              </w:rPr>
            </w:pPr>
          </w:p>
        </w:tc>
        <w:tc>
          <w:tcPr>
            <w:tcW w:w="480" w:type="dxa"/>
            <w:vAlign w:val="bottom"/>
            <w:shd w:val="clear" w:color="auto" w:fill="FDFDFD"/>
          </w:tcPr>
          <w:p>
            <w:pPr>
              <w:spacing w:after="0"/>
              <w:rPr>
                <w:sz w:val="19"/>
                <w:szCs w:val="19"/>
                <w:color w:val="auto"/>
              </w:rPr>
            </w:pPr>
          </w:p>
        </w:tc>
        <w:tc>
          <w:tcPr>
            <w:tcW w:w="9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30"/>
        </w:trPr>
        <w:tc>
          <w:tcPr>
            <w:tcW w:w="65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Contingent consideration</w:t>
            </w:r>
          </w:p>
        </w:tc>
        <w:tc>
          <w:tcPr>
            <w:tcW w:w="160" w:type="dxa"/>
            <w:vAlign w:val="bottom"/>
            <w:shd w:val="clear" w:color="auto" w:fill="E3E3E3"/>
          </w:tcPr>
          <w:p>
            <w:pPr>
              <w:spacing w:after="0"/>
              <w:rPr>
                <w:sz w:val="19"/>
                <w:szCs w:val="19"/>
                <w:color w:val="auto"/>
              </w:rPr>
            </w:pPr>
          </w:p>
        </w:tc>
        <w:tc>
          <w:tcPr>
            <w:tcW w:w="480" w:type="dxa"/>
            <w:vAlign w:val="bottom"/>
            <w:shd w:val="clear" w:color="auto" w:fill="E3E3E3"/>
          </w:tcPr>
          <w:p>
            <w:pPr>
              <w:spacing w:after="0"/>
              <w:rPr>
                <w:sz w:val="19"/>
                <w:szCs w:val="19"/>
                <w:color w:val="auto"/>
              </w:rPr>
            </w:pPr>
          </w:p>
        </w:tc>
        <w:tc>
          <w:tcPr>
            <w:tcW w:w="98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auto"/>
              </w:rPr>
              <w:t>7,800</w:t>
            </w:r>
          </w:p>
        </w:tc>
      </w:tr>
      <w:tr>
        <w:trPr>
          <w:trHeight w:val="220"/>
        </w:trPr>
        <w:tc>
          <w:tcPr>
            <w:tcW w:w="6540" w:type="dxa"/>
            <w:vAlign w:val="bottom"/>
            <w:tcBorders>
              <w:top w:val="single" w:sz="8" w:color="FDFDFD"/>
            </w:tcBorders>
            <w:shd w:val="clear" w:color="auto" w:fill="FDFDFD"/>
          </w:tcPr>
          <w:p>
            <w:pPr>
              <w:ind w:left="400"/>
              <w:spacing w:after="0" w:line="220" w:lineRule="exact"/>
              <w:rPr>
                <w:sz w:val="20"/>
                <w:szCs w:val="20"/>
                <w:color w:val="auto"/>
              </w:rPr>
            </w:pPr>
            <w:r>
              <w:rPr>
                <w:rFonts w:ascii="Times New Roman" w:cs="Times New Roman" w:eastAsia="Times New Roman" w:hAnsi="Times New Roman"/>
                <w:sz w:val="20"/>
                <w:szCs w:val="20"/>
                <w:color w:val="auto"/>
              </w:rPr>
              <w:t>Purchase price</w:t>
            </w:r>
          </w:p>
        </w:tc>
        <w:tc>
          <w:tcPr>
            <w:tcW w:w="160" w:type="dxa"/>
            <w:vAlign w:val="bottom"/>
            <w:tcBorders>
              <w:top w:val="single" w:sz="8" w:color="FDFDFD"/>
            </w:tcBorders>
            <w:shd w:val="clear" w:color="auto" w:fill="FDFDFD"/>
          </w:tcPr>
          <w:p>
            <w:pPr>
              <w:spacing w:after="0"/>
              <w:rPr>
                <w:sz w:val="19"/>
                <w:szCs w:val="19"/>
                <w:color w:val="auto"/>
              </w:rPr>
            </w:pPr>
          </w:p>
        </w:tc>
        <w:tc>
          <w:tcPr>
            <w:tcW w:w="480" w:type="dxa"/>
            <w:vAlign w:val="bottom"/>
            <w:tcBorders>
              <w:top w:val="single" w:sz="8" w:color="auto"/>
              <w:bottom w:val="single" w:sz="8" w:color="auto"/>
            </w:tcBorders>
            <w:shd w:val="clear" w:color="auto" w:fill="FDFDFD"/>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54,101</w:t>
            </w:r>
          </w:p>
        </w:tc>
        <w:tc>
          <w:tcPr>
            <w:tcW w:w="60" w:type="dxa"/>
            <w:vAlign w:val="bottom"/>
            <w:tcBorders>
              <w:top w:val="single" w:sz="8" w:color="FDFDFD"/>
            </w:tcBorders>
            <w:shd w:val="clear" w:color="auto" w:fill="FDFDFD"/>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 xml:space="preserve">The contingent consideration is based on the achievement of certain revenue metrics during the two-year period following the acquisition date, with potential earn-out payouts ranging from $0 to $28.0 million. The Company estimated the fair value of the contingent consideration to be $7.8 million as of July 21, 2023, based on the estimated achievement of the revenue metrics and time to payment. The contingent consideration was recorded in other liabilities in the accompanying consolidated balance sheets as of December 31, 2024. Refer to Note 12. </w:t>
      </w:r>
      <w:r>
        <w:rPr>
          <w:rFonts w:ascii="Times New Roman" w:cs="Times New Roman" w:eastAsia="Times New Roman" w:hAnsi="Times New Roman"/>
          <w:sz w:val="20"/>
          <w:szCs w:val="20"/>
          <w:i w:val="1"/>
          <w:iCs w:val="1"/>
          <w:color w:val="auto"/>
        </w:rPr>
        <w:t>Fair Value Measurements</w:t>
      </w:r>
      <w:r>
        <w:rPr>
          <w:rFonts w:ascii="Times New Roman" w:cs="Times New Roman" w:eastAsia="Times New Roman" w:hAnsi="Times New Roman"/>
          <w:sz w:val="20"/>
          <w:szCs w:val="20"/>
          <w:color w:val="auto"/>
        </w:rPr>
        <w:t>.</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finalized the purchase price allocations of the Populi acquisition during the first quarter of 2024.</w:t>
      </w:r>
    </w:p>
    <w:p>
      <w:pPr>
        <w:spacing w:after="0"/>
        <w:rPr>
          <w:sz w:val="20"/>
          <w:szCs w:val="20"/>
          <w:color w:val="auto"/>
        </w:rPr>
      </w:pPr>
      <w:r>
        <w:rPr>
          <w:rFonts w:ascii="Times New Roman" w:cs="Times New Roman" w:eastAsia="Times New Roman" w:hAnsi="Times New Roman"/>
          <w:sz w:val="20"/>
          <w:szCs w:val="20"/>
          <w:color w:val="auto"/>
        </w:rPr>
        <w:t>Acquisition-date fair values of assets and liabilities pertaining to this business combination have been allocated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1580" w:type="dxa"/>
            <w:vAlign w:val="bottom"/>
            <w:gridSpan w:val="2"/>
            <w:vMerge w:val="restart"/>
            <w:shd w:val="clear" w:color="auto" w:fill="FDFDFD"/>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Preliminary, as</w:t>
            </w:r>
          </w:p>
        </w:tc>
        <w:tc>
          <w:tcPr>
            <w:tcW w:w="1720" w:type="dxa"/>
            <w:vAlign w:val="bottom"/>
            <w:gridSpan w:val="3"/>
            <w:vMerge w:val="restart"/>
            <w:shd w:val="clear" w:color="auto" w:fill="FDFDFD"/>
          </w:tcPr>
          <w:p>
            <w:pPr>
              <w:ind w:left="2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220" w:type="dxa"/>
            <w:vAlign w:val="bottom"/>
            <w:shd w:val="clear" w:color="auto" w:fill="FDFDFD"/>
          </w:tcPr>
          <w:p>
            <w:pPr>
              <w:spacing w:after="0"/>
              <w:rPr>
                <w:sz w:val="17"/>
                <w:szCs w:val="17"/>
                <w:color w:val="auto"/>
              </w:rPr>
            </w:pPr>
          </w:p>
        </w:tc>
        <w:tc>
          <w:tcPr>
            <w:tcW w:w="128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020" w:type="dxa"/>
            <w:vAlign w:val="bottom"/>
            <w:shd w:val="clear" w:color="auto" w:fill="FDFDFD"/>
          </w:tcPr>
          <w:p>
            <w:pPr>
              <w:spacing w:after="0"/>
              <w:rPr>
                <w:sz w:val="14"/>
                <w:szCs w:val="14"/>
                <w:color w:val="auto"/>
              </w:rPr>
            </w:pPr>
          </w:p>
        </w:tc>
        <w:tc>
          <w:tcPr>
            <w:tcW w:w="160" w:type="dxa"/>
            <w:vAlign w:val="bottom"/>
            <w:shd w:val="clear" w:color="auto" w:fill="FDFDFD"/>
          </w:tcPr>
          <w:p>
            <w:pPr>
              <w:spacing w:after="0"/>
              <w:rPr>
                <w:sz w:val="14"/>
                <w:szCs w:val="14"/>
                <w:color w:val="auto"/>
              </w:rPr>
            </w:pPr>
          </w:p>
        </w:tc>
        <w:tc>
          <w:tcPr>
            <w:tcW w:w="160" w:type="dxa"/>
            <w:vAlign w:val="bottom"/>
            <w:shd w:val="clear" w:color="auto" w:fill="FDFDFD"/>
          </w:tcPr>
          <w:p>
            <w:pPr>
              <w:spacing w:after="0"/>
              <w:rPr>
                <w:sz w:val="14"/>
                <w:szCs w:val="14"/>
                <w:color w:val="auto"/>
              </w:rPr>
            </w:pPr>
          </w:p>
        </w:tc>
        <w:tc>
          <w:tcPr>
            <w:tcW w:w="1580" w:type="dxa"/>
            <w:vAlign w:val="bottom"/>
            <w:gridSpan w:val="2"/>
            <w:vMerge w:val="continue"/>
            <w:shd w:val="clear" w:color="auto" w:fill="FDFDFD"/>
          </w:tcPr>
          <w:p>
            <w:pPr>
              <w:spacing w:after="0"/>
              <w:rPr>
                <w:sz w:val="14"/>
                <w:szCs w:val="14"/>
                <w:color w:val="auto"/>
              </w:rPr>
            </w:pPr>
          </w:p>
        </w:tc>
        <w:tc>
          <w:tcPr>
            <w:tcW w:w="1720" w:type="dxa"/>
            <w:vAlign w:val="bottom"/>
            <w:gridSpan w:val="3"/>
            <w:vMerge w:val="continue"/>
            <w:shd w:val="clear" w:color="auto" w:fill="FDFDFD"/>
          </w:tcPr>
          <w:p>
            <w:pPr>
              <w:spacing w:after="0"/>
              <w:rPr>
                <w:sz w:val="14"/>
                <w:szCs w:val="14"/>
                <w:color w:val="auto"/>
              </w:rPr>
            </w:pPr>
          </w:p>
        </w:tc>
        <w:tc>
          <w:tcPr>
            <w:tcW w:w="220" w:type="dxa"/>
            <w:vAlign w:val="bottom"/>
            <w:shd w:val="clear" w:color="auto" w:fill="FDFDFD"/>
          </w:tcPr>
          <w:p>
            <w:pPr>
              <w:spacing w:after="0"/>
              <w:rPr>
                <w:sz w:val="14"/>
                <w:szCs w:val="14"/>
                <w:color w:val="auto"/>
              </w:rPr>
            </w:pPr>
          </w:p>
        </w:tc>
        <w:tc>
          <w:tcPr>
            <w:tcW w:w="128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auto"/>
              </w:rPr>
              <w:t>Purchase price allocation:</w:t>
            </w:r>
          </w:p>
        </w:tc>
        <w:tc>
          <w:tcPr>
            <w:tcW w:w="160" w:type="dxa"/>
            <w:vAlign w:val="bottom"/>
            <w:shd w:val="clear" w:color="auto" w:fill="FDFDFD"/>
          </w:tcPr>
          <w:p>
            <w:pPr>
              <w:spacing w:after="0"/>
              <w:rPr>
                <w:sz w:val="17"/>
                <w:szCs w:val="17"/>
                <w:color w:val="auto"/>
              </w:rPr>
            </w:pPr>
          </w:p>
        </w:tc>
        <w:tc>
          <w:tcPr>
            <w:tcW w:w="1740" w:type="dxa"/>
            <w:vAlign w:val="bottom"/>
            <w:gridSpan w:val="3"/>
            <w:shd w:val="clear" w:color="auto" w:fill="FDFDFD"/>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originally reported</w:t>
            </w:r>
          </w:p>
        </w:tc>
        <w:tc>
          <w:tcPr>
            <w:tcW w:w="200" w:type="dxa"/>
            <w:vAlign w:val="bottom"/>
            <w:shd w:val="clear" w:color="auto" w:fill="FDFDFD"/>
          </w:tcPr>
          <w:p>
            <w:pPr>
              <w:spacing w:after="0"/>
              <w:rPr>
                <w:sz w:val="17"/>
                <w:szCs w:val="17"/>
                <w:color w:val="auto"/>
              </w:rPr>
            </w:pPr>
          </w:p>
        </w:tc>
        <w:tc>
          <w:tcPr>
            <w:tcW w:w="1520" w:type="dxa"/>
            <w:vAlign w:val="bottom"/>
            <w:gridSpan w:val="2"/>
            <w:shd w:val="clear" w:color="auto" w:fill="FDFDFD"/>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20" w:type="dxa"/>
            <w:vAlign w:val="bottom"/>
            <w:shd w:val="clear" w:color="auto" w:fill="FDFDFD"/>
          </w:tcPr>
          <w:p>
            <w:pPr>
              <w:spacing w:after="0"/>
              <w:rPr>
                <w:sz w:val="17"/>
                <w:szCs w:val="17"/>
                <w:color w:val="auto"/>
              </w:rPr>
            </w:pPr>
          </w:p>
        </w:tc>
        <w:tc>
          <w:tcPr>
            <w:tcW w:w="1380" w:type="dxa"/>
            <w:vAlign w:val="bottom"/>
            <w:gridSpan w:val="2"/>
            <w:shd w:val="clear" w:color="auto" w:fill="FDFDFD"/>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220"/>
        </w:trPr>
        <w:tc>
          <w:tcPr>
            <w:tcW w:w="502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Cash</w:t>
            </w:r>
          </w:p>
        </w:tc>
        <w:tc>
          <w:tcPr>
            <w:tcW w:w="160" w:type="dxa"/>
            <w:vAlign w:val="bottom"/>
            <w:tcBorders>
              <w:top w:val="single" w:sz="8" w:color="E3E3E3"/>
            </w:tcBorders>
            <w:shd w:val="clear" w:color="auto" w:fill="E3E3E3"/>
          </w:tcPr>
          <w:p>
            <w:pPr>
              <w:spacing w:after="0"/>
              <w:rPr>
                <w:sz w:val="19"/>
                <w:szCs w:val="19"/>
                <w:color w:val="auto"/>
              </w:rPr>
            </w:pPr>
          </w:p>
        </w:tc>
        <w:tc>
          <w:tcPr>
            <w:tcW w:w="16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1,423</w:t>
            </w:r>
          </w:p>
        </w:tc>
        <w:tc>
          <w:tcPr>
            <w:tcW w:w="260" w:type="dxa"/>
            <w:vAlign w:val="bottom"/>
            <w:tcBorders>
              <w:top w:val="single" w:sz="8" w:color="E3E3E3"/>
            </w:tcBorders>
            <w:shd w:val="clear" w:color="auto" w:fill="E3E3E3"/>
          </w:tcPr>
          <w:p>
            <w:pPr>
              <w:spacing w:after="0"/>
              <w:rPr>
                <w:sz w:val="19"/>
                <w:szCs w:val="19"/>
                <w:color w:val="auto"/>
              </w:rPr>
            </w:pPr>
          </w:p>
        </w:tc>
        <w:tc>
          <w:tcPr>
            <w:tcW w:w="200" w:type="dxa"/>
            <w:vAlign w:val="bottom"/>
            <w:tcBorders>
              <w:top w:val="single" w:sz="8" w:color="auto"/>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E3E3E3"/>
            </w:tcBorders>
            <w:shd w:val="clear" w:color="auto" w:fill="E3E3E3"/>
          </w:tcPr>
          <w:p>
            <w:pPr>
              <w:spacing w:after="0"/>
              <w:rPr>
                <w:sz w:val="19"/>
                <w:szCs w:val="19"/>
                <w:color w:val="auto"/>
              </w:rPr>
            </w:pPr>
          </w:p>
        </w:tc>
        <w:tc>
          <w:tcPr>
            <w:tcW w:w="220" w:type="dxa"/>
            <w:vAlign w:val="bottom"/>
            <w:tcBorders>
              <w:top w:val="single" w:sz="8" w:color="auto"/>
            </w:tcBorders>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1,423</w:t>
            </w:r>
          </w:p>
        </w:tc>
        <w:tc>
          <w:tcPr>
            <w:tcW w:w="100" w:type="dxa"/>
            <w:vAlign w:val="bottom"/>
            <w:tcBorders>
              <w:top w:val="single" w:sz="8" w:color="E3E3E3"/>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16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1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2,662</w:t>
            </w:r>
          </w:p>
        </w:tc>
        <w:tc>
          <w:tcPr>
            <w:tcW w:w="26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2,662</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6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26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520" w:type="dxa"/>
            <w:vAlign w:val="bottom"/>
            <w:gridSpan w:val="2"/>
            <w:shd w:val="clear" w:color="auto" w:fill="E3E3E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3E3E3"/>
          </w:tcPr>
          <w:p>
            <w:pPr>
              <w:spacing w:after="0"/>
              <w:rPr>
                <w:sz w:val="19"/>
                <w:szCs w:val="19"/>
                <w:color w:val="auto"/>
              </w:rPr>
            </w:pPr>
          </w:p>
        </w:tc>
        <w:tc>
          <w:tcPr>
            <w:tcW w:w="12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16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1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6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520" w:type="dxa"/>
            <w:vAlign w:val="bottom"/>
            <w:gridSpan w:val="2"/>
            <w:shd w:val="clear" w:color="auto" w:fill="FDFDFD"/>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Intangible assets</w:t>
            </w:r>
          </w:p>
        </w:tc>
        <w:tc>
          <w:tcPr>
            <w:tcW w:w="16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22,830</w:t>
            </w:r>
          </w:p>
        </w:tc>
        <w:tc>
          <w:tcPr>
            <w:tcW w:w="26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520" w:type="dxa"/>
            <w:vAlign w:val="bottom"/>
            <w:gridSpan w:val="2"/>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(500)</w:t>
            </w:r>
          </w:p>
        </w:tc>
        <w:tc>
          <w:tcPr>
            <w:tcW w:w="220" w:type="dxa"/>
            <w:vAlign w:val="bottom"/>
            <w:shd w:val="clear" w:color="auto" w:fill="E3E3E3"/>
          </w:tcPr>
          <w:p>
            <w:pPr>
              <w:spacing w:after="0"/>
              <w:rPr>
                <w:sz w:val="19"/>
                <w:szCs w:val="19"/>
                <w:color w:val="auto"/>
              </w:rPr>
            </w:pPr>
          </w:p>
        </w:tc>
        <w:tc>
          <w:tcPr>
            <w:tcW w:w="12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22,330</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16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1580" w:type="dxa"/>
            <w:vAlign w:val="bottom"/>
            <w:gridSpan w:val="2"/>
            <w:shd w:val="clear" w:color="auto" w:fill="FDFDFD"/>
          </w:tcPr>
          <w:p>
            <w:pPr>
              <w:jc w:val="right"/>
              <w:ind w:right="200"/>
              <w:spacing w:after="0"/>
              <w:rPr>
                <w:sz w:val="20"/>
                <w:szCs w:val="20"/>
                <w:color w:val="auto"/>
              </w:rPr>
            </w:pPr>
            <w:r>
              <w:rPr>
                <w:rFonts w:ascii="Times New Roman" w:cs="Times New Roman" w:eastAsia="Times New Roman" w:hAnsi="Times New Roman"/>
                <w:sz w:val="20"/>
                <w:szCs w:val="20"/>
                <w:color w:val="auto"/>
              </w:rPr>
              <w:t>(3,316)</w:t>
            </w:r>
          </w:p>
        </w:tc>
        <w:tc>
          <w:tcPr>
            <w:tcW w:w="200" w:type="dxa"/>
            <w:vAlign w:val="bottom"/>
            <w:shd w:val="clear" w:color="auto" w:fill="FDFDFD"/>
          </w:tcPr>
          <w:p>
            <w:pPr>
              <w:spacing w:after="0"/>
              <w:rPr>
                <w:sz w:val="19"/>
                <w:szCs w:val="19"/>
                <w:color w:val="auto"/>
              </w:rPr>
            </w:pPr>
          </w:p>
        </w:tc>
        <w:tc>
          <w:tcPr>
            <w:tcW w:w="1520" w:type="dxa"/>
            <w:vAlign w:val="bottom"/>
            <w:gridSpan w:val="2"/>
            <w:shd w:val="clear" w:color="auto" w:fill="FDFDFD"/>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FDFDFD"/>
          </w:tcPr>
          <w:p>
            <w:pPr>
              <w:spacing w:after="0"/>
              <w:rPr>
                <w:sz w:val="19"/>
                <w:szCs w:val="19"/>
                <w:color w:val="auto"/>
              </w:rPr>
            </w:pPr>
          </w:p>
        </w:tc>
        <w:tc>
          <w:tcPr>
            <w:tcW w:w="138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(3,316)</w:t>
            </w:r>
          </w:p>
        </w:tc>
        <w:tc>
          <w:tcPr>
            <w:tcW w:w="0" w:type="dxa"/>
            <w:vAlign w:val="bottom"/>
          </w:tcPr>
          <w:p>
            <w:pPr>
              <w:spacing w:after="0"/>
              <w:rPr>
                <w:sz w:val="1"/>
                <w:szCs w:val="1"/>
                <w:color w:val="auto"/>
              </w:rPr>
            </w:pPr>
          </w:p>
        </w:tc>
      </w:tr>
      <w:tr>
        <w:trPr>
          <w:trHeight w:val="230"/>
        </w:trPr>
        <w:tc>
          <w:tcPr>
            <w:tcW w:w="50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16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58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(4,010)</w:t>
            </w:r>
          </w:p>
        </w:tc>
        <w:tc>
          <w:tcPr>
            <w:tcW w:w="200" w:type="dxa"/>
            <w:vAlign w:val="bottom"/>
            <w:shd w:val="clear" w:color="auto" w:fill="E3E3E3"/>
          </w:tcPr>
          <w:p>
            <w:pPr>
              <w:spacing w:after="0"/>
              <w:rPr>
                <w:sz w:val="19"/>
                <w:szCs w:val="19"/>
                <w:color w:val="auto"/>
              </w:rPr>
            </w:pPr>
          </w:p>
        </w:tc>
        <w:tc>
          <w:tcPr>
            <w:tcW w:w="1520" w:type="dxa"/>
            <w:vAlign w:val="bottom"/>
            <w:gridSpan w:val="2"/>
            <w:shd w:val="clear" w:color="auto" w:fill="E3E3E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3E3E3"/>
          </w:tcPr>
          <w:p>
            <w:pPr>
              <w:spacing w:after="0"/>
              <w:rPr>
                <w:sz w:val="19"/>
                <w:szCs w:val="19"/>
                <w:color w:val="auto"/>
              </w:rPr>
            </w:pPr>
          </w:p>
        </w:tc>
        <w:tc>
          <w:tcPr>
            <w:tcW w:w="138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(4,010)</w:t>
            </w:r>
          </w:p>
        </w:tc>
        <w:tc>
          <w:tcPr>
            <w:tcW w:w="0" w:type="dxa"/>
            <w:vAlign w:val="bottom"/>
          </w:tcPr>
          <w:p>
            <w:pPr>
              <w:spacing w:after="0"/>
              <w:rPr>
                <w:sz w:val="1"/>
                <w:szCs w:val="1"/>
                <w:color w:val="auto"/>
              </w:rPr>
            </w:pPr>
          </w:p>
        </w:tc>
      </w:tr>
      <w:tr>
        <w:trPr>
          <w:trHeight w:val="230"/>
        </w:trPr>
        <w:tc>
          <w:tcPr>
            <w:tcW w:w="50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6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1580" w:type="dxa"/>
            <w:vAlign w:val="bottom"/>
            <w:gridSpan w:val="2"/>
            <w:shd w:val="clear" w:color="auto" w:fill="FDFDFD"/>
          </w:tcPr>
          <w:p>
            <w:pPr>
              <w:jc w:val="right"/>
              <w:ind w:right="200"/>
              <w:spacing w:after="0"/>
              <w:rPr>
                <w:sz w:val="20"/>
                <w:szCs w:val="20"/>
                <w:color w:val="auto"/>
              </w:rPr>
            </w:pPr>
            <w:r>
              <w:rPr>
                <w:rFonts w:ascii="Times New Roman" w:cs="Times New Roman" w:eastAsia="Times New Roman" w:hAnsi="Times New Roman"/>
                <w:sz w:val="20"/>
                <w:szCs w:val="20"/>
                <w:color w:val="auto"/>
              </w:rPr>
              <w:t>(2,354)</w:t>
            </w:r>
          </w:p>
        </w:tc>
        <w:tc>
          <w:tcPr>
            <w:tcW w:w="200" w:type="dxa"/>
            <w:vAlign w:val="bottom"/>
            <w:shd w:val="clear" w:color="auto" w:fill="FDFDFD"/>
          </w:tcPr>
          <w:p>
            <w:pPr>
              <w:spacing w:after="0"/>
              <w:rPr>
                <w:sz w:val="19"/>
                <w:szCs w:val="19"/>
                <w:color w:val="auto"/>
              </w:rPr>
            </w:pPr>
          </w:p>
        </w:tc>
        <w:tc>
          <w:tcPr>
            <w:tcW w:w="1520" w:type="dxa"/>
            <w:vAlign w:val="bottom"/>
            <w:gridSpan w:val="2"/>
            <w:shd w:val="clear" w:color="auto" w:fill="FDFDFD"/>
          </w:tcPr>
          <w:p>
            <w:pPr>
              <w:jc w:val="right"/>
              <w:ind w:right="180"/>
              <w:spacing w:after="0"/>
              <w:rPr>
                <w:sz w:val="20"/>
                <w:szCs w:val="20"/>
                <w:color w:val="auto"/>
              </w:rPr>
            </w:pPr>
            <w:r>
              <w:rPr>
                <w:rFonts w:ascii="Times New Roman" w:cs="Times New Roman" w:eastAsia="Times New Roman" w:hAnsi="Times New Roman"/>
                <w:sz w:val="20"/>
                <w:szCs w:val="20"/>
                <w:color w:val="auto"/>
              </w:rPr>
              <w:t>(576)</w:t>
            </w:r>
          </w:p>
        </w:tc>
        <w:tc>
          <w:tcPr>
            <w:tcW w:w="220" w:type="dxa"/>
            <w:vAlign w:val="bottom"/>
            <w:shd w:val="clear" w:color="auto" w:fill="FDFDFD"/>
          </w:tcPr>
          <w:p>
            <w:pPr>
              <w:spacing w:after="0"/>
              <w:rPr>
                <w:sz w:val="19"/>
                <w:szCs w:val="19"/>
                <w:color w:val="auto"/>
              </w:rPr>
            </w:pPr>
          </w:p>
        </w:tc>
        <w:tc>
          <w:tcPr>
            <w:tcW w:w="138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(2,930)</w:t>
            </w:r>
          </w:p>
        </w:tc>
        <w:tc>
          <w:tcPr>
            <w:tcW w:w="0" w:type="dxa"/>
            <w:vAlign w:val="bottom"/>
          </w:tcPr>
          <w:p>
            <w:pPr>
              <w:spacing w:after="0"/>
              <w:rPr>
                <w:sz w:val="1"/>
                <w:szCs w:val="1"/>
                <w:color w:val="auto"/>
              </w:rPr>
            </w:pPr>
          </w:p>
        </w:tc>
      </w:tr>
      <w:tr>
        <w:trPr>
          <w:trHeight w:val="220"/>
        </w:trPr>
        <w:tc>
          <w:tcPr>
            <w:tcW w:w="502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Total assets acquired and liabilities assumed</w:t>
            </w:r>
          </w:p>
        </w:tc>
        <w:tc>
          <w:tcPr>
            <w:tcW w:w="160" w:type="dxa"/>
            <w:vAlign w:val="bottom"/>
            <w:tcBorders>
              <w:top w:val="single" w:sz="8" w:color="E3E3E3"/>
            </w:tcBorders>
            <w:shd w:val="clear" w:color="auto" w:fill="E3E3E3"/>
          </w:tcPr>
          <w:p>
            <w:pPr>
              <w:spacing w:after="0"/>
              <w:rPr>
                <w:sz w:val="19"/>
                <w:szCs w:val="19"/>
                <w:color w:val="auto"/>
              </w:rPr>
            </w:pPr>
          </w:p>
        </w:tc>
        <w:tc>
          <w:tcPr>
            <w:tcW w:w="160" w:type="dxa"/>
            <w:vAlign w:val="bottom"/>
            <w:tcBorders>
              <w:top w:val="single" w:sz="8" w:color="auto"/>
            </w:tcBorders>
            <w:shd w:val="clear" w:color="auto" w:fill="E3E3E3"/>
          </w:tcPr>
          <w:p>
            <w:pPr>
              <w:spacing w:after="0"/>
              <w:rPr>
                <w:sz w:val="19"/>
                <w:szCs w:val="19"/>
                <w:color w:val="auto"/>
              </w:rPr>
            </w:pPr>
          </w:p>
        </w:tc>
        <w:tc>
          <w:tcPr>
            <w:tcW w:w="132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17,430</w:t>
            </w:r>
          </w:p>
        </w:tc>
        <w:tc>
          <w:tcPr>
            <w:tcW w:w="260" w:type="dxa"/>
            <w:vAlign w:val="bottom"/>
            <w:tcBorders>
              <w:top w:val="single" w:sz="8" w:color="E3E3E3"/>
            </w:tcBorders>
            <w:shd w:val="clear" w:color="auto" w:fill="E3E3E3"/>
          </w:tcPr>
          <w:p>
            <w:pPr>
              <w:spacing w:after="0"/>
              <w:rPr>
                <w:sz w:val="19"/>
                <w:szCs w:val="19"/>
                <w:color w:val="auto"/>
              </w:rPr>
            </w:pPr>
          </w:p>
        </w:tc>
        <w:tc>
          <w:tcPr>
            <w:tcW w:w="200" w:type="dxa"/>
            <w:vAlign w:val="bottom"/>
            <w:tcBorders>
              <w:top w:val="single" w:sz="8" w:color="auto"/>
            </w:tcBorders>
            <w:shd w:val="clear" w:color="auto" w:fill="E3E3E3"/>
          </w:tcPr>
          <w:p>
            <w:pPr>
              <w:spacing w:after="0"/>
              <w:rPr>
                <w:sz w:val="19"/>
                <w:szCs w:val="19"/>
                <w:color w:val="auto"/>
              </w:rPr>
            </w:pPr>
          </w:p>
        </w:tc>
        <w:tc>
          <w:tcPr>
            <w:tcW w:w="128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(1,076)</w:t>
            </w:r>
          </w:p>
        </w:tc>
        <w:tc>
          <w:tcPr>
            <w:tcW w:w="240" w:type="dxa"/>
            <w:vAlign w:val="bottom"/>
            <w:tcBorders>
              <w:top w:val="single" w:sz="8" w:color="E3E3E3"/>
            </w:tcBorders>
            <w:shd w:val="clear" w:color="auto" w:fill="E3E3E3"/>
          </w:tcPr>
          <w:p>
            <w:pPr>
              <w:spacing w:after="0"/>
              <w:rPr>
                <w:sz w:val="19"/>
                <w:szCs w:val="19"/>
                <w:color w:val="auto"/>
              </w:rPr>
            </w:pPr>
          </w:p>
        </w:tc>
        <w:tc>
          <w:tcPr>
            <w:tcW w:w="220" w:type="dxa"/>
            <w:vAlign w:val="bottom"/>
            <w:tcBorders>
              <w:top w:val="single" w:sz="8" w:color="auto"/>
            </w:tcBorders>
            <w:shd w:val="clear" w:color="auto" w:fill="E3E3E3"/>
          </w:tcPr>
          <w:p>
            <w:pPr>
              <w:spacing w:after="0"/>
              <w:rPr>
                <w:sz w:val="19"/>
                <w:szCs w:val="19"/>
                <w:color w:val="auto"/>
              </w:rPr>
            </w:pPr>
          </w:p>
        </w:tc>
        <w:tc>
          <w:tcPr>
            <w:tcW w:w="128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16,354</w:t>
            </w:r>
          </w:p>
        </w:tc>
        <w:tc>
          <w:tcPr>
            <w:tcW w:w="100" w:type="dxa"/>
            <w:vAlign w:val="bottom"/>
            <w:tcBorders>
              <w:top w:val="single" w:sz="8" w:color="E3E3E3"/>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Goodwill</w:t>
            </w:r>
          </w:p>
        </w:tc>
        <w:tc>
          <w:tcPr>
            <w:tcW w:w="160" w:type="dxa"/>
            <w:vAlign w:val="bottom"/>
            <w:tcBorders>
              <w:bottom w:val="single" w:sz="8" w:color="E3E3E3"/>
            </w:tcBorders>
            <w:shd w:val="clear" w:color="auto" w:fill="FDFDFD"/>
          </w:tcPr>
          <w:p>
            <w:pPr>
              <w:spacing w:after="0"/>
              <w:rPr>
                <w:sz w:val="19"/>
                <w:szCs w:val="19"/>
                <w:color w:val="auto"/>
              </w:rPr>
            </w:pPr>
          </w:p>
        </w:tc>
        <w:tc>
          <w:tcPr>
            <w:tcW w:w="160" w:type="dxa"/>
            <w:vAlign w:val="bottom"/>
            <w:tcBorders>
              <w:bottom w:val="single" w:sz="8" w:color="auto"/>
            </w:tcBorders>
            <w:shd w:val="clear" w:color="auto" w:fill="FDFDFD"/>
          </w:tcPr>
          <w:p>
            <w:pPr>
              <w:spacing w:after="0"/>
              <w:rPr>
                <w:sz w:val="19"/>
                <w:szCs w:val="19"/>
                <w:color w:val="auto"/>
              </w:rPr>
            </w:pPr>
          </w:p>
        </w:tc>
        <w:tc>
          <w:tcPr>
            <w:tcW w:w="132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36,652</w:t>
            </w:r>
          </w:p>
        </w:tc>
        <w:tc>
          <w:tcPr>
            <w:tcW w:w="260" w:type="dxa"/>
            <w:vAlign w:val="bottom"/>
            <w:tcBorders>
              <w:bottom w:val="single" w:sz="8" w:color="E3E3E3"/>
            </w:tcBorders>
            <w:shd w:val="clear" w:color="auto" w:fill="FDFDFD"/>
          </w:tcPr>
          <w:p>
            <w:pPr>
              <w:spacing w:after="0"/>
              <w:rPr>
                <w:sz w:val="19"/>
                <w:szCs w:val="19"/>
                <w:color w:val="auto"/>
              </w:rPr>
            </w:pPr>
          </w:p>
        </w:tc>
        <w:tc>
          <w:tcPr>
            <w:tcW w:w="200" w:type="dxa"/>
            <w:vAlign w:val="bottom"/>
            <w:tcBorders>
              <w:bottom w:val="single" w:sz="8" w:color="auto"/>
            </w:tcBorders>
            <w:shd w:val="clear" w:color="auto" w:fill="FDFDFD"/>
          </w:tcPr>
          <w:p>
            <w:pPr>
              <w:spacing w:after="0"/>
              <w:rPr>
                <w:sz w:val="19"/>
                <w:szCs w:val="19"/>
                <w:color w:val="auto"/>
              </w:rPr>
            </w:pPr>
          </w:p>
        </w:tc>
        <w:tc>
          <w:tcPr>
            <w:tcW w:w="128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1,095</w:t>
            </w:r>
          </w:p>
        </w:tc>
        <w:tc>
          <w:tcPr>
            <w:tcW w:w="240" w:type="dxa"/>
            <w:vAlign w:val="bottom"/>
            <w:tcBorders>
              <w:bottom w:val="single" w:sz="8" w:color="E3E3E3"/>
            </w:tcBorders>
            <w:shd w:val="clear" w:color="auto" w:fill="FDFDFD"/>
          </w:tcPr>
          <w:p>
            <w:pPr>
              <w:spacing w:after="0"/>
              <w:rPr>
                <w:sz w:val="19"/>
                <w:szCs w:val="19"/>
                <w:color w:val="auto"/>
              </w:rPr>
            </w:pPr>
          </w:p>
        </w:tc>
        <w:tc>
          <w:tcPr>
            <w:tcW w:w="220" w:type="dxa"/>
            <w:vAlign w:val="bottom"/>
            <w:tcBorders>
              <w:bottom w:val="single" w:sz="8" w:color="auto"/>
            </w:tcBorders>
            <w:shd w:val="clear" w:color="auto" w:fill="FDFDFD"/>
          </w:tcPr>
          <w:p>
            <w:pPr>
              <w:spacing w:after="0"/>
              <w:rPr>
                <w:sz w:val="19"/>
                <w:szCs w:val="19"/>
                <w:color w:val="auto"/>
              </w:rPr>
            </w:pPr>
          </w:p>
        </w:tc>
        <w:tc>
          <w:tcPr>
            <w:tcW w:w="128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37,747</w:t>
            </w:r>
          </w:p>
        </w:tc>
        <w:tc>
          <w:tcPr>
            <w:tcW w:w="100" w:type="dxa"/>
            <w:vAlign w:val="bottom"/>
            <w:tcBorders>
              <w:bottom w:val="single" w:sz="8" w:color="E3E3E3"/>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E3E3E3"/>
          </w:tcPr>
          <w:p>
            <w:pPr>
              <w:ind w:left="300"/>
              <w:spacing w:after="0" w:line="220" w:lineRule="exact"/>
              <w:rPr>
                <w:sz w:val="20"/>
                <w:szCs w:val="20"/>
                <w:color w:val="auto"/>
              </w:rPr>
            </w:pPr>
            <w:r>
              <w:rPr>
                <w:rFonts w:ascii="Times New Roman" w:cs="Times New Roman" w:eastAsia="Times New Roman" w:hAnsi="Times New Roman"/>
                <w:sz w:val="20"/>
                <w:szCs w:val="20"/>
                <w:color w:val="auto"/>
              </w:rPr>
              <w:t>Purchase price</w:t>
            </w:r>
          </w:p>
        </w:tc>
        <w:tc>
          <w:tcPr>
            <w:tcW w:w="160" w:type="dxa"/>
            <w:vAlign w:val="bottom"/>
            <w:shd w:val="clear" w:color="auto" w:fill="E3E3E3"/>
          </w:tcPr>
          <w:p>
            <w:pPr>
              <w:spacing w:after="0"/>
              <w:rPr>
                <w:sz w:val="19"/>
                <w:szCs w:val="19"/>
                <w:color w:val="auto"/>
              </w:rPr>
            </w:pPr>
          </w:p>
        </w:tc>
        <w:tc>
          <w:tcPr>
            <w:tcW w:w="1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54,082</w:t>
            </w:r>
          </w:p>
        </w:tc>
        <w:tc>
          <w:tcPr>
            <w:tcW w:w="260" w:type="dxa"/>
            <w:vAlign w:val="bottom"/>
            <w:shd w:val="clear" w:color="auto" w:fill="E3E3E3"/>
          </w:tcPr>
          <w:p>
            <w:pPr>
              <w:spacing w:after="0"/>
              <w:rPr>
                <w:sz w:val="19"/>
                <w:szCs w:val="19"/>
                <w:color w:val="auto"/>
              </w:rPr>
            </w:pPr>
          </w:p>
        </w:tc>
        <w:tc>
          <w:tcPr>
            <w:tcW w:w="200" w:type="dxa"/>
            <w:vAlign w:val="bottom"/>
            <w:tcBorders>
              <w:bottom w:val="single" w:sz="8" w:color="auto"/>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19</w:t>
            </w:r>
          </w:p>
        </w:tc>
        <w:tc>
          <w:tcPr>
            <w:tcW w:w="240" w:type="dxa"/>
            <w:vAlign w:val="bottom"/>
            <w:shd w:val="clear" w:color="auto" w:fill="E3E3E3"/>
          </w:tcPr>
          <w:p>
            <w:pPr>
              <w:spacing w:after="0"/>
              <w:rPr>
                <w:sz w:val="19"/>
                <w:szCs w:val="19"/>
                <w:color w:val="auto"/>
              </w:rPr>
            </w:pPr>
          </w:p>
        </w:tc>
        <w:tc>
          <w:tcPr>
            <w:tcW w:w="220" w:type="dxa"/>
            <w:vAlign w:val="bottom"/>
            <w:tcBorders>
              <w:bottom w:val="single" w:sz="8" w:color="auto"/>
            </w:tcBorders>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54,101</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As a result of the Populi acquisition, the Company recorded goodwill, developed software, customer relationships, and tradename of $37.7 million, $21.4 million, $0.8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single reporting unit.</w:t>
      </w:r>
    </w:p>
    <w:p>
      <w:pPr>
        <w:spacing w:after="0" w:line="77"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The developed software represents Populi’s proprietary solutions that are designed to assist organizations in optimizing physician relationships, reducing network leakage, and expanding market share. The Company used the income approach, specifically the multi-period excess earnings method, to determine the value of developed software. Significant assumptions include an obsolescence factor, tax rate, and discount rate. The developed software was valued at $21.4 million and is amortized using the economic value method, which represents the pattern of cash flows over the estimated 7-year life of this asset.</w:t>
      </w:r>
    </w:p>
    <w:p>
      <w:pPr>
        <w:sectPr>
          <w:pgSz w:w="11880" w:h="15480" w:orient="portrait"/>
          <w:cols w:equalWidth="0" w:num="1">
            <w:col w:w="10240"/>
          </w:cols>
          <w:pgMar w:left="820" w:top="808" w:right="8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1880" w:h="15480" w:orient="portrait"/>
          <w:cols w:equalWidth="0" w:num="1">
            <w:col w:w="10240"/>
          </w:cols>
          <w:pgMar w:left="820" w:top="808" w:right="820" w:bottom="8" w:gutter="0" w:footer="0" w:header="0"/>
          <w:type w:val="continuous"/>
        </w:sectPr>
      </w:pPr>
    </w:p>
    <w:bookmarkStart w:id="113" w:name="page114"/>
    <w:bookmarkEnd w:id="113"/>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$0.8 million and is amortized using the straight-line method over the estimated remaining useful life of 15 years.</w:t>
      </w:r>
    </w:p>
    <w:p>
      <w:pPr>
        <w:spacing w:after="0" w:line="77" w:lineRule="exact"/>
        <w:rPr>
          <w:sz w:val="20"/>
          <w:szCs w:val="20"/>
          <w:color w:val="auto"/>
        </w:rPr>
      </w:pPr>
    </w:p>
    <w:p>
      <w:pPr>
        <w:ind w:right="200" w:firstLine="490"/>
        <w:spacing w:after="0" w:line="253" w:lineRule="auto"/>
        <w:rPr>
          <w:sz w:val="20"/>
          <w:szCs w:val="20"/>
          <w:color w:val="auto"/>
        </w:rPr>
      </w:pPr>
      <w:r>
        <w:rPr>
          <w:rFonts w:ascii="Times New Roman" w:cs="Times New Roman" w:eastAsia="Times New Roman" w:hAnsi="Times New Roman"/>
          <w:sz w:val="20"/>
          <w:szCs w:val="20"/>
          <w:color w:val="auto"/>
        </w:rPr>
        <w:t>The tradename represents the estimated fair value of the registered trade name associated with the Populi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1 year.</w:t>
      </w:r>
    </w:p>
    <w:p>
      <w:pPr>
        <w:spacing w:after="0" w:line="70" w:lineRule="exact"/>
        <w:rPr>
          <w:sz w:val="20"/>
          <w:szCs w:val="20"/>
          <w:color w:val="auto"/>
        </w:rPr>
      </w:pPr>
    </w:p>
    <w:p>
      <w:pPr>
        <w:jc w:val="both"/>
        <w:ind w:right="20" w:firstLine="490"/>
        <w:spacing w:after="0" w:line="259" w:lineRule="auto"/>
        <w:rPr>
          <w:sz w:val="20"/>
          <w:szCs w:val="20"/>
          <w:color w:val="auto"/>
        </w:rPr>
      </w:pPr>
      <w:r>
        <w:rPr>
          <w:rFonts w:ascii="Times New Roman" w:cs="Times New Roman" w:eastAsia="Times New Roman" w:hAnsi="Times New Roman"/>
          <w:sz w:val="20"/>
          <w:szCs w:val="20"/>
          <w:color w:val="auto"/>
        </w:rPr>
        <w:t xml:space="preserve">In total, intangible assets acquired in the Populi acquisition are estimated to be amortized over a weighted average period of 7.2 years. See Note 9. </w:t>
      </w:r>
      <w:r>
        <w:rPr>
          <w:rFonts w:ascii="Times New Roman" w:cs="Times New Roman" w:eastAsia="Times New Roman" w:hAnsi="Times New Roman"/>
          <w:sz w:val="20"/>
          <w:szCs w:val="20"/>
          <w:i w:val="1"/>
          <w:iCs w:val="1"/>
          <w:color w:val="auto"/>
        </w:rPr>
        <w:t>Goodwill and Intangible Assets</w:t>
      </w:r>
      <w:r>
        <w:rPr>
          <w:rFonts w:ascii="Times New Roman" w:cs="Times New Roman" w:eastAsia="Times New Roman" w:hAnsi="Times New Roman"/>
          <w:sz w:val="20"/>
          <w:szCs w:val="20"/>
          <w:color w:val="auto"/>
        </w:rPr>
        <w:t xml:space="preserve"> for the estimated total intangible amortization expense during the next five years and thereafter.</w:t>
      </w:r>
    </w:p>
    <w:p>
      <w:pPr>
        <w:spacing w:after="0" w:line="65" w:lineRule="exact"/>
        <w:rPr>
          <w:sz w:val="20"/>
          <w:szCs w:val="20"/>
          <w:color w:val="auto"/>
        </w:rPr>
      </w:pPr>
    </w:p>
    <w:p>
      <w:pPr>
        <w:jc w:val="both"/>
        <w:ind w:right="180" w:firstLine="490"/>
        <w:spacing w:after="0" w:line="259" w:lineRule="auto"/>
        <w:rPr>
          <w:sz w:val="20"/>
          <w:szCs w:val="20"/>
          <w:color w:val="auto"/>
        </w:rPr>
      </w:pPr>
      <w:r>
        <w:rPr>
          <w:rFonts w:ascii="Times New Roman" w:cs="Times New Roman" w:eastAsia="Times New Roman" w:hAnsi="Times New Roman"/>
          <w:sz w:val="20"/>
          <w:szCs w:val="20"/>
          <w:color w:val="auto"/>
        </w:rPr>
        <w:t>In connection with the acquisition, the Company recognized acquisition related costs of $2.3 million and $5.1 million, which were recorded within transaction, integration, and restructuring expenses in the accompanying consolidated statements of operations for the years ended December 31, 2024 and 2023, respectively.</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Unaudited Pro Forma Supplementary Data as if the transaction had occurred on January 1, 2022:</w:t>
      </w:r>
    </w:p>
    <w:p>
      <w:pPr>
        <w:spacing w:after="0" w:line="246"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6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1640" w:type="dxa"/>
            <w:vAlign w:val="bottom"/>
            <w:shd w:val="clear" w:color="auto" w:fill="FDFDFD"/>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12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80" w:type="dxa"/>
            <w:vAlign w:val="bottom"/>
            <w:shd w:val="clear" w:color="auto" w:fill="FDFDFD"/>
          </w:tcPr>
          <w:p>
            <w:pPr>
              <w:spacing w:after="0"/>
              <w:rPr>
                <w:sz w:val="17"/>
                <w:szCs w:val="17"/>
                <w:color w:val="auto"/>
              </w:rPr>
            </w:pPr>
          </w:p>
        </w:tc>
        <w:tc>
          <w:tcPr>
            <w:tcW w:w="1640" w:type="dxa"/>
            <w:vAlign w:val="bottom"/>
            <w:shd w:val="clear" w:color="auto" w:fill="FDFDFD"/>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2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FDFDFD"/>
            </w:tcBorders>
            <w:shd w:val="clear" w:color="auto" w:fill="FDFDFD"/>
          </w:tcPr>
          <w:p>
            <w:pPr>
              <w:spacing w:after="0"/>
              <w:rPr>
                <w:sz w:val="17"/>
                <w:szCs w:val="17"/>
                <w:color w:val="auto"/>
              </w:rPr>
            </w:pPr>
          </w:p>
        </w:tc>
        <w:tc>
          <w:tcPr>
            <w:tcW w:w="180" w:type="dxa"/>
            <w:vAlign w:val="bottom"/>
            <w:tcBorders>
              <w:bottom w:val="single" w:sz="8" w:color="auto"/>
            </w:tcBorders>
            <w:shd w:val="clear" w:color="auto" w:fill="FDFDFD"/>
          </w:tcPr>
          <w:p>
            <w:pPr>
              <w:spacing w:after="0"/>
              <w:rPr>
                <w:sz w:val="17"/>
                <w:szCs w:val="17"/>
                <w:color w:val="auto"/>
              </w:rPr>
            </w:pPr>
          </w:p>
        </w:tc>
        <w:tc>
          <w:tcPr>
            <w:tcW w:w="1640" w:type="dxa"/>
            <w:vAlign w:val="bottom"/>
            <w:tcBorders>
              <w:bottom w:val="single" w:sz="8" w:color="auto"/>
            </w:tcBorders>
            <w:shd w:val="clear" w:color="auto" w:fill="FDFDFD"/>
          </w:tcPr>
          <w:p>
            <w:pPr>
              <w:spacing w:after="0"/>
              <w:rPr>
                <w:sz w:val="17"/>
                <w:szCs w:val="17"/>
                <w:color w:val="auto"/>
              </w:rPr>
            </w:pPr>
          </w:p>
        </w:tc>
        <w:tc>
          <w:tcPr>
            <w:tcW w:w="8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120" w:type="dxa"/>
            <w:vAlign w:val="bottom"/>
            <w:vMerge w:val="continue"/>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16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Revenue</w:t>
            </w:r>
          </w:p>
        </w:tc>
        <w:tc>
          <w:tcPr>
            <w:tcW w:w="140" w:type="dxa"/>
            <w:vAlign w:val="bottom"/>
            <w:shd w:val="clear" w:color="auto" w:fill="E3E3E3"/>
          </w:tcPr>
          <w:p>
            <w:pPr>
              <w:spacing w:after="0"/>
              <w:rPr>
                <w:sz w:val="21"/>
                <w:szCs w:val="21"/>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255,629</w:t>
            </w: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Net loss</w:t>
            </w:r>
          </w:p>
        </w:tc>
        <w:tc>
          <w:tcPr>
            <w:tcW w:w="140" w:type="dxa"/>
            <w:vAlign w:val="bottom"/>
            <w:shd w:val="clear" w:color="auto" w:fill="FDFDFD"/>
          </w:tcPr>
          <w:p>
            <w:pPr>
              <w:spacing w:after="0"/>
              <w:rPr>
                <w:sz w:val="21"/>
                <w:szCs w:val="21"/>
                <w:color w:val="auto"/>
              </w:rPr>
            </w:pPr>
          </w:p>
        </w:tc>
        <w:tc>
          <w:tcPr>
            <w:tcW w:w="180" w:type="dxa"/>
            <w:vAlign w:val="bottom"/>
            <w:shd w:val="clear" w:color="auto" w:fill="FDFDFD"/>
          </w:tcPr>
          <w:p>
            <w:pPr>
              <w:spacing w:after="0"/>
              <w:rPr>
                <w:sz w:val="21"/>
                <w:szCs w:val="21"/>
                <w:color w:val="auto"/>
              </w:rPr>
            </w:pPr>
          </w:p>
        </w:tc>
        <w:tc>
          <w:tcPr>
            <w:tcW w:w="17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(294,232)</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These pro forma results have been prepared for comparative purposes only and do not purport to be indicative of the operating results of the Company that would have been achieved had the acquisition actually taken place on January 1, 2022.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Analytical Wizards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On December 22, 2021, Definitive Healthcare, LLC (“DH, LLC”), an indirect wholly owned subsidiary of Definitive Healthcare Corp. made a $40.0 million investment in Analytical Wizards Inc. (“AW” or “Analytical Wizards”), a privately held company. Analytical Wizards automates complex analytic models using tools that expedite efficient big data mining through A.I. to uncover deep insights. In the transaction the Company purchased Series B Convertible Preferred Stock of AW (“Series B Preferred Stock”), representing 35% ownership of AW, and an option to acquire the remaining 65% ownership (the “Purchase Option”) for $65.0 million. As of December 31, 2021, the Company determined it did not have a controlling financial interest in AW at transaction close as the Company did not have the right to control the governing body of AW or have control through other contractual rights. At December 31, 2021, because the Series B Preferred Stock and the Purchase Option did not have readily determinable fair values, the Company elected to apply the measurement alternative and adjust the carrying value of the investments in AW for impairments and observable prices in identical or similar equity securities of AW. The Company paid $40.0 million for the Series B Preferred Stock and Purchase Option, which was allocated on a relative fair value basis such that the Series B Preferred Stock and Purchase Option had carrying values of $32.7 million and $7.3 million at the time of the transaction, respectively.</w:t>
      </w:r>
    </w:p>
    <w:p>
      <w:pPr>
        <w:spacing w:after="0" w:line="83"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In February 2022, the Company completed the purchase of the remaining 65% of AW’s equity for $65.0 million, net of cash acquired and an estimated working capital adjustment and other customary purchase price adjustments (the “AW acquisition”). The Company’s previously held investment and Purchase Option were remeasured at fair value as of the date the Purchase Option was exercised. The remeasurement had an immaterial impact on the consolidated statements of operations for the three months ended March 31, 2022. The Company has included the financial results of Analytical Wizards in the consolidated financial statements from February 18, 2022, the date of acquisition.</w:t>
      </w:r>
    </w:p>
    <w:p>
      <w:pPr>
        <w:spacing w:after="0" w:line="80" w:lineRule="exact"/>
        <w:rPr>
          <w:sz w:val="20"/>
          <w:szCs w:val="20"/>
          <w:color w:val="auto"/>
        </w:rPr>
      </w:pPr>
    </w:p>
    <w:p>
      <w:pPr>
        <w:ind w:right="260" w:firstLine="490"/>
        <w:spacing w:after="0" w:line="247" w:lineRule="auto"/>
        <w:rPr>
          <w:sz w:val="20"/>
          <w:szCs w:val="20"/>
          <w:color w:val="auto"/>
        </w:rPr>
      </w:pPr>
      <w:r>
        <w:rPr>
          <w:rFonts w:ascii="Times New Roman" w:cs="Times New Roman" w:eastAsia="Times New Roman" w:hAnsi="Times New Roman"/>
          <w:sz w:val="20"/>
          <w:szCs w:val="20"/>
          <w:color w:val="auto"/>
        </w:rPr>
        <w:t>Upon the consummation of the acquisition, AW became an indirect wholly owned subsidiary of Definitive Healthcare Corp. The total consideration for the initial investment and subsequent exercise of the Purchase Option was $99.4 million, consisting of $40.0 million for the initial investment paid in December 2021, approximately $58.6 million of cash paid at closing, $0.2 million reimbursement from sellers for working capital adjustments, and up to $5.0 million of contingent consideration, initially valued at $1.0 million. The contingent consideration, which relates to earn-out payments that may be paid out, subject to meeting certain expense control metrics during the two-year period following the closing of the AW</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F-22</w:t>
      </w:r>
    </w:p>
    <w:p>
      <w:pPr>
        <w:sectPr>
          <w:pgSz w:w="11880" w:h="15480" w:orient="portrait"/>
          <w:cols w:equalWidth="0" w:num="1">
            <w:col w:w="10220"/>
          </w:cols>
          <w:pgMar w:left="820" w:top="806" w:right="840" w:bottom="0" w:gutter="0" w:footer="0" w:header="0"/>
        </w:sectPr>
      </w:pPr>
    </w:p>
    <w:bookmarkStart w:id="114" w:name="page115"/>
    <w:bookmarkEnd w:id="114"/>
    <w:p>
      <w:pPr>
        <w:ind w:right="280"/>
        <w:spacing w:after="0" w:line="253" w:lineRule="auto"/>
        <w:rPr>
          <w:sz w:val="20"/>
          <w:szCs w:val="20"/>
          <w:color w:val="auto"/>
        </w:rPr>
      </w:pPr>
      <w:r>
        <w:rPr>
          <w:rFonts w:ascii="Times New Roman" w:cs="Times New Roman" w:eastAsia="Times New Roman" w:hAnsi="Times New Roman"/>
          <w:sz w:val="20"/>
          <w:szCs w:val="20"/>
          <w:color w:val="auto"/>
        </w:rPr>
        <w:t>acquisition, had an estimated fair value of $1.0 million as of the acquisition date. Pursuant to the Stock Purchase Agreement governing the AW acquisition, $10.0 million of the consideration was deposited into an escrow account to secure certain indemnification claims of DH, LLC. The assets acquired and liabilities assumed were recorded at their estimated fair values and the results of operations were included in the Company’s consolidated results as of the acquisition date.</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consideration transferred for the transaction is summarized as follows:</w:t>
      </w:r>
    </w:p>
    <w:p>
      <w:pPr>
        <w:spacing w:after="0" w:line="261" w:lineRule="exact"/>
        <w:rPr>
          <w:sz w:val="20"/>
          <w:szCs w:val="20"/>
          <w:color w:val="auto"/>
        </w:rPr>
      </w:pPr>
    </w:p>
    <w:tbl>
      <w:tblPr>
        <w:tblLayout w:type="fixed"/>
        <w:tblInd w:w="520" w:type="dxa"/>
        <w:tblCellMar>
          <w:top w:w="0" w:type="dxa"/>
          <w:left w:w="0" w:type="dxa"/>
          <w:bottom w:w="0" w:type="dxa"/>
          <w:right w:w="0" w:type="dxa"/>
        </w:tblCellMar>
      </w:tblPr>
      <w:tr>
        <w:trPr>
          <w:trHeight w:val="269"/>
        </w:trPr>
        <w:tc>
          <w:tcPr>
            <w:tcW w:w="754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shd w:val="clear" w:color="auto" w:fill="FDFDFD"/>
          </w:tcPr>
          <w:p>
            <w:pPr>
              <w:spacing w:after="0"/>
              <w:rPr>
                <w:sz w:val="23"/>
                <w:szCs w:val="23"/>
                <w:color w:val="auto"/>
              </w:rPr>
            </w:pPr>
          </w:p>
        </w:tc>
        <w:tc>
          <w:tcPr>
            <w:tcW w:w="500" w:type="dxa"/>
            <w:vAlign w:val="bottom"/>
            <w:shd w:val="clear" w:color="auto" w:fill="FDFDFD"/>
          </w:tcPr>
          <w:p>
            <w:pPr>
              <w:spacing w:after="0"/>
              <w:rPr>
                <w:sz w:val="23"/>
                <w:szCs w:val="23"/>
                <w:color w:val="auto"/>
              </w:rPr>
            </w:pPr>
          </w:p>
        </w:tc>
        <w:tc>
          <w:tcPr>
            <w:tcW w:w="960" w:type="dxa"/>
            <w:vAlign w:val="bottom"/>
            <w:shd w:val="clear" w:color="auto" w:fill="FDFDFD"/>
          </w:tcPr>
          <w:p>
            <w:pPr>
              <w:spacing w:after="0"/>
              <w:rPr>
                <w:sz w:val="23"/>
                <w:szCs w:val="23"/>
                <w:color w:val="auto"/>
              </w:rPr>
            </w:pPr>
          </w:p>
        </w:tc>
        <w:tc>
          <w:tcPr>
            <w:tcW w:w="100" w:type="dxa"/>
            <w:vAlign w:val="bottom"/>
            <w:shd w:val="clear" w:color="auto" w:fill="FDFDFD"/>
          </w:tcPr>
          <w:p>
            <w:pPr>
              <w:spacing w:after="0"/>
              <w:rPr>
                <w:sz w:val="23"/>
                <w:szCs w:val="23"/>
                <w:color w:val="auto"/>
              </w:rPr>
            </w:pPr>
          </w:p>
        </w:tc>
      </w:tr>
      <w:tr>
        <w:trPr>
          <w:trHeight w:val="230"/>
        </w:trPr>
        <w:tc>
          <w:tcPr>
            <w:tcW w:w="75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Initial cash investment in December 2021</w:t>
            </w:r>
          </w:p>
        </w:tc>
        <w:tc>
          <w:tcPr>
            <w:tcW w:w="60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40,000</w:t>
            </w:r>
          </w:p>
        </w:tc>
        <w:tc>
          <w:tcPr>
            <w:tcW w:w="100" w:type="dxa"/>
            <w:vAlign w:val="bottom"/>
            <w:shd w:val="clear" w:color="auto" w:fill="E3E3E3"/>
          </w:tcPr>
          <w:p>
            <w:pPr>
              <w:spacing w:after="0"/>
              <w:rPr>
                <w:sz w:val="19"/>
                <w:szCs w:val="19"/>
                <w:color w:val="auto"/>
              </w:rPr>
            </w:pPr>
          </w:p>
        </w:tc>
      </w:tr>
      <w:tr>
        <w:trPr>
          <w:trHeight w:val="230"/>
        </w:trPr>
        <w:tc>
          <w:tcPr>
            <w:tcW w:w="75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Cash consideration paid at closing</w:t>
            </w:r>
          </w:p>
        </w:tc>
        <w:tc>
          <w:tcPr>
            <w:tcW w:w="100" w:type="dxa"/>
            <w:vAlign w:val="bottom"/>
            <w:shd w:val="clear" w:color="auto" w:fill="FDFDFD"/>
          </w:tcPr>
          <w:p>
            <w:pPr>
              <w:spacing w:after="0"/>
              <w:rPr>
                <w:sz w:val="19"/>
                <w:szCs w:val="19"/>
                <w:color w:val="auto"/>
              </w:rPr>
            </w:pPr>
          </w:p>
        </w:tc>
        <w:tc>
          <w:tcPr>
            <w:tcW w:w="500" w:type="dxa"/>
            <w:vAlign w:val="bottom"/>
            <w:shd w:val="clear" w:color="auto" w:fill="FDFDFD"/>
          </w:tcPr>
          <w:p>
            <w:pPr>
              <w:spacing w:after="0"/>
              <w:rPr>
                <w:sz w:val="19"/>
                <w:szCs w:val="19"/>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58,645</w:t>
            </w:r>
          </w:p>
        </w:tc>
        <w:tc>
          <w:tcPr>
            <w:tcW w:w="100" w:type="dxa"/>
            <w:vAlign w:val="bottom"/>
            <w:shd w:val="clear" w:color="auto" w:fill="FDFDFD"/>
          </w:tcPr>
          <w:p>
            <w:pPr>
              <w:spacing w:after="0"/>
              <w:rPr>
                <w:sz w:val="19"/>
                <w:szCs w:val="19"/>
                <w:color w:val="auto"/>
              </w:rPr>
            </w:pPr>
          </w:p>
        </w:tc>
      </w:tr>
      <w:tr>
        <w:trPr>
          <w:trHeight w:val="230"/>
        </w:trPr>
        <w:tc>
          <w:tcPr>
            <w:tcW w:w="75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Working capital adjustment</w:t>
            </w:r>
          </w:p>
        </w:tc>
        <w:tc>
          <w:tcPr>
            <w:tcW w:w="100" w:type="dxa"/>
            <w:vAlign w:val="bottom"/>
            <w:shd w:val="clear" w:color="auto" w:fill="E3E3E3"/>
          </w:tcPr>
          <w:p>
            <w:pPr>
              <w:spacing w:after="0"/>
              <w:rPr>
                <w:sz w:val="19"/>
                <w:szCs w:val="19"/>
                <w:color w:val="auto"/>
              </w:rPr>
            </w:pPr>
          </w:p>
        </w:tc>
        <w:tc>
          <w:tcPr>
            <w:tcW w:w="500" w:type="dxa"/>
            <w:vAlign w:val="bottom"/>
            <w:shd w:val="clear" w:color="auto" w:fill="E3E3E3"/>
          </w:tcPr>
          <w:p>
            <w:pPr>
              <w:spacing w:after="0"/>
              <w:rPr>
                <w:sz w:val="19"/>
                <w:szCs w:val="19"/>
                <w:color w:val="auto"/>
              </w:rPr>
            </w:pPr>
          </w:p>
        </w:tc>
        <w:tc>
          <w:tcPr>
            <w:tcW w:w="10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(202)</w:t>
            </w:r>
          </w:p>
        </w:tc>
      </w:tr>
      <w:tr>
        <w:trPr>
          <w:trHeight w:val="230"/>
        </w:trPr>
        <w:tc>
          <w:tcPr>
            <w:tcW w:w="754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Contingent consideration</w:t>
            </w:r>
          </w:p>
        </w:tc>
        <w:tc>
          <w:tcPr>
            <w:tcW w:w="100" w:type="dxa"/>
            <w:vAlign w:val="bottom"/>
            <w:tcBorders>
              <w:bottom w:val="single" w:sz="8" w:color="E3E3E3"/>
            </w:tcBorders>
            <w:shd w:val="clear" w:color="auto" w:fill="FDFDFD"/>
          </w:tcPr>
          <w:p>
            <w:pPr>
              <w:spacing w:after="0"/>
              <w:rPr>
                <w:sz w:val="19"/>
                <w:szCs w:val="19"/>
                <w:color w:val="auto"/>
              </w:rPr>
            </w:pPr>
          </w:p>
        </w:tc>
        <w:tc>
          <w:tcPr>
            <w:tcW w:w="500" w:type="dxa"/>
            <w:vAlign w:val="bottom"/>
            <w:tcBorders>
              <w:bottom w:val="single" w:sz="8" w:color="auto"/>
            </w:tcBorders>
            <w:shd w:val="clear" w:color="auto" w:fill="FDFDFD"/>
          </w:tcPr>
          <w:p>
            <w:pPr>
              <w:spacing w:after="0"/>
              <w:rPr>
                <w:sz w:val="19"/>
                <w:szCs w:val="19"/>
                <w:color w:val="auto"/>
              </w:rPr>
            </w:pPr>
          </w:p>
        </w:tc>
        <w:tc>
          <w:tcPr>
            <w:tcW w:w="9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7540" w:type="dxa"/>
            <w:vAlign w:val="bottom"/>
            <w:shd w:val="clear" w:color="auto" w:fill="E3E3E3"/>
          </w:tcPr>
          <w:p>
            <w:pPr>
              <w:ind w:left="400"/>
              <w:spacing w:after="0" w:line="220" w:lineRule="exact"/>
              <w:rPr>
                <w:sz w:val="20"/>
                <w:szCs w:val="20"/>
                <w:color w:val="auto"/>
              </w:rPr>
            </w:pPr>
            <w:r>
              <w:rPr>
                <w:rFonts w:ascii="Times New Roman" w:cs="Times New Roman" w:eastAsia="Times New Roman" w:hAnsi="Times New Roman"/>
                <w:sz w:val="20"/>
                <w:szCs w:val="20"/>
                <w:color w:val="auto"/>
              </w:rPr>
              <w:t>Purchase price</w:t>
            </w:r>
          </w:p>
        </w:tc>
        <w:tc>
          <w:tcPr>
            <w:tcW w:w="100" w:type="dxa"/>
            <w:vAlign w:val="bottom"/>
            <w:shd w:val="clear" w:color="auto" w:fill="E3E3E3"/>
          </w:tcPr>
          <w:p>
            <w:pPr>
              <w:spacing w:after="0"/>
              <w:rPr>
                <w:sz w:val="19"/>
                <w:szCs w:val="19"/>
                <w:color w:val="auto"/>
              </w:rPr>
            </w:pPr>
          </w:p>
        </w:tc>
        <w:tc>
          <w:tcPr>
            <w:tcW w:w="500" w:type="dxa"/>
            <w:vAlign w:val="bottom"/>
            <w:tcBorders>
              <w:bottom w:val="single" w:sz="8" w:color="auto"/>
            </w:tcBorders>
            <w:shd w:val="clear" w:color="auto" w:fill="E3E3E3"/>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99,443</w:t>
            </w:r>
          </w:p>
        </w:tc>
        <w:tc>
          <w:tcPr>
            <w:tcW w:w="100" w:type="dxa"/>
            <w:vAlign w:val="bottom"/>
            <w:shd w:val="clear" w:color="auto" w:fill="E3E3E3"/>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 xml:space="preserve">The contingent consideration was based on the achievement of certain expense control metrics during the two-year period following the acquisition date, with potential earn-out payouts ranging from $0 to $5.0 million. The Company estimated the fair value of the contingent consideration to be $1.0 million as of February 18, 2022, based on the estimated achievement of the expense control metrics and time to payment. The contingent consideration was recorded in accrued expenses and other current liabilities in the accompanying consolidated balance sheet as of December 31, 2023. Refer to Note 12. </w:t>
      </w:r>
      <w:r>
        <w:rPr>
          <w:rFonts w:ascii="Times New Roman" w:cs="Times New Roman" w:eastAsia="Times New Roman" w:hAnsi="Times New Roman"/>
          <w:sz w:val="20"/>
          <w:szCs w:val="20"/>
          <w:i w:val="1"/>
          <w:iCs w:val="1"/>
          <w:color w:val="auto"/>
        </w:rPr>
        <w:t>Fair Value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Measurements </w:t>
      </w:r>
      <w:r>
        <w:rPr>
          <w:rFonts w:ascii="Times New Roman" w:cs="Times New Roman" w:eastAsia="Times New Roman" w:hAnsi="Times New Roman"/>
          <w:sz w:val="20"/>
          <w:szCs w:val="20"/>
          <w:color w:val="auto"/>
        </w:rPr>
        <w:t>for updates to the fair value of this contingent consideration subsequent to the acquisition date.</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finalized the purchase price allocations of the AW acquisition during the first quarter of 2023.</w:t>
      </w:r>
    </w:p>
    <w:p>
      <w:pPr>
        <w:spacing w:after="0"/>
        <w:rPr>
          <w:sz w:val="20"/>
          <w:szCs w:val="20"/>
          <w:color w:val="auto"/>
        </w:rPr>
      </w:pPr>
      <w:r>
        <w:rPr>
          <w:rFonts w:ascii="Times New Roman" w:cs="Times New Roman" w:eastAsia="Times New Roman" w:hAnsi="Times New Roman"/>
          <w:sz w:val="20"/>
          <w:szCs w:val="20"/>
          <w:color w:val="auto"/>
        </w:rPr>
        <w:t>Acquisition-date fair values of assets and liabilities pertaining to this business combination have been allocated as follows: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456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440" w:type="dxa"/>
            <w:vAlign w:val="bottom"/>
            <w:gridSpan w:val="2"/>
            <w:shd w:val="clear" w:color="auto" w:fill="FDFDFD"/>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Preliminary, as</w:t>
            </w:r>
          </w:p>
        </w:tc>
        <w:tc>
          <w:tcPr>
            <w:tcW w:w="160" w:type="dxa"/>
            <w:vAlign w:val="bottom"/>
            <w:shd w:val="clear" w:color="auto" w:fill="FDFDFD"/>
          </w:tcPr>
          <w:p>
            <w:pPr>
              <w:spacing w:after="0"/>
              <w:rPr>
                <w:sz w:val="16"/>
                <w:szCs w:val="16"/>
                <w:color w:val="auto"/>
              </w:rPr>
            </w:pPr>
          </w:p>
        </w:tc>
        <w:tc>
          <w:tcPr>
            <w:tcW w:w="1420" w:type="dxa"/>
            <w:vAlign w:val="bottom"/>
            <w:gridSpan w:val="2"/>
            <w:shd w:val="clear" w:color="auto" w:fill="FDFDFD"/>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Measurement</w:t>
            </w:r>
          </w:p>
        </w:tc>
        <w:tc>
          <w:tcPr>
            <w:tcW w:w="200" w:type="dxa"/>
            <w:vAlign w:val="bottom"/>
            <w:shd w:val="clear" w:color="auto" w:fill="FDFDFD"/>
          </w:tcPr>
          <w:p>
            <w:pPr>
              <w:spacing w:after="0"/>
              <w:rPr>
                <w:sz w:val="16"/>
                <w:szCs w:val="16"/>
                <w:color w:val="auto"/>
              </w:rPr>
            </w:pPr>
          </w:p>
        </w:tc>
        <w:tc>
          <w:tcPr>
            <w:tcW w:w="11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r>
      <w:tr>
        <w:trPr>
          <w:trHeight w:val="204"/>
        </w:trPr>
        <w:tc>
          <w:tcPr>
            <w:tcW w:w="456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auto"/>
              </w:rPr>
              <w:t>Purchase price allocation:</w:t>
            </w:r>
          </w:p>
        </w:tc>
        <w:tc>
          <w:tcPr>
            <w:tcW w:w="140" w:type="dxa"/>
            <w:vAlign w:val="bottom"/>
            <w:shd w:val="clear" w:color="auto" w:fill="FDFDFD"/>
          </w:tcPr>
          <w:p>
            <w:pPr>
              <w:spacing w:after="0"/>
              <w:rPr>
                <w:sz w:val="17"/>
                <w:szCs w:val="17"/>
                <w:color w:val="auto"/>
              </w:rPr>
            </w:pPr>
          </w:p>
        </w:tc>
        <w:tc>
          <w:tcPr>
            <w:tcW w:w="1580" w:type="dxa"/>
            <w:vAlign w:val="bottom"/>
            <w:gridSpan w:val="3"/>
            <w:shd w:val="clear" w:color="auto" w:fill="FDFDFD"/>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originally reported</w:t>
            </w:r>
          </w:p>
        </w:tc>
        <w:tc>
          <w:tcPr>
            <w:tcW w:w="1580" w:type="dxa"/>
            <w:vAlign w:val="bottom"/>
            <w:gridSpan w:val="3"/>
            <w:shd w:val="clear" w:color="auto" w:fill="FDFDFD"/>
          </w:tcPr>
          <w:p>
            <w:pPr>
              <w:ind w:left="20"/>
              <w:spacing w:after="0"/>
              <w:rPr>
                <w:sz w:val="20"/>
                <w:szCs w:val="20"/>
                <w:color w:val="auto"/>
              </w:rPr>
            </w:pPr>
            <w:r>
              <w:rPr>
                <w:rFonts w:ascii="Times New Roman" w:cs="Times New Roman" w:eastAsia="Times New Roman" w:hAnsi="Times New Roman"/>
                <w:sz w:val="16"/>
                <w:szCs w:val="16"/>
                <w:b w:val="1"/>
                <w:bCs w:val="1"/>
                <w:color w:val="auto"/>
              </w:rPr>
              <w:t>period adjustments</w:t>
            </w:r>
          </w:p>
        </w:tc>
        <w:tc>
          <w:tcPr>
            <w:tcW w:w="200" w:type="dxa"/>
            <w:vAlign w:val="bottom"/>
            <w:shd w:val="clear" w:color="auto" w:fill="FDFDFD"/>
          </w:tcPr>
          <w:p>
            <w:pPr>
              <w:spacing w:after="0"/>
              <w:rPr>
                <w:sz w:val="17"/>
                <w:szCs w:val="17"/>
                <w:color w:val="auto"/>
              </w:rPr>
            </w:pPr>
          </w:p>
        </w:tc>
        <w:tc>
          <w:tcPr>
            <w:tcW w:w="1260" w:type="dxa"/>
            <w:vAlign w:val="bottom"/>
            <w:gridSpan w:val="2"/>
            <w:shd w:val="clear" w:color="auto" w:fill="FDFDFD"/>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220"/>
        </w:trPr>
        <w:tc>
          <w:tcPr>
            <w:tcW w:w="456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Cash</w:t>
            </w:r>
          </w:p>
        </w:tc>
        <w:tc>
          <w:tcPr>
            <w:tcW w:w="140" w:type="dxa"/>
            <w:vAlign w:val="bottom"/>
            <w:tcBorders>
              <w:top w:val="single" w:sz="8" w:color="E3E3E3"/>
            </w:tcBorders>
            <w:shd w:val="clear" w:color="auto" w:fill="E3E3E3"/>
          </w:tcPr>
          <w:p>
            <w:pPr>
              <w:spacing w:after="0"/>
              <w:rPr>
                <w:sz w:val="19"/>
                <w:szCs w:val="19"/>
                <w:color w:val="auto"/>
              </w:rPr>
            </w:pPr>
          </w:p>
        </w:tc>
        <w:tc>
          <w:tcPr>
            <w:tcW w:w="14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2,146</w:t>
            </w:r>
          </w:p>
        </w:tc>
        <w:tc>
          <w:tcPr>
            <w:tcW w:w="220" w:type="dxa"/>
            <w:vAlign w:val="bottom"/>
            <w:tcBorders>
              <w:top w:val="single" w:sz="8" w:color="E3E3E3"/>
            </w:tcBorders>
            <w:shd w:val="clear" w:color="auto" w:fill="E3E3E3"/>
          </w:tcPr>
          <w:p>
            <w:pPr>
              <w:spacing w:after="0"/>
              <w:rPr>
                <w:sz w:val="19"/>
                <w:szCs w:val="19"/>
                <w:color w:val="auto"/>
              </w:rPr>
            </w:pPr>
          </w:p>
        </w:tc>
        <w:tc>
          <w:tcPr>
            <w:tcW w:w="160" w:type="dxa"/>
            <w:vAlign w:val="bottom"/>
            <w:tcBorders>
              <w:top w:val="single" w:sz="8" w:color="auto"/>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E3E3E3"/>
            </w:tcBorders>
            <w:shd w:val="clear" w:color="auto" w:fill="E3E3E3"/>
          </w:tcPr>
          <w:p>
            <w:pPr>
              <w:spacing w:after="0"/>
              <w:rPr>
                <w:sz w:val="19"/>
                <w:szCs w:val="19"/>
                <w:color w:val="auto"/>
              </w:rPr>
            </w:pPr>
          </w:p>
        </w:tc>
        <w:tc>
          <w:tcPr>
            <w:tcW w:w="20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2,146</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45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14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3,575</w:t>
            </w:r>
          </w:p>
        </w:tc>
        <w:tc>
          <w:tcPr>
            <w:tcW w:w="22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12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2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3,525</w:t>
            </w:r>
          </w:p>
        </w:tc>
        <w:tc>
          <w:tcPr>
            <w:tcW w:w="100" w:type="dxa"/>
            <w:vAlign w:val="bottom"/>
            <w:shd w:val="clear" w:color="auto" w:fill="FDFDFD"/>
          </w:tcPr>
          <w:p>
            <w:pPr>
              <w:spacing w:after="0"/>
              <w:rPr>
                <w:sz w:val="19"/>
                <w:szCs w:val="19"/>
                <w:color w:val="auto"/>
              </w:rPr>
            </w:pPr>
          </w:p>
        </w:tc>
      </w:tr>
      <w:tr>
        <w:trPr>
          <w:trHeight w:val="230"/>
        </w:trPr>
        <w:tc>
          <w:tcPr>
            <w:tcW w:w="45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4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2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2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806</w:t>
            </w:r>
          </w:p>
        </w:tc>
        <w:tc>
          <w:tcPr>
            <w:tcW w:w="100" w:type="dxa"/>
            <w:vAlign w:val="bottom"/>
            <w:shd w:val="clear" w:color="auto" w:fill="E3E3E3"/>
          </w:tcPr>
          <w:p>
            <w:pPr>
              <w:spacing w:after="0"/>
              <w:rPr>
                <w:sz w:val="19"/>
                <w:szCs w:val="19"/>
                <w:color w:val="auto"/>
              </w:rPr>
            </w:pPr>
          </w:p>
        </w:tc>
      </w:tr>
      <w:tr>
        <w:trPr>
          <w:trHeight w:val="230"/>
        </w:trPr>
        <w:tc>
          <w:tcPr>
            <w:tcW w:w="45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14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22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1420" w:type="dxa"/>
            <w:vAlign w:val="bottom"/>
            <w:gridSpan w:val="2"/>
            <w:shd w:val="clear" w:color="auto" w:fill="FDFDF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00" w:type="dxa"/>
            <w:vAlign w:val="bottom"/>
            <w:shd w:val="clear" w:color="auto" w:fill="FDFDFD"/>
          </w:tcPr>
          <w:p>
            <w:pPr>
              <w:spacing w:after="0"/>
              <w:rPr>
                <w:sz w:val="19"/>
                <w:szCs w:val="19"/>
                <w:color w:val="auto"/>
              </w:rPr>
            </w:pPr>
          </w:p>
        </w:tc>
      </w:tr>
      <w:tr>
        <w:trPr>
          <w:trHeight w:val="230"/>
        </w:trPr>
        <w:tc>
          <w:tcPr>
            <w:tcW w:w="45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Intangible assets</w:t>
            </w:r>
          </w:p>
        </w:tc>
        <w:tc>
          <w:tcPr>
            <w:tcW w:w="14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46,000</w:t>
            </w:r>
          </w:p>
        </w:tc>
        <w:tc>
          <w:tcPr>
            <w:tcW w:w="2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420" w:type="dxa"/>
            <w:vAlign w:val="bottom"/>
            <w:gridSpan w:val="2"/>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3E3E3"/>
          </w:tcPr>
          <w:p>
            <w:pPr>
              <w:spacing w:after="0"/>
              <w:rPr>
                <w:sz w:val="19"/>
                <w:szCs w:val="19"/>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46,000</w:t>
            </w:r>
          </w:p>
        </w:tc>
        <w:tc>
          <w:tcPr>
            <w:tcW w:w="100" w:type="dxa"/>
            <w:vAlign w:val="bottom"/>
            <w:shd w:val="clear" w:color="auto" w:fill="E3E3E3"/>
          </w:tcPr>
          <w:p>
            <w:pPr>
              <w:spacing w:after="0"/>
              <w:rPr>
                <w:sz w:val="19"/>
                <w:szCs w:val="19"/>
                <w:color w:val="auto"/>
              </w:rPr>
            </w:pPr>
          </w:p>
        </w:tc>
      </w:tr>
      <w:tr>
        <w:trPr>
          <w:trHeight w:val="230"/>
        </w:trPr>
        <w:tc>
          <w:tcPr>
            <w:tcW w:w="45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Right-of-use asset, operating leases</w:t>
            </w:r>
          </w:p>
        </w:tc>
        <w:tc>
          <w:tcPr>
            <w:tcW w:w="14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22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1420" w:type="dxa"/>
            <w:vAlign w:val="bottom"/>
            <w:gridSpan w:val="2"/>
            <w:shd w:val="clear" w:color="auto" w:fill="FDFDF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100" w:type="dxa"/>
            <w:vAlign w:val="bottom"/>
            <w:shd w:val="clear" w:color="auto" w:fill="FDFDFD"/>
          </w:tcPr>
          <w:p>
            <w:pPr>
              <w:spacing w:after="0"/>
              <w:rPr>
                <w:sz w:val="19"/>
                <w:szCs w:val="19"/>
                <w:color w:val="auto"/>
              </w:rPr>
            </w:pPr>
          </w:p>
        </w:tc>
      </w:tr>
      <w:tr>
        <w:trPr>
          <w:trHeight w:val="230"/>
        </w:trPr>
        <w:tc>
          <w:tcPr>
            <w:tcW w:w="45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4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440" w:type="dxa"/>
            <w:vAlign w:val="bottom"/>
            <w:gridSpan w:val="2"/>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3E3E3"/>
          </w:tcPr>
          <w:p>
            <w:pPr>
              <w:spacing w:after="0"/>
              <w:rPr>
                <w:sz w:val="19"/>
                <w:szCs w:val="19"/>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703</w:t>
            </w:r>
          </w:p>
        </w:tc>
        <w:tc>
          <w:tcPr>
            <w:tcW w:w="2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703</w:t>
            </w:r>
          </w:p>
        </w:tc>
        <w:tc>
          <w:tcPr>
            <w:tcW w:w="100" w:type="dxa"/>
            <w:vAlign w:val="bottom"/>
            <w:shd w:val="clear" w:color="auto" w:fill="E3E3E3"/>
          </w:tcPr>
          <w:p>
            <w:pPr>
              <w:spacing w:after="0"/>
              <w:rPr>
                <w:sz w:val="19"/>
                <w:szCs w:val="19"/>
                <w:color w:val="auto"/>
              </w:rPr>
            </w:pPr>
          </w:p>
        </w:tc>
      </w:tr>
      <w:tr>
        <w:trPr>
          <w:trHeight w:val="230"/>
        </w:trPr>
        <w:tc>
          <w:tcPr>
            <w:tcW w:w="45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14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44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20"/>
                <w:szCs w:val="20"/>
                <w:color w:val="auto"/>
              </w:rPr>
              <w:t>(485)</w:t>
            </w:r>
          </w:p>
        </w:tc>
        <w:tc>
          <w:tcPr>
            <w:tcW w:w="160" w:type="dxa"/>
            <w:vAlign w:val="bottom"/>
            <w:shd w:val="clear" w:color="auto" w:fill="FDFDFD"/>
          </w:tcPr>
          <w:p>
            <w:pPr>
              <w:spacing w:after="0"/>
              <w:rPr>
                <w:sz w:val="19"/>
                <w:szCs w:val="19"/>
                <w:color w:val="auto"/>
              </w:rPr>
            </w:pPr>
          </w:p>
        </w:tc>
        <w:tc>
          <w:tcPr>
            <w:tcW w:w="14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20"/>
                <w:szCs w:val="20"/>
                <w:color w:val="auto"/>
              </w:rPr>
              <w:t>(502)</w:t>
            </w:r>
          </w:p>
        </w:tc>
        <w:tc>
          <w:tcPr>
            <w:tcW w:w="200" w:type="dxa"/>
            <w:vAlign w:val="bottom"/>
            <w:shd w:val="clear" w:color="auto" w:fill="FDFDFD"/>
          </w:tcPr>
          <w:p>
            <w:pPr>
              <w:spacing w:after="0"/>
              <w:rPr>
                <w:sz w:val="19"/>
                <w:szCs w:val="19"/>
                <w:color w:val="auto"/>
              </w:rPr>
            </w:pPr>
          </w:p>
        </w:tc>
        <w:tc>
          <w:tcPr>
            <w:tcW w:w="12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(987)</w:t>
            </w:r>
          </w:p>
        </w:tc>
      </w:tr>
      <w:tr>
        <w:trPr>
          <w:trHeight w:val="230"/>
        </w:trPr>
        <w:tc>
          <w:tcPr>
            <w:tcW w:w="45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14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44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(3,691)</w:t>
            </w:r>
          </w:p>
        </w:tc>
        <w:tc>
          <w:tcPr>
            <w:tcW w:w="160" w:type="dxa"/>
            <w:vAlign w:val="bottom"/>
            <w:shd w:val="clear" w:color="auto" w:fill="E3E3E3"/>
          </w:tcPr>
          <w:p>
            <w:pPr>
              <w:spacing w:after="0"/>
              <w:rPr>
                <w:sz w:val="19"/>
                <w:szCs w:val="19"/>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2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2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(3,365)</w:t>
            </w:r>
          </w:p>
        </w:tc>
      </w:tr>
      <w:tr>
        <w:trPr>
          <w:trHeight w:val="230"/>
        </w:trPr>
        <w:tc>
          <w:tcPr>
            <w:tcW w:w="45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Right-of-use liability, operating leases</w:t>
            </w:r>
          </w:p>
        </w:tc>
        <w:tc>
          <w:tcPr>
            <w:tcW w:w="14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44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20"/>
                <w:szCs w:val="20"/>
                <w:color w:val="auto"/>
              </w:rPr>
              <w:t>(832)</w:t>
            </w:r>
          </w:p>
        </w:tc>
        <w:tc>
          <w:tcPr>
            <w:tcW w:w="160" w:type="dxa"/>
            <w:vAlign w:val="bottom"/>
            <w:shd w:val="clear" w:color="auto" w:fill="FDFDFD"/>
          </w:tcPr>
          <w:p>
            <w:pPr>
              <w:spacing w:after="0"/>
              <w:rPr>
                <w:sz w:val="19"/>
                <w:szCs w:val="19"/>
                <w:color w:val="auto"/>
              </w:rPr>
            </w:pPr>
          </w:p>
        </w:tc>
        <w:tc>
          <w:tcPr>
            <w:tcW w:w="1420" w:type="dxa"/>
            <w:vAlign w:val="bottom"/>
            <w:gridSpan w:val="2"/>
            <w:shd w:val="clear" w:color="auto" w:fill="FDFDF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FDFDFD"/>
          </w:tcPr>
          <w:p>
            <w:pPr>
              <w:spacing w:after="0"/>
              <w:rPr>
                <w:sz w:val="19"/>
                <w:szCs w:val="19"/>
                <w:color w:val="auto"/>
              </w:rPr>
            </w:pPr>
          </w:p>
        </w:tc>
        <w:tc>
          <w:tcPr>
            <w:tcW w:w="12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(832)</w:t>
            </w:r>
          </w:p>
        </w:tc>
      </w:tr>
      <w:tr>
        <w:trPr>
          <w:trHeight w:val="230"/>
        </w:trPr>
        <w:tc>
          <w:tcPr>
            <w:tcW w:w="45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Deferred taxes</w:t>
            </w:r>
          </w:p>
        </w:tc>
        <w:tc>
          <w:tcPr>
            <w:tcW w:w="14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44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(10,345)</w:t>
            </w:r>
          </w:p>
        </w:tc>
        <w:tc>
          <w:tcPr>
            <w:tcW w:w="160" w:type="dxa"/>
            <w:vAlign w:val="bottom"/>
            <w:shd w:val="clear" w:color="auto" w:fill="E3E3E3"/>
          </w:tcPr>
          <w:p>
            <w:pPr>
              <w:spacing w:after="0"/>
              <w:rPr>
                <w:sz w:val="19"/>
                <w:szCs w:val="19"/>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2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(10,278)</w:t>
            </w:r>
          </w:p>
        </w:tc>
      </w:tr>
      <w:tr>
        <w:trPr>
          <w:trHeight w:val="230"/>
        </w:trPr>
        <w:tc>
          <w:tcPr>
            <w:tcW w:w="45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Other liabilities</w:t>
            </w:r>
          </w:p>
        </w:tc>
        <w:tc>
          <w:tcPr>
            <w:tcW w:w="14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44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20"/>
                <w:szCs w:val="20"/>
                <w:color w:val="auto"/>
              </w:rPr>
              <w:t>(267)</w:t>
            </w:r>
          </w:p>
        </w:tc>
        <w:tc>
          <w:tcPr>
            <w:tcW w:w="160" w:type="dxa"/>
            <w:vAlign w:val="bottom"/>
            <w:shd w:val="clear" w:color="auto" w:fill="FDFDFD"/>
          </w:tcPr>
          <w:p>
            <w:pPr>
              <w:spacing w:after="0"/>
              <w:rPr>
                <w:sz w:val="19"/>
                <w:szCs w:val="19"/>
                <w:color w:val="auto"/>
              </w:rPr>
            </w:pPr>
          </w:p>
        </w:tc>
        <w:tc>
          <w:tcPr>
            <w:tcW w:w="14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20"/>
                <w:szCs w:val="20"/>
                <w:color w:val="auto"/>
              </w:rPr>
              <w:t>(633)</w:t>
            </w:r>
          </w:p>
        </w:tc>
        <w:tc>
          <w:tcPr>
            <w:tcW w:w="200" w:type="dxa"/>
            <w:vAlign w:val="bottom"/>
            <w:shd w:val="clear" w:color="auto" w:fill="FDFDFD"/>
          </w:tcPr>
          <w:p>
            <w:pPr>
              <w:spacing w:after="0"/>
              <w:rPr>
                <w:sz w:val="19"/>
                <w:szCs w:val="19"/>
                <w:color w:val="auto"/>
              </w:rPr>
            </w:pPr>
          </w:p>
        </w:tc>
        <w:tc>
          <w:tcPr>
            <w:tcW w:w="12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(900)</w:t>
            </w:r>
          </w:p>
        </w:tc>
      </w:tr>
      <w:tr>
        <w:trPr>
          <w:trHeight w:val="220"/>
        </w:trPr>
        <w:tc>
          <w:tcPr>
            <w:tcW w:w="456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Total assets acquired and liabilities assumed</w:t>
            </w:r>
          </w:p>
        </w:tc>
        <w:tc>
          <w:tcPr>
            <w:tcW w:w="140" w:type="dxa"/>
            <w:vAlign w:val="bottom"/>
            <w:tcBorders>
              <w:top w:val="single" w:sz="8" w:color="E3E3E3"/>
            </w:tcBorders>
            <w:shd w:val="clear" w:color="auto" w:fill="E3E3E3"/>
          </w:tcPr>
          <w:p>
            <w:pPr>
              <w:spacing w:after="0"/>
              <w:rPr>
                <w:sz w:val="19"/>
                <w:szCs w:val="19"/>
                <w:color w:val="auto"/>
              </w:rPr>
            </w:pPr>
          </w:p>
        </w:tc>
        <w:tc>
          <w:tcPr>
            <w:tcW w:w="140" w:type="dxa"/>
            <w:vAlign w:val="bottom"/>
            <w:tcBorders>
              <w:top w:val="single" w:sz="8" w:color="auto"/>
            </w:tcBorders>
            <w:shd w:val="clear" w:color="auto" w:fill="E3E3E3"/>
          </w:tcPr>
          <w:p>
            <w:pPr>
              <w:spacing w:after="0"/>
              <w:rPr>
                <w:sz w:val="19"/>
                <w:szCs w:val="19"/>
                <w:color w:val="auto"/>
              </w:rPr>
            </w:pPr>
          </w:p>
        </w:tc>
        <w:tc>
          <w:tcPr>
            <w:tcW w:w="122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37,573</w:t>
            </w:r>
          </w:p>
        </w:tc>
        <w:tc>
          <w:tcPr>
            <w:tcW w:w="220" w:type="dxa"/>
            <w:vAlign w:val="bottom"/>
            <w:tcBorders>
              <w:top w:val="single" w:sz="8" w:color="E3E3E3"/>
            </w:tcBorders>
            <w:shd w:val="clear" w:color="auto" w:fill="E3E3E3"/>
          </w:tcPr>
          <w:p>
            <w:pPr>
              <w:spacing w:after="0"/>
              <w:rPr>
                <w:sz w:val="19"/>
                <w:szCs w:val="19"/>
                <w:color w:val="auto"/>
              </w:rPr>
            </w:pPr>
          </w:p>
        </w:tc>
        <w:tc>
          <w:tcPr>
            <w:tcW w:w="160" w:type="dxa"/>
            <w:vAlign w:val="bottom"/>
            <w:tcBorders>
              <w:top w:val="single" w:sz="8" w:color="auto"/>
            </w:tcBorders>
            <w:shd w:val="clear" w:color="auto" w:fill="E3E3E3"/>
          </w:tcPr>
          <w:p>
            <w:pPr>
              <w:spacing w:after="0"/>
              <w:rPr>
                <w:sz w:val="19"/>
                <w:szCs w:val="19"/>
                <w:color w:val="auto"/>
              </w:rPr>
            </w:pPr>
          </w:p>
        </w:tc>
        <w:tc>
          <w:tcPr>
            <w:tcW w:w="120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211</w:t>
            </w:r>
          </w:p>
        </w:tc>
        <w:tc>
          <w:tcPr>
            <w:tcW w:w="220" w:type="dxa"/>
            <w:vAlign w:val="bottom"/>
            <w:tcBorders>
              <w:top w:val="single" w:sz="8" w:color="E3E3E3"/>
            </w:tcBorders>
            <w:shd w:val="clear" w:color="auto" w:fill="E3E3E3"/>
          </w:tcPr>
          <w:p>
            <w:pPr>
              <w:spacing w:after="0"/>
              <w:rPr>
                <w:sz w:val="19"/>
                <w:szCs w:val="19"/>
                <w:color w:val="auto"/>
              </w:rPr>
            </w:pPr>
          </w:p>
        </w:tc>
        <w:tc>
          <w:tcPr>
            <w:tcW w:w="200" w:type="dxa"/>
            <w:vAlign w:val="bottom"/>
            <w:tcBorders>
              <w:top w:val="single" w:sz="8" w:color="auto"/>
            </w:tcBorders>
            <w:shd w:val="clear" w:color="auto" w:fill="E3E3E3"/>
          </w:tcPr>
          <w:p>
            <w:pPr>
              <w:spacing w:after="0"/>
              <w:rPr>
                <w:sz w:val="19"/>
                <w:szCs w:val="19"/>
                <w:color w:val="auto"/>
              </w:rPr>
            </w:pPr>
          </w:p>
        </w:tc>
        <w:tc>
          <w:tcPr>
            <w:tcW w:w="116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37,784</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456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Goodwill</w:t>
            </w:r>
          </w:p>
        </w:tc>
        <w:tc>
          <w:tcPr>
            <w:tcW w:w="140" w:type="dxa"/>
            <w:vAlign w:val="bottom"/>
            <w:tcBorders>
              <w:bottom w:val="single" w:sz="8" w:color="E3E3E3"/>
            </w:tcBorders>
            <w:shd w:val="clear" w:color="auto" w:fill="FDFDFD"/>
          </w:tcPr>
          <w:p>
            <w:pPr>
              <w:spacing w:after="0"/>
              <w:rPr>
                <w:sz w:val="19"/>
                <w:szCs w:val="19"/>
                <w:color w:val="auto"/>
              </w:rPr>
            </w:pPr>
          </w:p>
        </w:tc>
        <w:tc>
          <w:tcPr>
            <w:tcW w:w="140" w:type="dxa"/>
            <w:vAlign w:val="bottom"/>
            <w:tcBorders>
              <w:bottom w:val="single" w:sz="8" w:color="auto"/>
            </w:tcBorders>
            <w:shd w:val="clear" w:color="auto" w:fill="FDFDFD"/>
          </w:tcPr>
          <w:p>
            <w:pPr>
              <w:spacing w:after="0"/>
              <w:rPr>
                <w:sz w:val="19"/>
                <w:szCs w:val="19"/>
                <w:color w:val="auto"/>
              </w:rPr>
            </w:pPr>
          </w:p>
        </w:tc>
        <w:tc>
          <w:tcPr>
            <w:tcW w:w="122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62,072</w:t>
            </w:r>
          </w:p>
        </w:tc>
        <w:tc>
          <w:tcPr>
            <w:tcW w:w="220" w:type="dxa"/>
            <w:vAlign w:val="bottom"/>
            <w:tcBorders>
              <w:bottom w:val="single" w:sz="8" w:color="E3E3E3"/>
            </w:tcBorders>
            <w:shd w:val="clear" w:color="auto" w:fill="FDFDFD"/>
          </w:tcPr>
          <w:p>
            <w:pPr>
              <w:spacing w:after="0"/>
              <w:rPr>
                <w:sz w:val="19"/>
                <w:szCs w:val="19"/>
                <w:color w:val="auto"/>
              </w:rPr>
            </w:pPr>
          </w:p>
        </w:tc>
        <w:tc>
          <w:tcPr>
            <w:tcW w:w="160" w:type="dxa"/>
            <w:vAlign w:val="bottom"/>
            <w:tcBorders>
              <w:bottom w:val="single" w:sz="8" w:color="auto"/>
            </w:tcBorders>
            <w:shd w:val="clear" w:color="auto" w:fill="FDFDFD"/>
          </w:tcPr>
          <w:p>
            <w:pPr>
              <w:spacing w:after="0"/>
              <w:rPr>
                <w:sz w:val="19"/>
                <w:szCs w:val="19"/>
                <w:color w:val="auto"/>
              </w:rPr>
            </w:pPr>
          </w:p>
        </w:tc>
        <w:tc>
          <w:tcPr>
            <w:tcW w:w="12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220" w:type="dxa"/>
            <w:vAlign w:val="bottom"/>
            <w:tcBorders>
              <w:bottom w:val="single" w:sz="8" w:color="E3E3E3"/>
            </w:tcBorders>
            <w:shd w:val="clear" w:color="auto" w:fill="FDFDFD"/>
          </w:tcPr>
          <w:p>
            <w:pPr>
              <w:spacing w:after="0"/>
              <w:rPr>
                <w:sz w:val="19"/>
                <w:szCs w:val="19"/>
                <w:color w:val="auto"/>
              </w:rPr>
            </w:pPr>
          </w:p>
        </w:tc>
        <w:tc>
          <w:tcPr>
            <w:tcW w:w="200" w:type="dxa"/>
            <w:vAlign w:val="bottom"/>
            <w:tcBorders>
              <w:bottom w:val="single" w:sz="8" w:color="auto"/>
            </w:tcBorders>
            <w:shd w:val="clear" w:color="auto" w:fill="FDFDFD"/>
          </w:tcPr>
          <w:p>
            <w:pPr>
              <w:spacing w:after="0"/>
              <w:rPr>
                <w:sz w:val="19"/>
                <w:szCs w:val="19"/>
                <w:color w:val="auto"/>
              </w:rPr>
            </w:pPr>
          </w:p>
        </w:tc>
        <w:tc>
          <w:tcPr>
            <w:tcW w:w="11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61,659</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4560" w:type="dxa"/>
            <w:vAlign w:val="bottom"/>
            <w:shd w:val="clear" w:color="auto" w:fill="E3E3E3"/>
          </w:tcPr>
          <w:p>
            <w:pPr>
              <w:ind w:left="300"/>
              <w:spacing w:after="0" w:line="220" w:lineRule="exact"/>
              <w:rPr>
                <w:sz w:val="20"/>
                <w:szCs w:val="20"/>
                <w:color w:val="auto"/>
              </w:rPr>
            </w:pPr>
            <w:r>
              <w:rPr>
                <w:rFonts w:ascii="Times New Roman" w:cs="Times New Roman" w:eastAsia="Times New Roman" w:hAnsi="Times New Roman"/>
                <w:sz w:val="20"/>
                <w:szCs w:val="20"/>
                <w:color w:val="auto"/>
              </w:rPr>
              <w:t>Purchase price</w:t>
            </w:r>
          </w:p>
        </w:tc>
        <w:tc>
          <w:tcPr>
            <w:tcW w:w="140" w:type="dxa"/>
            <w:vAlign w:val="bottom"/>
            <w:shd w:val="clear" w:color="auto" w:fill="E3E3E3"/>
          </w:tcPr>
          <w:p>
            <w:pPr>
              <w:spacing w:after="0"/>
              <w:rPr>
                <w:sz w:val="19"/>
                <w:szCs w:val="19"/>
                <w:color w:val="auto"/>
              </w:rPr>
            </w:pPr>
          </w:p>
        </w:tc>
        <w:tc>
          <w:tcPr>
            <w:tcW w:w="14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99,645</w:t>
            </w:r>
          </w:p>
        </w:tc>
        <w:tc>
          <w:tcPr>
            <w:tcW w:w="220" w:type="dxa"/>
            <w:vAlign w:val="bottom"/>
            <w:shd w:val="clear" w:color="auto" w:fill="E3E3E3"/>
          </w:tcPr>
          <w:p>
            <w:pPr>
              <w:spacing w:after="0"/>
              <w:rPr>
                <w:sz w:val="19"/>
                <w:szCs w:val="19"/>
                <w:color w:val="auto"/>
              </w:rPr>
            </w:pPr>
          </w:p>
        </w:tc>
        <w:tc>
          <w:tcPr>
            <w:tcW w:w="160" w:type="dxa"/>
            <w:vAlign w:val="bottom"/>
            <w:tcBorders>
              <w:bottom w:val="single" w:sz="8" w:color="auto"/>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(202)</w:t>
            </w:r>
          </w:p>
        </w:tc>
        <w:tc>
          <w:tcPr>
            <w:tcW w:w="220" w:type="dxa"/>
            <w:vAlign w:val="bottom"/>
            <w:shd w:val="clear" w:color="auto" w:fill="E3E3E3"/>
          </w:tcPr>
          <w:p>
            <w:pPr>
              <w:spacing w:after="0"/>
              <w:rPr>
                <w:sz w:val="19"/>
                <w:szCs w:val="19"/>
                <w:color w:val="auto"/>
              </w:rPr>
            </w:pPr>
          </w:p>
        </w:tc>
        <w:tc>
          <w:tcPr>
            <w:tcW w:w="2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99,443</w:t>
            </w:r>
          </w:p>
        </w:tc>
        <w:tc>
          <w:tcPr>
            <w:tcW w:w="100" w:type="dxa"/>
            <w:vAlign w:val="bottom"/>
            <w:shd w:val="clear" w:color="auto" w:fill="E3E3E3"/>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As a result of the AW acquisition, the Company recorded goodwill, customer relationships, developed software, and tradename of $61.7 million, $39.4 million, $6.1 million, and $0.5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single reporting unit.</w:t>
      </w:r>
    </w:p>
    <w:p>
      <w:pPr>
        <w:spacing w:after="0" w:line="7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$39.4 million and is amortized using the annual pattern of cash flows (economic value method) over the estimated 20-year life of this asset.</w:t>
      </w:r>
    </w:p>
    <w:p>
      <w:pPr>
        <w:spacing w:after="0" w:line="7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developed software represents AW’s two modules. Passport Promotional Analytics helps customers to optimize internal investment and business management by focusing on driving incremental efficiencies in sales, cost management, profit optimization, and productive gains. Passport Planning and Performance helps customers to analyze large data sets in order to proactively predict business outcomes. The Company used the income approach, specifically the relief-from-royalty method, to determine the value of developed software. Significant assumptions include forecast of royalty rate, tax rate, and discount rate. The developed software was valued at $6.1 million and is amortized using the straight-line method over the estimated remaining useful life of 6 years.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F-23</w:t>
      </w:r>
    </w:p>
    <w:p>
      <w:pPr>
        <w:sectPr>
          <w:pgSz w:w="11880" w:h="15480" w:orient="portrait"/>
          <w:cols w:equalWidth="0" w:num="1">
            <w:col w:w="10220"/>
          </w:cols>
          <w:pgMar w:left="820" w:top="806" w:right="840" w:bottom="0" w:gutter="0" w:footer="0" w:header="0"/>
        </w:sectPr>
      </w:pPr>
    </w:p>
    <w:bookmarkStart w:id="115" w:name="page116"/>
    <w:bookmarkEnd w:id="115"/>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The tradename represents the estimated fair value of the registered trade name associated with the AW corporate brand. The Company estimated the fair value of the trademark using a relief from royalty method of the income approach. Significant assumptions include forecast of royalty rate, tax rate, and discount rate. The trademark was valued at $0.5 million and is amortized using the straight-line method over the estimated remaining useful life of 5 years.</w:t>
      </w:r>
    </w:p>
    <w:p>
      <w:pPr>
        <w:spacing w:after="0" w:line="70"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auto"/>
        </w:rPr>
        <w:t xml:space="preserve">In total, intangible assets acquired in the AW acquisition are estimated to be amortized over a weighted-average period of 18.0 years. See Note 9. </w:t>
      </w:r>
      <w:r>
        <w:rPr>
          <w:rFonts w:ascii="Times New Roman" w:cs="Times New Roman" w:eastAsia="Times New Roman" w:hAnsi="Times New Roman"/>
          <w:sz w:val="20"/>
          <w:szCs w:val="20"/>
          <w:i w:val="1"/>
          <w:iCs w:val="1"/>
          <w:color w:val="auto"/>
        </w:rPr>
        <w:t>Goodwill and Intangible Assets</w:t>
      </w:r>
      <w:r>
        <w:rPr>
          <w:rFonts w:ascii="Times New Roman" w:cs="Times New Roman" w:eastAsia="Times New Roman" w:hAnsi="Times New Roman"/>
          <w:sz w:val="20"/>
          <w:szCs w:val="20"/>
          <w:color w:val="auto"/>
        </w:rPr>
        <w:t xml:space="preserve"> for the estimated total intangible amortization expense during the next five years and thereafter.</w:t>
      </w:r>
    </w:p>
    <w:p>
      <w:pPr>
        <w:spacing w:after="0" w:line="65"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20"/>
          <w:szCs w:val="20"/>
          <w:color w:val="auto"/>
        </w:rPr>
        <w:t>In connection with the acquisition, the Company recognized acquisition related costs of $1.3 million which were recorded within transaction expenses in the accompanying consolidated statements of operations for the year ended December 31, 2022.</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Unaudited Pro Forma Supplementary Data as if the transaction had occurred on January 1, 2022:</w:t>
      </w:r>
    </w:p>
    <w:p>
      <w:pPr>
        <w:spacing w:after="0" w:line="242"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5760" w:type="dxa"/>
            <w:vAlign w:val="bottom"/>
            <w:shd w:val="clear" w:color="auto" w:fill="FDFDFD"/>
          </w:tcPr>
          <w:p>
            <w:pPr>
              <w:spacing w:after="0"/>
              <w:rPr>
                <w:sz w:val="16"/>
                <w:szCs w:val="16"/>
                <w:color w:val="auto"/>
              </w:rPr>
            </w:pPr>
          </w:p>
        </w:tc>
        <w:tc>
          <w:tcPr>
            <w:tcW w:w="28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940" w:type="dxa"/>
            <w:vAlign w:val="bottom"/>
            <w:shd w:val="clear" w:color="auto" w:fill="FDFDFD"/>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60" w:type="dxa"/>
            <w:vAlign w:val="bottom"/>
            <w:shd w:val="clear" w:color="auto" w:fill="FDFDFD"/>
          </w:tcPr>
          <w:p>
            <w:pPr>
              <w:spacing w:after="0"/>
              <w:rPr>
                <w:sz w:val="16"/>
                <w:szCs w:val="16"/>
                <w:color w:val="auto"/>
              </w:rPr>
            </w:pPr>
          </w:p>
        </w:tc>
      </w:tr>
      <w:tr>
        <w:trPr>
          <w:trHeight w:val="204"/>
        </w:trPr>
        <w:tc>
          <w:tcPr>
            <w:tcW w:w="576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80" w:type="dxa"/>
            <w:vAlign w:val="bottom"/>
            <w:tcBorders>
              <w:bottom w:val="single" w:sz="8" w:color="E3E3E3"/>
            </w:tcBorders>
            <w:shd w:val="clear" w:color="auto" w:fill="FDFDFD"/>
          </w:tcPr>
          <w:p>
            <w:pPr>
              <w:spacing w:after="0"/>
              <w:rPr>
                <w:sz w:val="17"/>
                <w:szCs w:val="17"/>
                <w:color w:val="auto"/>
              </w:rPr>
            </w:pPr>
          </w:p>
        </w:tc>
        <w:tc>
          <w:tcPr>
            <w:tcW w:w="120" w:type="dxa"/>
            <w:vAlign w:val="bottom"/>
            <w:tcBorders>
              <w:bottom w:val="single" w:sz="8" w:color="auto"/>
            </w:tcBorders>
            <w:shd w:val="clear" w:color="auto" w:fill="FDFDFD"/>
          </w:tcPr>
          <w:p>
            <w:pPr>
              <w:spacing w:after="0"/>
              <w:rPr>
                <w:sz w:val="17"/>
                <w:szCs w:val="17"/>
                <w:color w:val="auto"/>
              </w:rPr>
            </w:pPr>
          </w:p>
        </w:tc>
        <w:tc>
          <w:tcPr>
            <w:tcW w:w="1940" w:type="dxa"/>
            <w:vAlign w:val="bottom"/>
            <w:tcBorders>
              <w:bottom w:val="single" w:sz="8" w:color="auto"/>
            </w:tcBorders>
            <w:shd w:val="clear" w:color="auto" w:fill="FDFDFD"/>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E3E3E3"/>
            </w:tcBorders>
            <w:shd w:val="clear" w:color="auto" w:fill="FDFDFD"/>
          </w:tcPr>
          <w:p>
            <w:pPr>
              <w:spacing w:after="0"/>
              <w:rPr>
                <w:sz w:val="17"/>
                <w:szCs w:val="17"/>
                <w:color w:val="auto"/>
              </w:rPr>
            </w:pPr>
          </w:p>
        </w:tc>
      </w:tr>
      <w:tr>
        <w:trPr>
          <w:trHeight w:val="220"/>
        </w:trPr>
        <w:tc>
          <w:tcPr>
            <w:tcW w:w="576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Revenue</w:t>
            </w:r>
          </w:p>
        </w:tc>
        <w:tc>
          <w:tcPr>
            <w:tcW w:w="280" w:type="dxa"/>
            <w:vAlign w:val="bottom"/>
            <w:shd w:val="clear" w:color="auto" w:fill="E3E3E3"/>
          </w:tcPr>
          <w:p>
            <w:pPr>
              <w:spacing w:after="0"/>
              <w:rPr>
                <w:sz w:val="19"/>
                <w:szCs w:val="19"/>
                <w:color w:val="auto"/>
              </w:rPr>
            </w:pPr>
          </w:p>
        </w:tc>
        <w:tc>
          <w:tcPr>
            <w:tcW w:w="1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9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224,130</w:t>
            </w:r>
          </w:p>
        </w:tc>
        <w:tc>
          <w:tcPr>
            <w:tcW w:w="60" w:type="dxa"/>
            <w:vAlign w:val="bottom"/>
            <w:shd w:val="clear" w:color="auto" w:fill="E3E3E3"/>
          </w:tcPr>
          <w:p>
            <w:pPr>
              <w:spacing w:after="0"/>
              <w:rPr>
                <w:sz w:val="19"/>
                <w:szCs w:val="19"/>
                <w:color w:val="auto"/>
              </w:rPr>
            </w:pPr>
          </w:p>
        </w:tc>
      </w:tr>
      <w:tr>
        <w:trPr>
          <w:trHeight w:val="230"/>
        </w:trPr>
        <w:tc>
          <w:tcPr>
            <w:tcW w:w="57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Net loss</w:t>
            </w:r>
          </w:p>
        </w:tc>
        <w:tc>
          <w:tcPr>
            <w:tcW w:w="28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(26,443)</w:t>
            </w:r>
          </w:p>
        </w:tc>
        <w:tc>
          <w:tcPr>
            <w:tcW w:w="60" w:type="dxa"/>
            <w:vAlign w:val="bottom"/>
            <w:shd w:val="clear" w:color="auto" w:fill="FDFDFD"/>
          </w:tcPr>
          <w:p>
            <w:pPr>
              <w:spacing w:after="0"/>
              <w:rPr>
                <w:sz w:val="19"/>
                <w:szCs w:val="19"/>
                <w:color w:val="auto"/>
              </w:rPr>
            </w:pPr>
          </w:p>
        </w:tc>
      </w:tr>
    </w:tbl>
    <w:p>
      <w:pPr>
        <w:spacing w:after="0" w:line="21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These pro forma results have been prepared for comparative purposes only and do not purport to be indicative of the operating results of the Company that would have been achieved had the acquisition actually taken place on January 1, 2022.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ectPr>
          <w:pgSz w:w="11880" w:h="15480" w:orient="portrait"/>
          <w:cols w:equalWidth="0" w:num="1">
            <w:col w:w="10220"/>
          </w:cols>
          <w:pgMar w:left="820" w:top="806"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F-24</w:t>
      </w:r>
    </w:p>
    <w:p>
      <w:pPr>
        <w:sectPr>
          <w:pgSz w:w="11880" w:h="15480" w:orient="portrait"/>
          <w:cols w:equalWidth="0" w:num="1">
            <w:col w:w="10220"/>
          </w:cols>
          <w:pgMar w:left="820" w:top="806" w:right="840" w:bottom="8" w:gutter="0" w:footer="0" w:header="0"/>
          <w:type w:val="continuous"/>
        </w:sectPr>
      </w:pPr>
    </w:p>
    <w:bookmarkStart w:id="116" w:name="page117"/>
    <w:bookmarkEnd w:id="116"/>
    <w:p>
      <w:pPr>
        <w:ind w:left="500" w:hanging="492"/>
        <w:spacing w:after="0"/>
        <w:tabs>
          <w:tab w:leader="none" w:pos="50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w:t>
      </w:r>
    </w:p>
    <w:p>
      <w:pPr>
        <w:spacing w:after="0" w:line="123" w:lineRule="exact"/>
        <w:rPr>
          <w:sz w:val="20"/>
          <w:szCs w:val="20"/>
          <w:color w:val="auto"/>
        </w:rPr>
      </w:pPr>
    </w:p>
    <w:p>
      <w:pPr>
        <w:ind w:right="340" w:firstLine="490"/>
        <w:spacing w:after="0" w:line="259" w:lineRule="auto"/>
        <w:rPr>
          <w:sz w:val="20"/>
          <w:szCs w:val="20"/>
          <w:color w:val="auto"/>
        </w:rPr>
      </w:pPr>
      <w:r>
        <w:rPr>
          <w:rFonts w:ascii="Times New Roman" w:cs="Times New Roman" w:eastAsia="Times New Roman" w:hAnsi="Times New Roman"/>
          <w:sz w:val="20"/>
          <w:szCs w:val="20"/>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65" w:lineRule="exact"/>
        <w:rPr>
          <w:sz w:val="20"/>
          <w:szCs w:val="20"/>
          <w:color w:val="auto"/>
        </w:rPr>
      </w:pPr>
    </w:p>
    <w:p>
      <w:pPr>
        <w:ind w:right="560" w:firstLine="490"/>
        <w:spacing w:after="0" w:line="279" w:lineRule="auto"/>
        <w:rPr>
          <w:sz w:val="20"/>
          <w:szCs w:val="20"/>
          <w:color w:val="auto"/>
        </w:rPr>
      </w:pPr>
      <w:r>
        <w:rPr>
          <w:rFonts w:ascii="Times New Roman" w:cs="Times New Roman" w:eastAsia="Times New Roman" w:hAnsi="Times New Roman"/>
          <w:sz w:val="20"/>
          <w:szCs w:val="20"/>
          <w:color w:val="auto"/>
        </w:rPr>
        <w:t>The following table represents a disaggregation of revenue from arrangements with customers for the years ended December 31, 2024, 2023 and 2022.</w:t>
      </w:r>
    </w:p>
    <w:p>
      <w:pPr>
        <w:spacing w:after="0" w:line="167"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020" w:type="dxa"/>
            <w:vAlign w:val="bottom"/>
            <w:tcBorders>
              <w:bottom w:val="single" w:sz="8" w:color="FDFDFD"/>
            </w:tcBorders>
            <w:shd w:val="clear" w:color="auto" w:fill="FDFDFD"/>
          </w:tcPr>
          <w:p>
            <w:pPr>
              <w:spacing w:after="0"/>
              <w:rPr>
                <w:sz w:val="17"/>
                <w:szCs w:val="17"/>
                <w:color w:val="auto"/>
              </w:rPr>
            </w:pPr>
          </w:p>
        </w:tc>
        <w:tc>
          <w:tcPr>
            <w:tcW w:w="140" w:type="dxa"/>
            <w:vAlign w:val="bottom"/>
            <w:tcBorders>
              <w:bottom w:val="single" w:sz="8" w:color="FDFDFD"/>
            </w:tcBorders>
            <w:shd w:val="clear" w:color="auto" w:fill="FDFDFD"/>
          </w:tcPr>
          <w:p>
            <w:pPr>
              <w:spacing w:after="0"/>
              <w:rPr>
                <w:sz w:val="17"/>
                <w:szCs w:val="17"/>
                <w:color w:val="auto"/>
              </w:rPr>
            </w:pPr>
          </w:p>
        </w:tc>
        <w:tc>
          <w:tcPr>
            <w:tcW w:w="260" w:type="dxa"/>
            <w:vAlign w:val="bottom"/>
            <w:tcBorders>
              <w:bottom w:val="single" w:sz="8" w:color="auto"/>
            </w:tcBorders>
            <w:shd w:val="clear" w:color="auto" w:fill="FDFDFD"/>
          </w:tcPr>
          <w:p>
            <w:pPr>
              <w:spacing w:after="0"/>
              <w:rPr>
                <w:sz w:val="17"/>
                <w:szCs w:val="17"/>
                <w:color w:val="auto"/>
              </w:rPr>
            </w:pPr>
          </w:p>
        </w:tc>
        <w:tc>
          <w:tcPr>
            <w:tcW w:w="2920" w:type="dxa"/>
            <w:vAlign w:val="bottom"/>
            <w:tcBorders>
              <w:bottom w:val="single" w:sz="8" w:color="auto"/>
            </w:tcBorders>
            <w:gridSpan w:val="8"/>
            <w:shd w:val="clear" w:color="auto" w:fill="FDFDFD"/>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74"/>
        </w:trPr>
        <w:tc>
          <w:tcPr>
            <w:tcW w:w="5020" w:type="dxa"/>
            <w:vAlign w:val="bottom"/>
            <w:tcBorders>
              <w:bottom w:val="single" w:sz="8" w:color="E3E3E3"/>
            </w:tcBorders>
            <w:shd w:val="clear" w:color="auto" w:fill="FDFDFD"/>
          </w:tcPr>
          <w:p>
            <w:pPr>
              <w:spacing w:after="0" w:line="174" w:lineRule="exact"/>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E3E3E3"/>
            </w:tcBorders>
            <w:shd w:val="clear" w:color="auto" w:fill="FDFDFD"/>
          </w:tcPr>
          <w:p>
            <w:pPr>
              <w:spacing w:after="0"/>
              <w:rPr>
                <w:sz w:val="15"/>
                <w:szCs w:val="15"/>
                <w:color w:val="auto"/>
              </w:rPr>
            </w:pPr>
          </w:p>
        </w:tc>
        <w:tc>
          <w:tcPr>
            <w:tcW w:w="260" w:type="dxa"/>
            <w:vAlign w:val="bottom"/>
            <w:tcBorders>
              <w:bottom w:val="single" w:sz="8" w:color="auto"/>
            </w:tcBorders>
            <w:shd w:val="clear" w:color="auto" w:fill="FDFDFD"/>
          </w:tcPr>
          <w:p>
            <w:pPr>
              <w:spacing w:after="0"/>
              <w:rPr>
                <w:sz w:val="15"/>
                <w:szCs w:val="15"/>
                <w:color w:val="auto"/>
              </w:rPr>
            </w:pPr>
          </w:p>
        </w:tc>
        <w:tc>
          <w:tcPr>
            <w:tcW w:w="960" w:type="dxa"/>
            <w:vAlign w:val="bottom"/>
            <w:tcBorders>
              <w:bottom w:val="single" w:sz="8" w:color="auto"/>
            </w:tcBorders>
            <w:shd w:val="clear" w:color="auto" w:fill="FDFDFD"/>
          </w:tcPr>
          <w:p>
            <w:pPr>
              <w:jc w:val="right"/>
              <w:ind w:right="368"/>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3E3E3"/>
            </w:tcBorders>
            <w:shd w:val="clear" w:color="auto" w:fill="FDFDFD"/>
          </w:tcPr>
          <w:p>
            <w:pPr>
              <w:spacing w:after="0"/>
              <w:rPr>
                <w:sz w:val="15"/>
                <w:szCs w:val="15"/>
                <w:color w:val="auto"/>
              </w:rPr>
            </w:pPr>
          </w:p>
        </w:tc>
        <w:tc>
          <w:tcPr>
            <w:tcW w:w="140" w:type="dxa"/>
            <w:vAlign w:val="bottom"/>
            <w:tcBorders>
              <w:bottom w:val="single" w:sz="8" w:color="E3E3E3"/>
            </w:tcBorders>
            <w:shd w:val="clear" w:color="auto" w:fill="FDFDFD"/>
          </w:tcPr>
          <w:p>
            <w:pPr>
              <w:spacing w:after="0"/>
              <w:rPr>
                <w:sz w:val="15"/>
                <w:szCs w:val="15"/>
                <w:color w:val="auto"/>
              </w:rPr>
            </w:pPr>
          </w:p>
        </w:tc>
        <w:tc>
          <w:tcPr>
            <w:tcW w:w="260" w:type="dxa"/>
            <w:vAlign w:val="bottom"/>
            <w:tcBorders>
              <w:bottom w:val="single" w:sz="8" w:color="auto"/>
            </w:tcBorders>
            <w:shd w:val="clear" w:color="auto" w:fill="FDFDFD"/>
          </w:tcPr>
          <w:p>
            <w:pPr>
              <w:spacing w:after="0"/>
              <w:rPr>
                <w:sz w:val="15"/>
                <w:szCs w:val="15"/>
                <w:color w:val="auto"/>
              </w:rPr>
            </w:pPr>
          </w:p>
        </w:tc>
        <w:tc>
          <w:tcPr>
            <w:tcW w:w="960" w:type="dxa"/>
            <w:vAlign w:val="bottom"/>
            <w:tcBorders>
              <w:bottom w:val="single" w:sz="8" w:color="auto"/>
            </w:tcBorders>
            <w:shd w:val="clear" w:color="auto" w:fill="FDFDFD"/>
          </w:tcPr>
          <w:p>
            <w:pPr>
              <w:jc w:val="right"/>
              <w:ind w:right="365"/>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3E3E3"/>
            </w:tcBorders>
            <w:shd w:val="clear" w:color="auto" w:fill="FDFDFD"/>
          </w:tcPr>
          <w:p>
            <w:pPr>
              <w:spacing w:after="0"/>
              <w:rPr>
                <w:sz w:val="15"/>
                <w:szCs w:val="15"/>
                <w:color w:val="auto"/>
              </w:rPr>
            </w:pPr>
          </w:p>
        </w:tc>
        <w:tc>
          <w:tcPr>
            <w:tcW w:w="140" w:type="dxa"/>
            <w:vAlign w:val="bottom"/>
            <w:tcBorders>
              <w:bottom w:val="single" w:sz="8" w:color="E3E3E3"/>
            </w:tcBorders>
            <w:shd w:val="clear" w:color="auto" w:fill="FDFDFD"/>
          </w:tcPr>
          <w:p>
            <w:pPr>
              <w:spacing w:after="0"/>
              <w:rPr>
                <w:sz w:val="15"/>
                <w:szCs w:val="15"/>
                <w:color w:val="auto"/>
              </w:rPr>
            </w:pPr>
          </w:p>
        </w:tc>
        <w:tc>
          <w:tcPr>
            <w:tcW w:w="260" w:type="dxa"/>
            <w:vAlign w:val="bottom"/>
            <w:tcBorders>
              <w:bottom w:val="single" w:sz="8" w:color="auto"/>
            </w:tcBorders>
            <w:shd w:val="clear" w:color="auto" w:fill="FDFDFD"/>
          </w:tcPr>
          <w:p>
            <w:pPr>
              <w:spacing w:after="0"/>
              <w:rPr>
                <w:sz w:val="15"/>
                <w:szCs w:val="15"/>
                <w:color w:val="auto"/>
              </w:rPr>
            </w:pPr>
          </w:p>
        </w:tc>
        <w:tc>
          <w:tcPr>
            <w:tcW w:w="960" w:type="dxa"/>
            <w:vAlign w:val="bottom"/>
            <w:tcBorders>
              <w:bottom w:val="single" w:sz="8" w:color="auto"/>
            </w:tcBorders>
            <w:shd w:val="clear" w:color="auto" w:fill="FDFDFD"/>
          </w:tcPr>
          <w:p>
            <w:pPr>
              <w:jc w:val="right"/>
              <w:ind w:right="365"/>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3E3E3"/>
            </w:tcBorders>
            <w:shd w:val="clear" w:color="auto" w:fill="FDFDFD"/>
          </w:tcPr>
          <w:p>
            <w:pPr>
              <w:spacing w:after="0"/>
              <w:rPr>
                <w:sz w:val="15"/>
                <w:szCs w:val="15"/>
                <w:color w:val="auto"/>
              </w:rPr>
            </w:pPr>
          </w:p>
        </w:tc>
      </w:tr>
      <w:tr>
        <w:trPr>
          <w:trHeight w:val="220"/>
        </w:trPr>
        <w:tc>
          <w:tcPr>
            <w:tcW w:w="50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Subscription services</w:t>
            </w:r>
          </w:p>
        </w:tc>
        <w:tc>
          <w:tcPr>
            <w:tcW w:w="140" w:type="dxa"/>
            <w:vAlign w:val="bottom"/>
            <w:shd w:val="clear" w:color="auto" w:fill="E3E3E3"/>
          </w:tcPr>
          <w:p>
            <w:pPr>
              <w:spacing w:after="0"/>
              <w:rPr>
                <w:sz w:val="19"/>
                <w:szCs w:val="19"/>
                <w:color w:val="auto"/>
              </w:rPr>
            </w:pPr>
          </w:p>
        </w:tc>
        <w:tc>
          <w:tcPr>
            <w:tcW w:w="260" w:type="dxa"/>
            <w:vAlign w:val="bottom"/>
            <w:shd w:val="clear" w:color="auto" w:fill="E3E3E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244,886</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60" w:type="dxa"/>
            <w:vAlign w:val="bottom"/>
            <w:shd w:val="clear" w:color="auto" w:fill="E3E3E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243,052</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60" w:type="dxa"/>
            <w:vAlign w:val="bottom"/>
            <w:shd w:val="clear" w:color="auto" w:fill="E3E3E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217,024</w:t>
            </w:r>
          </w:p>
        </w:tc>
        <w:tc>
          <w:tcPr>
            <w:tcW w:w="100" w:type="dxa"/>
            <w:vAlign w:val="bottom"/>
            <w:shd w:val="clear" w:color="auto" w:fill="E3E3E3"/>
          </w:tcPr>
          <w:p>
            <w:pPr>
              <w:spacing w:after="0"/>
              <w:rPr>
                <w:sz w:val="19"/>
                <w:szCs w:val="19"/>
                <w:color w:val="auto"/>
              </w:rPr>
            </w:pPr>
          </w:p>
        </w:tc>
      </w:tr>
      <w:tr>
        <w:trPr>
          <w:trHeight w:val="230"/>
        </w:trPr>
        <w:tc>
          <w:tcPr>
            <w:tcW w:w="50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Professional services</w:t>
            </w:r>
          </w:p>
        </w:tc>
        <w:tc>
          <w:tcPr>
            <w:tcW w:w="140" w:type="dxa"/>
            <w:vAlign w:val="bottom"/>
            <w:tcBorders>
              <w:bottom w:val="single" w:sz="8" w:color="E3E3E3"/>
            </w:tcBorders>
            <w:shd w:val="clear" w:color="auto" w:fill="FDFDFD"/>
          </w:tcPr>
          <w:p>
            <w:pPr>
              <w:spacing w:after="0"/>
              <w:rPr>
                <w:sz w:val="19"/>
                <w:szCs w:val="19"/>
                <w:color w:val="auto"/>
              </w:rPr>
            </w:pPr>
          </w:p>
        </w:tc>
        <w:tc>
          <w:tcPr>
            <w:tcW w:w="260" w:type="dxa"/>
            <w:vAlign w:val="bottom"/>
            <w:tcBorders>
              <w:bottom w:val="single" w:sz="8" w:color="auto"/>
            </w:tcBorders>
            <w:shd w:val="clear" w:color="auto" w:fill="FDFDFD"/>
          </w:tcPr>
          <w:p>
            <w:pPr>
              <w:spacing w:after="0"/>
              <w:rPr>
                <w:sz w:val="19"/>
                <w:szCs w:val="19"/>
                <w:color w:val="auto"/>
              </w:rPr>
            </w:pPr>
          </w:p>
        </w:tc>
        <w:tc>
          <w:tcPr>
            <w:tcW w:w="9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7,316</w:t>
            </w:r>
          </w:p>
        </w:tc>
        <w:tc>
          <w:tcPr>
            <w:tcW w:w="100" w:type="dxa"/>
            <w:vAlign w:val="bottom"/>
            <w:tcBorders>
              <w:bottom w:val="single" w:sz="8" w:color="E3E3E3"/>
            </w:tcBorders>
            <w:shd w:val="clear" w:color="auto" w:fill="FDFDFD"/>
          </w:tcPr>
          <w:p>
            <w:pPr>
              <w:spacing w:after="0"/>
              <w:rPr>
                <w:sz w:val="19"/>
                <w:szCs w:val="19"/>
                <w:color w:val="auto"/>
              </w:rPr>
            </w:pPr>
          </w:p>
        </w:tc>
        <w:tc>
          <w:tcPr>
            <w:tcW w:w="140" w:type="dxa"/>
            <w:vAlign w:val="bottom"/>
            <w:tcBorders>
              <w:bottom w:val="single" w:sz="8" w:color="E3E3E3"/>
            </w:tcBorders>
            <w:shd w:val="clear" w:color="auto" w:fill="FDFDFD"/>
          </w:tcPr>
          <w:p>
            <w:pPr>
              <w:spacing w:after="0"/>
              <w:rPr>
                <w:sz w:val="19"/>
                <w:szCs w:val="19"/>
                <w:color w:val="auto"/>
              </w:rPr>
            </w:pPr>
          </w:p>
        </w:tc>
        <w:tc>
          <w:tcPr>
            <w:tcW w:w="260" w:type="dxa"/>
            <w:vAlign w:val="bottom"/>
            <w:tcBorders>
              <w:bottom w:val="single" w:sz="8" w:color="auto"/>
            </w:tcBorders>
            <w:shd w:val="clear" w:color="auto" w:fill="FDFDFD"/>
          </w:tcPr>
          <w:p>
            <w:pPr>
              <w:spacing w:after="0"/>
              <w:rPr>
                <w:sz w:val="19"/>
                <w:szCs w:val="19"/>
                <w:color w:val="auto"/>
              </w:rPr>
            </w:pPr>
          </w:p>
        </w:tc>
        <w:tc>
          <w:tcPr>
            <w:tcW w:w="9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8,363</w:t>
            </w:r>
          </w:p>
        </w:tc>
        <w:tc>
          <w:tcPr>
            <w:tcW w:w="100" w:type="dxa"/>
            <w:vAlign w:val="bottom"/>
            <w:tcBorders>
              <w:bottom w:val="single" w:sz="8" w:color="E3E3E3"/>
            </w:tcBorders>
            <w:shd w:val="clear" w:color="auto" w:fill="FDFDFD"/>
          </w:tcPr>
          <w:p>
            <w:pPr>
              <w:spacing w:after="0"/>
              <w:rPr>
                <w:sz w:val="19"/>
                <w:szCs w:val="19"/>
                <w:color w:val="auto"/>
              </w:rPr>
            </w:pPr>
          </w:p>
        </w:tc>
        <w:tc>
          <w:tcPr>
            <w:tcW w:w="140" w:type="dxa"/>
            <w:vAlign w:val="bottom"/>
            <w:tcBorders>
              <w:bottom w:val="single" w:sz="8" w:color="E3E3E3"/>
            </w:tcBorders>
            <w:shd w:val="clear" w:color="auto" w:fill="FDFDFD"/>
          </w:tcPr>
          <w:p>
            <w:pPr>
              <w:spacing w:after="0"/>
              <w:rPr>
                <w:sz w:val="19"/>
                <w:szCs w:val="19"/>
                <w:color w:val="auto"/>
              </w:rPr>
            </w:pPr>
          </w:p>
        </w:tc>
        <w:tc>
          <w:tcPr>
            <w:tcW w:w="260" w:type="dxa"/>
            <w:vAlign w:val="bottom"/>
            <w:tcBorders>
              <w:bottom w:val="single" w:sz="8" w:color="auto"/>
            </w:tcBorders>
            <w:shd w:val="clear" w:color="auto" w:fill="FDFDFD"/>
          </w:tcPr>
          <w:p>
            <w:pPr>
              <w:spacing w:after="0"/>
              <w:rPr>
                <w:sz w:val="19"/>
                <w:szCs w:val="19"/>
                <w:color w:val="auto"/>
              </w:rPr>
            </w:pPr>
          </w:p>
        </w:tc>
        <w:tc>
          <w:tcPr>
            <w:tcW w:w="9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5,629</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50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Total revenue</w:t>
            </w:r>
          </w:p>
        </w:tc>
        <w:tc>
          <w:tcPr>
            <w:tcW w:w="140" w:type="dxa"/>
            <w:vAlign w:val="bottom"/>
            <w:shd w:val="clear" w:color="auto" w:fill="E3E3E3"/>
          </w:tcPr>
          <w:p>
            <w:pPr>
              <w:spacing w:after="0"/>
              <w:rPr>
                <w:sz w:val="19"/>
                <w:szCs w:val="19"/>
                <w:color w:val="auto"/>
              </w:rPr>
            </w:pPr>
          </w:p>
        </w:tc>
        <w:tc>
          <w:tcPr>
            <w:tcW w:w="260" w:type="dxa"/>
            <w:vAlign w:val="bottom"/>
            <w:tcBorders>
              <w:bottom w:val="single" w:sz="8" w:color="auto"/>
            </w:tcBorders>
            <w:shd w:val="clear" w:color="auto" w:fill="E3E3E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252,202</w:t>
            </w:r>
          </w:p>
        </w:tc>
        <w:tc>
          <w:tcPr>
            <w:tcW w:w="240" w:type="dxa"/>
            <w:vAlign w:val="bottom"/>
            <w:gridSpan w:val="2"/>
            <w:shd w:val="clear" w:color="auto" w:fill="E3E3E3"/>
          </w:tcPr>
          <w:p>
            <w:pPr>
              <w:spacing w:after="0"/>
              <w:rPr>
                <w:sz w:val="19"/>
                <w:szCs w:val="19"/>
                <w:color w:val="auto"/>
              </w:rPr>
            </w:pPr>
          </w:p>
        </w:tc>
        <w:tc>
          <w:tcPr>
            <w:tcW w:w="260" w:type="dxa"/>
            <w:vAlign w:val="bottom"/>
            <w:tcBorders>
              <w:bottom w:val="single" w:sz="8" w:color="auto"/>
            </w:tcBorders>
            <w:shd w:val="clear" w:color="auto" w:fill="E3E3E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251,415</w:t>
            </w:r>
          </w:p>
        </w:tc>
        <w:tc>
          <w:tcPr>
            <w:tcW w:w="240" w:type="dxa"/>
            <w:vAlign w:val="bottom"/>
            <w:gridSpan w:val="2"/>
            <w:shd w:val="clear" w:color="auto" w:fill="E3E3E3"/>
          </w:tcPr>
          <w:p>
            <w:pPr>
              <w:spacing w:after="0"/>
              <w:rPr>
                <w:sz w:val="19"/>
                <w:szCs w:val="19"/>
                <w:color w:val="auto"/>
              </w:rPr>
            </w:pPr>
          </w:p>
        </w:tc>
        <w:tc>
          <w:tcPr>
            <w:tcW w:w="260" w:type="dxa"/>
            <w:vAlign w:val="bottom"/>
            <w:tcBorders>
              <w:bottom w:val="single" w:sz="8" w:color="auto"/>
            </w:tcBorders>
            <w:shd w:val="clear" w:color="auto" w:fill="E3E3E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222,653</w:t>
            </w:r>
          </w:p>
        </w:tc>
        <w:tc>
          <w:tcPr>
            <w:tcW w:w="100" w:type="dxa"/>
            <w:vAlign w:val="bottom"/>
            <w:shd w:val="clear" w:color="auto" w:fill="E3E3E3"/>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Contract Costs</w:t>
      </w:r>
    </w:p>
    <w:p>
      <w:pPr>
        <w:spacing w:after="0" w:line="118"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color w:val="auto"/>
        </w:rPr>
        <w:t>A summary of the activity impacting the deferred contract costs during the years ended December 31, 2024 and 2023 is presented below:</w:t>
      </w:r>
    </w:p>
    <w:p>
      <w:pPr>
        <w:spacing w:after="0" w:line="157"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602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280" w:type="dxa"/>
            <w:vAlign w:val="bottom"/>
            <w:shd w:val="clear" w:color="auto" w:fill="FDFDFD"/>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1360" w:type="dxa"/>
            <w:vAlign w:val="bottom"/>
            <w:gridSpan w:val="2"/>
            <w:shd w:val="clear" w:color="auto" w:fill="FDFDFD"/>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60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Borders>
              <w:bottom w:val="single" w:sz="8" w:color="E3E3E3"/>
            </w:tcBorders>
            <w:shd w:val="clear" w:color="auto" w:fill="FDFDFD"/>
          </w:tcPr>
          <w:p>
            <w:pPr>
              <w:spacing w:after="0"/>
              <w:rPr>
                <w:sz w:val="17"/>
                <w:szCs w:val="17"/>
                <w:color w:val="auto"/>
              </w:rPr>
            </w:pPr>
          </w:p>
        </w:tc>
        <w:tc>
          <w:tcPr>
            <w:tcW w:w="160" w:type="dxa"/>
            <w:vAlign w:val="bottom"/>
            <w:tcBorders>
              <w:bottom w:val="single" w:sz="8" w:color="auto"/>
            </w:tcBorders>
            <w:shd w:val="clear" w:color="auto" w:fill="FDFDFD"/>
          </w:tcPr>
          <w:p>
            <w:pPr>
              <w:spacing w:after="0"/>
              <w:rPr>
                <w:sz w:val="17"/>
                <w:szCs w:val="17"/>
                <w:color w:val="auto"/>
              </w:rPr>
            </w:pPr>
          </w:p>
        </w:tc>
        <w:tc>
          <w:tcPr>
            <w:tcW w:w="1280" w:type="dxa"/>
            <w:vAlign w:val="bottom"/>
            <w:tcBorders>
              <w:bottom w:val="single" w:sz="8" w:color="auto"/>
            </w:tcBorders>
            <w:shd w:val="clear" w:color="auto" w:fill="FDFDFD"/>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3E3E3"/>
            </w:tcBorders>
            <w:shd w:val="clear" w:color="auto" w:fill="FDFDFD"/>
          </w:tcPr>
          <w:p>
            <w:pPr>
              <w:spacing w:after="0"/>
              <w:rPr>
                <w:sz w:val="17"/>
                <w:szCs w:val="17"/>
                <w:color w:val="auto"/>
              </w:rPr>
            </w:pPr>
          </w:p>
        </w:tc>
        <w:tc>
          <w:tcPr>
            <w:tcW w:w="180" w:type="dxa"/>
            <w:vAlign w:val="bottom"/>
            <w:tcBorders>
              <w:bottom w:val="single" w:sz="8" w:color="auto"/>
            </w:tcBorders>
            <w:shd w:val="clear" w:color="auto" w:fill="FDFDFD"/>
          </w:tcPr>
          <w:p>
            <w:pPr>
              <w:spacing w:after="0"/>
              <w:rPr>
                <w:sz w:val="17"/>
                <w:szCs w:val="17"/>
                <w:color w:val="auto"/>
              </w:rPr>
            </w:pPr>
          </w:p>
        </w:tc>
        <w:tc>
          <w:tcPr>
            <w:tcW w:w="1260" w:type="dxa"/>
            <w:vAlign w:val="bottom"/>
            <w:tcBorders>
              <w:bottom w:val="single" w:sz="8" w:color="auto"/>
            </w:tcBorders>
            <w:shd w:val="clear" w:color="auto" w:fill="FDFDFD"/>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60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Balance at beginning of year</w:t>
            </w:r>
          </w:p>
        </w:tc>
        <w:tc>
          <w:tcPr>
            <w:tcW w:w="160" w:type="dxa"/>
            <w:vAlign w:val="bottom"/>
            <w:shd w:val="clear" w:color="auto" w:fill="E3E3E3"/>
          </w:tcPr>
          <w:p>
            <w:pPr>
              <w:spacing w:after="0"/>
              <w:rPr>
                <w:sz w:val="19"/>
                <w:szCs w:val="19"/>
                <w:color w:val="auto"/>
              </w:rPr>
            </w:pPr>
          </w:p>
        </w:tc>
        <w:tc>
          <w:tcPr>
            <w:tcW w:w="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30,810</w:t>
            </w:r>
          </w:p>
        </w:tc>
        <w:tc>
          <w:tcPr>
            <w:tcW w:w="240" w:type="dxa"/>
            <w:vAlign w:val="bottom"/>
            <w:shd w:val="clear" w:color="auto" w:fill="E3E3E3"/>
          </w:tcPr>
          <w:p>
            <w:pPr>
              <w:spacing w:after="0"/>
              <w:rPr>
                <w:sz w:val="19"/>
                <w:szCs w:val="19"/>
                <w:color w:val="auto"/>
              </w:rPr>
            </w:pPr>
          </w:p>
        </w:tc>
        <w:tc>
          <w:tcPr>
            <w:tcW w:w="1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24,983</w:t>
            </w:r>
          </w:p>
        </w:tc>
        <w:tc>
          <w:tcPr>
            <w:tcW w:w="100" w:type="dxa"/>
            <w:vAlign w:val="bottom"/>
            <w:shd w:val="clear" w:color="auto" w:fill="E3E3E3"/>
          </w:tcPr>
          <w:p>
            <w:pPr>
              <w:spacing w:after="0"/>
              <w:rPr>
                <w:sz w:val="19"/>
                <w:szCs w:val="19"/>
                <w:color w:val="auto"/>
              </w:rPr>
            </w:pPr>
          </w:p>
        </w:tc>
      </w:tr>
      <w:tr>
        <w:trPr>
          <w:trHeight w:val="230"/>
        </w:trPr>
        <w:tc>
          <w:tcPr>
            <w:tcW w:w="602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Costs amortized</w:t>
            </w:r>
          </w:p>
        </w:tc>
        <w:tc>
          <w:tcPr>
            <w:tcW w:w="16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(15,441)</w:t>
            </w:r>
          </w:p>
        </w:tc>
        <w:tc>
          <w:tcPr>
            <w:tcW w:w="24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(12,963)</w:t>
            </w:r>
          </w:p>
        </w:tc>
        <w:tc>
          <w:tcPr>
            <w:tcW w:w="100" w:type="dxa"/>
            <w:vAlign w:val="bottom"/>
            <w:shd w:val="clear" w:color="auto" w:fill="FDFDFD"/>
          </w:tcPr>
          <w:p>
            <w:pPr>
              <w:spacing w:after="0"/>
              <w:rPr>
                <w:sz w:val="19"/>
                <w:szCs w:val="19"/>
                <w:color w:val="auto"/>
              </w:rPr>
            </w:pPr>
          </w:p>
        </w:tc>
      </w:tr>
      <w:tr>
        <w:trPr>
          <w:trHeight w:val="230"/>
        </w:trPr>
        <w:tc>
          <w:tcPr>
            <w:tcW w:w="6020" w:type="dxa"/>
            <w:vAlign w:val="bottom"/>
            <w:tcBorders>
              <w:bottom w:val="single" w:sz="8" w:color="FDFDFD"/>
            </w:tcBorders>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Additional amounts deferred</w:t>
            </w:r>
          </w:p>
        </w:tc>
        <w:tc>
          <w:tcPr>
            <w:tcW w:w="160" w:type="dxa"/>
            <w:vAlign w:val="bottom"/>
            <w:tcBorders>
              <w:bottom w:val="single" w:sz="8" w:color="FDFDFD"/>
            </w:tcBorders>
            <w:shd w:val="clear" w:color="auto" w:fill="E3E3E3"/>
          </w:tcPr>
          <w:p>
            <w:pPr>
              <w:spacing w:after="0"/>
              <w:rPr>
                <w:sz w:val="19"/>
                <w:szCs w:val="19"/>
                <w:color w:val="auto"/>
              </w:rPr>
            </w:pPr>
          </w:p>
        </w:tc>
        <w:tc>
          <w:tcPr>
            <w:tcW w:w="160" w:type="dxa"/>
            <w:vAlign w:val="bottom"/>
            <w:tcBorders>
              <w:bottom w:val="single" w:sz="8" w:color="auto"/>
            </w:tcBorders>
            <w:shd w:val="clear" w:color="auto" w:fill="E3E3E3"/>
          </w:tcPr>
          <w:p>
            <w:pPr>
              <w:spacing w:after="0"/>
              <w:rPr>
                <w:sz w:val="19"/>
                <w:szCs w:val="19"/>
                <w:color w:val="auto"/>
              </w:rPr>
            </w:pPr>
          </w:p>
        </w:tc>
        <w:tc>
          <w:tcPr>
            <w:tcW w:w="12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12,756</w:t>
            </w:r>
          </w:p>
        </w:tc>
        <w:tc>
          <w:tcPr>
            <w:tcW w:w="240" w:type="dxa"/>
            <w:vAlign w:val="bottom"/>
            <w:tcBorders>
              <w:bottom w:val="single" w:sz="8" w:color="FDFDFD"/>
            </w:tcBorders>
            <w:shd w:val="clear" w:color="auto" w:fill="E3E3E3"/>
          </w:tcPr>
          <w:p>
            <w:pPr>
              <w:spacing w:after="0"/>
              <w:rPr>
                <w:sz w:val="19"/>
                <w:szCs w:val="19"/>
                <w:color w:val="auto"/>
              </w:rPr>
            </w:pPr>
          </w:p>
        </w:tc>
        <w:tc>
          <w:tcPr>
            <w:tcW w:w="180" w:type="dxa"/>
            <w:vAlign w:val="bottom"/>
            <w:tcBorders>
              <w:bottom w:val="single" w:sz="8" w:color="auto"/>
            </w:tcBorders>
            <w:shd w:val="clear" w:color="auto" w:fill="E3E3E3"/>
          </w:tcPr>
          <w:p>
            <w:pPr>
              <w:spacing w:after="0"/>
              <w:rPr>
                <w:sz w:val="19"/>
                <w:szCs w:val="19"/>
                <w:color w:val="auto"/>
              </w:rPr>
            </w:pPr>
          </w:p>
        </w:tc>
        <w:tc>
          <w:tcPr>
            <w:tcW w:w="12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18,790</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6020" w:type="dxa"/>
            <w:vAlign w:val="bottom"/>
            <w:tcBorders>
              <w:bottom w:val="single" w:sz="8" w:color="E3E3E3"/>
            </w:tcBorders>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Balance at end of year</w:t>
            </w:r>
          </w:p>
        </w:tc>
        <w:tc>
          <w:tcPr>
            <w:tcW w:w="160" w:type="dxa"/>
            <w:vAlign w:val="bottom"/>
            <w:tcBorders>
              <w:bottom w:val="single" w:sz="8" w:color="E3E3E3"/>
            </w:tcBorders>
            <w:shd w:val="clear" w:color="auto" w:fill="FDFDFD"/>
          </w:tcPr>
          <w:p>
            <w:pPr>
              <w:spacing w:after="0"/>
              <w:rPr>
                <w:sz w:val="19"/>
                <w:szCs w:val="19"/>
                <w:color w:val="auto"/>
              </w:rPr>
            </w:pPr>
          </w:p>
        </w:tc>
        <w:tc>
          <w:tcPr>
            <w:tcW w:w="160" w:type="dxa"/>
            <w:vAlign w:val="bottom"/>
            <w:tcBorders>
              <w:bottom w:val="single" w:sz="8" w:color="auto"/>
            </w:tcBorders>
            <w:shd w:val="clear" w:color="auto" w:fill="FDFDFD"/>
          </w:tcPr>
          <w:p>
            <w:pPr>
              <w:spacing w:after="0"/>
              <w:rPr>
                <w:sz w:val="19"/>
                <w:szCs w:val="19"/>
                <w:color w:val="auto"/>
              </w:rPr>
            </w:pPr>
          </w:p>
        </w:tc>
        <w:tc>
          <w:tcPr>
            <w:tcW w:w="128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28,125</w:t>
            </w:r>
          </w:p>
        </w:tc>
        <w:tc>
          <w:tcPr>
            <w:tcW w:w="240" w:type="dxa"/>
            <w:vAlign w:val="bottom"/>
            <w:tcBorders>
              <w:bottom w:val="single" w:sz="8" w:color="E3E3E3"/>
            </w:tcBorders>
            <w:shd w:val="clear" w:color="auto" w:fill="FDFDFD"/>
          </w:tcPr>
          <w:p>
            <w:pPr>
              <w:spacing w:after="0"/>
              <w:rPr>
                <w:sz w:val="19"/>
                <w:szCs w:val="19"/>
                <w:color w:val="auto"/>
              </w:rPr>
            </w:pPr>
          </w:p>
        </w:tc>
        <w:tc>
          <w:tcPr>
            <w:tcW w:w="180" w:type="dxa"/>
            <w:vAlign w:val="bottom"/>
            <w:tcBorders>
              <w:bottom w:val="single" w:sz="8" w:color="auto"/>
            </w:tcBorders>
            <w:shd w:val="clear" w:color="auto" w:fill="FDFDFD"/>
          </w:tcPr>
          <w:p>
            <w:pPr>
              <w:spacing w:after="0"/>
              <w:rPr>
                <w:sz w:val="19"/>
                <w:szCs w:val="19"/>
                <w:color w:val="auto"/>
              </w:rPr>
            </w:pPr>
          </w:p>
        </w:tc>
        <w:tc>
          <w:tcPr>
            <w:tcW w:w="126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30,810</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60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Classified as:</w:t>
            </w:r>
          </w:p>
        </w:tc>
        <w:tc>
          <w:tcPr>
            <w:tcW w:w="16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28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2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602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Current</w:t>
            </w:r>
          </w:p>
        </w:tc>
        <w:tc>
          <w:tcPr>
            <w:tcW w:w="16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13,736</w:t>
            </w:r>
          </w:p>
        </w:tc>
        <w:tc>
          <w:tcPr>
            <w:tcW w:w="24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13,490</w:t>
            </w:r>
          </w:p>
        </w:tc>
        <w:tc>
          <w:tcPr>
            <w:tcW w:w="100" w:type="dxa"/>
            <w:vAlign w:val="bottom"/>
            <w:shd w:val="clear" w:color="auto" w:fill="FDFDFD"/>
          </w:tcPr>
          <w:p>
            <w:pPr>
              <w:spacing w:after="0"/>
              <w:rPr>
                <w:sz w:val="19"/>
                <w:szCs w:val="19"/>
                <w:color w:val="auto"/>
              </w:rPr>
            </w:pPr>
          </w:p>
        </w:tc>
      </w:tr>
      <w:tr>
        <w:trPr>
          <w:trHeight w:val="230"/>
        </w:trPr>
        <w:tc>
          <w:tcPr>
            <w:tcW w:w="6020" w:type="dxa"/>
            <w:vAlign w:val="bottom"/>
            <w:tcBorders>
              <w:bottom w:val="single" w:sz="8" w:color="FDFDFD"/>
            </w:tcBorders>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Non-current</w:t>
            </w:r>
          </w:p>
        </w:tc>
        <w:tc>
          <w:tcPr>
            <w:tcW w:w="160" w:type="dxa"/>
            <w:vAlign w:val="bottom"/>
            <w:tcBorders>
              <w:bottom w:val="single" w:sz="8" w:color="FDFDFD"/>
            </w:tcBorders>
            <w:shd w:val="clear" w:color="auto" w:fill="E3E3E3"/>
          </w:tcPr>
          <w:p>
            <w:pPr>
              <w:spacing w:after="0"/>
              <w:rPr>
                <w:sz w:val="19"/>
                <w:szCs w:val="19"/>
                <w:color w:val="auto"/>
              </w:rPr>
            </w:pPr>
          </w:p>
        </w:tc>
        <w:tc>
          <w:tcPr>
            <w:tcW w:w="160" w:type="dxa"/>
            <w:vAlign w:val="bottom"/>
            <w:tcBorders>
              <w:bottom w:val="single" w:sz="8" w:color="auto"/>
            </w:tcBorders>
            <w:shd w:val="clear" w:color="auto" w:fill="E3E3E3"/>
          </w:tcPr>
          <w:p>
            <w:pPr>
              <w:spacing w:after="0"/>
              <w:rPr>
                <w:sz w:val="19"/>
                <w:szCs w:val="19"/>
                <w:color w:val="auto"/>
              </w:rPr>
            </w:pPr>
          </w:p>
        </w:tc>
        <w:tc>
          <w:tcPr>
            <w:tcW w:w="12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14,389</w:t>
            </w:r>
          </w:p>
        </w:tc>
        <w:tc>
          <w:tcPr>
            <w:tcW w:w="240" w:type="dxa"/>
            <w:vAlign w:val="bottom"/>
            <w:tcBorders>
              <w:bottom w:val="single" w:sz="8" w:color="FDFDFD"/>
            </w:tcBorders>
            <w:shd w:val="clear" w:color="auto" w:fill="E3E3E3"/>
          </w:tcPr>
          <w:p>
            <w:pPr>
              <w:spacing w:after="0"/>
              <w:rPr>
                <w:sz w:val="19"/>
                <w:szCs w:val="19"/>
                <w:color w:val="auto"/>
              </w:rPr>
            </w:pPr>
          </w:p>
        </w:tc>
        <w:tc>
          <w:tcPr>
            <w:tcW w:w="180" w:type="dxa"/>
            <w:vAlign w:val="bottom"/>
            <w:tcBorders>
              <w:bottom w:val="single" w:sz="8" w:color="auto"/>
            </w:tcBorders>
            <w:shd w:val="clear" w:color="auto" w:fill="E3E3E3"/>
          </w:tcPr>
          <w:p>
            <w:pPr>
              <w:spacing w:after="0"/>
              <w:rPr>
                <w:sz w:val="19"/>
                <w:szCs w:val="19"/>
                <w:color w:val="auto"/>
              </w:rPr>
            </w:pPr>
          </w:p>
        </w:tc>
        <w:tc>
          <w:tcPr>
            <w:tcW w:w="12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17,320</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6020" w:type="dxa"/>
            <w:vAlign w:val="bottom"/>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Total deferred contract costs (deferred commissions)</w:t>
            </w:r>
          </w:p>
        </w:tc>
        <w:tc>
          <w:tcPr>
            <w:tcW w:w="160" w:type="dxa"/>
            <w:vAlign w:val="bottom"/>
            <w:shd w:val="clear" w:color="auto" w:fill="FDFDFD"/>
          </w:tcPr>
          <w:p>
            <w:pPr>
              <w:spacing w:after="0"/>
              <w:rPr>
                <w:sz w:val="19"/>
                <w:szCs w:val="19"/>
                <w:color w:val="auto"/>
              </w:rPr>
            </w:pPr>
          </w:p>
        </w:tc>
        <w:tc>
          <w:tcPr>
            <w:tcW w:w="16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28,125</w:t>
            </w:r>
          </w:p>
        </w:tc>
        <w:tc>
          <w:tcPr>
            <w:tcW w:w="240" w:type="dxa"/>
            <w:vAlign w:val="bottom"/>
            <w:shd w:val="clear" w:color="auto" w:fill="FDFDFD"/>
          </w:tcPr>
          <w:p>
            <w:pPr>
              <w:spacing w:after="0"/>
              <w:rPr>
                <w:sz w:val="19"/>
                <w:szCs w:val="19"/>
                <w:color w:val="auto"/>
              </w:rPr>
            </w:pPr>
          </w:p>
        </w:tc>
        <w:tc>
          <w:tcPr>
            <w:tcW w:w="18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30,810</w:t>
            </w:r>
          </w:p>
        </w:tc>
        <w:tc>
          <w:tcPr>
            <w:tcW w:w="100" w:type="dxa"/>
            <w:vAlign w:val="bottom"/>
            <w:shd w:val="clear" w:color="auto" w:fill="FDFDFD"/>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Liabilities</w:t>
      </w:r>
    </w:p>
    <w:p>
      <w:pPr>
        <w:spacing w:after="0" w:line="118" w:lineRule="exact"/>
        <w:rPr>
          <w:sz w:val="20"/>
          <w:szCs w:val="20"/>
          <w:color w:val="auto"/>
        </w:rPr>
      </w:pPr>
    </w:p>
    <w:p>
      <w:pPr>
        <w:ind w:left="500" w:right="320"/>
        <w:spacing w:after="0" w:line="279" w:lineRule="auto"/>
        <w:rPr>
          <w:sz w:val="20"/>
          <w:szCs w:val="20"/>
          <w:color w:val="auto"/>
        </w:rPr>
      </w:pPr>
      <w:r>
        <w:rPr>
          <w:rFonts w:ascii="Times New Roman" w:cs="Times New Roman" w:eastAsia="Times New Roman" w:hAnsi="Times New Roman"/>
          <w:sz w:val="20"/>
          <w:szCs w:val="20"/>
          <w:color w:val="auto"/>
        </w:rPr>
        <w:t>A summary of the activity impacting deferred revenue balances during the years ended December 31, 2024 and 2023 is presented below as of:</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592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1260" w:type="dxa"/>
            <w:vAlign w:val="bottom"/>
            <w:shd w:val="clear" w:color="auto" w:fill="FDFDFD"/>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380" w:type="dxa"/>
            <w:vAlign w:val="bottom"/>
            <w:gridSpan w:val="2"/>
            <w:shd w:val="clear" w:color="auto" w:fill="FDFDFD"/>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59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Borders>
              <w:bottom w:val="single" w:sz="8" w:color="E3E3E3"/>
            </w:tcBorders>
            <w:shd w:val="clear" w:color="auto" w:fill="FDFDFD"/>
          </w:tcPr>
          <w:p>
            <w:pPr>
              <w:spacing w:after="0"/>
              <w:rPr>
                <w:sz w:val="17"/>
                <w:szCs w:val="17"/>
                <w:color w:val="auto"/>
              </w:rPr>
            </w:pPr>
          </w:p>
        </w:tc>
        <w:tc>
          <w:tcPr>
            <w:tcW w:w="180" w:type="dxa"/>
            <w:vAlign w:val="bottom"/>
            <w:tcBorders>
              <w:bottom w:val="single" w:sz="8" w:color="auto"/>
            </w:tcBorders>
            <w:shd w:val="clear" w:color="auto" w:fill="FDFDFD"/>
          </w:tcPr>
          <w:p>
            <w:pPr>
              <w:spacing w:after="0"/>
              <w:rPr>
                <w:sz w:val="17"/>
                <w:szCs w:val="17"/>
                <w:color w:val="auto"/>
              </w:rPr>
            </w:pPr>
          </w:p>
        </w:tc>
        <w:tc>
          <w:tcPr>
            <w:tcW w:w="1260" w:type="dxa"/>
            <w:vAlign w:val="bottom"/>
            <w:tcBorders>
              <w:bottom w:val="single" w:sz="8" w:color="auto"/>
            </w:tcBorders>
            <w:shd w:val="clear" w:color="auto" w:fill="FDFDFD"/>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3E3E3"/>
            </w:tcBorders>
            <w:shd w:val="clear" w:color="auto" w:fill="FDFDFD"/>
          </w:tcPr>
          <w:p>
            <w:pPr>
              <w:spacing w:after="0"/>
              <w:rPr>
                <w:sz w:val="17"/>
                <w:szCs w:val="17"/>
                <w:color w:val="auto"/>
              </w:rPr>
            </w:pPr>
          </w:p>
        </w:tc>
        <w:tc>
          <w:tcPr>
            <w:tcW w:w="160" w:type="dxa"/>
            <w:vAlign w:val="bottom"/>
            <w:tcBorders>
              <w:bottom w:val="single" w:sz="8" w:color="auto"/>
            </w:tcBorders>
            <w:shd w:val="clear" w:color="auto" w:fill="FDFDFD"/>
          </w:tcPr>
          <w:p>
            <w:pPr>
              <w:spacing w:after="0"/>
              <w:rPr>
                <w:sz w:val="17"/>
                <w:szCs w:val="17"/>
                <w:color w:val="auto"/>
              </w:rPr>
            </w:pPr>
          </w:p>
        </w:tc>
        <w:tc>
          <w:tcPr>
            <w:tcW w:w="1280" w:type="dxa"/>
            <w:vAlign w:val="bottom"/>
            <w:tcBorders>
              <w:bottom w:val="single" w:sz="8" w:color="auto"/>
            </w:tcBorders>
            <w:shd w:val="clear" w:color="auto" w:fill="FDFDFD"/>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59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Balance at beginning of year</w:t>
            </w:r>
          </w:p>
        </w:tc>
        <w:tc>
          <w:tcPr>
            <w:tcW w:w="160" w:type="dxa"/>
            <w:vAlign w:val="bottom"/>
            <w:shd w:val="clear" w:color="auto" w:fill="E3E3E3"/>
          </w:tcPr>
          <w:p>
            <w:pPr>
              <w:spacing w:after="0"/>
              <w:rPr>
                <w:sz w:val="19"/>
                <w:szCs w:val="19"/>
                <w:color w:val="auto"/>
              </w:rPr>
            </w:pPr>
          </w:p>
        </w:tc>
        <w:tc>
          <w:tcPr>
            <w:tcW w:w="1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97,386</w:t>
            </w:r>
          </w:p>
        </w:tc>
        <w:tc>
          <w:tcPr>
            <w:tcW w:w="260" w:type="dxa"/>
            <w:vAlign w:val="bottom"/>
            <w:shd w:val="clear" w:color="auto" w:fill="E3E3E3"/>
          </w:tcPr>
          <w:p>
            <w:pPr>
              <w:spacing w:after="0"/>
              <w:rPr>
                <w:sz w:val="19"/>
                <w:szCs w:val="19"/>
                <w:color w:val="auto"/>
              </w:rPr>
            </w:pPr>
          </w:p>
        </w:tc>
        <w:tc>
          <w:tcPr>
            <w:tcW w:w="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99,928</w:t>
            </w:r>
          </w:p>
        </w:tc>
        <w:tc>
          <w:tcPr>
            <w:tcW w:w="100" w:type="dxa"/>
            <w:vAlign w:val="bottom"/>
            <w:shd w:val="clear" w:color="auto" w:fill="E3E3E3"/>
          </w:tcPr>
          <w:p>
            <w:pPr>
              <w:spacing w:after="0"/>
              <w:rPr>
                <w:sz w:val="19"/>
                <w:szCs w:val="19"/>
                <w:color w:val="auto"/>
              </w:rPr>
            </w:pPr>
          </w:p>
        </w:tc>
      </w:tr>
      <w:tr>
        <w:trPr>
          <w:trHeight w:val="230"/>
        </w:trPr>
        <w:tc>
          <w:tcPr>
            <w:tcW w:w="59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Revenue recognized</w:t>
            </w:r>
          </w:p>
        </w:tc>
        <w:tc>
          <w:tcPr>
            <w:tcW w:w="16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(252,202)</w:t>
            </w:r>
          </w:p>
        </w:tc>
        <w:tc>
          <w:tcPr>
            <w:tcW w:w="26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(251,415)</w:t>
            </w:r>
          </w:p>
        </w:tc>
        <w:tc>
          <w:tcPr>
            <w:tcW w:w="100" w:type="dxa"/>
            <w:vAlign w:val="bottom"/>
            <w:shd w:val="clear" w:color="auto" w:fill="FDFDFD"/>
          </w:tcPr>
          <w:p>
            <w:pPr>
              <w:spacing w:after="0"/>
              <w:rPr>
                <w:sz w:val="19"/>
                <w:szCs w:val="19"/>
                <w:color w:val="auto"/>
              </w:rPr>
            </w:pPr>
          </w:p>
        </w:tc>
      </w:tr>
      <w:tr>
        <w:trPr>
          <w:trHeight w:val="230"/>
        </w:trPr>
        <w:tc>
          <w:tcPr>
            <w:tcW w:w="5920" w:type="dxa"/>
            <w:vAlign w:val="bottom"/>
            <w:tcBorders>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Additional amounts deferred</w:t>
            </w:r>
          </w:p>
        </w:tc>
        <w:tc>
          <w:tcPr>
            <w:tcW w:w="160" w:type="dxa"/>
            <w:vAlign w:val="bottom"/>
            <w:tcBorders>
              <w:bottom w:val="single" w:sz="8" w:color="FDFDFD"/>
            </w:tcBorders>
            <w:shd w:val="clear" w:color="auto" w:fill="E3E3E3"/>
          </w:tcPr>
          <w:p>
            <w:pPr>
              <w:spacing w:after="0"/>
              <w:rPr>
                <w:sz w:val="19"/>
                <w:szCs w:val="19"/>
                <w:color w:val="auto"/>
              </w:rPr>
            </w:pPr>
          </w:p>
        </w:tc>
        <w:tc>
          <w:tcPr>
            <w:tcW w:w="180" w:type="dxa"/>
            <w:vAlign w:val="bottom"/>
            <w:tcBorders>
              <w:bottom w:val="single" w:sz="8" w:color="auto"/>
            </w:tcBorders>
            <w:shd w:val="clear" w:color="auto" w:fill="E3E3E3"/>
          </w:tcPr>
          <w:p>
            <w:pPr>
              <w:spacing w:after="0"/>
              <w:rPr>
                <w:sz w:val="19"/>
                <w:szCs w:val="19"/>
                <w:color w:val="auto"/>
              </w:rPr>
            </w:pPr>
          </w:p>
        </w:tc>
        <w:tc>
          <w:tcPr>
            <w:tcW w:w="12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248,192</w:t>
            </w:r>
          </w:p>
        </w:tc>
        <w:tc>
          <w:tcPr>
            <w:tcW w:w="260" w:type="dxa"/>
            <w:vAlign w:val="bottom"/>
            <w:tcBorders>
              <w:bottom w:val="single" w:sz="8" w:color="FDFDFD"/>
            </w:tcBorders>
            <w:shd w:val="clear" w:color="auto" w:fill="E3E3E3"/>
          </w:tcPr>
          <w:p>
            <w:pPr>
              <w:spacing w:after="0"/>
              <w:rPr>
                <w:sz w:val="19"/>
                <w:szCs w:val="19"/>
                <w:color w:val="auto"/>
              </w:rPr>
            </w:pPr>
          </w:p>
        </w:tc>
        <w:tc>
          <w:tcPr>
            <w:tcW w:w="160" w:type="dxa"/>
            <w:vAlign w:val="bottom"/>
            <w:tcBorders>
              <w:bottom w:val="single" w:sz="8" w:color="auto"/>
            </w:tcBorders>
            <w:shd w:val="clear" w:color="auto" w:fill="E3E3E3"/>
          </w:tcPr>
          <w:p>
            <w:pPr>
              <w:spacing w:after="0"/>
              <w:rPr>
                <w:sz w:val="19"/>
                <w:szCs w:val="19"/>
                <w:color w:val="auto"/>
              </w:rPr>
            </w:pPr>
          </w:p>
        </w:tc>
        <w:tc>
          <w:tcPr>
            <w:tcW w:w="12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248,873</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5920" w:type="dxa"/>
            <w:vAlign w:val="bottom"/>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Balance at end of year</w:t>
            </w:r>
          </w:p>
        </w:tc>
        <w:tc>
          <w:tcPr>
            <w:tcW w:w="160" w:type="dxa"/>
            <w:vAlign w:val="bottom"/>
            <w:shd w:val="clear" w:color="auto" w:fill="FDFDFD"/>
          </w:tcPr>
          <w:p>
            <w:pPr>
              <w:spacing w:after="0"/>
              <w:rPr>
                <w:sz w:val="19"/>
                <w:szCs w:val="19"/>
                <w:color w:val="auto"/>
              </w:rPr>
            </w:pPr>
          </w:p>
        </w:tc>
        <w:tc>
          <w:tcPr>
            <w:tcW w:w="18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93,376</w:t>
            </w:r>
          </w:p>
        </w:tc>
        <w:tc>
          <w:tcPr>
            <w:tcW w:w="260" w:type="dxa"/>
            <w:vAlign w:val="bottom"/>
            <w:shd w:val="clear" w:color="auto" w:fill="FDFDFD"/>
          </w:tcPr>
          <w:p>
            <w:pPr>
              <w:spacing w:after="0"/>
              <w:rPr>
                <w:sz w:val="19"/>
                <w:szCs w:val="19"/>
                <w:color w:val="auto"/>
              </w:rPr>
            </w:pPr>
          </w:p>
        </w:tc>
        <w:tc>
          <w:tcPr>
            <w:tcW w:w="16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97,386</w:t>
            </w:r>
          </w:p>
        </w:tc>
        <w:tc>
          <w:tcPr>
            <w:tcW w:w="100" w:type="dxa"/>
            <w:vAlign w:val="bottom"/>
            <w:shd w:val="clear" w:color="auto" w:fill="FDFDFD"/>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Remaining Performance Obligations</w:t>
      </w:r>
    </w:p>
    <w:p>
      <w:pPr>
        <w:spacing w:after="0" w:line="11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remaining performance obligations consisted of the following as of:</w:t>
      </w:r>
    </w:p>
    <w:p>
      <w:pPr>
        <w:spacing w:after="0" w:line="272"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592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260" w:type="dxa"/>
            <w:vAlign w:val="bottom"/>
            <w:shd w:val="clear" w:color="auto" w:fill="FDFDFD"/>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1380" w:type="dxa"/>
            <w:vAlign w:val="bottom"/>
            <w:gridSpan w:val="2"/>
            <w:shd w:val="clear" w:color="auto" w:fill="FDFDFD"/>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59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Borders>
              <w:bottom w:val="single" w:sz="8" w:color="E3E3E3"/>
            </w:tcBorders>
            <w:shd w:val="clear" w:color="auto" w:fill="FDFDFD"/>
          </w:tcPr>
          <w:p>
            <w:pPr>
              <w:spacing w:after="0"/>
              <w:rPr>
                <w:sz w:val="17"/>
                <w:szCs w:val="17"/>
                <w:color w:val="auto"/>
              </w:rPr>
            </w:pPr>
          </w:p>
        </w:tc>
        <w:tc>
          <w:tcPr>
            <w:tcW w:w="180" w:type="dxa"/>
            <w:vAlign w:val="bottom"/>
            <w:tcBorders>
              <w:bottom w:val="single" w:sz="8" w:color="auto"/>
            </w:tcBorders>
            <w:shd w:val="clear" w:color="auto" w:fill="FDFDFD"/>
          </w:tcPr>
          <w:p>
            <w:pPr>
              <w:spacing w:after="0"/>
              <w:rPr>
                <w:sz w:val="17"/>
                <w:szCs w:val="17"/>
                <w:color w:val="auto"/>
              </w:rPr>
            </w:pPr>
          </w:p>
        </w:tc>
        <w:tc>
          <w:tcPr>
            <w:tcW w:w="1260" w:type="dxa"/>
            <w:vAlign w:val="bottom"/>
            <w:tcBorders>
              <w:bottom w:val="single" w:sz="8" w:color="auto"/>
            </w:tcBorders>
            <w:shd w:val="clear" w:color="auto" w:fill="FDFDFD"/>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3E3E3"/>
            </w:tcBorders>
            <w:shd w:val="clear" w:color="auto" w:fill="FDFDFD"/>
          </w:tcPr>
          <w:p>
            <w:pPr>
              <w:spacing w:after="0"/>
              <w:rPr>
                <w:sz w:val="17"/>
                <w:szCs w:val="17"/>
                <w:color w:val="auto"/>
              </w:rPr>
            </w:pPr>
          </w:p>
        </w:tc>
        <w:tc>
          <w:tcPr>
            <w:tcW w:w="160" w:type="dxa"/>
            <w:vAlign w:val="bottom"/>
            <w:tcBorders>
              <w:bottom w:val="single" w:sz="8" w:color="auto"/>
            </w:tcBorders>
            <w:shd w:val="clear" w:color="auto" w:fill="FDFDFD"/>
          </w:tcPr>
          <w:p>
            <w:pPr>
              <w:spacing w:after="0"/>
              <w:rPr>
                <w:sz w:val="17"/>
                <w:szCs w:val="17"/>
                <w:color w:val="auto"/>
              </w:rPr>
            </w:pPr>
          </w:p>
        </w:tc>
        <w:tc>
          <w:tcPr>
            <w:tcW w:w="1280" w:type="dxa"/>
            <w:vAlign w:val="bottom"/>
            <w:tcBorders>
              <w:bottom w:val="single" w:sz="8" w:color="auto"/>
            </w:tcBorders>
            <w:shd w:val="clear" w:color="auto" w:fill="FDFDFD"/>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59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Current</w:t>
            </w:r>
          </w:p>
        </w:tc>
        <w:tc>
          <w:tcPr>
            <w:tcW w:w="160" w:type="dxa"/>
            <w:vAlign w:val="bottom"/>
            <w:shd w:val="clear" w:color="auto" w:fill="E3E3E3"/>
          </w:tcPr>
          <w:p>
            <w:pPr>
              <w:spacing w:after="0"/>
              <w:rPr>
                <w:sz w:val="19"/>
                <w:szCs w:val="19"/>
                <w:color w:val="auto"/>
              </w:rPr>
            </w:pPr>
          </w:p>
        </w:tc>
        <w:tc>
          <w:tcPr>
            <w:tcW w:w="1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188,050</w:t>
            </w:r>
          </w:p>
        </w:tc>
        <w:tc>
          <w:tcPr>
            <w:tcW w:w="260" w:type="dxa"/>
            <w:vAlign w:val="bottom"/>
            <w:shd w:val="clear" w:color="auto" w:fill="E3E3E3"/>
          </w:tcPr>
          <w:p>
            <w:pPr>
              <w:spacing w:after="0"/>
              <w:rPr>
                <w:sz w:val="19"/>
                <w:szCs w:val="19"/>
                <w:color w:val="auto"/>
              </w:rPr>
            </w:pPr>
          </w:p>
        </w:tc>
        <w:tc>
          <w:tcPr>
            <w:tcW w:w="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187,331</w:t>
            </w:r>
          </w:p>
        </w:tc>
        <w:tc>
          <w:tcPr>
            <w:tcW w:w="100" w:type="dxa"/>
            <w:vAlign w:val="bottom"/>
            <w:shd w:val="clear" w:color="auto" w:fill="E3E3E3"/>
          </w:tcPr>
          <w:p>
            <w:pPr>
              <w:spacing w:after="0"/>
              <w:rPr>
                <w:sz w:val="19"/>
                <w:szCs w:val="19"/>
                <w:color w:val="auto"/>
              </w:rPr>
            </w:pPr>
          </w:p>
        </w:tc>
      </w:tr>
      <w:tr>
        <w:trPr>
          <w:trHeight w:val="230"/>
        </w:trPr>
        <w:tc>
          <w:tcPr>
            <w:tcW w:w="59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Non-current</w:t>
            </w:r>
          </w:p>
        </w:tc>
        <w:tc>
          <w:tcPr>
            <w:tcW w:w="160" w:type="dxa"/>
            <w:vAlign w:val="bottom"/>
            <w:tcBorders>
              <w:bottom w:val="single" w:sz="8" w:color="E3E3E3"/>
            </w:tcBorders>
            <w:shd w:val="clear" w:color="auto" w:fill="FDFDFD"/>
          </w:tcPr>
          <w:p>
            <w:pPr>
              <w:spacing w:after="0"/>
              <w:rPr>
                <w:sz w:val="19"/>
                <w:szCs w:val="19"/>
                <w:color w:val="auto"/>
              </w:rPr>
            </w:pPr>
          </w:p>
        </w:tc>
        <w:tc>
          <w:tcPr>
            <w:tcW w:w="180" w:type="dxa"/>
            <w:vAlign w:val="bottom"/>
            <w:tcBorders>
              <w:bottom w:val="single" w:sz="8" w:color="auto"/>
            </w:tcBorders>
            <w:shd w:val="clear" w:color="auto" w:fill="FDFDFD"/>
          </w:tcPr>
          <w:p>
            <w:pPr>
              <w:spacing w:after="0"/>
              <w:rPr>
                <w:sz w:val="19"/>
                <w:szCs w:val="19"/>
                <w:color w:val="auto"/>
              </w:rPr>
            </w:pPr>
          </w:p>
        </w:tc>
        <w:tc>
          <w:tcPr>
            <w:tcW w:w="12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105,673</w:t>
            </w:r>
          </w:p>
        </w:tc>
        <w:tc>
          <w:tcPr>
            <w:tcW w:w="260" w:type="dxa"/>
            <w:vAlign w:val="bottom"/>
            <w:tcBorders>
              <w:bottom w:val="single" w:sz="8" w:color="E3E3E3"/>
            </w:tcBorders>
            <w:shd w:val="clear" w:color="auto" w:fill="FDFDFD"/>
          </w:tcPr>
          <w:p>
            <w:pPr>
              <w:spacing w:after="0"/>
              <w:rPr>
                <w:sz w:val="19"/>
                <w:szCs w:val="19"/>
                <w:color w:val="auto"/>
              </w:rPr>
            </w:pPr>
          </w:p>
        </w:tc>
        <w:tc>
          <w:tcPr>
            <w:tcW w:w="160" w:type="dxa"/>
            <w:vAlign w:val="bottom"/>
            <w:tcBorders>
              <w:bottom w:val="single" w:sz="8" w:color="auto"/>
            </w:tcBorders>
            <w:shd w:val="clear" w:color="auto" w:fill="FDFDFD"/>
          </w:tcPr>
          <w:p>
            <w:pPr>
              <w:spacing w:after="0"/>
              <w:rPr>
                <w:sz w:val="19"/>
                <w:szCs w:val="19"/>
                <w:color w:val="auto"/>
              </w:rPr>
            </w:pPr>
          </w:p>
        </w:tc>
        <w:tc>
          <w:tcPr>
            <w:tcW w:w="128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89,636</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5920" w:type="dxa"/>
            <w:vAlign w:val="bottom"/>
            <w:shd w:val="clear" w:color="auto" w:fill="E3E3E3"/>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60" w:type="dxa"/>
            <w:vAlign w:val="bottom"/>
            <w:shd w:val="clear" w:color="auto" w:fill="E3E3E3"/>
          </w:tcPr>
          <w:p>
            <w:pPr>
              <w:spacing w:after="0"/>
              <w:rPr>
                <w:sz w:val="19"/>
                <w:szCs w:val="19"/>
                <w:color w:val="auto"/>
              </w:rPr>
            </w:pPr>
          </w:p>
        </w:tc>
        <w:tc>
          <w:tcPr>
            <w:tcW w:w="18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293,723</w:t>
            </w:r>
          </w:p>
        </w:tc>
        <w:tc>
          <w:tcPr>
            <w:tcW w:w="260" w:type="dxa"/>
            <w:vAlign w:val="bottom"/>
            <w:shd w:val="clear" w:color="auto" w:fill="E3E3E3"/>
          </w:tcPr>
          <w:p>
            <w:pPr>
              <w:spacing w:after="0"/>
              <w:rPr>
                <w:sz w:val="19"/>
                <w:szCs w:val="19"/>
                <w:color w:val="auto"/>
              </w:rPr>
            </w:pPr>
          </w:p>
        </w:tc>
        <w:tc>
          <w:tcPr>
            <w:tcW w:w="1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276,967</w:t>
            </w:r>
          </w:p>
        </w:tc>
        <w:tc>
          <w:tcPr>
            <w:tcW w:w="100" w:type="dxa"/>
            <w:vAlign w:val="bottom"/>
            <w:shd w:val="clear" w:color="auto" w:fill="E3E3E3"/>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180"/>
          </w:cols>
          <w:pgMar w:left="820" w:top="803" w:right="880" w:bottom="8"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F-25</w:t>
      </w:r>
    </w:p>
    <w:p>
      <w:pPr>
        <w:sectPr>
          <w:pgSz w:w="11880" w:h="15480" w:orient="portrait"/>
          <w:cols w:equalWidth="0" w:num="1">
            <w:col w:w="10180"/>
          </w:cols>
          <w:pgMar w:left="820" w:top="803" w:right="880" w:bottom="8" w:gutter="0" w:footer="0" w:header="0"/>
          <w:type w:val="continuous"/>
        </w:sectPr>
      </w:pPr>
    </w:p>
    <w:bookmarkStart w:id="117" w:name="page118"/>
    <w:bookmarkEnd w:id="117"/>
    <w:p>
      <w:pPr>
        <w:ind w:left="720" w:hanging="712"/>
        <w:spacing w:after="0"/>
        <w:tabs>
          <w:tab w:leader="none" w:pos="72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123"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The Company leases real estate in the form of office space facilities. Generally, the term for real estate leases ranges from 1 to 9 years at inception of the contract. Some real estate leases include options to renew that can extend the original term by 5 to 10 years.</w:t>
      </w:r>
    </w:p>
    <w:p>
      <w:pPr>
        <w:spacing w:after="0" w:line="65" w:lineRule="exact"/>
        <w:rPr>
          <w:sz w:val="20"/>
          <w:szCs w:val="20"/>
          <w:color w:val="auto"/>
        </w:rPr>
      </w:pPr>
    </w:p>
    <w:p>
      <w:pPr>
        <w:jc w:val="both"/>
        <w:ind w:right="20" w:firstLine="490"/>
        <w:spacing w:after="0" w:line="259" w:lineRule="auto"/>
        <w:rPr>
          <w:sz w:val="20"/>
          <w:szCs w:val="20"/>
          <w:color w:val="auto"/>
        </w:rPr>
      </w:pPr>
      <w:r>
        <w:rPr>
          <w:rFonts w:ascii="Times New Roman" w:cs="Times New Roman" w:eastAsia="Times New Roman" w:hAnsi="Times New Roman"/>
          <w:sz w:val="20"/>
          <w:szCs w:val="20"/>
          <w:color w:val="auto"/>
        </w:rPr>
        <w:t>Operating lease costs are allocated according to headcount to cost of revenue, sales and marketing, product development, and general and administrative expenses in the consolidated statements of operations. As of December 31, 2024, the Company does not have any finance leases.</w:t>
      </w:r>
    </w:p>
    <w:p>
      <w:pPr>
        <w:spacing w:after="0" w:line="65"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During the second quarter of 2024, the Company executed a plan to exit part of its office headquarters, which was accounted for as a lease modification under ASC 842. The Company ceased use of the office facility during the second quarter. As of and for the year ended December 31, 2024, the Company recorded impairment charges of $1.2 million, comprised of $0.9 million related to the operating lease right-of-use asset and $0.3 million related to the remaining unamortized balance of leasehold improvements associated with the exited space. These impairment charges were recognized within transaction, integration, and restructuring expenses in the Company’s consolidated statements of operations.</w:t>
      </w:r>
    </w:p>
    <w:p>
      <w:pPr>
        <w:spacing w:after="0" w:line="80" w:lineRule="exact"/>
        <w:rPr>
          <w:sz w:val="20"/>
          <w:szCs w:val="20"/>
          <w:color w:val="auto"/>
        </w:rPr>
      </w:pPr>
    </w:p>
    <w:p>
      <w:pPr>
        <w:ind w:right="160" w:firstLine="490"/>
        <w:spacing w:after="0" w:line="259" w:lineRule="auto"/>
        <w:rPr>
          <w:sz w:val="20"/>
          <w:szCs w:val="20"/>
          <w:color w:val="auto"/>
        </w:rPr>
      </w:pPr>
      <w:r>
        <w:rPr>
          <w:rFonts w:ascii="Times New Roman" w:cs="Times New Roman" w:eastAsia="Times New Roman" w:hAnsi="Times New Roman"/>
          <w:sz w:val="20"/>
          <w:szCs w:val="20"/>
          <w:color w:val="auto"/>
        </w:rPr>
        <w:t>During the third quarter of 2024, the Company executed a new five-year lease agreement for an office in India, which was accounted for under ASC 842. Accordingly, the Company recorded an initial right-of-use asset and corresponding operating lease liability of $0.8 million, which represented the present value of the expected future minimum lease payments.</w:t>
      </w:r>
    </w:p>
    <w:p>
      <w:pPr>
        <w:spacing w:after="0" w:line="65" w:lineRule="exact"/>
        <w:rPr>
          <w:sz w:val="20"/>
          <w:szCs w:val="20"/>
          <w:color w:val="auto"/>
        </w:rPr>
      </w:pPr>
    </w:p>
    <w:p>
      <w:pPr>
        <w:ind w:right="280" w:firstLine="490"/>
        <w:spacing w:after="0" w:line="253" w:lineRule="auto"/>
        <w:rPr>
          <w:sz w:val="20"/>
          <w:szCs w:val="20"/>
          <w:color w:val="auto"/>
        </w:rPr>
      </w:pPr>
      <w:r>
        <w:rPr>
          <w:rFonts w:ascii="Times New Roman" w:cs="Times New Roman" w:eastAsia="Times New Roman" w:hAnsi="Times New Roman"/>
          <w:sz w:val="20"/>
          <w:szCs w:val="20"/>
          <w:color w:val="auto"/>
        </w:rPr>
        <w:t>During the first quarter of 2023, the Company executed a plan to exit one of its office facilities by exercising an early termination clause, which was accounted for as a lease modification under ASC 842. The Company ceased use of the office facility during the period and accordingly recorded a $0.2 million impairment charge, which represented the remaining carrying value of the right-of-use asset as of March 31, 2023.</w:t>
      </w:r>
    </w:p>
    <w:p>
      <w:pPr>
        <w:spacing w:after="0" w:line="70"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During the third quarter of 2023, the Company executed a new four-year lease agreement for its office in Sweden, which was accounted for under ASC 842. Accordingly, the Company recorded an initial right-of-use asset and corresponding operating lease liability of $1.6 million, which represented the present value of the expected future minimum lease payments.</w:t>
      </w:r>
    </w:p>
    <w:p>
      <w:pPr>
        <w:spacing w:after="0" w:line="65" w:lineRule="exact"/>
        <w:rPr>
          <w:sz w:val="20"/>
          <w:szCs w:val="20"/>
          <w:color w:val="auto"/>
        </w:rPr>
      </w:pPr>
    </w:p>
    <w:p>
      <w:pPr>
        <w:ind w:right="260" w:firstLine="490"/>
        <w:spacing w:after="0" w:line="244" w:lineRule="auto"/>
        <w:rPr>
          <w:sz w:val="20"/>
          <w:szCs w:val="20"/>
          <w:color w:val="auto"/>
        </w:rPr>
      </w:pPr>
      <w:r>
        <w:rPr>
          <w:rFonts w:ascii="Times New Roman" w:cs="Times New Roman" w:eastAsia="Times New Roman" w:hAnsi="Times New Roman"/>
          <w:sz w:val="20"/>
          <w:szCs w:val="20"/>
          <w:color w:val="auto"/>
        </w:rPr>
        <w:t>During the first quarter of 2022, the Company gave notice of its intent to extend one of its office lease facilities for an additional five-year period and the extension was accounted for as a lease modification under ASC 842. Accordingly, the Company recorded a right-of-use asset and corresponding operating lease liability of $6.0 million, which represented the present value of the expected future minimum lease payments. During the quarter ended June 30, 2022, the Company’s executive leadership team approved a program to exit the office lease facility and signed an agreement with the landlord to withdraw the Company’s exercise of the option to extend. As a result, the lease terminated on December 31, 2022. This was accounted for as a lease modification under ASC 842 and the Company reduced the right-of-use asset by $6.0 million in the second quarter of 2022. The Company ceased use of the office facility during the same quarter and accordingly recorded an impairment charge of $0.7 million, which represented the remaining carrying value of the right-of-use asset as of June 30, 2022.</w:t>
      </w:r>
    </w:p>
    <w:p>
      <w:pPr>
        <w:spacing w:after="0" w:line="82"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During the second quarter of 2022, the Company executed a plan to exit one of its other office facilities by exercising an early termination clause, which was accounted for as a lease modification under ASC 842. The Company ceased use of the office facility during the period and accordingly recorded a $0.2 million impairment charge, which represented the remaining carrying value of the right-of-use asset as of June 30, 2022.</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recorded the following lease costs for the years ended December 31, 2024, 2023, and 2022:</w:t>
      </w:r>
    </w:p>
    <w:p>
      <w:pPr>
        <w:spacing w:after="0" w:line="13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580" w:type="dxa"/>
            <w:vAlign w:val="bottom"/>
            <w:tcBorders>
              <w:bottom w:val="single" w:sz="8" w:color="FDFDFD"/>
            </w:tcBorders>
            <w:gridSpan w:val="3"/>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Borders>
              <w:bottom w:val="single" w:sz="8" w:color="FDFDFD"/>
            </w:tcBorders>
            <w:shd w:val="clear" w:color="auto" w:fill="FDFDFD"/>
          </w:tcPr>
          <w:p>
            <w:pPr>
              <w:spacing w:after="0"/>
              <w:rPr>
                <w:sz w:val="17"/>
                <w:szCs w:val="17"/>
                <w:color w:val="auto"/>
              </w:rPr>
            </w:pPr>
          </w:p>
        </w:tc>
        <w:tc>
          <w:tcPr>
            <w:tcW w:w="240" w:type="dxa"/>
            <w:vAlign w:val="bottom"/>
            <w:tcBorders>
              <w:bottom w:val="single" w:sz="8" w:color="auto"/>
            </w:tcBorders>
            <w:shd w:val="clear" w:color="auto" w:fill="FDFDFD"/>
          </w:tcPr>
          <w:p>
            <w:pPr>
              <w:spacing w:after="0"/>
              <w:rPr>
                <w:sz w:val="17"/>
                <w:szCs w:val="17"/>
                <w:color w:val="auto"/>
              </w:rPr>
            </w:pPr>
          </w:p>
        </w:tc>
        <w:tc>
          <w:tcPr>
            <w:tcW w:w="720" w:type="dxa"/>
            <w:vAlign w:val="bottom"/>
            <w:tcBorders>
              <w:bottom w:val="single" w:sz="8" w:color="auto"/>
            </w:tcBorders>
            <w:shd w:val="clear" w:color="auto" w:fill="FDFDFD"/>
          </w:tcPr>
          <w:p>
            <w:pPr>
              <w:spacing w:after="0"/>
              <w:rPr>
                <w:sz w:val="17"/>
                <w:szCs w:val="17"/>
                <w:color w:val="auto"/>
              </w:rPr>
            </w:pPr>
          </w:p>
        </w:tc>
        <w:tc>
          <w:tcPr>
            <w:tcW w:w="1920" w:type="dxa"/>
            <w:vAlign w:val="bottom"/>
            <w:tcBorders>
              <w:bottom w:val="single" w:sz="8" w:color="auto"/>
            </w:tcBorders>
            <w:gridSpan w:val="9"/>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shd w:val="clear" w:color="auto" w:fill="FDFDFD"/>
          </w:tcPr>
          <w:p>
            <w:pPr>
              <w:spacing w:after="0"/>
              <w:rPr>
                <w:sz w:val="17"/>
                <w:szCs w:val="17"/>
                <w:color w:val="auto"/>
              </w:rPr>
            </w:pPr>
          </w:p>
        </w:tc>
        <w:tc>
          <w:tcPr>
            <w:tcW w:w="8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80" w:type="dxa"/>
            <w:vAlign w:val="bottom"/>
            <w:tcBorders>
              <w:bottom w:val="single" w:sz="8" w:color="E3E3E3"/>
            </w:tcBorders>
            <w:gridSpan w:val="3"/>
            <w:vMerge w:val="continue"/>
            <w:shd w:val="clear" w:color="auto" w:fill="FDFDFD"/>
          </w:tcPr>
          <w:p>
            <w:pPr>
              <w:spacing w:after="0"/>
              <w:rPr>
                <w:sz w:val="16"/>
                <w:szCs w:val="16"/>
                <w:color w:val="auto"/>
              </w:rPr>
            </w:pPr>
          </w:p>
        </w:tc>
        <w:tc>
          <w:tcPr>
            <w:tcW w:w="120" w:type="dxa"/>
            <w:vAlign w:val="bottom"/>
            <w:tcBorders>
              <w:bottom w:val="single" w:sz="8" w:color="E3E3E3"/>
            </w:tcBorders>
            <w:shd w:val="clear" w:color="auto" w:fill="FDFDFD"/>
          </w:tcPr>
          <w:p>
            <w:pPr>
              <w:spacing w:after="0"/>
              <w:rPr>
                <w:sz w:val="16"/>
                <w:szCs w:val="16"/>
                <w:color w:val="auto"/>
              </w:rPr>
            </w:pPr>
          </w:p>
        </w:tc>
        <w:tc>
          <w:tcPr>
            <w:tcW w:w="240" w:type="dxa"/>
            <w:vAlign w:val="bottom"/>
            <w:tcBorders>
              <w:bottom w:val="single" w:sz="8" w:color="auto"/>
            </w:tcBorders>
            <w:shd w:val="clear" w:color="auto" w:fill="FDFDFD"/>
          </w:tcPr>
          <w:p>
            <w:pPr>
              <w:spacing w:after="0"/>
              <w:rPr>
                <w:sz w:val="16"/>
                <w:szCs w:val="16"/>
                <w:color w:val="auto"/>
              </w:rPr>
            </w:pPr>
          </w:p>
        </w:tc>
        <w:tc>
          <w:tcPr>
            <w:tcW w:w="720" w:type="dxa"/>
            <w:vAlign w:val="bottom"/>
            <w:tcBorders>
              <w:bottom w:val="single" w:sz="8" w:color="auto"/>
            </w:tcBorders>
            <w:shd w:val="clear" w:color="auto" w:fill="FDFDFD"/>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shd w:val="clear" w:color="auto" w:fill="FDFDFD"/>
          </w:tcPr>
          <w:p>
            <w:pPr>
              <w:spacing w:after="0"/>
              <w:rPr>
                <w:sz w:val="16"/>
                <w:szCs w:val="16"/>
                <w:color w:val="auto"/>
              </w:rPr>
            </w:pPr>
          </w:p>
        </w:tc>
        <w:tc>
          <w:tcPr>
            <w:tcW w:w="100" w:type="dxa"/>
            <w:vAlign w:val="bottom"/>
            <w:tcBorders>
              <w:bottom w:val="single" w:sz="8" w:color="E3E3E3"/>
            </w:tcBorders>
            <w:shd w:val="clear" w:color="auto" w:fill="FDFDFD"/>
          </w:tcPr>
          <w:p>
            <w:pPr>
              <w:spacing w:after="0"/>
              <w:rPr>
                <w:sz w:val="16"/>
                <w:szCs w:val="16"/>
                <w:color w:val="auto"/>
              </w:rPr>
            </w:pPr>
          </w:p>
        </w:tc>
        <w:tc>
          <w:tcPr>
            <w:tcW w:w="120" w:type="dxa"/>
            <w:vAlign w:val="bottom"/>
            <w:tcBorders>
              <w:bottom w:val="single" w:sz="8" w:color="E3E3E3"/>
            </w:tcBorders>
            <w:shd w:val="clear" w:color="auto" w:fill="FDFDFD"/>
          </w:tcPr>
          <w:p>
            <w:pPr>
              <w:spacing w:after="0"/>
              <w:rPr>
                <w:sz w:val="16"/>
                <w:szCs w:val="16"/>
                <w:color w:val="auto"/>
              </w:rPr>
            </w:pPr>
          </w:p>
        </w:tc>
        <w:tc>
          <w:tcPr>
            <w:tcW w:w="120" w:type="dxa"/>
            <w:vAlign w:val="bottom"/>
            <w:tcBorders>
              <w:bottom w:val="single" w:sz="8" w:color="auto"/>
            </w:tcBorders>
            <w:shd w:val="clear" w:color="auto" w:fill="FDFDFD"/>
          </w:tcPr>
          <w:p>
            <w:pPr>
              <w:spacing w:after="0"/>
              <w:rPr>
                <w:sz w:val="16"/>
                <w:szCs w:val="16"/>
                <w:color w:val="auto"/>
              </w:rPr>
            </w:pPr>
          </w:p>
        </w:tc>
        <w:tc>
          <w:tcPr>
            <w:tcW w:w="800" w:type="dxa"/>
            <w:vAlign w:val="bottom"/>
            <w:tcBorders>
              <w:bottom w:val="single" w:sz="8" w:color="auto"/>
            </w:tcBorders>
            <w:shd w:val="clear" w:color="auto" w:fill="FDFDFD"/>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shd w:val="clear" w:color="auto" w:fill="FDFDFD"/>
          </w:tcPr>
          <w:p>
            <w:pPr>
              <w:spacing w:after="0"/>
              <w:rPr>
                <w:sz w:val="16"/>
                <w:szCs w:val="16"/>
                <w:color w:val="auto"/>
              </w:rPr>
            </w:pPr>
          </w:p>
        </w:tc>
        <w:tc>
          <w:tcPr>
            <w:tcW w:w="20" w:type="dxa"/>
            <w:vAlign w:val="bottom"/>
            <w:tcBorders>
              <w:bottom w:val="single" w:sz="8" w:color="E3E3E3"/>
            </w:tcBorders>
            <w:shd w:val="clear" w:color="auto" w:fill="FDFDFD"/>
          </w:tcPr>
          <w:p>
            <w:pPr>
              <w:spacing w:after="0"/>
              <w:rPr>
                <w:sz w:val="16"/>
                <w:szCs w:val="16"/>
                <w:color w:val="auto"/>
              </w:rPr>
            </w:pPr>
          </w:p>
        </w:tc>
        <w:tc>
          <w:tcPr>
            <w:tcW w:w="200" w:type="dxa"/>
            <w:vAlign w:val="bottom"/>
            <w:tcBorders>
              <w:bottom w:val="single" w:sz="8" w:color="E3E3E3"/>
            </w:tcBorders>
            <w:shd w:val="clear" w:color="auto" w:fill="FDFDFD"/>
          </w:tcPr>
          <w:p>
            <w:pPr>
              <w:spacing w:after="0"/>
              <w:rPr>
                <w:sz w:val="16"/>
                <w:szCs w:val="16"/>
                <w:color w:val="auto"/>
              </w:rPr>
            </w:pPr>
          </w:p>
        </w:tc>
        <w:tc>
          <w:tcPr>
            <w:tcW w:w="220" w:type="dxa"/>
            <w:vAlign w:val="bottom"/>
            <w:tcBorders>
              <w:bottom w:val="single" w:sz="8" w:color="auto"/>
            </w:tcBorders>
            <w:shd w:val="clear" w:color="auto" w:fill="FDFDFD"/>
          </w:tcPr>
          <w:p>
            <w:pPr>
              <w:spacing w:after="0"/>
              <w:rPr>
                <w:sz w:val="16"/>
                <w:szCs w:val="16"/>
                <w:color w:val="auto"/>
              </w:rPr>
            </w:pPr>
          </w:p>
        </w:tc>
        <w:tc>
          <w:tcPr>
            <w:tcW w:w="940" w:type="dxa"/>
            <w:vAlign w:val="bottom"/>
            <w:tcBorders>
              <w:bottom w:val="single" w:sz="8" w:color="auto"/>
            </w:tcBorders>
            <w:shd w:val="clear" w:color="auto" w:fill="FDFDFD"/>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3E3E3"/>
            </w:tcBorders>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80" w:type="dxa"/>
            <w:vAlign w:val="bottom"/>
            <w:tcBorders>
              <w:bottom w:val="single" w:sz="8" w:color="auto"/>
            </w:tcBorders>
            <w:shd w:val="clear" w:color="auto" w:fill="E3E3E3"/>
          </w:tcPr>
          <w:p>
            <w:pPr>
              <w:spacing w:after="0" w:line="212" w:lineRule="exact"/>
              <w:rPr>
                <w:sz w:val="20"/>
                <w:szCs w:val="20"/>
                <w:color w:val="auto"/>
              </w:rPr>
            </w:pPr>
            <w:r>
              <w:rPr>
                <w:rFonts w:ascii="Times New Roman" w:cs="Times New Roman" w:eastAsia="Times New Roman" w:hAnsi="Times New Roman"/>
                <w:sz w:val="20"/>
                <w:szCs w:val="20"/>
                <w:color w:val="auto"/>
                <w:w w:val="97"/>
              </w:rPr>
              <w:t>Lease Cost</w:t>
            </w:r>
          </w:p>
        </w:tc>
        <w:tc>
          <w:tcPr>
            <w:tcW w:w="4700" w:type="dxa"/>
            <w:vAlign w:val="bottom"/>
            <w:tcBorders>
              <w:bottom w:val="single" w:sz="8" w:color="E3E3E3"/>
            </w:tcBorders>
            <w:gridSpan w:val="2"/>
            <w:shd w:val="clear" w:color="auto" w:fill="E3E3E3"/>
          </w:tcPr>
          <w:p>
            <w:pPr>
              <w:spacing w:after="0"/>
              <w:rPr>
                <w:sz w:val="18"/>
                <w:szCs w:val="18"/>
                <w:color w:val="auto"/>
              </w:rPr>
            </w:pPr>
          </w:p>
        </w:tc>
        <w:tc>
          <w:tcPr>
            <w:tcW w:w="120" w:type="dxa"/>
            <w:vAlign w:val="bottom"/>
            <w:tcBorders>
              <w:bottom w:val="single" w:sz="8" w:color="E3E3E3"/>
            </w:tcBorders>
            <w:shd w:val="clear" w:color="auto" w:fill="E3E3E3"/>
          </w:tcPr>
          <w:p>
            <w:pPr>
              <w:spacing w:after="0"/>
              <w:rPr>
                <w:sz w:val="18"/>
                <w:szCs w:val="18"/>
                <w:color w:val="auto"/>
              </w:rPr>
            </w:pPr>
          </w:p>
        </w:tc>
        <w:tc>
          <w:tcPr>
            <w:tcW w:w="240" w:type="dxa"/>
            <w:vAlign w:val="bottom"/>
            <w:tcBorders>
              <w:bottom w:val="single" w:sz="8" w:color="E3E3E3"/>
            </w:tcBorders>
            <w:shd w:val="clear" w:color="auto" w:fill="E3E3E3"/>
          </w:tcPr>
          <w:p>
            <w:pPr>
              <w:spacing w:after="0"/>
              <w:rPr>
                <w:sz w:val="18"/>
                <w:szCs w:val="18"/>
                <w:color w:val="auto"/>
              </w:rPr>
            </w:pPr>
          </w:p>
        </w:tc>
        <w:tc>
          <w:tcPr>
            <w:tcW w:w="7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20" w:type="dxa"/>
            <w:vAlign w:val="bottom"/>
            <w:tcBorders>
              <w:bottom w:val="single" w:sz="8" w:color="E3E3E3"/>
            </w:tcBorders>
            <w:shd w:val="clear" w:color="auto" w:fill="E3E3E3"/>
          </w:tcPr>
          <w:p>
            <w:pPr>
              <w:spacing w:after="0"/>
              <w:rPr>
                <w:sz w:val="18"/>
                <w:szCs w:val="18"/>
                <w:color w:val="auto"/>
              </w:rPr>
            </w:pPr>
          </w:p>
        </w:tc>
        <w:tc>
          <w:tcPr>
            <w:tcW w:w="120" w:type="dxa"/>
            <w:vAlign w:val="bottom"/>
            <w:tcBorders>
              <w:bottom w:val="single" w:sz="8" w:color="E3E3E3"/>
            </w:tcBorders>
            <w:shd w:val="clear" w:color="auto" w:fill="E3E3E3"/>
          </w:tcPr>
          <w:p>
            <w:pPr>
              <w:spacing w:after="0"/>
              <w:rPr>
                <w:sz w:val="18"/>
                <w:szCs w:val="18"/>
                <w:color w:val="auto"/>
              </w:rPr>
            </w:pPr>
          </w:p>
        </w:tc>
        <w:tc>
          <w:tcPr>
            <w:tcW w:w="800" w:type="dxa"/>
            <w:vAlign w:val="bottom"/>
            <w:tcBorders>
              <w:bottom w:val="single" w:sz="8" w:color="E3E3E3"/>
            </w:tcBorders>
            <w:shd w:val="clear" w:color="auto" w:fill="E3E3E3"/>
          </w:tcPr>
          <w:p>
            <w:pPr>
              <w:spacing w:after="0"/>
              <w:rPr>
                <w:sz w:val="18"/>
                <w:szCs w:val="18"/>
                <w:color w:val="auto"/>
              </w:rPr>
            </w:pPr>
          </w:p>
        </w:tc>
        <w:tc>
          <w:tcPr>
            <w:tcW w:w="24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200" w:type="dxa"/>
            <w:vAlign w:val="bottom"/>
            <w:tcBorders>
              <w:bottom w:val="single" w:sz="8" w:color="E3E3E3"/>
            </w:tcBorders>
            <w:shd w:val="clear" w:color="auto" w:fill="E3E3E3"/>
          </w:tcPr>
          <w:p>
            <w:pPr>
              <w:spacing w:after="0"/>
              <w:rPr>
                <w:sz w:val="18"/>
                <w:szCs w:val="18"/>
                <w:color w:val="auto"/>
              </w:rPr>
            </w:pPr>
          </w:p>
        </w:tc>
        <w:tc>
          <w:tcPr>
            <w:tcW w:w="220" w:type="dxa"/>
            <w:vAlign w:val="bottom"/>
            <w:tcBorders>
              <w:bottom w:val="single" w:sz="8" w:color="E3E3E3"/>
            </w:tcBorders>
            <w:shd w:val="clear" w:color="auto" w:fill="E3E3E3"/>
          </w:tcPr>
          <w:p>
            <w:pPr>
              <w:spacing w:after="0"/>
              <w:rPr>
                <w:sz w:val="18"/>
                <w:szCs w:val="18"/>
                <w:color w:val="auto"/>
              </w:rPr>
            </w:pPr>
          </w:p>
        </w:tc>
        <w:tc>
          <w:tcPr>
            <w:tcW w:w="94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E3E3E3"/>
            </w:tcBorders>
            <w:gridSpan w:val="3"/>
            <w:shd w:val="clear" w:color="auto" w:fill="FDFDFD"/>
          </w:tcPr>
          <w:p>
            <w:pPr>
              <w:spacing w:after="0"/>
              <w:rPr>
                <w:sz w:val="20"/>
                <w:szCs w:val="20"/>
                <w:color w:val="auto"/>
              </w:rPr>
            </w:pPr>
            <w:r>
              <w:rPr>
                <w:rFonts w:ascii="Times New Roman" w:cs="Times New Roman" w:eastAsia="Times New Roman" w:hAnsi="Times New Roman"/>
                <w:sz w:val="20"/>
                <w:szCs w:val="20"/>
                <w:color w:val="auto"/>
              </w:rPr>
              <w:t>Amortization of capitalized operating lease cost</w:t>
            </w:r>
          </w:p>
        </w:tc>
        <w:tc>
          <w:tcPr>
            <w:tcW w:w="120" w:type="dxa"/>
            <w:vAlign w:val="bottom"/>
            <w:tcBorders>
              <w:bottom w:val="single" w:sz="8" w:color="E3E3E3"/>
            </w:tcBorders>
            <w:shd w:val="clear" w:color="auto" w:fill="FDFDFD"/>
          </w:tcPr>
          <w:p>
            <w:pPr>
              <w:spacing w:after="0"/>
              <w:rPr>
                <w:sz w:val="21"/>
                <w:szCs w:val="21"/>
                <w:color w:val="auto"/>
              </w:rPr>
            </w:pPr>
          </w:p>
        </w:tc>
        <w:tc>
          <w:tcPr>
            <w:tcW w:w="240" w:type="dxa"/>
            <w:vAlign w:val="bottom"/>
            <w:tcBorders>
              <w:bottom w:val="single" w:sz="8" w:color="auto"/>
            </w:tcBorders>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2,073</w:t>
            </w:r>
          </w:p>
        </w:tc>
        <w:tc>
          <w:tcPr>
            <w:tcW w:w="100" w:type="dxa"/>
            <w:vAlign w:val="bottom"/>
            <w:tcBorders>
              <w:bottom w:val="single" w:sz="8" w:color="E3E3E3"/>
            </w:tcBorders>
            <w:shd w:val="clear" w:color="auto" w:fill="FDFDFD"/>
          </w:tcPr>
          <w:p>
            <w:pPr>
              <w:spacing w:after="0"/>
              <w:rPr>
                <w:sz w:val="21"/>
                <w:szCs w:val="21"/>
                <w:color w:val="auto"/>
              </w:rPr>
            </w:pPr>
          </w:p>
        </w:tc>
        <w:tc>
          <w:tcPr>
            <w:tcW w:w="120" w:type="dxa"/>
            <w:vAlign w:val="bottom"/>
            <w:tcBorders>
              <w:bottom w:val="single" w:sz="8" w:color="E3E3E3"/>
            </w:tcBorders>
            <w:shd w:val="clear" w:color="auto" w:fill="FDFDFD"/>
          </w:tcPr>
          <w:p>
            <w:pPr>
              <w:spacing w:after="0"/>
              <w:rPr>
                <w:sz w:val="21"/>
                <w:szCs w:val="21"/>
                <w:color w:val="auto"/>
              </w:rPr>
            </w:pPr>
          </w:p>
        </w:tc>
        <w:tc>
          <w:tcPr>
            <w:tcW w:w="12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2,202</w:t>
            </w:r>
          </w:p>
        </w:tc>
        <w:tc>
          <w:tcPr>
            <w:tcW w:w="20" w:type="dxa"/>
            <w:vAlign w:val="bottom"/>
            <w:tcBorders>
              <w:bottom w:val="single" w:sz="8" w:color="E3E3E3"/>
            </w:tcBorders>
            <w:shd w:val="clear" w:color="auto" w:fill="FDFDFD"/>
          </w:tcPr>
          <w:p>
            <w:pPr>
              <w:spacing w:after="0"/>
              <w:rPr>
                <w:sz w:val="21"/>
                <w:szCs w:val="21"/>
                <w:color w:val="auto"/>
              </w:rPr>
            </w:pPr>
          </w:p>
        </w:tc>
        <w:tc>
          <w:tcPr>
            <w:tcW w:w="200" w:type="dxa"/>
            <w:vAlign w:val="bottom"/>
            <w:tcBorders>
              <w:bottom w:val="single" w:sz="8" w:color="E3E3E3"/>
            </w:tcBorders>
            <w:shd w:val="clear" w:color="auto" w:fill="FDFDFD"/>
          </w:tcPr>
          <w:p>
            <w:pPr>
              <w:spacing w:after="0"/>
              <w:rPr>
                <w:sz w:val="21"/>
                <w:szCs w:val="21"/>
                <w:color w:val="auto"/>
              </w:rPr>
            </w:pPr>
          </w:p>
        </w:tc>
        <w:tc>
          <w:tcPr>
            <w:tcW w:w="220" w:type="dxa"/>
            <w:vAlign w:val="bottom"/>
            <w:tcBorders>
              <w:bottom w:val="single" w:sz="8" w:color="auto"/>
            </w:tcBorders>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2,677</w:t>
            </w:r>
          </w:p>
        </w:tc>
        <w:tc>
          <w:tcPr>
            <w:tcW w:w="80" w:type="dxa"/>
            <w:vAlign w:val="bottom"/>
            <w:tcBorders>
              <w:bottom w:val="single" w:sz="8" w:color="E3E3E3"/>
            </w:tcBorders>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0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 lease cost</w:t>
            </w:r>
          </w:p>
        </w:tc>
        <w:tc>
          <w:tcPr>
            <w:tcW w:w="240" w:type="dxa"/>
            <w:vAlign w:val="bottom"/>
            <w:tcBorders>
              <w:bottom w:val="single" w:sz="8" w:color="auto"/>
            </w:tcBorders>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2,073</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2,202</w:t>
            </w:r>
          </w:p>
        </w:tc>
        <w:tc>
          <w:tcPr>
            <w:tcW w:w="2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2,677</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3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700" w:type="dxa"/>
            <w:vAlign w:val="bottom"/>
            <w:tcBorders>
              <w:bottom w:val="single" w:sz="8" w:color="FDFDFD"/>
            </w:tcBorders>
            <w:gridSpan w:val="4"/>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40" w:type="dxa"/>
            <w:vAlign w:val="bottom"/>
            <w:tcBorders>
              <w:bottom w:val="single" w:sz="8" w:color="FDFDFD"/>
            </w:tcBorders>
            <w:shd w:val="clear" w:color="auto" w:fill="FDFDFD"/>
          </w:tcPr>
          <w:p>
            <w:pPr>
              <w:spacing w:after="0"/>
              <w:rPr>
                <w:sz w:val="24"/>
                <w:szCs w:val="24"/>
                <w:color w:val="auto"/>
              </w:rPr>
            </w:pPr>
          </w:p>
        </w:tc>
        <w:tc>
          <w:tcPr>
            <w:tcW w:w="720" w:type="dxa"/>
            <w:vAlign w:val="bottom"/>
            <w:tcBorders>
              <w:bottom w:val="single" w:sz="8" w:color="FDFDFD"/>
            </w:tcBorders>
            <w:shd w:val="clear" w:color="auto" w:fill="FDFDFD"/>
          </w:tcPr>
          <w:p>
            <w:pPr>
              <w:spacing w:after="0"/>
              <w:rPr>
                <w:sz w:val="24"/>
                <w:szCs w:val="24"/>
                <w:color w:val="auto"/>
              </w:rPr>
            </w:pPr>
          </w:p>
        </w:tc>
        <w:tc>
          <w:tcPr>
            <w:tcW w:w="100" w:type="dxa"/>
            <w:vAlign w:val="bottom"/>
            <w:tcBorders>
              <w:bottom w:val="single" w:sz="8" w:color="auto"/>
            </w:tcBorders>
            <w:shd w:val="clear" w:color="auto" w:fill="FDFDFD"/>
          </w:tcPr>
          <w:p>
            <w:pPr>
              <w:spacing w:after="0"/>
              <w:rPr>
                <w:sz w:val="24"/>
                <w:szCs w:val="24"/>
                <w:color w:val="auto"/>
              </w:rPr>
            </w:pPr>
          </w:p>
        </w:tc>
        <w:tc>
          <w:tcPr>
            <w:tcW w:w="100" w:type="dxa"/>
            <w:vAlign w:val="bottom"/>
            <w:tcBorders>
              <w:bottom w:val="single" w:sz="8" w:color="auto"/>
            </w:tcBorders>
            <w:shd w:val="clear" w:color="auto" w:fill="FDFDFD"/>
          </w:tcPr>
          <w:p>
            <w:pPr>
              <w:spacing w:after="0"/>
              <w:rPr>
                <w:sz w:val="24"/>
                <w:szCs w:val="24"/>
                <w:color w:val="auto"/>
              </w:rPr>
            </w:pPr>
          </w:p>
        </w:tc>
        <w:tc>
          <w:tcPr>
            <w:tcW w:w="120" w:type="dxa"/>
            <w:vAlign w:val="bottom"/>
            <w:tcBorders>
              <w:bottom w:val="single" w:sz="8" w:color="auto"/>
            </w:tcBorders>
            <w:shd w:val="clear" w:color="auto" w:fill="FDFDFD"/>
          </w:tcPr>
          <w:p>
            <w:pPr>
              <w:spacing w:after="0"/>
              <w:rPr>
                <w:sz w:val="24"/>
                <w:szCs w:val="24"/>
                <w:color w:val="auto"/>
              </w:rPr>
            </w:pPr>
          </w:p>
        </w:tc>
        <w:tc>
          <w:tcPr>
            <w:tcW w:w="120" w:type="dxa"/>
            <w:vAlign w:val="bottom"/>
            <w:tcBorders>
              <w:bottom w:val="single" w:sz="8" w:color="auto"/>
            </w:tcBorders>
            <w:shd w:val="clear" w:color="auto" w:fill="FDFDFD"/>
          </w:tcPr>
          <w:p>
            <w:pPr>
              <w:spacing w:after="0"/>
              <w:rPr>
                <w:sz w:val="24"/>
                <w:szCs w:val="24"/>
                <w:color w:val="auto"/>
              </w:rPr>
            </w:pPr>
          </w:p>
        </w:tc>
        <w:tc>
          <w:tcPr>
            <w:tcW w:w="2420" w:type="dxa"/>
            <w:vAlign w:val="bottom"/>
            <w:tcBorders>
              <w:bottom w:val="single" w:sz="8" w:color="auto"/>
            </w:tcBorders>
            <w:gridSpan w:val="6"/>
            <w:shd w:val="clear" w:color="auto" w:fill="FDFDFD"/>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FDFDFD"/>
            </w:tcBorders>
            <w:shd w:val="clear" w:color="auto" w:fill="FDFDFD"/>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700" w:type="dxa"/>
            <w:vAlign w:val="bottom"/>
            <w:tcBorders>
              <w:bottom w:val="single" w:sz="8" w:color="FDFDFD"/>
            </w:tcBorders>
            <w:gridSpan w:val="4"/>
            <w:vMerge w:val="continue"/>
            <w:shd w:val="clear" w:color="auto" w:fill="FDFDFD"/>
          </w:tcPr>
          <w:p>
            <w:pPr>
              <w:spacing w:after="0"/>
              <w:rPr>
                <w:sz w:val="16"/>
                <w:szCs w:val="16"/>
                <w:color w:val="auto"/>
              </w:rPr>
            </w:pPr>
          </w:p>
        </w:tc>
        <w:tc>
          <w:tcPr>
            <w:tcW w:w="240" w:type="dxa"/>
            <w:vAlign w:val="bottom"/>
            <w:tcBorders>
              <w:bottom w:val="single" w:sz="8" w:color="FDFDFD"/>
            </w:tcBorders>
            <w:shd w:val="clear" w:color="auto" w:fill="FDFDFD"/>
          </w:tcPr>
          <w:p>
            <w:pPr>
              <w:spacing w:after="0"/>
              <w:rPr>
                <w:sz w:val="16"/>
                <w:szCs w:val="16"/>
                <w:color w:val="auto"/>
              </w:rPr>
            </w:pPr>
          </w:p>
        </w:tc>
        <w:tc>
          <w:tcPr>
            <w:tcW w:w="720" w:type="dxa"/>
            <w:vAlign w:val="bottom"/>
            <w:tcBorders>
              <w:bottom w:val="single" w:sz="8" w:color="FDFDF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120" w:type="dxa"/>
            <w:vAlign w:val="bottom"/>
            <w:tcBorders>
              <w:bottom w:val="single" w:sz="8" w:color="auto"/>
            </w:tcBorders>
            <w:shd w:val="clear" w:color="auto" w:fill="FDFDFD"/>
          </w:tcPr>
          <w:p>
            <w:pPr>
              <w:spacing w:after="0"/>
              <w:rPr>
                <w:sz w:val="16"/>
                <w:szCs w:val="16"/>
                <w:color w:val="auto"/>
              </w:rPr>
            </w:pPr>
          </w:p>
        </w:tc>
        <w:tc>
          <w:tcPr>
            <w:tcW w:w="120" w:type="dxa"/>
            <w:vAlign w:val="bottom"/>
            <w:tcBorders>
              <w:bottom w:val="single" w:sz="8" w:color="auto"/>
            </w:tcBorders>
            <w:shd w:val="clear" w:color="auto" w:fill="FDFDFD"/>
          </w:tcPr>
          <w:p>
            <w:pPr>
              <w:spacing w:after="0"/>
              <w:rPr>
                <w:sz w:val="16"/>
                <w:szCs w:val="16"/>
                <w:color w:val="auto"/>
              </w:rPr>
            </w:pPr>
          </w:p>
        </w:tc>
        <w:tc>
          <w:tcPr>
            <w:tcW w:w="800" w:type="dxa"/>
            <w:vAlign w:val="bottom"/>
            <w:tcBorders>
              <w:bottom w:val="single" w:sz="8" w:color="auto"/>
            </w:tcBorders>
            <w:shd w:val="clear" w:color="auto" w:fill="FDFDFD"/>
          </w:tcPr>
          <w:p>
            <w:pPr>
              <w:jc w:val="right"/>
              <w:ind w:right="36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Borders>
              <w:bottom w:val="single" w:sz="8" w:color="FDFDFD"/>
            </w:tcBorders>
            <w:shd w:val="clear" w:color="auto" w:fill="FDFDFD"/>
          </w:tcPr>
          <w:p>
            <w:pPr>
              <w:spacing w:after="0"/>
              <w:rPr>
                <w:sz w:val="16"/>
                <w:szCs w:val="16"/>
                <w:color w:val="auto"/>
              </w:rPr>
            </w:pPr>
          </w:p>
        </w:tc>
        <w:tc>
          <w:tcPr>
            <w:tcW w:w="20" w:type="dxa"/>
            <w:vAlign w:val="bottom"/>
            <w:tcBorders>
              <w:bottom w:val="single" w:sz="8" w:color="FDFDFD"/>
            </w:tcBorders>
            <w:shd w:val="clear" w:color="auto" w:fill="FDFDFD"/>
          </w:tcPr>
          <w:p>
            <w:pPr>
              <w:spacing w:after="0"/>
              <w:rPr>
                <w:sz w:val="16"/>
                <w:szCs w:val="16"/>
                <w:color w:val="auto"/>
              </w:rPr>
            </w:pPr>
          </w:p>
        </w:tc>
        <w:tc>
          <w:tcPr>
            <w:tcW w:w="200" w:type="dxa"/>
            <w:vAlign w:val="bottom"/>
            <w:tcBorders>
              <w:bottom w:val="single" w:sz="8" w:color="auto"/>
            </w:tcBorders>
            <w:shd w:val="clear" w:color="auto" w:fill="FDFDFD"/>
          </w:tcPr>
          <w:p>
            <w:pPr>
              <w:spacing w:after="0"/>
              <w:rPr>
                <w:sz w:val="16"/>
                <w:szCs w:val="16"/>
                <w:color w:val="auto"/>
              </w:rPr>
            </w:pPr>
          </w:p>
        </w:tc>
        <w:tc>
          <w:tcPr>
            <w:tcW w:w="220" w:type="dxa"/>
            <w:vAlign w:val="bottom"/>
            <w:tcBorders>
              <w:bottom w:val="single" w:sz="8" w:color="auto"/>
            </w:tcBorders>
            <w:shd w:val="clear" w:color="auto" w:fill="FDFDFD"/>
          </w:tcPr>
          <w:p>
            <w:pPr>
              <w:spacing w:after="0"/>
              <w:rPr>
                <w:sz w:val="16"/>
                <w:szCs w:val="16"/>
                <w:color w:val="auto"/>
              </w:rPr>
            </w:pPr>
          </w:p>
        </w:tc>
        <w:tc>
          <w:tcPr>
            <w:tcW w:w="940" w:type="dxa"/>
            <w:vAlign w:val="bottom"/>
            <w:tcBorders>
              <w:bottom w:val="single" w:sz="8" w:color="auto"/>
            </w:tcBorders>
            <w:shd w:val="clear" w:color="auto" w:fill="FDFDFD"/>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FDFDFD"/>
            </w:tcBorders>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860" w:type="dxa"/>
            <w:vAlign w:val="bottom"/>
            <w:tcBorders>
              <w:bottom w:val="single" w:sz="8" w:color="auto"/>
            </w:tcBorders>
            <w:gridSpan w:val="2"/>
            <w:shd w:val="clear" w:color="auto" w:fill="FDFDFD"/>
          </w:tcPr>
          <w:p>
            <w:pPr>
              <w:spacing w:after="0" w:line="212" w:lineRule="exact"/>
              <w:rPr>
                <w:sz w:val="20"/>
                <w:szCs w:val="20"/>
                <w:color w:val="auto"/>
              </w:rPr>
            </w:pPr>
            <w:r>
              <w:rPr>
                <w:rFonts w:ascii="Times New Roman" w:cs="Times New Roman" w:eastAsia="Times New Roman" w:hAnsi="Times New Roman"/>
                <w:sz w:val="20"/>
                <w:szCs w:val="20"/>
                <w:color w:val="auto"/>
                <w:w w:val="99"/>
              </w:rPr>
              <w:t>Supplemental Cash Flow and Other Information</w:t>
            </w:r>
          </w:p>
        </w:tc>
        <w:tc>
          <w:tcPr>
            <w:tcW w:w="1840" w:type="dxa"/>
            <w:vAlign w:val="bottom"/>
            <w:tcBorders>
              <w:bottom w:val="single" w:sz="8" w:color="FDFDFD"/>
            </w:tcBorders>
            <w:gridSpan w:val="2"/>
            <w:shd w:val="clear" w:color="auto" w:fill="FDFDFD"/>
          </w:tcPr>
          <w:p>
            <w:pPr>
              <w:spacing w:after="0"/>
              <w:rPr>
                <w:sz w:val="18"/>
                <w:szCs w:val="18"/>
                <w:color w:val="auto"/>
              </w:rPr>
            </w:pPr>
          </w:p>
        </w:tc>
        <w:tc>
          <w:tcPr>
            <w:tcW w:w="240" w:type="dxa"/>
            <w:vAlign w:val="bottom"/>
            <w:tcBorders>
              <w:bottom w:val="single" w:sz="8" w:color="FDFDFD"/>
            </w:tcBorders>
            <w:shd w:val="clear" w:color="auto" w:fill="FDFDFD"/>
          </w:tcPr>
          <w:p>
            <w:pPr>
              <w:spacing w:after="0"/>
              <w:rPr>
                <w:sz w:val="18"/>
                <w:szCs w:val="18"/>
                <w:color w:val="auto"/>
              </w:rPr>
            </w:pPr>
          </w:p>
        </w:tc>
        <w:tc>
          <w:tcPr>
            <w:tcW w:w="720" w:type="dxa"/>
            <w:vAlign w:val="bottom"/>
            <w:tcBorders>
              <w:bottom w:val="single" w:sz="8" w:color="FDFDFD"/>
            </w:tcBorders>
            <w:shd w:val="clear" w:color="auto" w:fill="FDFDFD"/>
          </w:tcPr>
          <w:p>
            <w:pPr>
              <w:spacing w:after="0"/>
              <w:rPr>
                <w:sz w:val="18"/>
                <w:szCs w:val="18"/>
                <w:color w:val="auto"/>
              </w:rPr>
            </w:pPr>
          </w:p>
        </w:tc>
        <w:tc>
          <w:tcPr>
            <w:tcW w:w="100" w:type="dxa"/>
            <w:vAlign w:val="bottom"/>
            <w:tcBorders>
              <w:bottom w:val="single" w:sz="8" w:color="FDFDFD"/>
            </w:tcBorders>
            <w:shd w:val="clear" w:color="auto" w:fill="FDFDFD"/>
          </w:tcPr>
          <w:p>
            <w:pPr>
              <w:spacing w:after="0"/>
              <w:rPr>
                <w:sz w:val="18"/>
                <w:szCs w:val="18"/>
                <w:color w:val="auto"/>
              </w:rPr>
            </w:pPr>
          </w:p>
        </w:tc>
        <w:tc>
          <w:tcPr>
            <w:tcW w:w="100" w:type="dxa"/>
            <w:vAlign w:val="bottom"/>
            <w:tcBorders>
              <w:bottom w:val="single" w:sz="8" w:color="FDFDFD"/>
            </w:tcBorders>
            <w:shd w:val="clear" w:color="auto" w:fill="FDFDFD"/>
          </w:tcPr>
          <w:p>
            <w:pPr>
              <w:spacing w:after="0"/>
              <w:rPr>
                <w:sz w:val="18"/>
                <w:szCs w:val="18"/>
                <w:color w:val="auto"/>
              </w:rPr>
            </w:pPr>
          </w:p>
        </w:tc>
        <w:tc>
          <w:tcPr>
            <w:tcW w:w="120" w:type="dxa"/>
            <w:vAlign w:val="bottom"/>
            <w:tcBorders>
              <w:bottom w:val="single" w:sz="8" w:color="FDFDFD"/>
            </w:tcBorders>
            <w:shd w:val="clear" w:color="auto" w:fill="FDFDFD"/>
          </w:tcPr>
          <w:p>
            <w:pPr>
              <w:spacing w:after="0"/>
              <w:rPr>
                <w:sz w:val="18"/>
                <w:szCs w:val="18"/>
                <w:color w:val="auto"/>
              </w:rPr>
            </w:pPr>
          </w:p>
        </w:tc>
        <w:tc>
          <w:tcPr>
            <w:tcW w:w="120" w:type="dxa"/>
            <w:vAlign w:val="bottom"/>
            <w:tcBorders>
              <w:bottom w:val="single" w:sz="8" w:color="FDFDFD"/>
            </w:tcBorders>
            <w:shd w:val="clear" w:color="auto" w:fill="FDFDFD"/>
          </w:tcPr>
          <w:p>
            <w:pPr>
              <w:spacing w:after="0"/>
              <w:rPr>
                <w:sz w:val="18"/>
                <w:szCs w:val="18"/>
                <w:color w:val="auto"/>
              </w:rPr>
            </w:pPr>
          </w:p>
        </w:tc>
        <w:tc>
          <w:tcPr>
            <w:tcW w:w="800" w:type="dxa"/>
            <w:vAlign w:val="bottom"/>
            <w:tcBorders>
              <w:bottom w:val="single" w:sz="8" w:color="FDFDFD"/>
            </w:tcBorders>
            <w:shd w:val="clear" w:color="auto" w:fill="FDFDFD"/>
          </w:tcPr>
          <w:p>
            <w:pPr>
              <w:spacing w:after="0"/>
              <w:rPr>
                <w:sz w:val="18"/>
                <w:szCs w:val="18"/>
                <w:color w:val="auto"/>
              </w:rPr>
            </w:pPr>
          </w:p>
        </w:tc>
        <w:tc>
          <w:tcPr>
            <w:tcW w:w="240" w:type="dxa"/>
            <w:vAlign w:val="bottom"/>
            <w:tcBorders>
              <w:bottom w:val="single" w:sz="8" w:color="FDFDFD"/>
            </w:tcBorders>
            <w:shd w:val="clear" w:color="auto" w:fill="FDFDFD"/>
          </w:tcPr>
          <w:p>
            <w:pPr>
              <w:spacing w:after="0"/>
              <w:rPr>
                <w:sz w:val="18"/>
                <w:szCs w:val="18"/>
                <w:color w:val="auto"/>
              </w:rPr>
            </w:pPr>
          </w:p>
        </w:tc>
        <w:tc>
          <w:tcPr>
            <w:tcW w:w="20" w:type="dxa"/>
            <w:vAlign w:val="bottom"/>
            <w:tcBorders>
              <w:bottom w:val="single" w:sz="8" w:color="FDFDFD"/>
            </w:tcBorders>
            <w:shd w:val="clear" w:color="auto" w:fill="FDFDFD"/>
          </w:tcPr>
          <w:p>
            <w:pPr>
              <w:spacing w:after="0"/>
              <w:rPr>
                <w:sz w:val="18"/>
                <w:szCs w:val="18"/>
                <w:color w:val="auto"/>
              </w:rPr>
            </w:pPr>
          </w:p>
        </w:tc>
        <w:tc>
          <w:tcPr>
            <w:tcW w:w="200" w:type="dxa"/>
            <w:vAlign w:val="bottom"/>
            <w:tcBorders>
              <w:bottom w:val="single" w:sz="8" w:color="FDFDFD"/>
            </w:tcBorders>
            <w:shd w:val="clear" w:color="auto" w:fill="FDFDFD"/>
          </w:tcPr>
          <w:p>
            <w:pPr>
              <w:spacing w:after="0"/>
              <w:rPr>
                <w:sz w:val="18"/>
                <w:szCs w:val="18"/>
                <w:color w:val="auto"/>
              </w:rPr>
            </w:pPr>
          </w:p>
        </w:tc>
        <w:tc>
          <w:tcPr>
            <w:tcW w:w="220" w:type="dxa"/>
            <w:vAlign w:val="bottom"/>
            <w:tcBorders>
              <w:bottom w:val="single" w:sz="8" w:color="FDFDFD"/>
            </w:tcBorders>
            <w:shd w:val="clear" w:color="auto" w:fill="FDFDFD"/>
          </w:tcPr>
          <w:p>
            <w:pPr>
              <w:spacing w:after="0"/>
              <w:rPr>
                <w:sz w:val="18"/>
                <w:szCs w:val="18"/>
                <w:color w:val="auto"/>
              </w:rPr>
            </w:pPr>
          </w:p>
        </w:tc>
        <w:tc>
          <w:tcPr>
            <w:tcW w:w="940" w:type="dxa"/>
            <w:vAlign w:val="bottom"/>
            <w:tcBorders>
              <w:bottom w:val="single" w:sz="8" w:color="FDFDFD"/>
            </w:tcBorders>
            <w:shd w:val="clear" w:color="auto" w:fill="FDFDFD"/>
          </w:tcPr>
          <w:p>
            <w:pPr>
              <w:spacing w:after="0"/>
              <w:rPr>
                <w:sz w:val="18"/>
                <w:szCs w:val="18"/>
                <w:color w:val="auto"/>
              </w:rPr>
            </w:pPr>
          </w:p>
        </w:tc>
        <w:tc>
          <w:tcPr>
            <w:tcW w:w="80" w:type="dxa"/>
            <w:vAlign w:val="bottom"/>
            <w:tcBorders>
              <w:bottom w:val="single" w:sz="8" w:color="FDFDFD"/>
            </w:tcBorders>
            <w:shd w:val="clear" w:color="auto" w:fill="FDFDFD"/>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4"/>
            <w:shd w:val="clear" w:color="auto" w:fill="E3E3E3"/>
          </w:tcPr>
          <w:p>
            <w:pPr>
              <w:spacing w:after="0" w:line="223" w:lineRule="exact"/>
              <w:rPr>
                <w:sz w:val="20"/>
                <w:szCs w:val="20"/>
                <w:color w:val="auto"/>
              </w:rPr>
            </w:pPr>
            <w:r>
              <w:rPr>
                <w:rFonts w:ascii="Times New Roman" w:cs="Times New Roman" w:eastAsia="Times New Roman" w:hAnsi="Times New Roman"/>
                <w:sz w:val="20"/>
                <w:szCs w:val="20"/>
                <w:color w:val="auto"/>
              </w:rPr>
              <w:t>Cash paid for amounts included in measurement of lease liabilities and</w:t>
            </w:r>
          </w:p>
        </w:tc>
        <w:tc>
          <w:tcPr>
            <w:tcW w:w="24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80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94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70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capitalized operating leases:</w:t>
            </w:r>
          </w:p>
        </w:tc>
        <w:tc>
          <w:tcPr>
            <w:tcW w:w="24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8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gridSpan w:val="4"/>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Operating cash flows</w:t>
            </w:r>
          </w:p>
        </w:tc>
        <w:tc>
          <w:tcPr>
            <w:tcW w:w="240" w:type="dxa"/>
            <w:vAlign w:val="bottom"/>
            <w:shd w:val="clear" w:color="auto" w:fill="FDFDFD"/>
          </w:tcPr>
          <w:p>
            <w:pPr>
              <w:spacing w:after="0"/>
              <w:rPr>
                <w:sz w:val="21"/>
                <w:szCs w:val="21"/>
                <w:color w:val="auto"/>
              </w:rPr>
            </w:pPr>
          </w:p>
        </w:tc>
        <w:tc>
          <w:tcPr>
            <w:tcW w:w="920" w:type="dxa"/>
            <w:vAlign w:val="bottom"/>
            <w:gridSpan w:val="3"/>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2,710</w:t>
            </w:r>
          </w:p>
        </w:tc>
        <w:tc>
          <w:tcPr>
            <w:tcW w:w="240" w:type="dxa"/>
            <w:vAlign w:val="bottom"/>
            <w:shd w:val="clear" w:color="auto" w:fill="FDFDFD"/>
          </w:tcPr>
          <w:p>
            <w:pPr>
              <w:spacing w:after="0"/>
              <w:rPr>
                <w:sz w:val="21"/>
                <w:szCs w:val="21"/>
                <w:color w:val="auto"/>
              </w:rPr>
            </w:pPr>
          </w:p>
        </w:tc>
        <w:tc>
          <w:tcPr>
            <w:tcW w:w="22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shd w:val="clear" w:color="auto" w:fill="FDFDFD"/>
          </w:tcPr>
          <w:p>
            <w:pPr>
              <w:spacing w:after="0"/>
              <w:rPr>
                <w:sz w:val="21"/>
                <w:szCs w:val="21"/>
                <w:color w:val="auto"/>
              </w:rPr>
            </w:pP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2,052</w:t>
            </w:r>
          </w:p>
        </w:tc>
        <w:tc>
          <w:tcPr>
            <w:tcW w:w="8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gridSpan w:val="4"/>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8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gridSpan w:val="4"/>
            <w:shd w:val="clear" w:color="auto" w:fill="FDFDFD"/>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lease liabilities:</w:t>
            </w:r>
          </w:p>
        </w:tc>
        <w:tc>
          <w:tcPr>
            <w:tcW w:w="240" w:type="dxa"/>
            <w:vAlign w:val="bottom"/>
            <w:shd w:val="clear" w:color="auto" w:fill="FDFDFD"/>
          </w:tcPr>
          <w:p>
            <w:pPr>
              <w:spacing w:after="0"/>
              <w:rPr>
                <w:sz w:val="21"/>
                <w:szCs w:val="21"/>
                <w:color w:val="auto"/>
              </w:rPr>
            </w:pPr>
          </w:p>
        </w:tc>
        <w:tc>
          <w:tcPr>
            <w:tcW w:w="72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0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20" w:type="dxa"/>
            <w:vAlign w:val="bottom"/>
            <w:shd w:val="clear" w:color="auto" w:fill="FDFDFD"/>
          </w:tcPr>
          <w:p>
            <w:pPr>
              <w:spacing w:after="0"/>
              <w:rPr>
                <w:sz w:val="21"/>
                <w:szCs w:val="21"/>
                <w:color w:val="auto"/>
              </w:rPr>
            </w:pPr>
          </w:p>
        </w:tc>
        <w:tc>
          <w:tcPr>
            <w:tcW w:w="20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94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00" w:type="dxa"/>
            <w:vAlign w:val="bottom"/>
            <w:gridSpan w:val="4"/>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Capitalized operating leases</w:t>
            </w:r>
          </w:p>
        </w:tc>
        <w:tc>
          <w:tcPr>
            <w:tcW w:w="240" w:type="dxa"/>
            <w:vAlign w:val="bottom"/>
            <w:shd w:val="clear" w:color="auto" w:fill="E3E3E3"/>
          </w:tcPr>
          <w:p>
            <w:pPr>
              <w:spacing w:after="0"/>
              <w:rPr>
                <w:sz w:val="21"/>
                <w:szCs w:val="21"/>
                <w:color w:val="auto"/>
              </w:rPr>
            </w:pPr>
          </w:p>
        </w:tc>
        <w:tc>
          <w:tcPr>
            <w:tcW w:w="920" w:type="dxa"/>
            <w:vAlign w:val="bottom"/>
            <w:gridSpan w:val="3"/>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240" w:type="dxa"/>
            <w:vAlign w:val="bottom"/>
            <w:shd w:val="clear" w:color="auto" w:fill="E3E3E3"/>
          </w:tcPr>
          <w:p>
            <w:pPr>
              <w:spacing w:after="0"/>
              <w:rPr>
                <w:sz w:val="21"/>
                <w:szCs w:val="21"/>
                <w:color w:val="auto"/>
              </w:rPr>
            </w:pPr>
          </w:p>
        </w:tc>
        <w:tc>
          <w:tcPr>
            <w:tcW w:w="22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shd w:val="clear" w:color="auto" w:fill="E3E3E3"/>
          </w:tcPr>
          <w:p>
            <w:pPr>
              <w:spacing w:after="0"/>
              <w:rPr>
                <w:sz w:val="21"/>
                <w:szCs w:val="21"/>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1,563</w:t>
            </w: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20" w:top="803" w:right="860" w:bottom="8" w:gutter="0" w:footer="0" w:header="0"/>
        </w:sectPr>
      </w:pP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F-26</w:t>
      </w:r>
    </w:p>
    <w:p>
      <w:pPr>
        <w:sectPr>
          <w:pgSz w:w="11880" w:h="15480" w:orient="portrait"/>
          <w:cols w:equalWidth="0" w:num="1">
            <w:col w:w="10200"/>
          </w:cols>
          <w:pgMar w:left="820" w:top="803" w:right="860" w:bottom="8" w:gutter="0" w:footer="0" w:header="0"/>
          <w:type w:val="continuous"/>
        </w:sectPr>
      </w:pPr>
    </w:p>
    <w:bookmarkStart w:id="118" w:name="page119"/>
    <w:bookmarkEnd w:id="118"/>
    <w:p>
      <w:pPr>
        <w:ind w:left="500"/>
        <w:spacing w:after="0"/>
        <w:rPr>
          <w:sz w:val="20"/>
          <w:szCs w:val="20"/>
          <w:color w:val="auto"/>
        </w:rPr>
      </w:pPr>
      <w:r>
        <w:rPr>
          <w:rFonts w:ascii="Times New Roman" w:cs="Times New Roman" w:eastAsia="Times New Roman" w:hAnsi="Times New Roman"/>
          <w:sz w:val="20"/>
          <w:szCs w:val="20"/>
          <w:color w:val="auto"/>
        </w:rPr>
        <w:t>Lease term and discount rate consisted of the following as of:</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269"/>
        </w:trPr>
        <w:tc>
          <w:tcPr>
            <w:tcW w:w="6440" w:type="dxa"/>
            <w:vAlign w:val="bottom"/>
            <w:shd w:val="clear" w:color="auto" w:fill="FDFDFD"/>
          </w:tcPr>
          <w:p>
            <w:pPr>
              <w:spacing w:after="0"/>
              <w:rPr>
                <w:sz w:val="23"/>
                <w:szCs w:val="23"/>
                <w:color w:val="auto"/>
              </w:rPr>
            </w:pPr>
          </w:p>
        </w:tc>
        <w:tc>
          <w:tcPr>
            <w:tcW w:w="100" w:type="dxa"/>
            <w:vAlign w:val="bottom"/>
            <w:shd w:val="clear" w:color="auto" w:fill="FDFDFD"/>
          </w:tcPr>
          <w:p>
            <w:pPr>
              <w:spacing w:after="0"/>
              <w:rPr>
                <w:sz w:val="23"/>
                <w:szCs w:val="23"/>
                <w:color w:val="auto"/>
              </w:rPr>
            </w:pPr>
          </w:p>
        </w:tc>
        <w:tc>
          <w:tcPr>
            <w:tcW w:w="1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80" w:type="dxa"/>
            <w:vAlign w:val="bottom"/>
            <w:shd w:val="clear" w:color="auto" w:fill="FDFDFD"/>
          </w:tcPr>
          <w:p>
            <w:pPr>
              <w:spacing w:after="0"/>
              <w:rPr>
                <w:sz w:val="23"/>
                <w:szCs w:val="23"/>
                <w:color w:val="auto"/>
              </w:rPr>
            </w:pPr>
          </w:p>
        </w:tc>
        <w:tc>
          <w:tcPr>
            <w:tcW w:w="14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20"/>
        </w:trPr>
        <w:tc>
          <w:tcPr>
            <w:tcW w:w="644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Weighted-average remaining lease term (in years):</w:t>
            </w:r>
          </w:p>
        </w:tc>
        <w:tc>
          <w:tcPr>
            <w:tcW w:w="100" w:type="dxa"/>
            <w:vAlign w:val="bottom"/>
            <w:tcBorders>
              <w:top w:val="single" w:sz="8" w:color="E3E3E3"/>
            </w:tcBorders>
            <w:shd w:val="clear" w:color="auto" w:fill="E3E3E3"/>
          </w:tcPr>
          <w:p>
            <w:pPr>
              <w:spacing w:after="0"/>
              <w:rPr>
                <w:sz w:val="19"/>
                <w:szCs w:val="19"/>
                <w:color w:val="auto"/>
              </w:rPr>
            </w:pPr>
          </w:p>
        </w:tc>
        <w:tc>
          <w:tcPr>
            <w:tcW w:w="1320" w:type="dxa"/>
            <w:vAlign w:val="bottom"/>
            <w:tcBorders>
              <w:top w:val="single" w:sz="8" w:color="auto"/>
            </w:tcBorders>
            <w:shd w:val="clear" w:color="auto" w:fill="E3E3E3"/>
          </w:tcPr>
          <w:p>
            <w:pPr>
              <w:spacing w:after="0"/>
              <w:rPr>
                <w:sz w:val="19"/>
                <w:szCs w:val="19"/>
                <w:color w:val="auto"/>
              </w:rPr>
            </w:pPr>
          </w:p>
        </w:tc>
        <w:tc>
          <w:tcPr>
            <w:tcW w:w="280" w:type="dxa"/>
            <w:vAlign w:val="bottom"/>
            <w:tcBorders>
              <w:top w:val="single" w:sz="8" w:color="E3E3E3"/>
            </w:tcBorders>
            <w:shd w:val="clear" w:color="auto" w:fill="E3E3E3"/>
          </w:tcPr>
          <w:p>
            <w:pPr>
              <w:spacing w:after="0"/>
              <w:rPr>
                <w:sz w:val="19"/>
                <w:szCs w:val="19"/>
                <w:color w:val="auto"/>
              </w:rPr>
            </w:pPr>
          </w:p>
        </w:tc>
        <w:tc>
          <w:tcPr>
            <w:tcW w:w="1300" w:type="dxa"/>
            <w:vAlign w:val="bottom"/>
            <w:tcBorders>
              <w:top w:val="single" w:sz="8" w:color="auto"/>
            </w:tcBorders>
            <w:shd w:val="clear" w:color="auto" w:fill="E3E3E3"/>
          </w:tcPr>
          <w:p>
            <w:pPr>
              <w:spacing w:after="0"/>
              <w:rPr>
                <w:sz w:val="19"/>
                <w:szCs w:val="19"/>
                <w:color w:val="auto"/>
              </w:rPr>
            </w:pPr>
          </w:p>
        </w:tc>
        <w:tc>
          <w:tcPr>
            <w:tcW w:w="160" w:type="dxa"/>
            <w:vAlign w:val="bottom"/>
            <w:tcBorders>
              <w:top w:val="single" w:sz="8" w:color="E3E3E3"/>
            </w:tcBorders>
            <w:shd w:val="clear" w:color="auto" w:fill="E3E3E3"/>
          </w:tcPr>
          <w:p>
            <w:pPr>
              <w:spacing w:after="0"/>
              <w:rPr>
                <w:sz w:val="19"/>
                <w:szCs w:val="19"/>
                <w:color w:val="auto"/>
              </w:rPr>
            </w:pPr>
          </w:p>
        </w:tc>
      </w:tr>
      <w:tr>
        <w:trPr>
          <w:trHeight w:val="230"/>
        </w:trPr>
        <w:tc>
          <w:tcPr>
            <w:tcW w:w="6440" w:type="dxa"/>
            <w:vAlign w:val="bottom"/>
            <w:shd w:val="clear" w:color="auto" w:fill="FDFDFD"/>
          </w:tcPr>
          <w:p>
            <w:pPr>
              <w:jc w:val="center"/>
              <w:ind w:right="3700"/>
              <w:spacing w:after="0"/>
              <w:rPr>
                <w:sz w:val="20"/>
                <w:szCs w:val="20"/>
                <w:color w:val="auto"/>
              </w:rPr>
            </w:pPr>
            <w:r>
              <w:rPr>
                <w:rFonts w:ascii="Times New Roman" w:cs="Times New Roman" w:eastAsia="Times New Roman" w:hAnsi="Times New Roman"/>
                <w:sz w:val="20"/>
                <w:szCs w:val="20"/>
                <w:color w:val="auto"/>
                <w:w w:val="99"/>
              </w:rPr>
              <w:t>Capitalized operating leases</w:t>
            </w:r>
          </w:p>
        </w:tc>
        <w:tc>
          <w:tcPr>
            <w:tcW w:w="100" w:type="dxa"/>
            <w:vAlign w:val="bottom"/>
            <w:shd w:val="clear" w:color="auto" w:fill="FDFDFD"/>
          </w:tcPr>
          <w:p>
            <w:pPr>
              <w:spacing w:after="0"/>
              <w:rPr>
                <w:sz w:val="19"/>
                <w:szCs w:val="19"/>
                <w:color w:val="auto"/>
              </w:rPr>
            </w:pPr>
          </w:p>
        </w:tc>
        <w:tc>
          <w:tcPr>
            <w:tcW w:w="1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28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160" w:type="dxa"/>
            <w:vAlign w:val="bottom"/>
            <w:shd w:val="clear" w:color="auto" w:fill="FDFDFD"/>
          </w:tcPr>
          <w:p>
            <w:pPr>
              <w:spacing w:after="0"/>
              <w:rPr>
                <w:sz w:val="19"/>
                <w:szCs w:val="19"/>
                <w:color w:val="auto"/>
              </w:rPr>
            </w:pPr>
          </w:p>
        </w:tc>
      </w:tr>
      <w:tr>
        <w:trPr>
          <w:trHeight w:val="230"/>
        </w:trPr>
        <w:tc>
          <w:tcPr>
            <w:tcW w:w="64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2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r>
      <w:tr>
        <w:trPr>
          <w:trHeight w:val="230"/>
        </w:trPr>
        <w:tc>
          <w:tcPr>
            <w:tcW w:w="6440" w:type="dxa"/>
            <w:vAlign w:val="bottom"/>
            <w:shd w:val="clear" w:color="auto" w:fill="FDFDFD"/>
          </w:tcPr>
          <w:p>
            <w:pPr>
              <w:jc w:val="center"/>
              <w:ind w:right="3740"/>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100" w:type="dxa"/>
            <w:vAlign w:val="bottom"/>
            <w:shd w:val="clear" w:color="auto" w:fill="FDFDFD"/>
          </w:tcPr>
          <w:p>
            <w:pPr>
              <w:spacing w:after="0"/>
              <w:rPr>
                <w:sz w:val="19"/>
                <w:szCs w:val="19"/>
                <w:color w:val="auto"/>
              </w:rPr>
            </w:pPr>
          </w:p>
        </w:tc>
        <w:tc>
          <w:tcPr>
            <w:tcW w:w="132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3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r>
      <w:tr>
        <w:trPr>
          <w:trHeight w:val="230"/>
        </w:trPr>
        <w:tc>
          <w:tcPr>
            <w:tcW w:w="6440" w:type="dxa"/>
            <w:vAlign w:val="bottom"/>
            <w:shd w:val="clear" w:color="auto" w:fill="E3E3E3"/>
          </w:tcPr>
          <w:p>
            <w:pPr>
              <w:jc w:val="center"/>
              <w:ind w:right="3700"/>
              <w:spacing w:after="0"/>
              <w:rPr>
                <w:sz w:val="20"/>
                <w:szCs w:val="20"/>
                <w:color w:val="auto"/>
              </w:rPr>
            </w:pPr>
            <w:r>
              <w:rPr>
                <w:rFonts w:ascii="Times New Roman" w:cs="Times New Roman" w:eastAsia="Times New Roman" w:hAnsi="Times New Roman"/>
                <w:sz w:val="20"/>
                <w:szCs w:val="20"/>
                <w:color w:val="auto"/>
                <w:w w:val="99"/>
              </w:rPr>
              <w:t>Capitalized operating leases</w:t>
            </w:r>
          </w:p>
        </w:tc>
        <w:tc>
          <w:tcPr>
            <w:tcW w:w="1700" w:type="dxa"/>
            <w:vAlign w:val="bottom"/>
            <w:gridSpan w:val="3"/>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auto"/>
              </w:rPr>
              <w:t>4.6%</w:t>
            </w:r>
          </w:p>
        </w:tc>
        <w:tc>
          <w:tcPr>
            <w:tcW w:w="14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4.6%</w:t>
            </w:r>
          </w:p>
        </w:tc>
      </w:tr>
    </w:tbl>
    <w:p>
      <w:pPr>
        <w:spacing w:after="0" w:line="339"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The table below reconciles the undiscounted future minimum lease payments (displayed by year and in the aggregate) under noncancelable operating leases with terms of more than one year to the total operating lease liabilities recognized on the consolidated balance sheets as of December 31, 2024.</w:t>
      </w:r>
    </w:p>
    <w:p>
      <w:pPr>
        <w:spacing w:after="0" w:line="6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58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640" w:type="dxa"/>
            <w:vAlign w:val="bottom"/>
            <w:shd w:val="clear" w:color="auto" w:fill="FDFDFD"/>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Capitalized Operating</w:t>
            </w:r>
          </w:p>
        </w:tc>
        <w:tc>
          <w:tcPr>
            <w:tcW w:w="100" w:type="dxa"/>
            <w:vAlign w:val="bottom"/>
            <w:shd w:val="clear" w:color="auto" w:fill="FDFDFD"/>
          </w:tcPr>
          <w:p>
            <w:pPr>
              <w:spacing w:after="0"/>
              <w:rPr>
                <w:sz w:val="16"/>
                <w:szCs w:val="16"/>
                <w:color w:val="auto"/>
              </w:rPr>
            </w:pPr>
          </w:p>
        </w:tc>
      </w:tr>
      <w:tr>
        <w:trPr>
          <w:trHeight w:val="204"/>
        </w:trPr>
        <w:tc>
          <w:tcPr>
            <w:tcW w:w="758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80" w:type="dxa"/>
            <w:vAlign w:val="bottom"/>
            <w:tcBorders>
              <w:bottom w:val="single" w:sz="8" w:color="E3E3E3"/>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1640" w:type="dxa"/>
            <w:vAlign w:val="bottom"/>
            <w:tcBorders>
              <w:bottom w:val="single" w:sz="8" w:color="auto"/>
            </w:tcBorders>
            <w:shd w:val="clear" w:color="auto" w:fill="FDFDFD"/>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Lease</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75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2025</w:t>
            </w:r>
          </w:p>
        </w:tc>
        <w:tc>
          <w:tcPr>
            <w:tcW w:w="180" w:type="dxa"/>
            <w:vAlign w:val="bottom"/>
            <w:shd w:val="clear" w:color="auto" w:fill="E3E3E3"/>
          </w:tcPr>
          <w:p>
            <w:pPr>
              <w:spacing w:after="0"/>
              <w:rPr>
                <w:sz w:val="19"/>
                <w:szCs w:val="19"/>
                <w:color w:val="auto"/>
              </w:rPr>
            </w:pPr>
          </w:p>
        </w:tc>
        <w:tc>
          <w:tcPr>
            <w:tcW w:w="1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6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2,799</w:t>
            </w:r>
          </w:p>
        </w:tc>
        <w:tc>
          <w:tcPr>
            <w:tcW w:w="100" w:type="dxa"/>
            <w:vAlign w:val="bottom"/>
            <w:shd w:val="clear" w:color="auto" w:fill="E3E3E3"/>
          </w:tcPr>
          <w:p>
            <w:pPr>
              <w:spacing w:after="0"/>
              <w:rPr>
                <w:sz w:val="19"/>
                <w:szCs w:val="19"/>
                <w:color w:val="auto"/>
              </w:rPr>
            </w:pPr>
          </w:p>
        </w:tc>
      </w:tr>
      <w:tr>
        <w:trPr>
          <w:trHeight w:val="230"/>
        </w:trPr>
        <w:tc>
          <w:tcPr>
            <w:tcW w:w="75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2026</w:t>
            </w:r>
          </w:p>
        </w:tc>
        <w:tc>
          <w:tcPr>
            <w:tcW w:w="1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6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2,805</w:t>
            </w:r>
          </w:p>
        </w:tc>
        <w:tc>
          <w:tcPr>
            <w:tcW w:w="100" w:type="dxa"/>
            <w:vAlign w:val="bottom"/>
            <w:shd w:val="clear" w:color="auto" w:fill="FDFDFD"/>
          </w:tcPr>
          <w:p>
            <w:pPr>
              <w:spacing w:after="0"/>
              <w:rPr>
                <w:sz w:val="19"/>
                <w:szCs w:val="19"/>
                <w:color w:val="auto"/>
              </w:rPr>
            </w:pPr>
          </w:p>
        </w:tc>
      </w:tr>
      <w:tr>
        <w:trPr>
          <w:trHeight w:val="230"/>
        </w:trPr>
        <w:tc>
          <w:tcPr>
            <w:tcW w:w="75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2027</w:t>
            </w:r>
          </w:p>
        </w:tc>
        <w:tc>
          <w:tcPr>
            <w:tcW w:w="1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7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2,608</w:t>
            </w:r>
          </w:p>
        </w:tc>
      </w:tr>
      <w:tr>
        <w:trPr>
          <w:trHeight w:val="230"/>
        </w:trPr>
        <w:tc>
          <w:tcPr>
            <w:tcW w:w="75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2028</w:t>
            </w:r>
          </w:p>
        </w:tc>
        <w:tc>
          <w:tcPr>
            <w:tcW w:w="1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7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2,366</w:t>
            </w:r>
          </w:p>
        </w:tc>
      </w:tr>
      <w:tr>
        <w:trPr>
          <w:trHeight w:val="230"/>
        </w:trPr>
        <w:tc>
          <w:tcPr>
            <w:tcW w:w="75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2029</w:t>
            </w:r>
          </w:p>
        </w:tc>
        <w:tc>
          <w:tcPr>
            <w:tcW w:w="1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7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310</w:t>
            </w:r>
          </w:p>
        </w:tc>
      </w:tr>
      <w:tr>
        <w:trPr>
          <w:trHeight w:val="230"/>
        </w:trPr>
        <w:tc>
          <w:tcPr>
            <w:tcW w:w="75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Thereafter</w:t>
            </w:r>
          </w:p>
        </w:tc>
        <w:tc>
          <w:tcPr>
            <w:tcW w:w="1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7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580" w:type="dxa"/>
            <w:vAlign w:val="bottom"/>
            <w:tcBorders>
              <w:top w:val="single" w:sz="8" w:color="E3E3E3"/>
              <w:bottom w:val="single" w:sz="8" w:color="FDFDFD"/>
            </w:tcBorders>
            <w:shd w:val="clear" w:color="auto" w:fill="E3E3E3"/>
          </w:tcPr>
          <w:p>
            <w:pPr>
              <w:spacing w:after="0"/>
              <w:rPr>
                <w:sz w:val="22"/>
                <w:szCs w:val="22"/>
                <w:color w:val="auto"/>
              </w:rPr>
            </w:pPr>
          </w:p>
        </w:tc>
        <w:tc>
          <w:tcPr>
            <w:tcW w:w="180" w:type="dxa"/>
            <w:vAlign w:val="bottom"/>
            <w:tcBorders>
              <w:top w:val="single" w:sz="8" w:color="E3E3E3"/>
              <w:bottom w:val="single" w:sz="8" w:color="FDFDFD"/>
            </w:tcBorders>
            <w:shd w:val="clear" w:color="auto" w:fill="E3E3E3"/>
          </w:tcPr>
          <w:p>
            <w:pPr>
              <w:spacing w:after="0"/>
              <w:rPr>
                <w:sz w:val="22"/>
                <w:szCs w:val="22"/>
                <w:color w:val="auto"/>
              </w:rPr>
            </w:pPr>
          </w:p>
        </w:tc>
        <w:tc>
          <w:tcPr>
            <w:tcW w:w="10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64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10,888</w:t>
            </w:r>
          </w:p>
        </w:tc>
        <w:tc>
          <w:tcPr>
            <w:tcW w:w="100" w:type="dxa"/>
            <w:vAlign w:val="bottom"/>
            <w:tcBorders>
              <w:top w:val="single" w:sz="8" w:color="E3E3E3"/>
              <w:bottom w:val="single" w:sz="8" w:color="FDFDFD"/>
            </w:tcBorders>
            <w:shd w:val="clear" w:color="auto" w:fill="E3E3E3"/>
          </w:tcPr>
          <w:p>
            <w:pPr>
              <w:spacing w:after="0"/>
              <w:rPr>
                <w:sz w:val="22"/>
                <w:szCs w:val="22"/>
                <w:color w:val="auto"/>
              </w:rPr>
            </w:pPr>
          </w:p>
        </w:tc>
      </w:tr>
      <w:tr>
        <w:trPr>
          <w:trHeight w:val="215"/>
        </w:trPr>
        <w:tc>
          <w:tcPr>
            <w:tcW w:w="7580" w:type="dxa"/>
            <w:vAlign w:val="bottom"/>
            <w:shd w:val="clear" w:color="auto" w:fill="FDFDFD"/>
          </w:tcPr>
          <w:p>
            <w:pPr>
              <w:spacing w:after="0"/>
              <w:rPr>
                <w:sz w:val="18"/>
                <w:szCs w:val="18"/>
                <w:color w:val="auto"/>
              </w:rPr>
            </w:pPr>
          </w:p>
        </w:tc>
        <w:tc>
          <w:tcPr>
            <w:tcW w:w="18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64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r>
      <w:tr>
        <w:trPr>
          <w:trHeight w:val="230"/>
        </w:trPr>
        <w:tc>
          <w:tcPr>
            <w:tcW w:w="7580" w:type="dxa"/>
            <w:vAlign w:val="bottom"/>
            <w:tcBorders>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Imputed interest</w:t>
            </w:r>
          </w:p>
        </w:tc>
        <w:tc>
          <w:tcPr>
            <w:tcW w:w="180" w:type="dxa"/>
            <w:vAlign w:val="bottom"/>
            <w:tcBorders>
              <w:bottom w:val="single" w:sz="8" w:color="FDFDFD"/>
            </w:tcBorders>
            <w:shd w:val="clear" w:color="auto" w:fill="E3E3E3"/>
          </w:tcPr>
          <w:p>
            <w:pPr>
              <w:spacing w:after="0"/>
              <w:rPr>
                <w:sz w:val="19"/>
                <w:szCs w:val="19"/>
                <w:color w:val="auto"/>
              </w:rPr>
            </w:pPr>
          </w:p>
        </w:tc>
        <w:tc>
          <w:tcPr>
            <w:tcW w:w="100" w:type="dxa"/>
            <w:vAlign w:val="bottom"/>
            <w:tcBorders>
              <w:bottom w:val="single" w:sz="8" w:color="auto"/>
            </w:tcBorders>
            <w:shd w:val="clear" w:color="auto" w:fill="E3E3E3"/>
          </w:tcPr>
          <w:p>
            <w:pPr>
              <w:spacing w:after="0"/>
              <w:rPr>
                <w:sz w:val="19"/>
                <w:szCs w:val="19"/>
                <w:color w:val="auto"/>
              </w:rPr>
            </w:pPr>
          </w:p>
        </w:tc>
        <w:tc>
          <w:tcPr>
            <w:tcW w:w="16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894</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7580" w:type="dxa"/>
            <w:vAlign w:val="bottom"/>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Total operating lease liability balance at December 31, 2024</w:t>
            </w:r>
          </w:p>
        </w:tc>
        <w:tc>
          <w:tcPr>
            <w:tcW w:w="180" w:type="dxa"/>
            <w:vAlign w:val="bottom"/>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64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9,994</w:t>
            </w:r>
          </w:p>
        </w:tc>
        <w:tc>
          <w:tcPr>
            <w:tcW w:w="100" w:type="dxa"/>
            <w:vAlign w:val="bottom"/>
            <w:shd w:val="clear" w:color="auto" w:fill="FDFDFD"/>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ind w:right="360" w:firstLine="490"/>
        <w:spacing w:after="0" w:line="259" w:lineRule="auto"/>
        <w:rPr>
          <w:sz w:val="20"/>
          <w:szCs w:val="20"/>
          <w:color w:val="auto"/>
        </w:rPr>
      </w:pPr>
      <w:r>
        <w:rPr>
          <w:rFonts w:ascii="Times New Roman" w:cs="Times New Roman" w:eastAsia="Times New Roman" w:hAnsi="Times New Roman"/>
          <w:sz w:val="20"/>
          <w:szCs w:val="20"/>
          <w:color w:val="auto"/>
        </w:rPr>
        <w:t>Total rent expense, which was allocated according to headcount to cost of revenue, sales and marketing, product development and general and administrative expenses in the consolidated statements of operations, was $2.0 million, $2.0 million, and $2.4 million for the years ended December 31, 2024, 2023, and 2022, respectively.</w:t>
      </w:r>
    </w:p>
    <w:p>
      <w:pPr>
        <w:sectPr>
          <w:pgSz w:w="11880" w:h="15480" w:orient="portrait"/>
          <w:cols w:equalWidth="0" w:num="1">
            <w:col w:w="10120"/>
          </w:cols>
          <w:pgMar w:left="820" w:top="806" w:right="9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F-27</w:t>
      </w:r>
    </w:p>
    <w:p>
      <w:pPr>
        <w:sectPr>
          <w:pgSz w:w="11880" w:h="15480" w:orient="portrait"/>
          <w:cols w:equalWidth="0" w:num="1">
            <w:col w:w="10120"/>
          </w:cols>
          <w:pgMar w:left="820" w:top="806" w:right="940" w:bottom="8" w:gutter="0" w:footer="0" w:header="0"/>
          <w:type w:val="continuous"/>
        </w:sectPr>
      </w:pPr>
    </w:p>
    <w:bookmarkStart w:id="119" w:name="page120"/>
    <w:bookmarkEnd w:id="119"/>
    <w:p>
      <w:pPr>
        <w:ind w:left="720" w:hanging="712"/>
        <w:spacing w:after="0"/>
        <w:tabs>
          <w:tab w:leader="none" w:pos="72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Short-term Investments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Short-term investments classified as available-for-sale consisted of the following as of:</w:t>
      </w:r>
    </w:p>
    <w:p>
      <w:pPr>
        <w:spacing w:after="0" w:line="13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890" w:type="dxa"/>
            <w:vAlign w:val="bottom"/>
            <w:tcBorders>
              <w:bottom w:val="single" w:sz="8" w:color="FDFDFD"/>
            </w:tcBorders>
            <w:shd w:val="clear" w:color="auto" w:fill="FDFDFD"/>
          </w:tcPr>
          <w:p>
            <w:pPr>
              <w:spacing w:after="0"/>
              <w:rPr>
                <w:sz w:val="17"/>
                <w:szCs w:val="17"/>
                <w:color w:val="auto"/>
              </w:rPr>
            </w:pPr>
          </w:p>
        </w:tc>
        <w:tc>
          <w:tcPr>
            <w:tcW w:w="150" w:type="dxa"/>
            <w:vAlign w:val="bottom"/>
            <w:tcBorders>
              <w:bottom w:val="single" w:sz="8" w:color="FDFDFD"/>
            </w:tcBorders>
            <w:shd w:val="clear" w:color="auto" w:fill="FDFDFD"/>
          </w:tcPr>
          <w:p>
            <w:pPr>
              <w:spacing w:after="0"/>
              <w:rPr>
                <w:sz w:val="17"/>
                <w:szCs w:val="17"/>
                <w:color w:val="auto"/>
              </w:rPr>
            </w:pPr>
          </w:p>
        </w:tc>
        <w:tc>
          <w:tcPr>
            <w:tcW w:w="2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1260" w:type="dxa"/>
            <w:vAlign w:val="bottom"/>
            <w:tcBorders>
              <w:bottom w:val="single" w:sz="8" w:color="auto"/>
            </w:tcBorders>
            <w:shd w:val="clear" w:color="auto" w:fill="FDFDFD"/>
          </w:tcPr>
          <w:p>
            <w:pPr>
              <w:spacing w:after="0"/>
              <w:rPr>
                <w:sz w:val="17"/>
                <w:szCs w:val="17"/>
                <w:color w:val="auto"/>
              </w:rPr>
            </w:pPr>
          </w:p>
        </w:tc>
        <w:tc>
          <w:tcPr>
            <w:tcW w:w="240" w:type="dxa"/>
            <w:vAlign w:val="bottom"/>
            <w:tcBorders>
              <w:bottom w:val="single" w:sz="8" w:color="auto"/>
            </w:tcBorders>
            <w:shd w:val="clear" w:color="auto" w:fill="FDFDFD"/>
          </w:tcPr>
          <w:p>
            <w:pPr>
              <w:spacing w:after="0"/>
              <w:rPr>
                <w:sz w:val="17"/>
                <w:szCs w:val="17"/>
                <w:color w:val="auto"/>
              </w:rPr>
            </w:pPr>
          </w:p>
        </w:tc>
        <w:tc>
          <w:tcPr>
            <w:tcW w:w="20" w:type="dxa"/>
            <w:vAlign w:val="bottom"/>
            <w:tcBorders>
              <w:bottom w:val="single" w:sz="8" w:color="auto"/>
            </w:tcBorders>
            <w:shd w:val="clear" w:color="auto" w:fill="FDFDFD"/>
          </w:tcPr>
          <w:p>
            <w:pPr>
              <w:spacing w:after="0"/>
              <w:rPr>
                <w:sz w:val="17"/>
                <w:szCs w:val="17"/>
                <w:color w:val="auto"/>
              </w:rPr>
            </w:pPr>
          </w:p>
        </w:tc>
        <w:tc>
          <w:tcPr>
            <w:tcW w:w="280" w:type="dxa"/>
            <w:vAlign w:val="bottom"/>
            <w:tcBorders>
              <w:bottom w:val="single" w:sz="8" w:color="auto"/>
            </w:tcBorders>
            <w:shd w:val="clear" w:color="auto" w:fill="FDFDFD"/>
          </w:tcPr>
          <w:p>
            <w:pPr>
              <w:spacing w:after="0"/>
              <w:rPr>
                <w:sz w:val="17"/>
                <w:szCs w:val="17"/>
                <w:color w:val="auto"/>
              </w:rPr>
            </w:pPr>
          </w:p>
        </w:tc>
        <w:tc>
          <w:tcPr>
            <w:tcW w:w="2340" w:type="dxa"/>
            <w:vAlign w:val="bottom"/>
            <w:tcBorders>
              <w:bottom w:val="single" w:sz="8" w:color="auto"/>
            </w:tcBorders>
            <w:gridSpan w:val="4"/>
            <w:shd w:val="clear" w:color="auto" w:fill="FDFDFD"/>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80" w:type="dxa"/>
            <w:vAlign w:val="bottom"/>
            <w:tcBorders>
              <w:bottom w:val="single" w:sz="8" w:color="auto"/>
            </w:tcBorders>
            <w:shd w:val="clear" w:color="auto" w:fill="FDFDFD"/>
          </w:tcPr>
          <w:p>
            <w:pPr>
              <w:spacing w:after="0"/>
              <w:rPr>
                <w:sz w:val="17"/>
                <w:szCs w:val="17"/>
                <w:color w:val="auto"/>
              </w:rPr>
            </w:pPr>
          </w:p>
        </w:tc>
        <w:tc>
          <w:tcPr>
            <w:tcW w:w="20" w:type="dxa"/>
            <w:vAlign w:val="bottom"/>
            <w:tcBorders>
              <w:bottom w:val="single" w:sz="8" w:color="auto"/>
            </w:tcBorders>
            <w:shd w:val="clear" w:color="auto" w:fill="FDFDFD"/>
          </w:tcPr>
          <w:p>
            <w:pPr>
              <w:spacing w:after="0"/>
              <w:rPr>
                <w:sz w:val="17"/>
                <w:szCs w:val="17"/>
                <w:color w:val="auto"/>
              </w:rPr>
            </w:pPr>
          </w:p>
        </w:tc>
        <w:tc>
          <w:tcPr>
            <w:tcW w:w="220" w:type="dxa"/>
            <w:vAlign w:val="bottom"/>
            <w:tcBorders>
              <w:bottom w:val="single" w:sz="8" w:color="auto"/>
            </w:tcBorders>
            <w:shd w:val="clear" w:color="auto" w:fill="FDFDFD"/>
          </w:tcPr>
          <w:p>
            <w:pPr>
              <w:spacing w:after="0"/>
              <w:rPr>
                <w:sz w:val="17"/>
                <w:szCs w:val="17"/>
                <w:color w:val="auto"/>
              </w:rPr>
            </w:pPr>
          </w:p>
        </w:tc>
        <w:tc>
          <w:tcPr>
            <w:tcW w:w="20" w:type="dxa"/>
            <w:vAlign w:val="bottom"/>
            <w:tcBorders>
              <w:bottom w:val="single" w:sz="8" w:color="auto"/>
            </w:tcBorders>
            <w:shd w:val="clear" w:color="auto" w:fill="FDFDFD"/>
          </w:tcPr>
          <w:p>
            <w:pPr>
              <w:spacing w:after="0"/>
              <w:rPr>
                <w:sz w:val="17"/>
                <w:szCs w:val="17"/>
                <w:color w:val="auto"/>
              </w:rPr>
            </w:pPr>
          </w:p>
        </w:tc>
        <w:tc>
          <w:tcPr>
            <w:tcW w:w="200" w:type="dxa"/>
            <w:vAlign w:val="bottom"/>
            <w:tcBorders>
              <w:bottom w:val="single" w:sz="8" w:color="auto"/>
            </w:tcBorders>
            <w:shd w:val="clear" w:color="auto" w:fill="FDFDFD"/>
          </w:tcPr>
          <w:p>
            <w:pPr>
              <w:spacing w:after="0"/>
              <w:rPr>
                <w:sz w:val="17"/>
                <w:szCs w:val="17"/>
                <w:color w:val="auto"/>
              </w:rPr>
            </w:pPr>
          </w:p>
        </w:tc>
        <w:tc>
          <w:tcPr>
            <w:tcW w:w="1160" w:type="dxa"/>
            <w:vAlign w:val="bottom"/>
            <w:tcBorders>
              <w:bottom w:val="single" w:sz="8" w:color="auto"/>
            </w:tcBorders>
            <w:shd w:val="clear" w:color="auto" w:fill="FDFDFD"/>
          </w:tcPr>
          <w:p>
            <w:pPr>
              <w:spacing w:after="0"/>
              <w:rPr>
                <w:sz w:val="17"/>
                <w:szCs w:val="17"/>
                <w:color w:val="auto"/>
              </w:rPr>
            </w:pPr>
          </w:p>
        </w:tc>
        <w:tc>
          <w:tcPr>
            <w:tcW w:w="20" w:type="dxa"/>
            <w:vAlign w:val="bottom"/>
            <w:tcBorders>
              <w:bottom w:val="single" w:sz="8" w:color="auto"/>
            </w:tcBorders>
            <w:shd w:val="clear" w:color="auto" w:fill="FDFDFD"/>
          </w:tcPr>
          <w:p>
            <w:pPr>
              <w:spacing w:after="0"/>
              <w:rPr>
                <w:sz w:val="17"/>
                <w:szCs w:val="17"/>
                <w:color w:val="auto"/>
              </w:rPr>
            </w:pPr>
          </w:p>
        </w:tc>
        <w:tc>
          <w:tcPr>
            <w:tcW w:w="80" w:type="dxa"/>
            <w:vAlign w:val="bottom"/>
            <w:tcBorders>
              <w:bottom w:val="single" w:sz="8" w:color="FDFDFD"/>
            </w:tcBorders>
            <w:shd w:val="clear" w:color="auto" w:fill="FDFDFD"/>
          </w:tcPr>
          <w:p>
            <w:pPr>
              <w:spacing w:after="0"/>
              <w:rPr>
                <w:sz w:val="17"/>
                <w:szCs w:val="17"/>
                <w:color w:val="auto"/>
              </w:rPr>
            </w:pPr>
          </w:p>
        </w:tc>
      </w:tr>
      <w:tr>
        <w:trPr>
          <w:trHeight w:val="168"/>
        </w:trPr>
        <w:tc>
          <w:tcPr>
            <w:tcW w:w="2890" w:type="dxa"/>
            <w:vAlign w:val="bottom"/>
            <w:shd w:val="clear" w:color="auto" w:fill="FDFDFD"/>
          </w:tcPr>
          <w:p>
            <w:pPr>
              <w:spacing w:after="0"/>
              <w:rPr>
                <w:sz w:val="14"/>
                <w:szCs w:val="14"/>
                <w:color w:val="auto"/>
              </w:rPr>
            </w:pPr>
          </w:p>
        </w:tc>
        <w:tc>
          <w:tcPr>
            <w:tcW w:w="150" w:type="dxa"/>
            <w:vAlign w:val="bottom"/>
            <w:shd w:val="clear" w:color="auto" w:fill="FDFDFD"/>
          </w:tcPr>
          <w:p>
            <w:pPr>
              <w:spacing w:after="0"/>
              <w:rPr>
                <w:sz w:val="14"/>
                <w:szCs w:val="14"/>
                <w:color w:val="auto"/>
              </w:rPr>
            </w:pPr>
          </w:p>
        </w:tc>
        <w:tc>
          <w:tcPr>
            <w:tcW w:w="2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260" w:type="dxa"/>
            <w:vAlign w:val="bottom"/>
            <w:shd w:val="clear" w:color="auto" w:fill="FDFDFD"/>
          </w:tcPr>
          <w:p>
            <w:pPr>
              <w:spacing w:after="0"/>
              <w:rPr>
                <w:sz w:val="14"/>
                <w:szCs w:val="14"/>
                <w:color w:val="auto"/>
              </w:rPr>
            </w:pPr>
          </w:p>
        </w:tc>
        <w:tc>
          <w:tcPr>
            <w:tcW w:w="240" w:type="dxa"/>
            <w:vAlign w:val="bottom"/>
            <w:shd w:val="clear" w:color="auto" w:fill="FDFDFD"/>
          </w:tcPr>
          <w:p>
            <w:pPr>
              <w:spacing w:after="0"/>
              <w:rPr>
                <w:sz w:val="14"/>
                <w:szCs w:val="14"/>
                <w:color w:val="auto"/>
              </w:rPr>
            </w:pPr>
          </w:p>
        </w:tc>
        <w:tc>
          <w:tcPr>
            <w:tcW w:w="20" w:type="dxa"/>
            <w:vAlign w:val="bottom"/>
            <w:shd w:val="clear" w:color="auto" w:fill="FDFDFD"/>
          </w:tcPr>
          <w:p>
            <w:pPr>
              <w:spacing w:after="0"/>
              <w:rPr>
                <w:sz w:val="14"/>
                <w:szCs w:val="14"/>
                <w:color w:val="auto"/>
              </w:rPr>
            </w:pPr>
          </w:p>
        </w:tc>
        <w:tc>
          <w:tcPr>
            <w:tcW w:w="1380" w:type="dxa"/>
            <w:vAlign w:val="bottom"/>
            <w:gridSpan w:val="2"/>
            <w:shd w:val="clear" w:color="auto" w:fill="FDFDFD"/>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240" w:type="dxa"/>
            <w:vAlign w:val="bottom"/>
            <w:shd w:val="clear" w:color="auto" w:fill="FDFDFD"/>
          </w:tcPr>
          <w:p>
            <w:pPr>
              <w:spacing w:after="0"/>
              <w:rPr>
                <w:sz w:val="14"/>
                <w:szCs w:val="14"/>
                <w:color w:val="auto"/>
              </w:rPr>
            </w:pPr>
          </w:p>
        </w:tc>
        <w:tc>
          <w:tcPr>
            <w:tcW w:w="20" w:type="dxa"/>
            <w:vAlign w:val="bottom"/>
            <w:shd w:val="clear" w:color="auto" w:fill="FDFDFD"/>
          </w:tcPr>
          <w:p>
            <w:pPr>
              <w:spacing w:after="0"/>
              <w:rPr>
                <w:sz w:val="14"/>
                <w:szCs w:val="14"/>
                <w:color w:val="auto"/>
              </w:rPr>
            </w:pPr>
          </w:p>
        </w:tc>
        <w:tc>
          <w:tcPr>
            <w:tcW w:w="1380" w:type="dxa"/>
            <w:vAlign w:val="bottom"/>
            <w:gridSpan w:val="3"/>
            <w:shd w:val="clear" w:color="auto" w:fill="FDFDFD"/>
          </w:tcPr>
          <w:p>
            <w:pPr>
              <w:jc w:val="center"/>
              <w:ind w:right="40"/>
              <w:spacing w:after="0" w:line="168"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220" w:type="dxa"/>
            <w:vAlign w:val="bottom"/>
            <w:shd w:val="clear" w:color="auto" w:fill="FDFDFD"/>
          </w:tcPr>
          <w:p>
            <w:pPr>
              <w:spacing w:after="0"/>
              <w:rPr>
                <w:sz w:val="14"/>
                <w:szCs w:val="14"/>
                <w:color w:val="auto"/>
              </w:rPr>
            </w:pPr>
          </w:p>
        </w:tc>
        <w:tc>
          <w:tcPr>
            <w:tcW w:w="20" w:type="dxa"/>
            <w:vAlign w:val="bottom"/>
            <w:shd w:val="clear" w:color="auto" w:fill="FDFDFD"/>
          </w:tcPr>
          <w:p>
            <w:pPr>
              <w:spacing w:after="0"/>
              <w:rPr>
                <w:sz w:val="14"/>
                <w:szCs w:val="14"/>
                <w:color w:val="auto"/>
              </w:rPr>
            </w:pPr>
          </w:p>
        </w:tc>
        <w:tc>
          <w:tcPr>
            <w:tcW w:w="200" w:type="dxa"/>
            <w:vAlign w:val="bottom"/>
            <w:shd w:val="clear" w:color="auto" w:fill="FDFDFD"/>
          </w:tcPr>
          <w:p>
            <w:pPr>
              <w:spacing w:after="0"/>
              <w:rPr>
                <w:sz w:val="14"/>
                <w:szCs w:val="14"/>
                <w:color w:val="auto"/>
              </w:rPr>
            </w:pPr>
          </w:p>
        </w:tc>
        <w:tc>
          <w:tcPr>
            <w:tcW w:w="1160" w:type="dxa"/>
            <w:vAlign w:val="bottom"/>
            <w:shd w:val="clear" w:color="auto" w:fill="FDFDFD"/>
          </w:tcPr>
          <w:p>
            <w:pPr>
              <w:spacing w:after="0"/>
              <w:rPr>
                <w:sz w:val="14"/>
                <w:szCs w:val="14"/>
                <w:color w:val="auto"/>
              </w:rPr>
            </w:pPr>
          </w:p>
        </w:tc>
        <w:tc>
          <w:tcPr>
            <w:tcW w:w="2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r>
      <w:tr>
        <w:trPr>
          <w:trHeight w:val="204"/>
        </w:trPr>
        <w:tc>
          <w:tcPr>
            <w:tcW w:w="289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50" w:type="dxa"/>
            <w:vAlign w:val="bottom"/>
            <w:tcBorders>
              <w:bottom w:val="single" w:sz="8" w:color="E3E3E3"/>
            </w:tcBorders>
            <w:shd w:val="clear" w:color="auto" w:fill="FDFDFD"/>
          </w:tcPr>
          <w:p>
            <w:pPr>
              <w:spacing w:after="0"/>
              <w:rPr>
                <w:sz w:val="17"/>
                <w:szCs w:val="17"/>
                <w:color w:val="auto"/>
              </w:rPr>
            </w:pPr>
          </w:p>
        </w:tc>
        <w:tc>
          <w:tcPr>
            <w:tcW w:w="2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1260" w:type="dxa"/>
            <w:vAlign w:val="bottom"/>
            <w:tcBorders>
              <w:bottom w:val="single" w:sz="8" w:color="auto"/>
            </w:tcBorders>
            <w:shd w:val="clear" w:color="auto" w:fill="FDFDFD"/>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240" w:type="dxa"/>
            <w:vAlign w:val="bottom"/>
            <w:tcBorders>
              <w:bottom w:val="single" w:sz="8" w:color="E3E3E3"/>
            </w:tcBorders>
            <w:shd w:val="clear" w:color="auto" w:fill="FDFDFD"/>
          </w:tcPr>
          <w:p>
            <w:pPr>
              <w:spacing w:after="0"/>
              <w:rPr>
                <w:sz w:val="17"/>
                <w:szCs w:val="17"/>
                <w:color w:val="auto"/>
              </w:rPr>
            </w:pPr>
          </w:p>
        </w:tc>
        <w:tc>
          <w:tcPr>
            <w:tcW w:w="20" w:type="dxa"/>
            <w:vAlign w:val="bottom"/>
            <w:tcBorders>
              <w:bottom w:val="single" w:sz="8" w:color="auto"/>
            </w:tcBorders>
            <w:shd w:val="clear" w:color="auto" w:fill="FDFDFD"/>
          </w:tcPr>
          <w:p>
            <w:pPr>
              <w:spacing w:after="0"/>
              <w:rPr>
                <w:sz w:val="17"/>
                <w:szCs w:val="17"/>
                <w:color w:val="auto"/>
              </w:rPr>
            </w:pPr>
          </w:p>
        </w:tc>
        <w:tc>
          <w:tcPr>
            <w:tcW w:w="280" w:type="dxa"/>
            <w:vAlign w:val="bottom"/>
            <w:tcBorders>
              <w:bottom w:val="single" w:sz="8" w:color="auto"/>
            </w:tcBorders>
            <w:shd w:val="clear" w:color="auto" w:fill="FDFDFD"/>
          </w:tcPr>
          <w:p>
            <w:pPr>
              <w:spacing w:after="0"/>
              <w:rPr>
                <w:sz w:val="17"/>
                <w:szCs w:val="17"/>
                <w:color w:val="auto"/>
              </w:rPr>
            </w:pPr>
          </w:p>
        </w:tc>
        <w:tc>
          <w:tcPr>
            <w:tcW w:w="1100" w:type="dxa"/>
            <w:vAlign w:val="bottom"/>
            <w:tcBorders>
              <w:bottom w:val="single" w:sz="8" w:color="auto"/>
            </w:tcBorders>
            <w:shd w:val="clear" w:color="auto" w:fill="FDFDFD"/>
          </w:tcPr>
          <w:p>
            <w:pPr>
              <w:jc w:val="center"/>
              <w:ind w:right="206"/>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Borders>
              <w:bottom w:val="single" w:sz="8" w:color="E3E3E3"/>
            </w:tcBorders>
            <w:shd w:val="clear" w:color="auto" w:fill="FDFDFD"/>
          </w:tcPr>
          <w:p>
            <w:pPr>
              <w:spacing w:after="0"/>
              <w:rPr>
                <w:sz w:val="17"/>
                <w:szCs w:val="17"/>
                <w:color w:val="auto"/>
              </w:rPr>
            </w:pPr>
          </w:p>
        </w:tc>
        <w:tc>
          <w:tcPr>
            <w:tcW w:w="20" w:type="dxa"/>
            <w:vAlign w:val="bottom"/>
            <w:tcBorders>
              <w:bottom w:val="single" w:sz="8" w:color="auto"/>
            </w:tcBorders>
            <w:shd w:val="clear" w:color="auto" w:fill="FDFDFD"/>
          </w:tcPr>
          <w:p>
            <w:pPr>
              <w:spacing w:after="0"/>
              <w:rPr>
                <w:sz w:val="17"/>
                <w:szCs w:val="17"/>
                <w:color w:val="auto"/>
              </w:rPr>
            </w:pPr>
          </w:p>
        </w:tc>
        <w:tc>
          <w:tcPr>
            <w:tcW w:w="980" w:type="dxa"/>
            <w:vAlign w:val="bottom"/>
            <w:tcBorders>
              <w:bottom w:val="single" w:sz="8" w:color="auto"/>
            </w:tcBorders>
            <w:shd w:val="clear" w:color="auto" w:fill="FDFDFD"/>
          </w:tcPr>
          <w:p>
            <w:pPr>
              <w:jc w:val="center"/>
              <w:ind w:left="253"/>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80" w:type="dxa"/>
            <w:vAlign w:val="bottom"/>
            <w:tcBorders>
              <w:bottom w:val="single" w:sz="8" w:color="auto"/>
            </w:tcBorders>
            <w:shd w:val="clear" w:color="auto" w:fill="FDFDFD"/>
          </w:tcPr>
          <w:p>
            <w:pPr>
              <w:spacing w:after="0"/>
              <w:rPr>
                <w:sz w:val="17"/>
                <w:szCs w:val="17"/>
                <w:color w:val="auto"/>
              </w:rPr>
            </w:pPr>
          </w:p>
        </w:tc>
        <w:tc>
          <w:tcPr>
            <w:tcW w:w="20" w:type="dxa"/>
            <w:vAlign w:val="bottom"/>
            <w:tcBorders>
              <w:bottom w:val="single" w:sz="8" w:color="auto"/>
            </w:tcBorders>
            <w:shd w:val="clear" w:color="auto" w:fill="FDFDFD"/>
          </w:tcPr>
          <w:p>
            <w:pPr>
              <w:spacing w:after="0"/>
              <w:rPr>
                <w:sz w:val="17"/>
                <w:szCs w:val="17"/>
                <w:color w:val="auto"/>
              </w:rPr>
            </w:pPr>
          </w:p>
        </w:tc>
        <w:tc>
          <w:tcPr>
            <w:tcW w:w="220" w:type="dxa"/>
            <w:vAlign w:val="bottom"/>
            <w:tcBorders>
              <w:bottom w:val="single" w:sz="8" w:color="E3E3E3"/>
            </w:tcBorders>
            <w:shd w:val="clear" w:color="auto" w:fill="FDFDFD"/>
          </w:tcPr>
          <w:p>
            <w:pPr>
              <w:spacing w:after="0"/>
              <w:rPr>
                <w:sz w:val="17"/>
                <w:szCs w:val="17"/>
                <w:color w:val="auto"/>
              </w:rPr>
            </w:pPr>
          </w:p>
        </w:tc>
        <w:tc>
          <w:tcPr>
            <w:tcW w:w="20" w:type="dxa"/>
            <w:vAlign w:val="bottom"/>
            <w:tcBorders>
              <w:bottom w:val="single" w:sz="8" w:color="auto"/>
            </w:tcBorders>
            <w:shd w:val="clear" w:color="auto" w:fill="FDFDFD"/>
          </w:tcPr>
          <w:p>
            <w:pPr>
              <w:spacing w:after="0"/>
              <w:rPr>
                <w:sz w:val="17"/>
                <w:szCs w:val="17"/>
                <w:color w:val="auto"/>
              </w:rPr>
            </w:pPr>
          </w:p>
        </w:tc>
        <w:tc>
          <w:tcPr>
            <w:tcW w:w="200" w:type="dxa"/>
            <w:vAlign w:val="bottom"/>
            <w:tcBorders>
              <w:bottom w:val="single" w:sz="8" w:color="auto"/>
            </w:tcBorders>
            <w:shd w:val="clear" w:color="auto" w:fill="FDFDFD"/>
          </w:tcPr>
          <w:p>
            <w:pPr>
              <w:spacing w:after="0"/>
              <w:rPr>
                <w:sz w:val="17"/>
                <w:szCs w:val="17"/>
                <w:color w:val="auto"/>
              </w:rPr>
            </w:pPr>
          </w:p>
        </w:tc>
        <w:tc>
          <w:tcPr>
            <w:tcW w:w="1180" w:type="dxa"/>
            <w:vAlign w:val="bottom"/>
            <w:tcBorders>
              <w:bottom w:val="single" w:sz="8" w:color="auto"/>
            </w:tcBorders>
            <w:gridSpan w:val="2"/>
            <w:shd w:val="clear" w:color="auto" w:fill="FDFDFD"/>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bottom w:val="single" w:sz="8" w:color="E3E3E3"/>
            </w:tcBorders>
            <w:shd w:val="clear" w:color="auto" w:fill="FDFDFD"/>
          </w:tcPr>
          <w:p>
            <w:pPr>
              <w:spacing w:after="0"/>
              <w:rPr>
                <w:sz w:val="17"/>
                <w:szCs w:val="17"/>
                <w:color w:val="auto"/>
              </w:rPr>
            </w:pPr>
          </w:p>
        </w:tc>
      </w:tr>
      <w:tr>
        <w:trPr>
          <w:trHeight w:val="234"/>
        </w:trPr>
        <w:tc>
          <w:tcPr>
            <w:tcW w:w="289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Short-term investments:</w:t>
            </w:r>
          </w:p>
        </w:tc>
        <w:tc>
          <w:tcPr>
            <w:tcW w:w="15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26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80" w:type="dxa"/>
            <w:vAlign w:val="bottom"/>
            <w:shd w:val="clear" w:color="auto" w:fill="E3E3E3"/>
          </w:tcPr>
          <w:p>
            <w:pPr>
              <w:spacing w:after="0"/>
              <w:rPr>
                <w:sz w:val="20"/>
                <w:szCs w:val="20"/>
                <w:color w:val="auto"/>
              </w:rPr>
            </w:pPr>
          </w:p>
        </w:tc>
        <w:tc>
          <w:tcPr>
            <w:tcW w:w="110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980" w:type="dxa"/>
            <w:vAlign w:val="bottom"/>
            <w:shd w:val="clear" w:color="auto" w:fill="E3E3E3"/>
          </w:tcPr>
          <w:p>
            <w:pPr>
              <w:spacing w:after="0"/>
              <w:rPr>
                <w:sz w:val="20"/>
                <w:szCs w:val="20"/>
                <w:color w:val="auto"/>
              </w:rPr>
            </w:pPr>
          </w:p>
        </w:tc>
        <w:tc>
          <w:tcPr>
            <w:tcW w:w="38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116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r>
      <w:tr>
        <w:trPr>
          <w:trHeight w:val="244"/>
        </w:trPr>
        <w:tc>
          <w:tcPr>
            <w:tcW w:w="289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US Treasuries</w:t>
            </w:r>
          </w:p>
        </w:tc>
        <w:tc>
          <w:tcPr>
            <w:tcW w:w="150" w:type="dxa"/>
            <w:vAlign w:val="bottom"/>
            <w:shd w:val="clear" w:color="auto" w:fill="FDFDFD"/>
          </w:tcPr>
          <w:p>
            <w:pPr>
              <w:spacing w:after="0"/>
              <w:rPr>
                <w:sz w:val="21"/>
                <w:szCs w:val="21"/>
                <w:color w:val="auto"/>
              </w:rPr>
            </w:pPr>
          </w:p>
        </w:tc>
        <w:tc>
          <w:tcPr>
            <w:tcW w:w="1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24,477</w:t>
            </w:r>
          </w:p>
        </w:tc>
        <w:tc>
          <w:tcPr>
            <w:tcW w:w="240" w:type="dxa"/>
            <w:vAlign w:val="bottom"/>
            <w:shd w:val="clear" w:color="auto" w:fill="FDFDFD"/>
          </w:tcPr>
          <w:p>
            <w:pPr>
              <w:spacing w:after="0"/>
              <w:rPr>
                <w:sz w:val="21"/>
                <w:szCs w:val="21"/>
                <w:color w:val="auto"/>
              </w:rPr>
            </w:pPr>
          </w:p>
        </w:tc>
        <w:tc>
          <w:tcPr>
            <w:tcW w:w="300" w:type="dxa"/>
            <w:vAlign w:val="bottom"/>
            <w:gridSpan w:val="2"/>
            <w:shd w:val="clear" w:color="auto" w:fill="FDFDFD"/>
          </w:tcPr>
          <w:p>
            <w:pPr>
              <w:jc w:val="right"/>
              <w:ind w:right="11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40" w:type="dxa"/>
            <w:vAlign w:val="bottom"/>
            <w:shd w:val="clear" w:color="auto" w:fill="FDFDFD"/>
          </w:tcPr>
          <w:p>
            <w:pPr>
              <w:spacing w:after="0"/>
              <w:rPr>
                <w:sz w:val="21"/>
                <w:szCs w:val="21"/>
                <w:color w:val="auto"/>
              </w:rPr>
            </w:pPr>
          </w:p>
        </w:tc>
        <w:tc>
          <w:tcPr>
            <w:tcW w:w="100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3"/>
            <w:shd w:val="clear" w:color="auto" w:fill="FDFDFD"/>
          </w:tcPr>
          <w:p>
            <w:pPr>
              <w:jc w:val="right"/>
              <w:ind w:right="180"/>
              <w:spacing w:after="0"/>
              <w:rPr>
                <w:sz w:val="20"/>
                <w:szCs w:val="20"/>
                <w:color w:val="auto"/>
              </w:rPr>
            </w:pPr>
            <w:r>
              <w:rPr>
                <w:rFonts w:ascii="Times New Roman" w:cs="Times New Roman" w:eastAsia="Times New Roman" w:hAnsi="Times New Roman"/>
                <w:sz w:val="20"/>
                <w:szCs w:val="20"/>
                <w:color w:val="auto"/>
              </w:rPr>
              <w:t>(3)</w:t>
            </w:r>
          </w:p>
        </w:tc>
        <w:tc>
          <w:tcPr>
            <w:tcW w:w="220" w:type="dxa"/>
            <w:vAlign w:val="bottom"/>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24,486</w:t>
            </w:r>
          </w:p>
        </w:tc>
        <w:tc>
          <w:tcPr>
            <w:tcW w:w="2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r>
      <w:tr>
        <w:trPr>
          <w:trHeight w:val="244"/>
        </w:trPr>
        <w:tc>
          <w:tcPr>
            <w:tcW w:w="289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Commercial Paper</w:t>
            </w:r>
          </w:p>
        </w:tc>
        <w:tc>
          <w:tcPr>
            <w:tcW w:w="15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127,642</w:t>
            </w:r>
          </w:p>
        </w:tc>
        <w:tc>
          <w:tcPr>
            <w:tcW w:w="24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4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980" w:type="dxa"/>
            <w:vAlign w:val="bottom"/>
            <w:shd w:val="clear" w:color="auto" w:fill="E3E3E3"/>
          </w:tcPr>
          <w:p>
            <w:pPr>
              <w:spacing w:after="0"/>
              <w:rPr>
                <w:sz w:val="21"/>
                <w:szCs w:val="21"/>
                <w:color w:val="auto"/>
              </w:rPr>
            </w:pPr>
          </w:p>
        </w:tc>
        <w:tc>
          <w:tcPr>
            <w:tcW w:w="620" w:type="dxa"/>
            <w:vAlign w:val="bottom"/>
            <w:gridSpan w:val="3"/>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127,682</w:t>
            </w:r>
          </w:p>
        </w:tc>
        <w:tc>
          <w:tcPr>
            <w:tcW w:w="2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r>
      <w:tr>
        <w:trPr>
          <w:trHeight w:val="244"/>
        </w:trPr>
        <w:tc>
          <w:tcPr>
            <w:tcW w:w="289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Certificates of Deposit</w:t>
            </w:r>
          </w:p>
        </w:tc>
        <w:tc>
          <w:tcPr>
            <w:tcW w:w="150" w:type="dxa"/>
            <w:vAlign w:val="bottom"/>
            <w:shd w:val="clear" w:color="auto" w:fill="FDFDFD"/>
          </w:tcPr>
          <w:p>
            <w:pPr>
              <w:spacing w:after="0"/>
              <w:rPr>
                <w:sz w:val="21"/>
                <w:szCs w:val="21"/>
                <w:color w:val="auto"/>
              </w:rPr>
            </w:pPr>
          </w:p>
        </w:tc>
        <w:tc>
          <w:tcPr>
            <w:tcW w:w="2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32,598</w:t>
            </w:r>
          </w:p>
        </w:tc>
        <w:tc>
          <w:tcPr>
            <w:tcW w:w="240" w:type="dxa"/>
            <w:vAlign w:val="bottom"/>
            <w:shd w:val="clear" w:color="auto" w:fill="FDFDFD"/>
          </w:tcPr>
          <w:p>
            <w:pPr>
              <w:spacing w:after="0"/>
              <w:rPr>
                <w:sz w:val="21"/>
                <w:szCs w:val="21"/>
                <w:color w:val="auto"/>
              </w:rPr>
            </w:pPr>
          </w:p>
        </w:tc>
        <w:tc>
          <w:tcPr>
            <w:tcW w:w="20" w:type="dxa"/>
            <w:vAlign w:val="bottom"/>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40" w:type="dxa"/>
            <w:vAlign w:val="bottom"/>
            <w:shd w:val="clear" w:color="auto" w:fill="FDFDFD"/>
          </w:tcPr>
          <w:p>
            <w:pPr>
              <w:spacing w:after="0"/>
              <w:rPr>
                <w:sz w:val="21"/>
                <w:szCs w:val="21"/>
                <w:color w:val="auto"/>
              </w:rPr>
            </w:pPr>
          </w:p>
        </w:tc>
        <w:tc>
          <w:tcPr>
            <w:tcW w:w="20" w:type="dxa"/>
            <w:vAlign w:val="bottom"/>
            <w:shd w:val="clear" w:color="auto" w:fill="FDFDFD"/>
          </w:tcPr>
          <w:p>
            <w:pPr>
              <w:spacing w:after="0"/>
              <w:rPr>
                <w:sz w:val="21"/>
                <w:szCs w:val="21"/>
                <w:color w:val="auto"/>
              </w:rPr>
            </w:pPr>
          </w:p>
        </w:tc>
        <w:tc>
          <w:tcPr>
            <w:tcW w:w="980" w:type="dxa"/>
            <w:vAlign w:val="bottom"/>
            <w:shd w:val="clear" w:color="auto" w:fill="FDFDFD"/>
          </w:tcPr>
          <w:p>
            <w:pPr>
              <w:spacing w:after="0"/>
              <w:rPr>
                <w:sz w:val="21"/>
                <w:szCs w:val="21"/>
                <w:color w:val="auto"/>
              </w:rPr>
            </w:pPr>
          </w:p>
        </w:tc>
        <w:tc>
          <w:tcPr>
            <w:tcW w:w="620" w:type="dxa"/>
            <w:vAlign w:val="bottom"/>
            <w:gridSpan w:val="3"/>
            <w:shd w:val="clear" w:color="auto" w:fill="FDFDFD"/>
          </w:tcPr>
          <w:p>
            <w:pPr>
              <w:jc w:val="right"/>
              <w:ind w:right="18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shd w:val="clear" w:color="auto" w:fill="FDFDFD"/>
          </w:tcPr>
          <w:p>
            <w:pPr>
              <w:spacing w:after="0"/>
              <w:rPr>
                <w:sz w:val="21"/>
                <w:szCs w:val="21"/>
                <w:color w:val="auto"/>
              </w:rPr>
            </w:pPr>
          </w:p>
        </w:tc>
        <w:tc>
          <w:tcPr>
            <w:tcW w:w="200" w:type="dxa"/>
            <w:vAlign w:val="bottom"/>
            <w:shd w:val="clear" w:color="auto" w:fill="FDFDFD"/>
          </w:tcPr>
          <w:p>
            <w:pPr>
              <w:spacing w:after="0"/>
              <w:rPr>
                <w:sz w:val="21"/>
                <w:szCs w:val="21"/>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32,618</w:t>
            </w:r>
          </w:p>
        </w:tc>
        <w:tc>
          <w:tcPr>
            <w:tcW w:w="2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r>
      <w:tr>
        <w:trPr>
          <w:trHeight w:val="234"/>
        </w:trPr>
        <w:tc>
          <w:tcPr>
            <w:tcW w:w="289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 short-term investments</w:t>
            </w:r>
          </w:p>
        </w:tc>
        <w:tc>
          <w:tcPr>
            <w:tcW w:w="150" w:type="dxa"/>
            <w:vAlign w:val="bottom"/>
            <w:tcBorders>
              <w:top w:val="single" w:sz="8" w:color="E3E3E3"/>
            </w:tcBorders>
            <w:shd w:val="clear" w:color="auto" w:fill="E3E3E3"/>
          </w:tcPr>
          <w:p>
            <w:pPr>
              <w:spacing w:after="0"/>
              <w:rPr>
                <w:sz w:val="20"/>
                <w:szCs w:val="20"/>
                <w:color w:val="auto"/>
              </w:rPr>
            </w:pPr>
          </w:p>
        </w:tc>
        <w:tc>
          <w:tcPr>
            <w:tcW w:w="120" w:type="dxa"/>
            <w:vAlign w:val="bottom"/>
            <w:tcBorders>
              <w:top w:val="single" w:sz="8" w:color="auto"/>
              <w:bottom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184,717</w:t>
            </w:r>
          </w:p>
        </w:tc>
        <w:tc>
          <w:tcPr>
            <w:tcW w:w="240" w:type="dxa"/>
            <w:vAlign w:val="bottom"/>
            <w:tcBorders>
              <w:top w:val="single" w:sz="8" w:color="E3E3E3"/>
            </w:tcBorders>
            <w:shd w:val="clear" w:color="auto" w:fill="E3E3E3"/>
          </w:tcPr>
          <w:p>
            <w:pPr>
              <w:spacing w:after="0"/>
              <w:rPr>
                <w:sz w:val="20"/>
                <w:szCs w:val="20"/>
                <w:color w:val="auto"/>
              </w:rPr>
            </w:pPr>
          </w:p>
        </w:tc>
        <w:tc>
          <w:tcPr>
            <w:tcW w:w="300" w:type="dxa"/>
            <w:vAlign w:val="bottom"/>
            <w:tcBorders>
              <w:top w:val="single" w:sz="8" w:color="auto"/>
              <w:bottom w:val="single" w:sz="8" w:color="auto"/>
            </w:tcBorders>
            <w:gridSpan w:val="2"/>
            <w:shd w:val="clear" w:color="auto" w:fill="E3E3E3"/>
          </w:tcPr>
          <w:p>
            <w:pPr>
              <w:jc w:val="right"/>
              <w:ind w:right="11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40" w:type="dxa"/>
            <w:vAlign w:val="bottom"/>
            <w:tcBorders>
              <w:top w:val="single" w:sz="8" w:color="E3E3E3"/>
            </w:tcBorders>
            <w:shd w:val="clear" w:color="auto" w:fill="E3E3E3"/>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top w:val="single" w:sz="8" w:color="auto"/>
              <w:bottom w:val="single" w:sz="8" w:color="auto"/>
            </w:tcBorders>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c>
          <w:tcPr>
            <w:tcW w:w="220" w:type="dxa"/>
            <w:vAlign w:val="bottom"/>
            <w:tcBorders>
              <w:top w:val="single" w:sz="8" w:color="E3E3E3"/>
            </w:tcBorders>
            <w:shd w:val="clear" w:color="auto" w:fill="E3E3E3"/>
          </w:tcPr>
          <w:p>
            <w:pPr>
              <w:spacing w:after="0"/>
              <w:rPr>
                <w:sz w:val="20"/>
                <w:szCs w:val="20"/>
                <w:color w:val="auto"/>
              </w:rPr>
            </w:pPr>
          </w:p>
        </w:tc>
        <w:tc>
          <w:tcPr>
            <w:tcW w:w="220" w:type="dxa"/>
            <w:vAlign w:val="bottom"/>
            <w:tcBorders>
              <w:top w:val="single" w:sz="8" w:color="auto"/>
              <w:bottom w:val="single" w:sz="8" w:color="auto"/>
            </w:tcBorders>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20" w:type="dxa"/>
            <w:vAlign w:val="bottom"/>
            <w:tcBorders>
              <w:top w:val="single" w:sz="8" w:color="auto"/>
              <w:bottom w:val="single" w:sz="8" w:color="auto"/>
            </w:tcBorders>
            <w:shd w:val="clear" w:color="auto" w:fill="E3E3E3"/>
          </w:tcPr>
          <w:p>
            <w:pPr>
              <w:spacing w:after="0"/>
              <w:rPr>
                <w:sz w:val="20"/>
                <w:szCs w:val="20"/>
                <w:color w:val="auto"/>
              </w:rPr>
            </w:pPr>
          </w:p>
        </w:tc>
        <w:tc>
          <w:tcPr>
            <w:tcW w:w="80" w:type="dxa"/>
            <w:vAlign w:val="bottom"/>
            <w:tcBorders>
              <w:top w:val="single" w:sz="8" w:color="E3E3E3"/>
            </w:tcBorders>
            <w:shd w:val="clear" w:color="auto" w:fill="E3E3E3"/>
          </w:tcPr>
          <w:p>
            <w:pPr>
              <w:spacing w:after="0"/>
              <w:rPr>
                <w:sz w:val="20"/>
                <w:szCs w:val="20"/>
                <w:color w:val="auto"/>
              </w:rPr>
            </w:pPr>
          </w:p>
        </w:tc>
      </w:tr>
      <w:tr>
        <w:trPr>
          <w:trHeight w:val="20"/>
        </w:trPr>
        <w:tc>
          <w:tcPr>
            <w:tcW w:w="28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5"/>
        </w:trPr>
        <w:tc>
          <w:tcPr>
            <w:tcW w:w="289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2890" w:type="dxa"/>
            <w:vAlign w:val="bottom"/>
            <w:tcBorders>
              <w:bottom w:val="single" w:sz="8" w:color="FDFDFD"/>
            </w:tcBorders>
            <w:shd w:val="clear" w:color="auto" w:fill="FDFDFD"/>
          </w:tcPr>
          <w:p>
            <w:pPr>
              <w:spacing w:after="0"/>
              <w:rPr>
                <w:sz w:val="15"/>
                <w:szCs w:val="15"/>
                <w:color w:val="auto"/>
              </w:rPr>
            </w:pPr>
          </w:p>
        </w:tc>
        <w:tc>
          <w:tcPr>
            <w:tcW w:w="150" w:type="dxa"/>
            <w:vAlign w:val="bottom"/>
            <w:tcBorders>
              <w:bottom w:val="single" w:sz="8" w:color="FDFDFD"/>
            </w:tcBorders>
            <w:shd w:val="clear" w:color="auto" w:fill="FDFDFD"/>
          </w:tcPr>
          <w:p>
            <w:pPr>
              <w:spacing w:after="0"/>
              <w:rPr>
                <w:sz w:val="15"/>
                <w:szCs w:val="15"/>
                <w:color w:val="auto"/>
              </w:rPr>
            </w:pPr>
          </w:p>
        </w:tc>
        <w:tc>
          <w:tcPr>
            <w:tcW w:w="20" w:type="dxa"/>
            <w:vAlign w:val="bottom"/>
            <w:tcBorders>
              <w:bottom w:val="single" w:sz="8" w:color="FDFDFD"/>
            </w:tcBorders>
            <w:shd w:val="clear" w:color="auto" w:fill="FDFDFD"/>
          </w:tcPr>
          <w:p>
            <w:pPr>
              <w:spacing w:after="0"/>
              <w:rPr>
                <w:sz w:val="15"/>
                <w:szCs w:val="15"/>
                <w:color w:val="auto"/>
              </w:rPr>
            </w:pPr>
          </w:p>
        </w:tc>
        <w:tc>
          <w:tcPr>
            <w:tcW w:w="100" w:type="dxa"/>
            <w:vAlign w:val="bottom"/>
            <w:tcBorders>
              <w:bottom w:val="single" w:sz="8" w:color="auto"/>
            </w:tcBorders>
            <w:shd w:val="clear" w:color="auto" w:fill="FDFDFD"/>
          </w:tcPr>
          <w:p>
            <w:pPr>
              <w:spacing w:after="0"/>
              <w:rPr>
                <w:sz w:val="15"/>
                <w:szCs w:val="15"/>
                <w:color w:val="auto"/>
              </w:rPr>
            </w:pPr>
          </w:p>
        </w:tc>
        <w:tc>
          <w:tcPr>
            <w:tcW w:w="1260" w:type="dxa"/>
            <w:vAlign w:val="bottom"/>
            <w:tcBorders>
              <w:bottom w:val="single" w:sz="8" w:color="auto"/>
            </w:tcBorders>
            <w:shd w:val="clear" w:color="auto" w:fill="FDFDFD"/>
          </w:tcPr>
          <w:p>
            <w:pPr>
              <w:spacing w:after="0"/>
              <w:rPr>
                <w:sz w:val="15"/>
                <w:szCs w:val="15"/>
                <w:color w:val="auto"/>
              </w:rPr>
            </w:pPr>
          </w:p>
        </w:tc>
        <w:tc>
          <w:tcPr>
            <w:tcW w:w="240" w:type="dxa"/>
            <w:vAlign w:val="bottom"/>
            <w:tcBorders>
              <w:bottom w:val="single" w:sz="8" w:color="auto"/>
            </w:tcBorders>
            <w:shd w:val="clear" w:color="auto" w:fill="FDFDFD"/>
          </w:tcPr>
          <w:p>
            <w:pPr>
              <w:spacing w:after="0"/>
              <w:rPr>
                <w:sz w:val="15"/>
                <w:szCs w:val="15"/>
                <w:color w:val="auto"/>
              </w:rPr>
            </w:pPr>
          </w:p>
        </w:tc>
        <w:tc>
          <w:tcPr>
            <w:tcW w:w="20" w:type="dxa"/>
            <w:vAlign w:val="bottom"/>
            <w:tcBorders>
              <w:bottom w:val="single" w:sz="8" w:color="auto"/>
            </w:tcBorders>
            <w:shd w:val="clear" w:color="auto" w:fill="FDFDFD"/>
          </w:tcPr>
          <w:p>
            <w:pPr>
              <w:spacing w:after="0"/>
              <w:rPr>
                <w:sz w:val="15"/>
                <w:szCs w:val="15"/>
                <w:color w:val="auto"/>
              </w:rPr>
            </w:pPr>
          </w:p>
        </w:tc>
        <w:tc>
          <w:tcPr>
            <w:tcW w:w="280" w:type="dxa"/>
            <w:vAlign w:val="bottom"/>
            <w:tcBorders>
              <w:bottom w:val="single" w:sz="8" w:color="auto"/>
            </w:tcBorders>
            <w:shd w:val="clear" w:color="auto" w:fill="FDFDFD"/>
          </w:tcPr>
          <w:p>
            <w:pPr>
              <w:spacing w:after="0"/>
              <w:rPr>
                <w:sz w:val="15"/>
                <w:szCs w:val="15"/>
                <w:color w:val="auto"/>
              </w:rPr>
            </w:pPr>
          </w:p>
        </w:tc>
        <w:tc>
          <w:tcPr>
            <w:tcW w:w="2340" w:type="dxa"/>
            <w:vAlign w:val="bottom"/>
            <w:tcBorders>
              <w:bottom w:val="single" w:sz="8" w:color="auto"/>
            </w:tcBorders>
            <w:gridSpan w:val="4"/>
            <w:shd w:val="clear" w:color="auto" w:fill="FDFDFD"/>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80" w:type="dxa"/>
            <w:vAlign w:val="bottom"/>
            <w:tcBorders>
              <w:bottom w:val="single" w:sz="8" w:color="auto"/>
            </w:tcBorders>
            <w:shd w:val="clear" w:color="auto" w:fill="FDFDFD"/>
          </w:tcPr>
          <w:p>
            <w:pPr>
              <w:spacing w:after="0"/>
              <w:rPr>
                <w:sz w:val="15"/>
                <w:szCs w:val="15"/>
                <w:color w:val="auto"/>
              </w:rPr>
            </w:pPr>
          </w:p>
        </w:tc>
        <w:tc>
          <w:tcPr>
            <w:tcW w:w="20" w:type="dxa"/>
            <w:vAlign w:val="bottom"/>
            <w:tcBorders>
              <w:bottom w:val="single" w:sz="8" w:color="auto"/>
            </w:tcBorders>
            <w:shd w:val="clear" w:color="auto" w:fill="FDFDFD"/>
          </w:tcPr>
          <w:p>
            <w:pPr>
              <w:spacing w:after="0"/>
              <w:rPr>
                <w:sz w:val="15"/>
                <w:szCs w:val="15"/>
                <w:color w:val="auto"/>
              </w:rPr>
            </w:pPr>
          </w:p>
        </w:tc>
        <w:tc>
          <w:tcPr>
            <w:tcW w:w="220" w:type="dxa"/>
            <w:vAlign w:val="bottom"/>
            <w:tcBorders>
              <w:bottom w:val="single" w:sz="8" w:color="auto"/>
            </w:tcBorders>
            <w:shd w:val="clear" w:color="auto" w:fill="FDFDFD"/>
          </w:tcPr>
          <w:p>
            <w:pPr>
              <w:spacing w:after="0"/>
              <w:rPr>
                <w:sz w:val="15"/>
                <w:szCs w:val="15"/>
                <w:color w:val="auto"/>
              </w:rPr>
            </w:pPr>
          </w:p>
        </w:tc>
        <w:tc>
          <w:tcPr>
            <w:tcW w:w="20" w:type="dxa"/>
            <w:vAlign w:val="bottom"/>
            <w:tcBorders>
              <w:bottom w:val="single" w:sz="8" w:color="auto"/>
            </w:tcBorders>
            <w:shd w:val="clear" w:color="auto" w:fill="FDFDFD"/>
          </w:tcPr>
          <w:p>
            <w:pPr>
              <w:spacing w:after="0"/>
              <w:rPr>
                <w:sz w:val="15"/>
                <w:szCs w:val="15"/>
                <w:color w:val="auto"/>
              </w:rPr>
            </w:pPr>
          </w:p>
        </w:tc>
        <w:tc>
          <w:tcPr>
            <w:tcW w:w="200" w:type="dxa"/>
            <w:vAlign w:val="bottom"/>
            <w:tcBorders>
              <w:bottom w:val="single" w:sz="8" w:color="auto"/>
            </w:tcBorders>
            <w:shd w:val="clear" w:color="auto" w:fill="FDFDFD"/>
          </w:tcPr>
          <w:p>
            <w:pPr>
              <w:spacing w:after="0"/>
              <w:rPr>
                <w:sz w:val="15"/>
                <w:szCs w:val="15"/>
                <w:color w:val="auto"/>
              </w:rPr>
            </w:pPr>
          </w:p>
        </w:tc>
        <w:tc>
          <w:tcPr>
            <w:tcW w:w="1160" w:type="dxa"/>
            <w:vAlign w:val="bottom"/>
            <w:tcBorders>
              <w:bottom w:val="single" w:sz="8" w:color="auto"/>
            </w:tcBorders>
            <w:shd w:val="clear" w:color="auto" w:fill="FDFDFD"/>
          </w:tcPr>
          <w:p>
            <w:pPr>
              <w:spacing w:after="0"/>
              <w:rPr>
                <w:sz w:val="15"/>
                <w:szCs w:val="15"/>
                <w:color w:val="auto"/>
              </w:rPr>
            </w:pPr>
          </w:p>
        </w:tc>
        <w:tc>
          <w:tcPr>
            <w:tcW w:w="20" w:type="dxa"/>
            <w:vAlign w:val="bottom"/>
            <w:tcBorders>
              <w:bottom w:val="single" w:sz="8" w:color="FDFDFD"/>
            </w:tcBorders>
            <w:shd w:val="clear" w:color="auto" w:fill="FDFDFD"/>
          </w:tcPr>
          <w:p>
            <w:pPr>
              <w:spacing w:after="0"/>
              <w:rPr>
                <w:sz w:val="15"/>
                <w:szCs w:val="15"/>
                <w:color w:val="auto"/>
              </w:rPr>
            </w:pPr>
          </w:p>
        </w:tc>
        <w:tc>
          <w:tcPr>
            <w:tcW w:w="80" w:type="dxa"/>
            <w:vAlign w:val="bottom"/>
            <w:tcBorders>
              <w:bottom w:val="single" w:sz="8" w:color="FDFDFD"/>
            </w:tcBorders>
            <w:shd w:val="clear" w:color="auto" w:fill="FDFDFD"/>
          </w:tcPr>
          <w:p>
            <w:pPr>
              <w:spacing w:after="0"/>
              <w:rPr>
                <w:sz w:val="15"/>
                <w:szCs w:val="15"/>
                <w:color w:val="auto"/>
              </w:rPr>
            </w:pPr>
          </w:p>
        </w:tc>
      </w:tr>
      <w:tr>
        <w:trPr>
          <w:trHeight w:val="154"/>
        </w:trPr>
        <w:tc>
          <w:tcPr>
            <w:tcW w:w="2890" w:type="dxa"/>
            <w:vAlign w:val="bottom"/>
            <w:shd w:val="clear" w:color="auto" w:fill="FDFDFD"/>
          </w:tcPr>
          <w:p>
            <w:pPr>
              <w:spacing w:after="0"/>
              <w:rPr>
                <w:sz w:val="13"/>
                <w:szCs w:val="13"/>
                <w:color w:val="auto"/>
              </w:rPr>
            </w:pPr>
          </w:p>
        </w:tc>
        <w:tc>
          <w:tcPr>
            <w:tcW w:w="150" w:type="dxa"/>
            <w:vAlign w:val="bottom"/>
            <w:shd w:val="clear" w:color="auto" w:fill="FDFDFD"/>
          </w:tcPr>
          <w:p>
            <w:pPr>
              <w:spacing w:after="0"/>
              <w:rPr>
                <w:sz w:val="13"/>
                <w:szCs w:val="13"/>
                <w:color w:val="auto"/>
              </w:rPr>
            </w:pPr>
          </w:p>
        </w:tc>
        <w:tc>
          <w:tcPr>
            <w:tcW w:w="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26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20" w:type="dxa"/>
            <w:vAlign w:val="bottom"/>
            <w:shd w:val="clear" w:color="auto" w:fill="FDFDFD"/>
          </w:tcPr>
          <w:p>
            <w:pPr>
              <w:spacing w:after="0"/>
              <w:rPr>
                <w:sz w:val="13"/>
                <w:szCs w:val="13"/>
                <w:color w:val="auto"/>
              </w:rPr>
            </w:pPr>
          </w:p>
        </w:tc>
        <w:tc>
          <w:tcPr>
            <w:tcW w:w="1380" w:type="dxa"/>
            <w:vAlign w:val="bottom"/>
            <w:gridSpan w:val="2"/>
            <w:shd w:val="clear" w:color="auto" w:fill="FDFDFD"/>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240" w:type="dxa"/>
            <w:vAlign w:val="bottom"/>
            <w:shd w:val="clear" w:color="auto" w:fill="FDFDFD"/>
          </w:tcPr>
          <w:p>
            <w:pPr>
              <w:spacing w:after="0"/>
              <w:rPr>
                <w:sz w:val="13"/>
                <w:szCs w:val="13"/>
                <w:color w:val="auto"/>
              </w:rPr>
            </w:pPr>
          </w:p>
        </w:tc>
        <w:tc>
          <w:tcPr>
            <w:tcW w:w="20" w:type="dxa"/>
            <w:vAlign w:val="bottom"/>
            <w:shd w:val="clear" w:color="auto" w:fill="FDFDFD"/>
          </w:tcPr>
          <w:p>
            <w:pPr>
              <w:spacing w:after="0"/>
              <w:rPr>
                <w:sz w:val="13"/>
                <w:szCs w:val="13"/>
                <w:color w:val="auto"/>
              </w:rPr>
            </w:pPr>
          </w:p>
        </w:tc>
        <w:tc>
          <w:tcPr>
            <w:tcW w:w="1360" w:type="dxa"/>
            <w:vAlign w:val="bottom"/>
            <w:gridSpan w:val="2"/>
            <w:shd w:val="clear" w:color="auto" w:fill="FDFDFD"/>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20" w:type="dxa"/>
            <w:vAlign w:val="bottom"/>
            <w:shd w:val="clear" w:color="auto" w:fill="FDFDFD"/>
          </w:tcPr>
          <w:p>
            <w:pPr>
              <w:spacing w:after="0"/>
              <w:rPr>
                <w:sz w:val="13"/>
                <w:szCs w:val="13"/>
                <w:color w:val="auto"/>
              </w:rPr>
            </w:pPr>
          </w:p>
        </w:tc>
        <w:tc>
          <w:tcPr>
            <w:tcW w:w="220" w:type="dxa"/>
            <w:vAlign w:val="bottom"/>
            <w:shd w:val="clear" w:color="auto" w:fill="FDFDFD"/>
          </w:tcPr>
          <w:p>
            <w:pPr>
              <w:spacing w:after="0"/>
              <w:rPr>
                <w:sz w:val="13"/>
                <w:szCs w:val="13"/>
                <w:color w:val="auto"/>
              </w:rPr>
            </w:pPr>
          </w:p>
        </w:tc>
        <w:tc>
          <w:tcPr>
            <w:tcW w:w="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1160" w:type="dxa"/>
            <w:vAlign w:val="bottom"/>
            <w:shd w:val="clear" w:color="auto" w:fill="FDFDFD"/>
          </w:tcPr>
          <w:p>
            <w:pPr>
              <w:spacing w:after="0"/>
              <w:rPr>
                <w:sz w:val="13"/>
                <w:szCs w:val="13"/>
                <w:color w:val="auto"/>
              </w:rPr>
            </w:pPr>
          </w:p>
        </w:tc>
        <w:tc>
          <w:tcPr>
            <w:tcW w:w="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r>
      <w:tr>
        <w:trPr>
          <w:trHeight w:val="194"/>
        </w:trPr>
        <w:tc>
          <w:tcPr>
            <w:tcW w:w="289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50" w:type="dxa"/>
            <w:vAlign w:val="bottom"/>
            <w:tcBorders>
              <w:bottom w:val="single" w:sz="8" w:color="FDFDFD"/>
            </w:tcBorders>
            <w:shd w:val="clear" w:color="auto" w:fill="FDFDFD"/>
          </w:tcPr>
          <w:p>
            <w:pPr>
              <w:spacing w:after="0"/>
              <w:rPr>
                <w:sz w:val="16"/>
                <w:szCs w:val="16"/>
                <w:color w:val="auto"/>
              </w:rPr>
            </w:pPr>
          </w:p>
        </w:tc>
        <w:tc>
          <w:tcPr>
            <w:tcW w:w="20" w:type="dxa"/>
            <w:vAlign w:val="bottom"/>
            <w:tcBorders>
              <w:bottom w:val="single" w:sz="8" w:color="FDFDF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1260" w:type="dxa"/>
            <w:vAlign w:val="bottom"/>
            <w:tcBorders>
              <w:bottom w:val="single" w:sz="8" w:color="auto"/>
            </w:tcBorders>
            <w:shd w:val="clear" w:color="auto" w:fill="FDFDFD"/>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40" w:type="dxa"/>
            <w:vAlign w:val="bottom"/>
            <w:tcBorders>
              <w:bottom w:val="single" w:sz="8" w:color="FDFDFD"/>
            </w:tcBorders>
            <w:shd w:val="clear" w:color="auto" w:fill="FDFDFD"/>
          </w:tcPr>
          <w:p>
            <w:pPr>
              <w:spacing w:after="0"/>
              <w:rPr>
                <w:sz w:val="16"/>
                <w:szCs w:val="16"/>
                <w:color w:val="auto"/>
              </w:rPr>
            </w:pPr>
          </w:p>
        </w:tc>
        <w:tc>
          <w:tcPr>
            <w:tcW w:w="20" w:type="dxa"/>
            <w:vAlign w:val="bottom"/>
            <w:tcBorders>
              <w:bottom w:val="single" w:sz="8" w:color="FDFDFD"/>
            </w:tcBorders>
            <w:shd w:val="clear" w:color="auto" w:fill="FDFDFD"/>
          </w:tcPr>
          <w:p>
            <w:pPr>
              <w:spacing w:after="0"/>
              <w:rPr>
                <w:sz w:val="16"/>
                <w:szCs w:val="16"/>
                <w:color w:val="auto"/>
              </w:rPr>
            </w:pPr>
          </w:p>
        </w:tc>
        <w:tc>
          <w:tcPr>
            <w:tcW w:w="280" w:type="dxa"/>
            <w:vAlign w:val="bottom"/>
            <w:tcBorders>
              <w:bottom w:val="single" w:sz="8" w:color="auto"/>
            </w:tcBorders>
            <w:shd w:val="clear" w:color="auto" w:fill="FDFDFD"/>
          </w:tcPr>
          <w:p>
            <w:pPr>
              <w:spacing w:after="0"/>
              <w:rPr>
                <w:sz w:val="16"/>
                <w:szCs w:val="16"/>
                <w:color w:val="auto"/>
              </w:rPr>
            </w:pPr>
          </w:p>
        </w:tc>
        <w:tc>
          <w:tcPr>
            <w:tcW w:w="1100" w:type="dxa"/>
            <w:vAlign w:val="bottom"/>
            <w:tcBorders>
              <w:bottom w:val="single" w:sz="8" w:color="auto"/>
            </w:tcBorders>
            <w:shd w:val="clear" w:color="auto" w:fill="FDFDFD"/>
          </w:tcPr>
          <w:p>
            <w:pPr>
              <w:jc w:val="center"/>
              <w:ind w:right="206"/>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Borders>
              <w:bottom w:val="single" w:sz="8" w:color="FDFDFD"/>
            </w:tcBorders>
            <w:shd w:val="clear" w:color="auto" w:fill="FDFDFD"/>
          </w:tcPr>
          <w:p>
            <w:pPr>
              <w:spacing w:after="0"/>
              <w:rPr>
                <w:sz w:val="16"/>
                <w:szCs w:val="16"/>
                <w:color w:val="auto"/>
              </w:rPr>
            </w:pPr>
          </w:p>
        </w:tc>
        <w:tc>
          <w:tcPr>
            <w:tcW w:w="20" w:type="dxa"/>
            <w:vAlign w:val="bottom"/>
            <w:tcBorders>
              <w:bottom w:val="single" w:sz="8" w:color="FDFDFD"/>
            </w:tcBorders>
            <w:shd w:val="clear" w:color="auto" w:fill="FDFDFD"/>
          </w:tcPr>
          <w:p>
            <w:pPr>
              <w:spacing w:after="0"/>
              <w:rPr>
                <w:sz w:val="16"/>
                <w:szCs w:val="16"/>
                <w:color w:val="auto"/>
              </w:rPr>
            </w:pPr>
          </w:p>
        </w:tc>
        <w:tc>
          <w:tcPr>
            <w:tcW w:w="980" w:type="dxa"/>
            <w:vAlign w:val="bottom"/>
            <w:tcBorders>
              <w:bottom w:val="single" w:sz="8" w:color="auto"/>
            </w:tcBorders>
            <w:shd w:val="clear" w:color="auto" w:fill="FDFDFD"/>
          </w:tcPr>
          <w:p>
            <w:pPr>
              <w:jc w:val="center"/>
              <w:ind w:left="293"/>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80" w:type="dxa"/>
            <w:vAlign w:val="bottom"/>
            <w:tcBorders>
              <w:bottom w:val="single" w:sz="8" w:color="auto"/>
            </w:tcBorders>
            <w:shd w:val="clear" w:color="auto" w:fill="FDFDFD"/>
          </w:tcPr>
          <w:p>
            <w:pPr>
              <w:spacing w:after="0"/>
              <w:rPr>
                <w:sz w:val="16"/>
                <w:szCs w:val="16"/>
                <w:color w:val="auto"/>
              </w:rPr>
            </w:pPr>
          </w:p>
        </w:tc>
        <w:tc>
          <w:tcPr>
            <w:tcW w:w="20" w:type="dxa"/>
            <w:vAlign w:val="bottom"/>
            <w:tcBorders>
              <w:bottom w:val="single" w:sz="8" w:color="FDFDFD"/>
            </w:tcBorders>
            <w:shd w:val="clear" w:color="auto" w:fill="FDFDFD"/>
          </w:tcPr>
          <w:p>
            <w:pPr>
              <w:spacing w:after="0"/>
              <w:rPr>
                <w:sz w:val="16"/>
                <w:szCs w:val="16"/>
                <w:color w:val="auto"/>
              </w:rPr>
            </w:pPr>
          </w:p>
        </w:tc>
        <w:tc>
          <w:tcPr>
            <w:tcW w:w="220" w:type="dxa"/>
            <w:vAlign w:val="bottom"/>
            <w:tcBorders>
              <w:bottom w:val="single" w:sz="8" w:color="FDFDFD"/>
            </w:tcBorders>
            <w:shd w:val="clear" w:color="auto" w:fill="FDFDFD"/>
          </w:tcPr>
          <w:p>
            <w:pPr>
              <w:spacing w:after="0"/>
              <w:rPr>
                <w:sz w:val="16"/>
                <w:szCs w:val="16"/>
                <w:color w:val="auto"/>
              </w:rPr>
            </w:pPr>
          </w:p>
        </w:tc>
        <w:tc>
          <w:tcPr>
            <w:tcW w:w="20" w:type="dxa"/>
            <w:vAlign w:val="bottom"/>
            <w:tcBorders>
              <w:bottom w:val="single" w:sz="8" w:color="FDFDFD"/>
            </w:tcBorders>
            <w:shd w:val="clear" w:color="auto" w:fill="FDFDFD"/>
          </w:tcPr>
          <w:p>
            <w:pPr>
              <w:spacing w:after="0"/>
              <w:rPr>
                <w:sz w:val="16"/>
                <w:szCs w:val="16"/>
                <w:color w:val="auto"/>
              </w:rPr>
            </w:pPr>
          </w:p>
        </w:tc>
        <w:tc>
          <w:tcPr>
            <w:tcW w:w="200" w:type="dxa"/>
            <w:vAlign w:val="bottom"/>
            <w:tcBorders>
              <w:bottom w:val="single" w:sz="8" w:color="auto"/>
            </w:tcBorders>
            <w:shd w:val="clear" w:color="auto" w:fill="FDFDFD"/>
          </w:tcPr>
          <w:p>
            <w:pPr>
              <w:spacing w:after="0"/>
              <w:rPr>
                <w:sz w:val="16"/>
                <w:szCs w:val="16"/>
                <w:color w:val="auto"/>
              </w:rPr>
            </w:pPr>
          </w:p>
        </w:tc>
        <w:tc>
          <w:tcPr>
            <w:tcW w:w="1160" w:type="dxa"/>
            <w:vAlign w:val="bottom"/>
            <w:tcBorders>
              <w:bottom w:val="single" w:sz="8" w:color="auto"/>
            </w:tcBorders>
            <w:shd w:val="clear" w:color="auto" w:fill="FDFDFD"/>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bottom w:val="single" w:sz="8" w:color="FDFDFD"/>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r>
      <w:tr>
        <w:trPr>
          <w:trHeight w:val="230"/>
        </w:trPr>
        <w:tc>
          <w:tcPr>
            <w:tcW w:w="289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Short-term investments:</w:t>
            </w:r>
          </w:p>
        </w:tc>
        <w:tc>
          <w:tcPr>
            <w:tcW w:w="15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26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10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980" w:type="dxa"/>
            <w:vAlign w:val="bottom"/>
            <w:shd w:val="clear" w:color="auto" w:fill="FDFDFD"/>
          </w:tcPr>
          <w:p>
            <w:pPr>
              <w:spacing w:after="0"/>
              <w:rPr>
                <w:sz w:val="19"/>
                <w:szCs w:val="19"/>
                <w:color w:val="auto"/>
              </w:rPr>
            </w:pPr>
          </w:p>
        </w:tc>
        <w:tc>
          <w:tcPr>
            <w:tcW w:w="38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16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r>
      <w:tr>
        <w:trPr>
          <w:trHeight w:val="230"/>
        </w:trPr>
        <w:tc>
          <w:tcPr>
            <w:tcW w:w="289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US Treasuries</w:t>
            </w:r>
          </w:p>
        </w:tc>
        <w:tc>
          <w:tcPr>
            <w:tcW w:w="170" w:type="dxa"/>
            <w:vAlign w:val="bottom"/>
            <w:gridSpan w:val="2"/>
            <w:shd w:val="clear" w:color="auto" w:fill="E3E3E3"/>
          </w:tcPr>
          <w:p>
            <w:pPr>
              <w:spacing w:after="0"/>
              <w:rPr>
                <w:sz w:val="19"/>
                <w:szCs w:val="19"/>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62,486</w:t>
            </w:r>
          </w:p>
        </w:tc>
        <w:tc>
          <w:tcPr>
            <w:tcW w:w="260" w:type="dxa"/>
            <w:vAlign w:val="bottom"/>
            <w:gridSpan w:val="2"/>
            <w:shd w:val="clear" w:color="auto" w:fill="E3E3E3"/>
          </w:tcPr>
          <w:p>
            <w:pPr>
              <w:spacing w:after="0"/>
              <w:rPr>
                <w:sz w:val="19"/>
                <w:szCs w:val="19"/>
                <w:color w:val="auto"/>
              </w:rPr>
            </w:pPr>
          </w:p>
        </w:tc>
        <w:tc>
          <w:tcPr>
            <w:tcW w:w="280" w:type="dxa"/>
            <w:vAlign w:val="bottom"/>
            <w:shd w:val="clear" w:color="auto" w:fill="E3E3E3"/>
          </w:tcPr>
          <w:p>
            <w:pPr>
              <w:jc w:val="right"/>
              <w:ind w:right="9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60" w:type="dxa"/>
            <w:vAlign w:val="bottom"/>
            <w:gridSpan w:val="2"/>
            <w:shd w:val="clear" w:color="auto" w:fill="E3E3E3"/>
          </w:tcPr>
          <w:p>
            <w:pPr>
              <w:spacing w:after="0"/>
              <w:rPr>
                <w:sz w:val="19"/>
                <w:szCs w:val="19"/>
                <w:color w:val="auto"/>
              </w:rPr>
            </w:pPr>
          </w:p>
        </w:tc>
        <w:tc>
          <w:tcPr>
            <w:tcW w:w="9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40" w:type="dxa"/>
            <w:vAlign w:val="bottom"/>
            <w:gridSpan w:val="2"/>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62,461</w:t>
            </w:r>
          </w:p>
        </w:tc>
        <w:tc>
          <w:tcPr>
            <w:tcW w:w="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r>
      <w:tr>
        <w:trPr>
          <w:trHeight w:val="230"/>
        </w:trPr>
        <w:tc>
          <w:tcPr>
            <w:tcW w:w="289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Corporate Bonds</w:t>
            </w:r>
          </w:p>
        </w:tc>
        <w:tc>
          <w:tcPr>
            <w:tcW w:w="15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2,314</w:t>
            </w:r>
          </w:p>
        </w:tc>
        <w:tc>
          <w:tcPr>
            <w:tcW w:w="2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980" w:type="dxa"/>
            <w:vAlign w:val="bottom"/>
            <w:shd w:val="clear" w:color="auto" w:fill="FDFDFD"/>
          </w:tcPr>
          <w:p>
            <w:pPr>
              <w:spacing w:after="0"/>
              <w:rPr>
                <w:sz w:val="19"/>
                <w:szCs w:val="19"/>
                <w:color w:val="auto"/>
              </w:rPr>
            </w:pPr>
          </w:p>
        </w:tc>
        <w:tc>
          <w:tcPr>
            <w:tcW w:w="620" w:type="dxa"/>
            <w:vAlign w:val="bottom"/>
            <w:gridSpan w:val="3"/>
            <w:shd w:val="clear" w:color="auto" w:fill="FDFDFD"/>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2,324</w:t>
            </w: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r>
      <w:tr>
        <w:trPr>
          <w:trHeight w:val="230"/>
        </w:trPr>
        <w:tc>
          <w:tcPr>
            <w:tcW w:w="289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Commercial Paper</w:t>
            </w:r>
          </w:p>
        </w:tc>
        <w:tc>
          <w:tcPr>
            <w:tcW w:w="15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94,269</w:t>
            </w:r>
          </w:p>
        </w:tc>
        <w:tc>
          <w:tcPr>
            <w:tcW w:w="24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4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980" w:type="dxa"/>
            <w:vAlign w:val="bottom"/>
            <w:shd w:val="clear" w:color="auto" w:fill="E3E3E3"/>
          </w:tcPr>
          <w:p>
            <w:pPr>
              <w:spacing w:after="0"/>
              <w:rPr>
                <w:sz w:val="19"/>
                <w:szCs w:val="19"/>
                <w:color w:val="auto"/>
              </w:rPr>
            </w:pPr>
          </w:p>
        </w:tc>
        <w:tc>
          <w:tcPr>
            <w:tcW w:w="620" w:type="dxa"/>
            <w:vAlign w:val="bottom"/>
            <w:gridSpan w:val="3"/>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94,336</w:t>
            </w:r>
          </w:p>
        </w:tc>
        <w:tc>
          <w:tcPr>
            <w:tcW w:w="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r>
      <w:tr>
        <w:trPr>
          <w:trHeight w:val="230"/>
        </w:trPr>
        <w:tc>
          <w:tcPr>
            <w:tcW w:w="289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Certificates of Deposit</w:t>
            </w:r>
          </w:p>
        </w:tc>
        <w:tc>
          <w:tcPr>
            <w:tcW w:w="15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17,954</w:t>
            </w:r>
          </w:p>
        </w:tc>
        <w:tc>
          <w:tcPr>
            <w:tcW w:w="2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980" w:type="dxa"/>
            <w:vAlign w:val="bottom"/>
            <w:shd w:val="clear" w:color="auto" w:fill="FDFDFD"/>
          </w:tcPr>
          <w:p>
            <w:pPr>
              <w:spacing w:after="0"/>
              <w:rPr>
                <w:sz w:val="19"/>
                <w:szCs w:val="19"/>
                <w:color w:val="auto"/>
              </w:rPr>
            </w:pPr>
          </w:p>
        </w:tc>
        <w:tc>
          <w:tcPr>
            <w:tcW w:w="620" w:type="dxa"/>
            <w:vAlign w:val="bottom"/>
            <w:gridSpan w:val="3"/>
            <w:shd w:val="clear" w:color="auto" w:fill="FDFDFD"/>
          </w:tcPr>
          <w:p>
            <w:pPr>
              <w:jc w:val="right"/>
              <w:ind w:right="18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17,971</w:t>
            </w: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r>
      <w:tr>
        <w:trPr>
          <w:trHeight w:val="220"/>
        </w:trPr>
        <w:tc>
          <w:tcPr>
            <w:tcW w:w="289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Total short-term investments</w:t>
            </w:r>
          </w:p>
        </w:tc>
        <w:tc>
          <w:tcPr>
            <w:tcW w:w="150" w:type="dxa"/>
            <w:vAlign w:val="bottom"/>
            <w:tcBorders>
              <w:top w:val="single" w:sz="8" w:color="E3E3E3"/>
            </w:tcBorders>
            <w:shd w:val="clear" w:color="auto" w:fill="E3E3E3"/>
          </w:tcPr>
          <w:p>
            <w:pPr>
              <w:spacing w:after="0"/>
              <w:rPr>
                <w:sz w:val="19"/>
                <w:szCs w:val="19"/>
                <w:color w:val="auto"/>
              </w:rPr>
            </w:pPr>
          </w:p>
        </w:tc>
        <w:tc>
          <w:tcPr>
            <w:tcW w:w="2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177,023</w:t>
            </w:r>
          </w:p>
        </w:tc>
        <w:tc>
          <w:tcPr>
            <w:tcW w:w="260" w:type="dxa"/>
            <w:vAlign w:val="bottom"/>
            <w:tcBorders>
              <w:top w:val="single" w:sz="8" w:color="E3E3E3"/>
            </w:tcBorders>
            <w:gridSpan w:val="2"/>
            <w:shd w:val="clear" w:color="auto" w:fill="E3E3E3"/>
          </w:tcPr>
          <w:p>
            <w:pPr>
              <w:spacing w:after="0"/>
              <w:rPr>
                <w:sz w:val="19"/>
                <w:szCs w:val="19"/>
                <w:color w:val="auto"/>
              </w:rPr>
            </w:pPr>
          </w:p>
        </w:tc>
        <w:tc>
          <w:tcPr>
            <w:tcW w:w="280" w:type="dxa"/>
            <w:vAlign w:val="bottom"/>
            <w:tcBorders>
              <w:top w:val="single" w:sz="8" w:color="auto"/>
              <w:bottom w:val="single" w:sz="8" w:color="auto"/>
            </w:tcBorders>
            <w:shd w:val="clear" w:color="auto" w:fill="E3E3E3"/>
          </w:tcPr>
          <w:p>
            <w:pPr>
              <w:jc w:val="right"/>
              <w:ind w:right="9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134</w:t>
            </w:r>
          </w:p>
        </w:tc>
        <w:tc>
          <w:tcPr>
            <w:tcW w:w="260" w:type="dxa"/>
            <w:vAlign w:val="bottom"/>
            <w:tcBorders>
              <w:top w:val="single" w:sz="8" w:color="E3E3E3"/>
            </w:tcBorders>
            <w:gridSpan w:val="2"/>
            <w:shd w:val="clear" w:color="auto" w:fill="E3E3E3"/>
          </w:tcPr>
          <w:p>
            <w:pPr>
              <w:spacing w:after="0"/>
              <w:rPr>
                <w:sz w:val="19"/>
                <w:szCs w:val="19"/>
                <w:color w:val="auto"/>
              </w:rPr>
            </w:pPr>
          </w:p>
        </w:tc>
        <w:tc>
          <w:tcPr>
            <w:tcW w:w="980" w:type="dxa"/>
            <w:vAlign w:val="bottom"/>
            <w:tcBorders>
              <w:top w:val="single" w:sz="8" w:color="auto"/>
              <w:bottom w:val="single" w:sz="8" w:color="auto"/>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(65)</w:t>
            </w:r>
          </w:p>
        </w:tc>
        <w:tc>
          <w:tcPr>
            <w:tcW w:w="240" w:type="dxa"/>
            <w:vAlign w:val="bottom"/>
            <w:tcBorders>
              <w:top w:val="single" w:sz="8" w:color="E3E3E3"/>
            </w:tcBorders>
            <w:gridSpan w:val="2"/>
            <w:shd w:val="clear" w:color="auto" w:fill="E3E3E3"/>
          </w:tcPr>
          <w:p>
            <w:pPr>
              <w:spacing w:after="0"/>
              <w:rPr>
                <w:sz w:val="19"/>
                <w:szCs w:val="19"/>
                <w:color w:val="auto"/>
              </w:rPr>
            </w:pPr>
          </w:p>
        </w:tc>
        <w:tc>
          <w:tcPr>
            <w:tcW w:w="20" w:type="dxa"/>
            <w:vAlign w:val="bottom"/>
            <w:tcBorders>
              <w:top w:val="single" w:sz="8" w:color="E3E3E3"/>
            </w:tcBorders>
            <w:shd w:val="clear" w:color="auto" w:fill="E3E3E3"/>
          </w:tcPr>
          <w:p>
            <w:pPr>
              <w:spacing w:after="0"/>
              <w:rPr>
                <w:sz w:val="19"/>
                <w:szCs w:val="19"/>
                <w:color w:val="auto"/>
              </w:rPr>
            </w:pPr>
          </w:p>
        </w:tc>
        <w:tc>
          <w:tcPr>
            <w:tcW w:w="20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177,092</w:t>
            </w:r>
          </w:p>
        </w:tc>
        <w:tc>
          <w:tcPr>
            <w:tcW w:w="20" w:type="dxa"/>
            <w:vAlign w:val="bottom"/>
            <w:tcBorders>
              <w:top w:val="single" w:sz="8" w:color="E3E3E3"/>
            </w:tcBorders>
            <w:shd w:val="clear" w:color="auto" w:fill="E3E3E3"/>
          </w:tcPr>
          <w:p>
            <w:pPr>
              <w:spacing w:after="0"/>
              <w:rPr>
                <w:sz w:val="19"/>
                <w:szCs w:val="19"/>
                <w:color w:val="auto"/>
              </w:rPr>
            </w:pPr>
          </w:p>
        </w:tc>
        <w:tc>
          <w:tcPr>
            <w:tcW w:w="80" w:type="dxa"/>
            <w:vAlign w:val="bottom"/>
            <w:tcBorders>
              <w:top w:val="single" w:sz="8" w:color="E3E3E3"/>
            </w:tcBorders>
            <w:shd w:val="clear" w:color="auto" w:fill="E3E3E3"/>
          </w:tcPr>
          <w:p>
            <w:pPr>
              <w:spacing w:after="0"/>
              <w:rPr>
                <w:sz w:val="19"/>
                <w:szCs w:val="19"/>
                <w:color w:val="auto"/>
              </w:rPr>
            </w:pPr>
          </w:p>
        </w:tc>
      </w:tr>
      <w:tr>
        <w:trPr>
          <w:trHeight w:val="20"/>
        </w:trPr>
        <w:tc>
          <w:tcPr>
            <w:tcW w:w="28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auto"/>
        </w:rPr>
        <w:t>All short-term investments had stated maturity dates of less than one year. Included in the amortized cost as of December 31, 2024 and 2023 is accretion of $1.6 million and $2.8 million, respectively. Interest accretion on short-term investments was $7.2 million and $8.2 million during the years ended December 31, 2024 and 2023, respectively.</w:t>
      </w:r>
    </w:p>
    <w:p>
      <w:pPr>
        <w:sectPr>
          <w:pgSz w:w="11880" w:h="15480" w:orient="portrait"/>
          <w:cols w:equalWidth="0" w:num="1">
            <w:col w:w="9820"/>
          </w:cols>
          <w:pgMar w:left="820" w:top="803" w:right="12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9"/>
          <w:szCs w:val="19"/>
          <w:color w:val="auto"/>
        </w:rPr>
        <w:t>F-28</w:t>
      </w:r>
    </w:p>
    <w:p>
      <w:pPr>
        <w:sectPr>
          <w:pgSz w:w="11880" w:h="15480" w:orient="portrait"/>
          <w:cols w:equalWidth="0" w:num="1">
            <w:col w:w="9820"/>
          </w:cols>
          <w:pgMar w:left="820" w:top="803" w:right="1240" w:bottom="8" w:gutter="0" w:footer="0" w:header="0"/>
          <w:type w:val="continuous"/>
        </w:sectPr>
      </w:pPr>
    </w:p>
    <w:bookmarkStart w:id="120" w:name="page121"/>
    <w:bookmarkEnd w:id="120"/>
    <w:p>
      <w:pPr>
        <w:ind w:left="492" w:hanging="492"/>
        <w:spacing w:after="0"/>
        <w:tabs>
          <w:tab w:leader="none" w:pos="492"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Accounts Receivable</w:t>
      </w:r>
    </w:p>
    <w:p>
      <w:pPr>
        <w:spacing w:after="0" w:line="123" w:lineRule="exact"/>
        <w:rPr>
          <w:rFonts w:ascii="Times New Roman" w:cs="Times New Roman" w:eastAsia="Times New Roman" w:hAnsi="Times New Roman"/>
          <w:sz w:val="20"/>
          <w:szCs w:val="20"/>
          <w:b w:val="1"/>
          <w:bCs w:val="1"/>
          <w:color w:val="auto"/>
        </w:rPr>
      </w:pPr>
    </w:p>
    <w:p>
      <w:pPr>
        <w:ind w:left="49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Accounts receivable consisted of the following as of:</w:t>
      </w:r>
    </w:p>
    <w:p>
      <w:pPr>
        <w:spacing w:after="0" w:line="232" w:lineRule="exact"/>
        <w:rPr>
          <w:sz w:val="20"/>
          <w:szCs w:val="20"/>
          <w:color w:val="auto"/>
        </w:rPr>
      </w:pPr>
    </w:p>
    <w:tbl>
      <w:tblPr>
        <w:tblLayout w:type="fixed"/>
        <w:tblInd w:w="512" w:type="dxa"/>
        <w:tblCellMar>
          <w:top w:w="0" w:type="dxa"/>
          <w:left w:w="0" w:type="dxa"/>
          <w:bottom w:w="0" w:type="dxa"/>
          <w:right w:w="0" w:type="dxa"/>
        </w:tblCellMar>
      </w:tblPr>
      <w:tr>
        <w:trPr>
          <w:trHeight w:val="184"/>
        </w:trPr>
        <w:tc>
          <w:tcPr>
            <w:tcW w:w="58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1260" w:type="dxa"/>
            <w:vAlign w:val="bottom"/>
            <w:shd w:val="clear" w:color="auto" w:fill="FDFDFD"/>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1360" w:type="dxa"/>
            <w:vAlign w:val="bottom"/>
            <w:gridSpan w:val="2"/>
            <w:shd w:val="clear" w:color="auto" w:fill="FDFDFD"/>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58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E3E3E3"/>
            </w:tcBorders>
            <w:shd w:val="clear" w:color="auto" w:fill="FDFDFD"/>
          </w:tcPr>
          <w:p>
            <w:pPr>
              <w:spacing w:after="0"/>
              <w:rPr>
                <w:sz w:val="17"/>
                <w:szCs w:val="17"/>
                <w:color w:val="auto"/>
              </w:rPr>
            </w:pPr>
          </w:p>
        </w:tc>
        <w:tc>
          <w:tcPr>
            <w:tcW w:w="180" w:type="dxa"/>
            <w:vAlign w:val="bottom"/>
            <w:tcBorders>
              <w:bottom w:val="single" w:sz="8" w:color="auto"/>
            </w:tcBorders>
            <w:shd w:val="clear" w:color="auto" w:fill="FDFDFD"/>
          </w:tcPr>
          <w:p>
            <w:pPr>
              <w:spacing w:after="0"/>
              <w:rPr>
                <w:sz w:val="17"/>
                <w:szCs w:val="17"/>
                <w:color w:val="auto"/>
              </w:rPr>
            </w:pPr>
          </w:p>
        </w:tc>
        <w:tc>
          <w:tcPr>
            <w:tcW w:w="1260" w:type="dxa"/>
            <w:vAlign w:val="bottom"/>
            <w:tcBorders>
              <w:bottom w:val="single" w:sz="8" w:color="auto"/>
            </w:tcBorders>
            <w:shd w:val="clear" w:color="auto" w:fill="FDFDFD"/>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3E3E3"/>
            </w:tcBorders>
            <w:shd w:val="clear" w:color="auto" w:fill="FDFDFD"/>
          </w:tcPr>
          <w:p>
            <w:pPr>
              <w:spacing w:after="0"/>
              <w:rPr>
                <w:sz w:val="17"/>
                <w:szCs w:val="17"/>
                <w:color w:val="auto"/>
              </w:rPr>
            </w:pPr>
          </w:p>
        </w:tc>
        <w:tc>
          <w:tcPr>
            <w:tcW w:w="180" w:type="dxa"/>
            <w:vAlign w:val="bottom"/>
            <w:tcBorders>
              <w:bottom w:val="single" w:sz="8" w:color="auto"/>
            </w:tcBorders>
            <w:shd w:val="clear" w:color="auto" w:fill="FDFDFD"/>
          </w:tcPr>
          <w:p>
            <w:pPr>
              <w:spacing w:after="0"/>
              <w:rPr>
                <w:sz w:val="17"/>
                <w:szCs w:val="17"/>
                <w:color w:val="auto"/>
              </w:rPr>
            </w:pPr>
          </w:p>
        </w:tc>
        <w:tc>
          <w:tcPr>
            <w:tcW w:w="1260" w:type="dxa"/>
            <w:vAlign w:val="bottom"/>
            <w:tcBorders>
              <w:bottom w:val="single" w:sz="8" w:color="auto"/>
            </w:tcBorders>
            <w:shd w:val="clear" w:color="auto" w:fill="FDFDFD"/>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58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Accounts receivable</w:t>
            </w:r>
          </w:p>
        </w:tc>
        <w:tc>
          <w:tcPr>
            <w:tcW w:w="140" w:type="dxa"/>
            <w:vAlign w:val="bottom"/>
            <w:shd w:val="clear" w:color="auto" w:fill="E3E3E3"/>
          </w:tcPr>
          <w:p>
            <w:pPr>
              <w:spacing w:after="0"/>
              <w:rPr>
                <w:sz w:val="19"/>
                <w:szCs w:val="19"/>
                <w:color w:val="auto"/>
              </w:rPr>
            </w:pPr>
          </w:p>
        </w:tc>
        <w:tc>
          <w:tcPr>
            <w:tcW w:w="1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54,618</w:t>
            </w:r>
          </w:p>
        </w:tc>
        <w:tc>
          <w:tcPr>
            <w:tcW w:w="260" w:type="dxa"/>
            <w:vAlign w:val="bottom"/>
            <w:shd w:val="clear" w:color="auto" w:fill="E3E3E3"/>
          </w:tcPr>
          <w:p>
            <w:pPr>
              <w:spacing w:after="0"/>
              <w:rPr>
                <w:sz w:val="19"/>
                <w:szCs w:val="19"/>
                <w:color w:val="auto"/>
              </w:rPr>
            </w:pPr>
          </w:p>
        </w:tc>
        <w:tc>
          <w:tcPr>
            <w:tcW w:w="1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60,206</w:t>
            </w:r>
          </w:p>
        </w:tc>
        <w:tc>
          <w:tcPr>
            <w:tcW w:w="100" w:type="dxa"/>
            <w:vAlign w:val="bottom"/>
            <w:shd w:val="clear" w:color="auto" w:fill="E3E3E3"/>
          </w:tcPr>
          <w:p>
            <w:pPr>
              <w:spacing w:after="0"/>
              <w:rPr>
                <w:sz w:val="19"/>
                <w:szCs w:val="19"/>
                <w:color w:val="auto"/>
              </w:rPr>
            </w:pPr>
          </w:p>
        </w:tc>
      </w:tr>
      <w:tr>
        <w:trPr>
          <w:trHeight w:val="230"/>
        </w:trPr>
        <w:tc>
          <w:tcPr>
            <w:tcW w:w="58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Unbilled receivable</w:t>
            </w:r>
          </w:p>
        </w:tc>
        <w:tc>
          <w:tcPr>
            <w:tcW w:w="140" w:type="dxa"/>
            <w:vAlign w:val="bottom"/>
            <w:tcBorders>
              <w:bottom w:val="single" w:sz="8" w:color="E3E3E3"/>
            </w:tcBorders>
            <w:shd w:val="clear" w:color="auto" w:fill="FDFDFD"/>
          </w:tcPr>
          <w:p>
            <w:pPr>
              <w:spacing w:after="0"/>
              <w:rPr>
                <w:sz w:val="19"/>
                <w:szCs w:val="19"/>
                <w:color w:val="auto"/>
              </w:rPr>
            </w:pPr>
          </w:p>
        </w:tc>
        <w:tc>
          <w:tcPr>
            <w:tcW w:w="180" w:type="dxa"/>
            <w:vAlign w:val="bottom"/>
            <w:tcBorders>
              <w:bottom w:val="single" w:sz="8" w:color="auto"/>
            </w:tcBorders>
            <w:shd w:val="clear" w:color="auto" w:fill="FDFDFD"/>
          </w:tcPr>
          <w:p>
            <w:pPr>
              <w:spacing w:after="0"/>
              <w:rPr>
                <w:sz w:val="19"/>
                <w:szCs w:val="19"/>
                <w:color w:val="auto"/>
              </w:rPr>
            </w:pPr>
          </w:p>
        </w:tc>
        <w:tc>
          <w:tcPr>
            <w:tcW w:w="12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728</w:t>
            </w:r>
          </w:p>
        </w:tc>
        <w:tc>
          <w:tcPr>
            <w:tcW w:w="260" w:type="dxa"/>
            <w:vAlign w:val="bottom"/>
            <w:tcBorders>
              <w:bottom w:val="single" w:sz="8" w:color="E3E3E3"/>
            </w:tcBorders>
            <w:shd w:val="clear" w:color="auto" w:fill="FDFDFD"/>
          </w:tcPr>
          <w:p>
            <w:pPr>
              <w:spacing w:after="0"/>
              <w:rPr>
                <w:sz w:val="19"/>
                <w:szCs w:val="19"/>
                <w:color w:val="auto"/>
              </w:rPr>
            </w:pPr>
          </w:p>
        </w:tc>
        <w:tc>
          <w:tcPr>
            <w:tcW w:w="180" w:type="dxa"/>
            <w:vAlign w:val="bottom"/>
            <w:tcBorders>
              <w:bottom w:val="single" w:sz="8" w:color="auto"/>
            </w:tcBorders>
            <w:shd w:val="clear" w:color="auto" w:fill="FDFDFD"/>
          </w:tcPr>
          <w:p>
            <w:pPr>
              <w:spacing w:after="0"/>
              <w:rPr>
                <w:sz w:val="19"/>
                <w:szCs w:val="19"/>
                <w:color w:val="auto"/>
              </w:rPr>
            </w:pPr>
          </w:p>
        </w:tc>
        <w:tc>
          <w:tcPr>
            <w:tcW w:w="12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1,346</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58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2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55,346</w:t>
            </w:r>
          </w:p>
        </w:tc>
        <w:tc>
          <w:tcPr>
            <w:tcW w:w="26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2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61,552</w:t>
            </w:r>
          </w:p>
        </w:tc>
        <w:tc>
          <w:tcPr>
            <w:tcW w:w="100" w:type="dxa"/>
            <w:vAlign w:val="bottom"/>
            <w:shd w:val="clear" w:color="auto" w:fill="E3E3E3"/>
          </w:tcPr>
          <w:p>
            <w:pPr>
              <w:spacing w:after="0"/>
              <w:rPr>
                <w:sz w:val="19"/>
                <w:szCs w:val="19"/>
                <w:color w:val="auto"/>
              </w:rPr>
            </w:pPr>
          </w:p>
        </w:tc>
      </w:tr>
      <w:tr>
        <w:trPr>
          <w:trHeight w:val="230"/>
        </w:trPr>
        <w:tc>
          <w:tcPr>
            <w:tcW w:w="5820" w:type="dxa"/>
            <w:vAlign w:val="bottom"/>
            <w:tcBorders>
              <w:bottom w:val="single" w:sz="8" w:color="E3E3E3"/>
            </w:tcBorders>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Less: allowance for credit losses</w:t>
            </w:r>
          </w:p>
        </w:tc>
        <w:tc>
          <w:tcPr>
            <w:tcW w:w="140" w:type="dxa"/>
            <w:vAlign w:val="bottom"/>
            <w:tcBorders>
              <w:bottom w:val="single" w:sz="8" w:color="E3E3E3"/>
            </w:tcBorders>
            <w:shd w:val="clear" w:color="auto" w:fill="FDFDFD"/>
          </w:tcPr>
          <w:p>
            <w:pPr>
              <w:spacing w:after="0"/>
              <w:rPr>
                <w:sz w:val="19"/>
                <w:szCs w:val="19"/>
                <w:color w:val="auto"/>
              </w:rPr>
            </w:pPr>
          </w:p>
        </w:tc>
        <w:tc>
          <w:tcPr>
            <w:tcW w:w="180" w:type="dxa"/>
            <w:vAlign w:val="bottom"/>
            <w:tcBorders>
              <w:bottom w:val="single" w:sz="8" w:color="auto"/>
            </w:tcBorders>
            <w:shd w:val="clear" w:color="auto" w:fill="FDFDFD"/>
          </w:tcPr>
          <w:p>
            <w:pPr>
              <w:spacing w:after="0"/>
              <w:rPr>
                <w:sz w:val="19"/>
                <w:szCs w:val="19"/>
                <w:color w:val="auto"/>
              </w:rPr>
            </w:pPr>
          </w:p>
        </w:tc>
        <w:tc>
          <w:tcPr>
            <w:tcW w:w="12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(2,114)</w:t>
            </w:r>
          </w:p>
        </w:tc>
        <w:tc>
          <w:tcPr>
            <w:tcW w:w="260" w:type="dxa"/>
            <w:vAlign w:val="bottom"/>
            <w:tcBorders>
              <w:bottom w:val="single" w:sz="8" w:color="E3E3E3"/>
            </w:tcBorders>
            <w:shd w:val="clear" w:color="auto" w:fill="FDFDFD"/>
          </w:tcPr>
          <w:p>
            <w:pPr>
              <w:spacing w:after="0"/>
              <w:rPr>
                <w:sz w:val="19"/>
                <w:szCs w:val="19"/>
                <w:color w:val="auto"/>
              </w:rPr>
            </w:pPr>
          </w:p>
        </w:tc>
        <w:tc>
          <w:tcPr>
            <w:tcW w:w="180" w:type="dxa"/>
            <w:vAlign w:val="bottom"/>
            <w:tcBorders>
              <w:bottom w:val="single" w:sz="8" w:color="auto"/>
            </w:tcBorders>
            <w:shd w:val="clear" w:color="auto" w:fill="FDFDFD"/>
          </w:tcPr>
          <w:p>
            <w:pPr>
              <w:spacing w:after="0"/>
              <w:rPr>
                <w:sz w:val="19"/>
                <w:szCs w:val="19"/>
                <w:color w:val="auto"/>
              </w:rPr>
            </w:pPr>
          </w:p>
        </w:tc>
        <w:tc>
          <w:tcPr>
            <w:tcW w:w="12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(2,303)</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58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Accounts receivable, net</w:t>
            </w:r>
          </w:p>
        </w:tc>
        <w:tc>
          <w:tcPr>
            <w:tcW w:w="140" w:type="dxa"/>
            <w:vAlign w:val="bottom"/>
            <w:shd w:val="clear" w:color="auto" w:fill="E3E3E3"/>
          </w:tcPr>
          <w:p>
            <w:pPr>
              <w:spacing w:after="0"/>
              <w:rPr>
                <w:sz w:val="19"/>
                <w:szCs w:val="19"/>
                <w:color w:val="auto"/>
              </w:rPr>
            </w:pPr>
          </w:p>
        </w:tc>
        <w:tc>
          <w:tcPr>
            <w:tcW w:w="18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53,232</w:t>
            </w:r>
          </w:p>
        </w:tc>
        <w:tc>
          <w:tcPr>
            <w:tcW w:w="260" w:type="dxa"/>
            <w:vAlign w:val="bottom"/>
            <w:shd w:val="clear" w:color="auto" w:fill="E3E3E3"/>
          </w:tcPr>
          <w:p>
            <w:pPr>
              <w:spacing w:after="0"/>
              <w:rPr>
                <w:sz w:val="19"/>
                <w:szCs w:val="19"/>
                <w:color w:val="auto"/>
              </w:rPr>
            </w:pPr>
          </w:p>
        </w:tc>
        <w:tc>
          <w:tcPr>
            <w:tcW w:w="18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59,249</w:t>
            </w:r>
          </w:p>
        </w:tc>
        <w:tc>
          <w:tcPr>
            <w:tcW w:w="100" w:type="dxa"/>
            <w:vAlign w:val="bottom"/>
            <w:shd w:val="clear" w:color="auto" w:fill="E3E3E3"/>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12"/>
          </w:cols>
          <w:pgMar w:left="828" w:top="803" w:right="13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19"/>
          <w:szCs w:val="19"/>
          <w:color w:val="auto"/>
        </w:rPr>
        <w:t>F-29</w:t>
      </w:r>
    </w:p>
    <w:p>
      <w:pPr>
        <w:sectPr>
          <w:pgSz w:w="11880" w:h="15480" w:orient="portrait"/>
          <w:cols w:equalWidth="0" w:num="1">
            <w:col w:w="9712"/>
          </w:cols>
          <w:pgMar w:left="828" w:top="803" w:right="1340" w:bottom="8" w:gutter="0" w:footer="0" w:header="0"/>
          <w:type w:val="continuous"/>
        </w:sectPr>
      </w:pPr>
    </w:p>
    <w:bookmarkStart w:id="121" w:name="page122"/>
    <w:bookmarkEnd w:id="121"/>
    <w:p>
      <w:pPr>
        <w:ind w:left="500" w:hanging="492"/>
        <w:spacing w:after="0"/>
        <w:tabs>
          <w:tab w:leader="none" w:pos="50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and Equipment</w:t>
      </w:r>
    </w:p>
    <w:p>
      <w:pPr>
        <w:spacing w:after="0" w:line="123" w:lineRule="exact"/>
        <w:rPr>
          <w:rFonts w:ascii="Times New Roman" w:cs="Times New Roman" w:eastAsia="Times New Roman" w:hAnsi="Times New Roman"/>
          <w:sz w:val="20"/>
          <w:szCs w:val="20"/>
          <w:b w:val="1"/>
          <w:bCs w:val="1"/>
          <w:color w:val="auto"/>
        </w:rPr>
      </w:pPr>
    </w:p>
    <w:p>
      <w:pPr>
        <w:ind w:left="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Property and equipment consisted of the following as of:</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260" w:type="dxa"/>
            <w:vAlign w:val="bottom"/>
            <w:shd w:val="clear" w:color="auto" w:fill="FDFDFD"/>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1360" w:type="dxa"/>
            <w:vAlign w:val="bottom"/>
            <w:gridSpan w:val="2"/>
            <w:shd w:val="clear" w:color="auto" w:fill="FDFDFD"/>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686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Borders>
              <w:bottom w:val="single" w:sz="8" w:color="E3E3E3"/>
            </w:tcBorders>
            <w:shd w:val="clear" w:color="auto" w:fill="FDFDFD"/>
          </w:tcPr>
          <w:p>
            <w:pPr>
              <w:spacing w:after="0"/>
              <w:rPr>
                <w:sz w:val="17"/>
                <w:szCs w:val="17"/>
                <w:color w:val="auto"/>
              </w:rPr>
            </w:pPr>
          </w:p>
        </w:tc>
        <w:tc>
          <w:tcPr>
            <w:tcW w:w="160" w:type="dxa"/>
            <w:vAlign w:val="bottom"/>
            <w:tcBorders>
              <w:bottom w:val="single" w:sz="8" w:color="auto"/>
            </w:tcBorders>
            <w:shd w:val="clear" w:color="auto" w:fill="FDFDFD"/>
          </w:tcPr>
          <w:p>
            <w:pPr>
              <w:spacing w:after="0"/>
              <w:rPr>
                <w:sz w:val="17"/>
                <w:szCs w:val="17"/>
                <w:color w:val="auto"/>
              </w:rPr>
            </w:pPr>
          </w:p>
        </w:tc>
        <w:tc>
          <w:tcPr>
            <w:tcW w:w="1260" w:type="dxa"/>
            <w:vAlign w:val="bottom"/>
            <w:tcBorders>
              <w:bottom w:val="single" w:sz="8" w:color="auto"/>
            </w:tcBorders>
            <w:shd w:val="clear" w:color="auto" w:fill="FDFDFD"/>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3E3E3"/>
            </w:tcBorders>
            <w:shd w:val="clear" w:color="auto" w:fill="FDFDFD"/>
          </w:tcPr>
          <w:p>
            <w:pPr>
              <w:spacing w:after="0"/>
              <w:rPr>
                <w:sz w:val="17"/>
                <w:szCs w:val="17"/>
                <w:color w:val="auto"/>
              </w:rPr>
            </w:pPr>
          </w:p>
        </w:tc>
        <w:tc>
          <w:tcPr>
            <w:tcW w:w="180" w:type="dxa"/>
            <w:vAlign w:val="bottom"/>
            <w:tcBorders>
              <w:bottom w:val="single" w:sz="8" w:color="auto"/>
            </w:tcBorders>
            <w:shd w:val="clear" w:color="auto" w:fill="FDFDFD"/>
          </w:tcPr>
          <w:p>
            <w:pPr>
              <w:spacing w:after="0"/>
              <w:rPr>
                <w:sz w:val="17"/>
                <w:szCs w:val="17"/>
                <w:color w:val="auto"/>
              </w:rPr>
            </w:pPr>
          </w:p>
        </w:tc>
        <w:tc>
          <w:tcPr>
            <w:tcW w:w="1260" w:type="dxa"/>
            <w:vAlign w:val="bottom"/>
            <w:tcBorders>
              <w:bottom w:val="single" w:sz="8" w:color="auto"/>
            </w:tcBorders>
            <w:shd w:val="clear" w:color="auto" w:fill="FDFDFD"/>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34"/>
        </w:trPr>
        <w:tc>
          <w:tcPr>
            <w:tcW w:w="68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Computers and software</w:t>
            </w:r>
          </w:p>
        </w:tc>
        <w:tc>
          <w:tcPr>
            <w:tcW w:w="16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8,472</w:t>
            </w:r>
          </w:p>
        </w:tc>
        <w:tc>
          <w:tcPr>
            <w:tcW w:w="26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6,921</w:t>
            </w:r>
          </w:p>
        </w:tc>
        <w:tc>
          <w:tcPr>
            <w:tcW w:w="100" w:type="dxa"/>
            <w:vAlign w:val="bottom"/>
            <w:shd w:val="clear" w:color="auto" w:fill="E3E3E3"/>
          </w:tcPr>
          <w:p>
            <w:pPr>
              <w:spacing w:after="0"/>
              <w:rPr>
                <w:sz w:val="20"/>
                <w:szCs w:val="20"/>
                <w:color w:val="auto"/>
              </w:rPr>
            </w:pPr>
          </w:p>
        </w:tc>
      </w:tr>
      <w:tr>
        <w:trPr>
          <w:trHeight w:val="244"/>
        </w:trPr>
        <w:tc>
          <w:tcPr>
            <w:tcW w:w="6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Furniture and equipment</w:t>
            </w:r>
          </w:p>
        </w:tc>
        <w:tc>
          <w:tcPr>
            <w:tcW w:w="160" w:type="dxa"/>
            <w:vAlign w:val="bottom"/>
            <w:shd w:val="clear" w:color="auto" w:fill="FDFDFD"/>
          </w:tcPr>
          <w:p>
            <w:pPr>
              <w:spacing w:after="0"/>
              <w:rPr>
                <w:sz w:val="21"/>
                <w:szCs w:val="21"/>
                <w:color w:val="auto"/>
              </w:rPr>
            </w:pPr>
          </w:p>
        </w:tc>
        <w:tc>
          <w:tcPr>
            <w:tcW w:w="160" w:type="dxa"/>
            <w:vAlign w:val="bottom"/>
            <w:shd w:val="clear" w:color="auto" w:fill="FDFDFD"/>
          </w:tcPr>
          <w:p>
            <w:pPr>
              <w:spacing w:after="0"/>
              <w:rPr>
                <w:sz w:val="21"/>
                <w:szCs w:val="21"/>
                <w:color w:val="auto"/>
              </w:rPr>
            </w:pP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960</w:t>
            </w:r>
          </w:p>
        </w:tc>
        <w:tc>
          <w:tcPr>
            <w:tcW w:w="260" w:type="dxa"/>
            <w:vAlign w:val="bottom"/>
            <w:shd w:val="clear" w:color="auto" w:fill="FDFDFD"/>
          </w:tcPr>
          <w:p>
            <w:pPr>
              <w:spacing w:after="0"/>
              <w:rPr>
                <w:sz w:val="21"/>
                <w:szCs w:val="21"/>
                <w:color w:val="auto"/>
              </w:rPr>
            </w:pPr>
          </w:p>
        </w:tc>
        <w:tc>
          <w:tcPr>
            <w:tcW w:w="180" w:type="dxa"/>
            <w:vAlign w:val="bottom"/>
            <w:shd w:val="clear" w:color="auto" w:fill="FDFDFD"/>
          </w:tcPr>
          <w:p>
            <w:pPr>
              <w:spacing w:after="0"/>
              <w:rPr>
                <w:sz w:val="21"/>
                <w:szCs w:val="21"/>
                <w:color w:val="auto"/>
              </w:rPr>
            </w:pP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1,172</w:t>
            </w:r>
          </w:p>
        </w:tc>
        <w:tc>
          <w:tcPr>
            <w:tcW w:w="100" w:type="dxa"/>
            <w:vAlign w:val="bottom"/>
            <w:shd w:val="clear" w:color="auto" w:fill="FDFDFD"/>
          </w:tcPr>
          <w:p>
            <w:pPr>
              <w:spacing w:after="0"/>
              <w:rPr>
                <w:sz w:val="21"/>
                <w:szCs w:val="21"/>
                <w:color w:val="auto"/>
              </w:rPr>
            </w:pPr>
          </w:p>
        </w:tc>
      </w:tr>
      <w:tr>
        <w:trPr>
          <w:trHeight w:val="244"/>
        </w:trPr>
        <w:tc>
          <w:tcPr>
            <w:tcW w:w="6860" w:type="dxa"/>
            <w:vAlign w:val="bottom"/>
            <w:tcBorders>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60" w:type="dxa"/>
            <w:vAlign w:val="bottom"/>
            <w:tcBorders>
              <w:bottom w:val="single" w:sz="8" w:color="FDFDFD"/>
            </w:tcBorders>
            <w:shd w:val="clear" w:color="auto" w:fill="E3E3E3"/>
          </w:tcPr>
          <w:p>
            <w:pPr>
              <w:spacing w:after="0"/>
              <w:rPr>
                <w:sz w:val="21"/>
                <w:szCs w:val="21"/>
                <w:color w:val="auto"/>
              </w:rPr>
            </w:pPr>
          </w:p>
        </w:tc>
        <w:tc>
          <w:tcPr>
            <w:tcW w:w="160" w:type="dxa"/>
            <w:vAlign w:val="bottom"/>
            <w:tcBorders>
              <w:bottom w:val="single" w:sz="8" w:color="auto"/>
            </w:tcBorders>
            <w:shd w:val="clear" w:color="auto" w:fill="E3E3E3"/>
          </w:tcPr>
          <w:p>
            <w:pPr>
              <w:spacing w:after="0"/>
              <w:rPr>
                <w:sz w:val="21"/>
                <w:szCs w:val="21"/>
                <w:color w:val="auto"/>
              </w:rPr>
            </w:pPr>
          </w:p>
        </w:tc>
        <w:tc>
          <w:tcPr>
            <w:tcW w:w="12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1,819</w:t>
            </w:r>
          </w:p>
        </w:tc>
        <w:tc>
          <w:tcPr>
            <w:tcW w:w="260" w:type="dxa"/>
            <w:vAlign w:val="bottom"/>
            <w:tcBorders>
              <w:bottom w:val="single" w:sz="8" w:color="FDFDFD"/>
            </w:tcBorders>
            <w:shd w:val="clear" w:color="auto" w:fill="E3E3E3"/>
          </w:tcPr>
          <w:p>
            <w:pPr>
              <w:spacing w:after="0"/>
              <w:rPr>
                <w:sz w:val="21"/>
                <w:szCs w:val="21"/>
                <w:color w:val="auto"/>
              </w:rPr>
            </w:pPr>
          </w:p>
        </w:tc>
        <w:tc>
          <w:tcPr>
            <w:tcW w:w="180" w:type="dxa"/>
            <w:vAlign w:val="bottom"/>
            <w:tcBorders>
              <w:bottom w:val="single" w:sz="8" w:color="auto"/>
            </w:tcBorders>
            <w:shd w:val="clear" w:color="auto" w:fill="E3E3E3"/>
          </w:tcPr>
          <w:p>
            <w:pPr>
              <w:spacing w:after="0"/>
              <w:rPr>
                <w:sz w:val="21"/>
                <w:szCs w:val="21"/>
                <w:color w:val="auto"/>
              </w:rPr>
            </w:pPr>
          </w:p>
        </w:tc>
        <w:tc>
          <w:tcPr>
            <w:tcW w:w="12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2,338</w:t>
            </w:r>
          </w:p>
        </w:tc>
        <w:tc>
          <w:tcPr>
            <w:tcW w:w="100" w:type="dxa"/>
            <w:vAlign w:val="bottom"/>
            <w:tcBorders>
              <w:bottom w:val="single" w:sz="8" w:color="FDFDFD"/>
            </w:tcBorders>
            <w:shd w:val="clear" w:color="auto" w:fill="E3E3E3"/>
          </w:tcPr>
          <w:p>
            <w:pPr>
              <w:spacing w:after="0"/>
              <w:rPr>
                <w:sz w:val="21"/>
                <w:szCs w:val="21"/>
                <w:color w:val="auto"/>
              </w:rPr>
            </w:pPr>
          </w:p>
        </w:tc>
      </w:tr>
      <w:tr>
        <w:trPr>
          <w:trHeight w:val="234"/>
        </w:trPr>
        <w:tc>
          <w:tcPr>
            <w:tcW w:w="6860" w:type="dxa"/>
            <w:vAlign w:val="bottom"/>
            <w:shd w:val="clear" w:color="auto" w:fill="FDFDFD"/>
          </w:tcPr>
          <w:p>
            <w:pPr>
              <w:spacing w:after="0"/>
              <w:rPr>
                <w:sz w:val="20"/>
                <w:szCs w:val="20"/>
                <w:color w:val="auto"/>
              </w:rPr>
            </w:pPr>
          </w:p>
        </w:tc>
        <w:tc>
          <w:tcPr>
            <w:tcW w:w="160" w:type="dxa"/>
            <w:vAlign w:val="bottom"/>
            <w:shd w:val="clear" w:color="auto" w:fill="FDFDFD"/>
          </w:tcPr>
          <w:p>
            <w:pPr>
              <w:spacing w:after="0"/>
              <w:rPr>
                <w:sz w:val="20"/>
                <w:szCs w:val="20"/>
                <w:color w:val="auto"/>
              </w:rPr>
            </w:pPr>
          </w:p>
        </w:tc>
        <w:tc>
          <w:tcPr>
            <w:tcW w:w="160" w:type="dxa"/>
            <w:vAlign w:val="bottom"/>
            <w:shd w:val="clear" w:color="auto" w:fill="FDFDFD"/>
          </w:tcPr>
          <w:p>
            <w:pPr>
              <w:spacing w:after="0"/>
              <w:rPr>
                <w:sz w:val="20"/>
                <w:szCs w:val="20"/>
                <w:color w:val="auto"/>
              </w:rPr>
            </w:pP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11,251</w:t>
            </w:r>
          </w:p>
        </w:tc>
        <w:tc>
          <w:tcPr>
            <w:tcW w:w="26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10,431</w:t>
            </w:r>
          </w:p>
        </w:tc>
        <w:tc>
          <w:tcPr>
            <w:tcW w:w="100" w:type="dxa"/>
            <w:vAlign w:val="bottom"/>
            <w:shd w:val="clear" w:color="auto" w:fill="FDFDFD"/>
          </w:tcPr>
          <w:p>
            <w:pPr>
              <w:spacing w:after="0"/>
              <w:rPr>
                <w:sz w:val="20"/>
                <w:szCs w:val="20"/>
                <w:color w:val="auto"/>
              </w:rPr>
            </w:pPr>
          </w:p>
        </w:tc>
      </w:tr>
      <w:tr>
        <w:trPr>
          <w:trHeight w:val="244"/>
        </w:trPr>
        <w:tc>
          <w:tcPr>
            <w:tcW w:w="6860" w:type="dxa"/>
            <w:vAlign w:val="bottom"/>
            <w:tcBorders>
              <w:bottom w:val="single" w:sz="8" w:color="FDFDFD"/>
            </w:tcBorders>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160" w:type="dxa"/>
            <w:vAlign w:val="bottom"/>
            <w:tcBorders>
              <w:bottom w:val="single" w:sz="8" w:color="FDFDFD"/>
            </w:tcBorders>
            <w:shd w:val="clear" w:color="auto" w:fill="E3E3E3"/>
          </w:tcPr>
          <w:p>
            <w:pPr>
              <w:spacing w:after="0"/>
              <w:rPr>
                <w:sz w:val="21"/>
                <w:szCs w:val="21"/>
                <w:color w:val="auto"/>
              </w:rPr>
            </w:pPr>
          </w:p>
        </w:tc>
        <w:tc>
          <w:tcPr>
            <w:tcW w:w="160" w:type="dxa"/>
            <w:vAlign w:val="bottom"/>
            <w:tcBorders>
              <w:bottom w:val="single" w:sz="8" w:color="auto"/>
            </w:tcBorders>
            <w:shd w:val="clear" w:color="auto" w:fill="E3E3E3"/>
          </w:tcPr>
          <w:p>
            <w:pPr>
              <w:spacing w:after="0"/>
              <w:rPr>
                <w:sz w:val="21"/>
                <w:szCs w:val="21"/>
                <w:color w:val="auto"/>
              </w:rPr>
            </w:pPr>
          </w:p>
        </w:tc>
        <w:tc>
          <w:tcPr>
            <w:tcW w:w="12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(7,460)</w:t>
            </w:r>
          </w:p>
        </w:tc>
        <w:tc>
          <w:tcPr>
            <w:tcW w:w="260" w:type="dxa"/>
            <w:vAlign w:val="bottom"/>
            <w:tcBorders>
              <w:bottom w:val="single" w:sz="8" w:color="FDFDFD"/>
            </w:tcBorders>
            <w:shd w:val="clear" w:color="auto" w:fill="E3E3E3"/>
          </w:tcPr>
          <w:p>
            <w:pPr>
              <w:spacing w:after="0"/>
              <w:rPr>
                <w:sz w:val="21"/>
                <w:szCs w:val="21"/>
                <w:color w:val="auto"/>
              </w:rPr>
            </w:pPr>
          </w:p>
        </w:tc>
        <w:tc>
          <w:tcPr>
            <w:tcW w:w="180" w:type="dxa"/>
            <w:vAlign w:val="bottom"/>
            <w:tcBorders>
              <w:bottom w:val="single" w:sz="8" w:color="auto"/>
            </w:tcBorders>
            <w:shd w:val="clear" w:color="auto" w:fill="E3E3E3"/>
          </w:tcPr>
          <w:p>
            <w:pPr>
              <w:spacing w:after="0"/>
              <w:rPr>
                <w:sz w:val="21"/>
                <w:szCs w:val="21"/>
                <w:color w:val="auto"/>
              </w:rPr>
            </w:pPr>
          </w:p>
        </w:tc>
        <w:tc>
          <w:tcPr>
            <w:tcW w:w="12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(5,960)</w:t>
            </w:r>
          </w:p>
        </w:tc>
        <w:tc>
          <w:tcPr>
            <w:tcW w:w="100" w:type="dxa"/>
            <w:vAlign w:val="bottom"/>
            <w:tcBorders>
              <w:bottom w:val="single" w:sz="8" w:color="FDFDFD"/>
            </w:tcBorders>
            <w:shd w:val="clear" w:color="auto" w:fill="E3E3E3"/>
          </w:tcPr>
          <w:p>
            <w:pPr>
              <w:spacing w:after="0"/>
              <w:rPr>
                <w:sz w:val="21"/>
                <w:szCs w:val="21"/>
                <w:color w:val="auto"/>
              </w:rPr>
            </w:pPr>
          </w:p>
        </w:tc>
      </w:tr>
      <w:tr>
        <w:trPr>
          <w:trHeight w:val="234"/>
        </w:trPr>
        <w:tc>
          <w:tcPr>
            <w:tcW w:w="6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60" w:type="dxa"/>
            <w:vAlign w:val="bottom"/>
            <w:shd w:val="clear" w:color="auto" w:fill="FDFDFD"/>
          </w:tcPr>
          <w:p>
            <w:pPr>
              <w:spacing w:after="0"/>
              <w:rPr>
                <w:sz w:val="20"/>
                <w:szCs w:val="20"/>
                <w:color w:val="auto"/>
              </w:rPr>
            </w:pPr>
          </w:p>
        </w:tc>
        <w:tc>
          <w:tcPr>
            <w:tcW w:w="1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3,791</w:t>
            </w:r>
          </w:p>
        </w:tc>
        <w:tc>
          <w:tcPr>
            <w:tcW w:w="260" w:type="dxa"/>
            <w:vAlign w:val="bottom"/>
            <w:shd w:val="clear" w:color="auto" w:fill="FDFDFD"/>
          </w:tcPr>
          <w:p>
            <w:pPr>
              <w:spacing w:after="0"/>
              <w:rPr>
                <w:sz w:val="20"/>
                <w:szCs w:val="20"/>
                <w:color w:val="auto"/>
              </w:rPr>
            </w:pPr>
          </w:p>
        </w:tc>
        <w:tc>
          <w:tcPr>
            <w:tcW w:w="18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4,471</w:t>
            </w:r>
          </w:p>
        </w:tc>
        <w:tc>
          <w:tcPr>
            <w:tcW w:w="100" w:type="dxa"/>
            <w:vAlign w:val="bottom"/>
            <w:shd w:val="clear" w:color="auto" w:fill="FDFDFD"/>
          </w:tcPr>
          <w:p>
            <w:pPr>
              <w:spacing w:after="0"/>
              <w:rPr>
                <w:sz w:val="20"/>
                <w:szCs w:val="20"/>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right="40" w:firstLine="490"/>
        <w:spacing w:after="0" w:line="279" w:lineRule="auto"/>
        <w:rPr>
          <w:sz w:val="20"/>
          <w:szCs w:val="20"/>
          <w:color w:val="auto"/>
        </w:rPr>
      </w:pPr>
      <w:r>
        <w:rPr>
          <w:rFonts w:ascii="Times New Roman" w:cs="Times New Roman" w:eastAsia="Times New Roman" w:hAnsi="Times New Roman"/>
          <w:sz w:val="20"/>
          <w:szCs w:val="20"/>
          <w:color w:val="auto"/>
        </w:rPr>
        <w:t>Depreciation and amortization expense was $2.2 million, $2.0 million and $2.2 million for the years ended December 31, 2024, 2023 and 2022, respectively.</w:t>
      </w:r>
    </w:p>
    <w:p>
      <w:pPr>
        <w:spacing w:after="0" w:line="45"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2024, the Company consolidated certain leased office space at its corporate headquarters and, as a result, recorded impairment charges of $1.2 million, comprised of $0.9 million related to the operating lease right-of-use asset, and $0.3 million related to leasehold improvements. These non-cash charges were recognized within transaction, integration, and restructuring expenses in the Company’s consolidated statements of operations. The Company also recorded accelerated depreciation of furniture and fixtures of $0.1 million and disposed of $1.0 million of fully depreciated property and equipment in connection with the office consolidation during the year ended December 31, 2024. The Company disposed of fully-depreciated property and equipment of $0.8 million during the year ended December 31, 2023.</w:t>
      </w:r>
    </w:p>
    <w:p>
      <w:pPr>
        <w:sectPr>
          <w:pgSz w:w="11880" w:h="15480" w:orient="portrait"/>
          <w:cols w:equalWidth="0" w:num="1">
            <w:col w:w="10240"/>
          </w:cols>
          <w:pgMar w:left="820" w:top="803" w:right="8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1880" w:h="15480" w:orient="portrait"/>
          <w:cols w:equalWidth="0" w:num="1">
            <w:col w:w="10240"/>
          </w:cols>
          <w:pgMar w:left="820" w:top="803" w:right="820" w:bottom="8" w:gutter="0" w:footer="0" w:header="0"/>
          <w:type w:val="continuous"/>
        </w:sectPr>
      </w:pPr>
    </w:p>
    <w:bookmarkStart w:id="122" w:name="page123"/>
    <w:bookmarkEnd w:id="122"/>
    <w:p>
      <w:pPr>
        <w:ind w:left="500" w:hanging="492"/>
        <w:spacing w:after="0"/>
        <w:tabs>
          <w:tab w:leader="none" w:pos="50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123" w:lineRule="exact"/>
        <w:rPr>
          <w:rFonts w:ascii="Times New Roman" w:cs="Times New Roman" w:eastAsia="Times New Roman" w:hAnsi="Times New Roman"/>
          <w:sz w:val="20"/>
          <w:szCs w:val="20"/>
          <w:b w:val="1"/>
          <w:bCs w:val="1"/>
          <w:color w:val="auto"/>
        </w:rPr>
      </w:pPr>
    </w:p>
    <w:p>
      <w:pPr>
        <w:ind w:left="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carrying amounts of goodwill and intangible assets consisted of the following as of:</w:t>
      </w:r>
    </w:p>
    <w:p>
      <w:pPr>
        <w:spacing w:after="0" w:line="200" w:lineRule="exact"/>
        <w:rPr>
          <w:sz w:val="20"/>
          <w:szCs w:val="20"/>
          <w:color w:val="auto"/>
        </w:rPr>
      </w:pPr>
    </w:p>
    <w:p>
      <w:pPr>
        <w:spacing w:after="0" w:line="262"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4820" w:type="dxa"/>
            <w:vAlign w:val="bottom"/>
            <w:tcBorders>
              <w:bottom w:val="single" w:sz="8" w:color="FDFDFD"/>
            </w:tcBorders>
            <w:shd w:val="clear" w:color="auto" w:fill="FDFDFD"/>
          </w:tcPr>
          <w:p>
            <w:pPr>
              <w:spacing w:after="0"/>
              <w:rPr>
                <w:sz w:val="17"/>
                <w:szCs w:val="17"/>
                <w:color w:val="auto"/>
              </w:rPr>
            </w:pPr>
          </w:p>
        </w:tc>
        <w:tc>
          <w:tcPr>
            <w:tcW w:w="140" w:type="dxa"/>
            <w:vAlign w:val="bottom"/>
            <w:tcBorders>
              <w:bottom w:val="single" w:sz="8" w:color="FDFDFD"/>
            </w:tcBorders>
            <w:shd w:val="clear" w:color="auto" w:fill="FDFDFD"/>
          </w:tcPr>
          <w:p>
            <w:pPr>
              <w:spacing w:after="0"/>
              <w:rPr>
                <w:sz w:val="17"/>
                <w:szCs w:val="17"/>
                <w:color w:val="auto"/>
              </w:rPr>
            </w:pPr>
          </w:p>
        </w:tc>
        <w:tc>
          <w:tcPr>
            <w:tcW w:w="180" w:type="dxa"/>
            <w:vAlign w:val="bottom"/>
            <w:tcBorders>
              <w:bottom w:val="single" w:sz="8" w:color="auto"/>
            </w:tcBorders>
            <w:shd w:val="clear" w:color="auto" w:fill="FDFDFD"/>
          </w:tcPr>
          <w:p>
            <w:pPr>
              <w:spacing w:after="0"/>
              <w:rPr>
                <w:sz w:val="17"/>
                <w:szCs w:val="17"/>
                <w:color w:val="auto"/>
              </w:rPr>
            </w:pPr>
          </w:p>
        </w:tc>
        <w:tc>
          <w:tcPr>
            <w:tcW w:w="1040" w:type="dxa"/>
            <w:vAlign w:val="bottom"/>
            <w:tcBorders>
              <w:bottom w:val="single" w:sz="8" w:color="auto"/>
            </w:tcBorders>
            <w:shd w:val="clear" w:color="auto" w:fill="FDFDFD"/>
          </w:tcPr>
          <w:p>
            <w:pPr>
              <w:spacing w:after="0"/>
              <w:rPr>
                <w:sz w:val="17"/>
                <w:szCs w:val="17"/>
                <w:color w:val="auto"/>
              </w:rPr>
            </w:pPr>
          </w:p>
        </w:tc>
        <w:tc>
          <w:tcPr>
            <w:tcW w:w="1560" w:type="dxa"/>
            <w:vAlign w:val="bottom"/>
            <w:tcBorders>
              <w:bottom w:val="single" w:sz="8" w:color="auto"/>
            </w:tcBorders>
            <w:gridSpan w:val="4"/>
            <w:shd w:val="clear" w:color="auto" w:fill="FDFDFD"/>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shd w:val="clear" w:color="auto" w:fill="FDFDFD"/>
          </w:tcPr>
          <w:p>
            <w:pPr>
              <w:spacing w:after="0"/>
              <w:rPr>
                <w:sz w:val="17"/>
                <w:szCs w:val="17"/>
                <w:color w:val="auto"/>
              </w:rPr>
            </w:pPr>
          </w:p>
        </w:tc>
        <w:tc>
          <w:tcPr>
            <w:tcW w:w="120" w:type="dxa"/>
            <w:vAlign w:val="bottom"/>
            <w:tcBorders>
              <w:bottom w:val="single" w:sz="8" w:color="auto"/>
            </w:tcBorders>
            <w:shd w:val="clear" w:color="auto" w:fill="FDFDFD"/>
          </w:tcPr>
          <w:p>
            <w:pPr>
              <w:spacing w:after="0"/>
              <w:rPr>
                <w:sz w:val="17"/>
                <w:szCs w:val="17"/>
                <w:color w:val="auto"/>
              </w:rPr>
            </w:pPr>
          </w:p>
        </w:tc>
        <w:tc>
          <w:tcPr>
            <w:tcW w:w="110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54"/>
        </w:trPr>
        <w:tc>
          <w:tcPr>
            <w:tcW w:w="482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1040" w:type="dxa"/>
            <w:vAlign w:val="bottom"/>
            <w:shd w:val="clear" w:color="auto" w:fill="FDFDFD"/>
          </w:tcPr>
          <w:p>
            <w:pPr>
              <w:jc w:val="center"/>
              <w:ind w:right="106"/>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r>
      <w:tr>
        <w:trPr>
          <w:trHeight w:val="184"/>
        </w:trPr>
        <w:tc>
          <w:tcPr>
            <w:tcW w:w="482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040" w:type="dxa"/>
            <w:vAlign w:val="bottom"/>
            <w:shd w:val="clear" w:color="auto" w:fill="FDFDFD"/>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100" w:type="dxa"/>
            <w:vAlign w:val="bottom"/>
            <w:shd w:val="clear" w:color="auto" w:fill="FDFDFD"/>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100" w:type="dxa"/>
            <w:vAlign w:val="bottom"/>
            <w:shd w:val="clear" w:color="auto" w:fill="FDFDFD"/>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shd w:val="clear" w:color="auto" w:fill="FDFDFD"/>
          </w:tcPr>
          <w:p>
            <w:pPr>
              <w:spacing w:after="0"/>
              <w:rPr>
                <w:sz w:val="15"/>
                <w:szCs w:val="15"/>
                <w:color w:val="auto"/>
              </w:rPr>
            </w:pPr>
          </w:p>
        </w:tc>
      </w:tr>
      <w:tr>
        <w:trPr>
          <w:trHeight w:val="204"/>
        </w:trPr>
        <w:tc>
          <w:tcPr>
            <w:tcW w:w="48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E3E3E3"/>
            </w:tcBorders>
            <w:shd w:val="clear" w:color="auto" w:fill="FDFDFD"/>
          </w:tcPr>
          <w:p>
            <w:pPr>
              <w:spacing w:after="0"/>
              <w:rPr>
                <w:sz w:val="17"/>
                <w:szCs w:val="17"/>
                <w:color w:val="auto"/>
              </w:rPr>
            </w:pPr>
          </w:p>
        </w:tc>
        <w:tc>
          <w:tcPr>
            <w:tcW w:w="180" w:type="dxa"/>
            <w:vAlign w:val="bottom"/>
            <w:tcBorders>
              <w:bottom w:val="single" w:sz="8" w:color="auto"/>
            </w:tcBorders>
            <w:shd w:val="clear" w:color="auto" w:fill="FDFDFD"/>
          </w:tcPr>
          <w:p>
            <w:pPr>
              <w:spacing w:after="0"/>
              <w:rPr>
                <w:sz w:val="17"/>
                <w:szCs w:val="17"/>
                <w:color w:val="auto"/>
              </w:rPr>
            </w:pPr>
          </w:p>
        </w:tc>
        <w:tc>
          <w:tcPr>
            <w:tcW w:w="1040" w:type="dxa"/>
            <w:vAlign w:val="bottom"/>
            <w:tcBorders>
              <w:bottom w:val="single" w:sz="8" w:color="auto"/>
            </w:tcBorders>
            <w:shd w:val="clear" w:color="auto" w:fill="FDFDFD"/>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Borders>
              <w:bottom w:val="single" w:sz="8" w:color="E3E3E3"/>
            </w:tcBorders>
            <w:shd w:val="clear" w:color="auto" w:fill="FDFDFD"/>
          </w:tcPr>
          <w:p>
            <w:pPr>
              <w:spacing w:after="0"/>
              <w:rPr>
                <w:sz w:val="17"/>
                <w:szCs w:val="17"/>
                <w:color w:val="auto"/>
              </w:rPr>
            </w:pPr>
          </w:p>
        </w:tc>
        <w:tc>
          <w:tcPr>
            <w:tcW w:w="140" w:type="dxa"/>
            <w:vAlign w:val="bottom"/>
            <w:tcBorders>
              <w:bottom w:val="single" w:sz="8" w:color="auto"/>
            </w:tcBorders>
            <w:shd w:val="clear" w:color="auto" w:fill="FDFDFD"/>
          </w:tcPr>
          <w:p>
            <w:pPr>
              <w:spacing w:after="0"/>
              <w:rPr>
                <w:sz w:val="17"/>
                <w:szCs w:val="17"/>
                <w:color w:val="auto"/>
              </w:rPr>
            </w:pPr>
          </w:p>
        </w:tc>
        <w:tc>
          <w:tcPr>
            <w:tcW w:w="1100" w:type="dxa"/>
            <w:vAlign w:val="bottom"/>
            <w:tcBorders>
              <w:bottom w:val="single" w:sz="8" w:color="auto"/>
            </w:tcBorders>
            <w:shd w:val="clear" w:color="auto" w:fill="FDFDFD"/>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Borders>
              <w:bottom w:val="single" w:sz="8" w:color="E3E3E3"/>
            </w:tcBorders>
            <w:shd w:val="clear" w:color="auto" w:fill="FDFDFD"/>
          </w:tcPr>
          <w:p>
            <w:pPr>
              <w:spacing w:after="0"/>
              <w:rPr>
                <w:sz w:val="17"/>
                <w:szCs w:val="17"/>
                <w:color w:val="auto"/>
              </w:rPr>
            </w:pPr>
          </w:p>
        </w:tc>
        <w:tc>
          <w:tcPr>
            <w:tcW w:w="140" w:type="dxa"/>
            <w:vAlign w:val="bottom"/>
            <w:tcBorders>
              <w:bottom w:val="single" w:sz="8" w:color="E3E3E3"/>
            </w:tcBorders>
            <w:shd w:val="clear" w:color="auto" w:fill="FDFDFD"/>
          </w:tcPr>
          <w:p>
            <w:pPr>
              <w:spacing w:after="0"/>
              <w:rPr>
                <w:sz w:val="17"/>
                <w:szCs w:val="17"/>
                <w:color w:val="auto"/>
              </w:rPr>
            </w:pPr>
          </w:p>
        </w:tc>
        <w:tc>
          <w:tcPr>
            <w:tcW w:w="120" w:type="dxa"/>
            <w:vAlign w:val="bottom"/>
            <w:tcBorders>
              <w:bottom w:val="single" w:sz="8" w:color="auto"/>
            </w:tcBorders>
            <w:shd w:val="clear" w:color="auto" w:fill="FDFDFD"/>
          </w:tcPr>
          <w:p>
            <w:pPr>
              <w:spacing w:after="0"/>
              <w:rPr>
                <w:sz w:val="17"/>
                <w:szCs w:val="17"/>
                <w:color w:val="auto"/>
              </w:rPr>
            </w:pPr>
          </w:p>
        </w:tc>
        <w:tc>
          <w:tcPr>
            <w:tcW w:w="1100" w:type="dxa"/>
            <w:vAlign w:val="bottom"/>
            <w:tcBorders>
              <w:bottom w:val="single" w:sz="8" w:color="auto"/>
            </w:tcBorders>
            <w:shd w:val="clear" w:color="auto" w:fill="FDFDFD"/>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48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Finite-lived intangible assets:</w:t>
            </w:r>
          </w:p>
        </w:tc>
        <w:tc>
          <w:tcPr>
            <w:tcW w:w="1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04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482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Customer relationships</w:t>
            </w:r>
          </w:p>
        </w:tc>
        <w:tc>
          <w:tcPr>
            <w:tcW w:w="140" w:type="dxa"/>
            <w:vAlign w:val="bottom"/>
            <w:shd w:val="clear" w:color="auto" w:fill="FDFDFD"/>
          </w:tcPr>
          <w:p>
            <w:pPr>
              <w:spacing w:after="0"/>
              <w:rPr>
                <w:sz w:val="19"/>
                <w:szCs w:val="19"/>
                <w:color w:val="auto"/>
              </w:rPr>
            </w:pPr>
          </w:p>
        </w:tc>
        <w:tc>
          <w:tcPr>
            <w:tcW w:w="1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410,390</w:t>
            </w:r>
          </w:p>
        </w:tc>
        <w:tc>
          <w:tcPr>
            <w:tcW w:w="220" w:type="dxa"/>
            <w:vAlign w:val="bottom"/>
            <w:shd w:val="clear" w:color="auto" w:fill="FDFDFD"/>
          </w:tcPr>
          <w:p>
            <w:pPr>
              <w:spacing w:after="0"/>
              <w:rPr>
                <w:sz w:val="19"/>
                <w:szCs w:val="19"/>
                <w:color w:val="auto"/>
              </w:rPr>
            </w:pPr>
          </w:p>
        </w:tc>
        <w:tc>
          <w:tcPr>
            <w:tcW w:w="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(196,694)</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213,696</w:t>
            </w:r>
          </w:p>
        </w:tc>
        <w:tc>
          <w:tcPr>
            <w:tcW w:w="100" w:type="dxa"/>
            <w:vAlign w:val="bottom"/>
            <w:shd w:val="clear" w:color="auto" w:fill="FDFDFD"/>
          </w:tcPr>
          <w:p>
            <w:pPr>
              <w:spacing w:after="0"/>
              <w:rPr>
                <w:sz w:val="19"/>
                <w:szCs w:val="19"/>
                <w:color w:val="auto"/>
              </w:rPr>
            </w:pPr>
          </w:p>
        </w:tc>
      </w:tr>
      <w:tr>
        <w:trPr>
          <w:trHeight w:val="230"/>
        </w:trPr>
        <w:tc>
          <w:tcPr>
            <w:tcW w:w="482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Developed technologies</w:t>
            </w:r>
          </w:p>
        </w:tc>
        <w:tc>
          <w:tcPr>
            <w:tcW w:w="1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85,074</w:t>
            </w:r>
          </w:p>
        </w:tc>
        <w:tc>
          <w:tcPr>
            <w:tcW w:w="2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2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(43,526)</w:t>
            </w:r>
          </w:p>
        </w:tc>
        <w:tc>
          <w:tcPr>
            <w:tcW w:w="14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41,548</w:t>
            </w:r>
          </w:p>
        </w:tc>
        <w:tc>
          <w:tcPr>
            <w:tcW w:w="100" w:type="dxa"/>
            <w:vAlign w:val="bottom"/>
            <w:shd w:val="clear" w:color="auto" w:fill="E3E3E3"/>
          </w:tcPr>
          <w:p>
            <w:pPr>
              <w:spacing w:after="0"/>
              <w:rPr>
                <w:sz w:val="19"/>
                <w:szCs w:val="19"/>
                <w:color w:val="auto"/>
              </w:rPr>
            </w:pPr>
          </w:p>
        </w:tc>
      </w:tr>
      <w:tr>
        <w:trPr>
          <w:trHeight w:val="230"/>
        </w:trPr>
        <w:tc>
          <w:tcPr>
            <w:tcW w:w="482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Tradenames</w:t>
            </w:r>
          </w:p>
        </w:tc>
        <w:tc>
          <w:tcPr>
            <w:tcW w:w="14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36,078</w:t>
            </w:r>
          </w:p>
        </w:tc>
        <w:tc>
          <w:tcPr>
            <w:tcW w:w="2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20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(11,608)</w:t>
            </w:r>
          </w:p>
        </w:tc>
        <w:tc>
          <w:tcPr>
            <w:tcW w:w="14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24,470</w:t>
            </w:r>
          </w:p>
        </w:tc>
        <w:tc>
          <w:tcPr>
            <w:tcW w:w="100" w:type="dxa"/>
            <w:vAlign w:val="bottom"/>
            <w:shd w:val="clear" w:color="auto" w:fill="FDFDFD"/>
          </w:tcPr>
          <w:p>
            <w:pPr>
              <w:spacing w:after="0"/>
              <w:rPr>
                <w:sz w:val="19"/>
                <w:szCs w:val="19"/>
                <w:color w:val="auto"/>
              </w:rPr>
            </w:pPr>
          </w:p>
        </w:tc>
      </w:tr>
      <w:tr>
        <w:trPr>
          <w:trHeight w:val="230"/>
        </w:trPr>
        <w:tc>
          <w:tcPr>
            <w:tcW w:w="482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Database</w:t>
            </w:r>
          </w:p>
        </w:tc>
        <w:tc>
          <w:tcPr>
            <w:tcW w:w="1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67,456</w:t>
            </w:r>
          </w:p>
        </w:tc>
        <w:tc>
          <w:tcPr>
            <w:tcW w:w="2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2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(49,237)</w:t>
            </w:r>
          </w:p>
        </w:tc>
        <w:tc>
          <w:tcPr>
            <w:tcW w:w="14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18,219</w:t>
            </w:r>
          </w:p>
        </w:tc>
        <w:tc>
          <w:tcPr>
            <w:tcW w:w="100" w:type="dxa"/>
            <w:vAlign w:val="bottom"/>
            <w:shd w:val="clear" w:color="auto" w:fill="E3E3E3"/>
          </w:tcPr>
          <w:p>
            <w:pPr>
              <w:spacing w:after="0"/>
              <w:rPr>
                <w:sz w:val="19"/>
                <w:szCs w:val="19"/>
                <w:color w:val="auto"/>
              </w:rPr>
            </w:pPr>
          </w:p>
        </w:tc>
      </w:tr>
      <w:tr>
        <w:trPr>
          <w:trHeight w:val="220"/>
        </w:trPr>
        <w:tc>
          <w:tcPr>
            <w:tcW w:w="4820" w:type="dxa"/>
            <w:vAlign w:val="bottom"/>
            <w:tcBorders>
              <w:top w:val="single" w:sz="8" w:color="FDFDFD"/>
            </w:tcBorders>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Total finite-lived intangible assets</w:t>
            </w:r>
          </w:p>
        </w:tc>
        <w:tc>
          <w:tcPr>
            <w:tcW w:w="140" w:type="dxa"/>
            <w:vAlign w:val="bottom"/>
            <w:tcBorders>
              <w:top w:val="single" w:sz="8" w:color="FDFDFD"/>
            </w:tcBorders>
            <w:shd w:val="clear" w:color="auto" w:fill="FDFDFD"/>
          </w:tcPr>
          <w:p>
            <w:pPr>
              <w:spacing w:after="0"/>
              <w:rPr>
                <w:sz w:val="19"/>
                <w:szCs w:val="19"/>
                <w:color w:val="auto"/>
              </w:rPr>
            </w:pPr>
          </w:p>
        </w:tc>
        <w:tc>
          <w:tcPr>
            <w:tcW w:w="180" w:type="dxa"/>
            <w:vAlign w:val="bottom"/>
            <w:tcBorders>
              <w:top w:val="single" w:sz="8" w:color="auto"/>
            </w:tcBorders>
            <w:shd w:val="clear" w:color="auto" w:fill="FDFDFD"/>
          </w:tcPr>
          <w:p>
            <w:pPr>
              <w:spacing w:after="0"/>
              <w:rPr>
                <w:sz w:val="19"/>
                <w:szCs w:val="19"/>
                <w:color w:val="auto"/>
              </w:rPr>
            </w:pPr>
          </w:p>
        </w:tc>
        <w:tc>
          <w:tcPr>
            <w:tcW w:w="104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598,998</w:t>
            </w:r>
          </w:p>
        </w:tc>
        <w:tc>
          <w:tcPr>
            <w:tcW w:w="220" w:type="dxa"/>
            <w:vAlign w:val="bottom"/>
            <w:tcBorders>
              <w:top w:val="single" w:sz="8" w:color="FDFDFD"/>
            </w:tcBorders>
            <w:shd w:val="clear" w:color="auto" w:fill="FDFDFD"/>
          </w:tcPr>
          <w:p>
            <w:pPr>
              <w:spacing w:after="0"/>
              <w:rPr>
                <w:sz w:val="19"/>
                <w:szCs w:val="19"/>
                <w:color w:val="auto"/>
              </w:rPr>
            </w:pPr>
          </w:p>
        </w:tc>
        <w:tc>
          <w:tcPr>
            <w:tcW w:w="140" w:type="dxa"/>
            <w:vAlign w:val="bottom"/>
            <w:tcBorders>
              <w:top w:val="single" w:sz="8" w:color="auto"/>
            </w:tcBorders>
            <w:shd w:val="clear" w:color="auto" w:fill="FDFDFD"/>
          </w:tcPr>
          <w:p>
            <w:pPr>
              <w:spacing w:after="0"/>
              <w:rPr>
                <w:sz w:val="19"/>
                <w:szCs w:val="19"/>
                <w:color w:val="auto"/>
              </w:rPr>
            </w:pPr>
          </w:p>
        </w:tc>
        <w:tc>
          <w:tcPr>
            <w:tcW w:w="110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(301,065)</w:t>
            </w:r>
          </w:p>
        </w:tc>
        <w:tc>
          <w:tcPr>
            <w:tcW w:w="100" w:type="dxa"/>
            <w:vAlign w:val="bottom"/>
            <w:tcBorders>
              <w:top w:val="single" w:sz="8" w:color="FDFDFD"/>
            </w:tcBorders>
            <w:shd w:val="clear" w:color="auto" w:fill="FDFDFD"/>
          </w:tcPr>
          <w:p>
            <w:pPr>
              <w:spacing w:after="0"/>
              <w:rPr>
                <w:sz w:val="19"/>
                <w:szCs w:val="19"/>
                <w:color w:val="auto"/>
              </w:rPr>
            </w:pPr>
          </w:p>
        </w:tc>
        <w:tc>
          <w:tcPr>
            <w:tcW w:w="140" w:type="dxa"/>
            <w:vAlign w:val="bottom"/>
            <w:tcBorders>
              <w:top w:val="single" w:sz="8" w:color="FDFDFD"/>
            </w:tcBorders>
            <w:shd w:val="clear" w:color="auto" w:fill="FDFDFD"/>
          </w:tcPr>
          <w:p>
            <w:pPr>
              <w:spacing w:after="0"/>
              <w:rPr>
                <w:sz w:val="19"/>
                <w:szCs w:val="19"/>
                <w:color w:val="auto"/>
              </w:rPr>
            </w:pPr>
          </w:p>
        </w:tc>
        <w:tc>
          <w:tcPr>
            <w:tcW w:w="120" w:type="dxa"/>
            <w:vAlign w:val="bottom"/>
            <w:tcBorders>
              <w:top w:val="single" w:sz="8" w:color="auto"/>
            </w:tcBorders>
            <w:shd w:val="clear" w:color="auto" w:fill="FDFDFD"/>
          </w:tcPr>
          <w:p>
            <w:pPr>
              <w:spacing w:after="0"/>
              <w:rPr>
                <w:sz w:val="19"/>
                <w:szCs w:val="19"/>
                <w:color w:val="auto"/>
              </w:rPr>
            </w:pPr>
          </w:p>
        </w:tc>
        <w:tc>
          <w:tcPr>
            <w:tcW w:w="110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297,933</w:t>
            </w:r>
          </w:p>
        </w:tc>
        <w:tc>
          <w:tcPr>
            <w:tcW w:w="100" w:type="dxa"/>
            <w:vAlign w:val="bottom"/>
            <w:tcBorders>
              <w:top w:val="single" w:sz="8" w:color="FDFDFD"/>
            </w:tcBorders>
            <w:shd w:val="clear" w:color="auto" w:fill="FDFDFD"/>
          </w:tcPr>
          <w:p>
            <w:pPr>
              <w:spacing w:after="0"/>
              <w:rPr>
                <w:sz w:val="19"/>
                <w:szCs w:val="19"/>
                <w:color w:val="auto"/>
              </w:rPr>
            </w:pPr>
          </w:p>
        </w:tc>
      </w:tr>
      <w:tr>
        <w:trPr>
          <w:trHeight w:val="230"/>
        </w:trPr>
        <w:tc>
          <w:tcPr>
            <w:tcW w:w="4820" w:type="dxa"/>
            <w:vAlign w:val="bottom"/>
            <w:tcBorders>
              <w:bottom w:val="single" w:sz="8" w:color="FDFDFD"/>
            </w:tcBorders>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Goodwill</w:t>
            </w:r>
          </w:p>
        </w:tc>
        <w:tc>
          <w:tcPr>
            <w:tcW w:w="140" w:type="dxa"/>
            <w:vAlign w:val="bottom"/>
            <w:tcBorders>
              <w:bottom w:val="single" w:sz="8" w:color="FDFDFD"/>
            </w:tcBorders>
            <w:shd w:val="clear" w:color="auto" w:fill="E3E3E3"/>
          </w:tcPr>
          <w:p>
            <w:pPr>
              <w:spacing w:after="0"/>
              <w:rPr>
                <w:sz w:val="19"/>
                <w:szCs w:val="19"/>
                <w:color w:val="auto"/>
              </w:rPr>
            </w:pPr>
          </w:p>
        </w:tc>
        <w:tc>
          <w:tcPr>
            <w:tcW w:w="180" w:type="dxa"/>
            <w:vAlign w:val="bottom"/>
            <w:tcBorders>
              <w:bottom w:val="single" w:sz="8" w:color="auto"/>
            </w:tcBorders>
            <w:shd w:val="clear" w:color="auto" w:fill="E3E3E3"/>
          </w:tcPr>
          <w:p>
            <w:pPr>
              <w:spacing w:after="0"/>
              <w:rPr>
                <w:sz w:val="19"/>
                <w:szCs w:val="19"/>
                <w:color w:val="auto"/>
              </w:rPr>
            </w:pPr>
          </w:p>
        </w:tc>
        <w:tc>
          <w:tcPr>
            <w:tcW w:w="10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393,283</w:t>
            </w:r>
          </w:p>
        </w:tc>
        <w:tc>
          <w:tcPr>
            <w:tcW w:w="220" w:type="dxa"/>
            <w:vAlign w:val="bottom"/>
            <w:tcBorders>
              <w:bottom w:val="single" w:sz="8" w:color="FDFDFD"/>
            </w:tcBorders>
            <w:shd w:val="clear" w:color="auto" w:fill="E3E3E3"/>
          </w:tcPr>
          <w:p>
            <w:pPr>
              <w:spacing w:after="0"/>
              <w:rPr>
                <w:sz w:val="19"/>
                <w:szCs w:val="19"/>
                <w:color w:val="auto"/>
              </w:rPr>
            </w:pPr>
          </w:p>
        </w:tc>
        <w:tc>
          <w:tcPr>
            <w:tcW w:w="140" w:type="dxa"/>
            <w:vAlign w:val="bottom"/>
            <w:tcBorders>
              <w:bottom w:val="single" w:sz="8" w:color="auto"/>
            </w:tcBorders>
            <w:shd w:val="clear" w:color="auto" w:fill="E3E3E3"/>
          </w:tcPr>
          <w:p>
            <w:pPr>
              <w:spacing w:after="0"/>
              <w:rPr>
                <w:sz w:val="19"/>
                <w:szCs w:val="19"/>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FDFDFD"/>
            </w:tcBorders>
            <w:shd w:val="clear" w:color="auto" w:fill="E3E3E3"/>
          </w:tcPr>
          <w:p>
            <w:pPr>
              <w:spacing w:after="0"/>
              <w:rPr>
                <w:sz w:val="19"/>
                <w:szCs w:val="19"/>
                <w:color w:val="auto"/>
              </w:rPr>
            </w:pPr>
          </w:p>
        </w:tc>
        <w:tc>
          <w:tcPr>
            <w:tcW w:w="140" w:type="dxa"/>
            <w:vAlign w:val="bottom"/>
            <w:tcBorders>
              <w:bottom w:val="single" w:sz="8" w:color="FDFDFD"/>
            </w:tcBorders>
            <w:shd w:val="clear" w:color="auto" w:fill="E3E3E3"/>
          </w:tcPr>
          <w:p>
            <w:pPr>
              <w:spacing w:after="0"/>
              <w:rPr>
                <w:sz w:val="19"/>
                <w:szCs w:val="19"/>
                <w:color w:val="auto"/>
              </w:rPr>
            </w:pPr>
          </w:p>
        </w:tc>
        <w:tc>
          <w:tcPr>
            <w:tcW w:w="120" w:type="dxa"/>
            <w:vAlign w:val="bottom"/>
            <w:tcBorders>
              <w:bottom w:val="single" w:sz="8" w:color="auto"/>
            </w:tcBorders>
            <w:shd w:val="clear" w:color="auto" w:fill="E3E3E3"/>
          </w:tcPr>
          <w:p>
            <w:pPr>
              <w:spacing w:after="0"/>
              <w:rPr>
                <w:sz w:val="19"/>
                <w:szCs w:val="19"/>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393,283</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40"/>
        </w:trPr>
        <w:tc>
          <w:tcPr>
            <w:tcW w:w="4820" w:type="dxa"/>
            <w:vAlign w:val="bottom"/>
            <w:tcBorders>
              <w:bottom w:val="single" w:sz="8" w:color="FDFDFD"/>
            </w:tcBorders>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Total goodwill and intangible assets</w:t>
            </w:r>
          </w:p>
        </w:tc>
        <w:tc>
          <w:tcPr>
            <w:tcW w:w="140" w:type="dxa"/>
            <w:vAlign w:val="bottom"/>
            <w:tcBorders>
              <w:bottom w:val="single" w:sz="8" w:color="FDFDFD"/>
            </w:tcBorders>
            <w:shd w:val="clear" w:color="auto" w:fill="FDFDFD"/>
          </w:tcPr>
          <w:p>
            <w:pPr>
              <w:spacing w:after="0"/>
              <w:rPr>
                <w:sz w:val="20"/>
                <w:szCs w:val="20"/>
                <w:color w:val="auto"/>
              </w:rPr>
            </w:pPr>
          </w:p>
        </w:tc>
        <w:tc>
          <w:tcPr>
            <w:tcW w:w="18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992,281</w:t>
            </w:r>
          </w:p>
        </w:tc>
        <w:tc>
          <w:tcPr>
            <w:tcW w:w="220" w:type="dxa"/>
            <w:vAlign w:val="bottom"/>
            <w:tcBorders>
              <w:bottom w:val="single" w:sz="8" w:color="FDFDFD"/>
            </w:tcBorders>
            <w:shd w:val="clear" w:color="auto" w:fill="FDFDFD"/>
          </w:tcPr>
          <w:p>
            <w:pPr>
              <w:spacing w:after="0"/>
              <w:rPr>
                <w:sz w:val="20"/>
                <w:szCs w:val="20"/>
                <w:color w:val="auto"/>
              </w:rPr>
            </w:pPr>
          </w:p>
        </w:tc>
        <w:tc>
          <w:tcPr>
            <w:tcW w:w="14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(301,065)</w:t>
            </w:r>
          </w:p>
        </w:tc>
        <w:tc>
          <w:tcPr>
            <w:tcW w:w="100" w:type="dxa"/>
            <w:vAlign w:val="bottom"/>
            <w:tcBorders>
              <w:bottom w:val="single" w:sz="8" w:color="FDFDFD"/>
            </w:tcBorders>
            <w:shd w:val="clear" w:color="auto" w:fill="FDFDFD"/>
          </w:tcPr>
          <w:p>
            <w:pPr>
              <w:spacing w:after="0"/>
              <w:rPr>
                <w:sz w:val="20"/>
                <w:szCs w:val="20"/>
                <w:color w:val="auto"/>
              </w:rPr>
            </w:pPr>
          </w:p>
        </w:tc>
        <w:tc>
          <w:tcPr>
            <w:tcW w:w="140" w:type="dxa"/>
            <w:vAlign w:val="bottom"/>
            <w:tcBorders>
              <w:bottom w:val="single" w:sz="8" w:color="FDFDFD"/>
            </w:tcBorders>
            <w:shd w:val="clear" w:color="auto" w:fill="FDFDFD"/>
          </w:tcPr>
          <w:p>
            <w:pPr>
              <w:spacing w:after="0"/>
              <w:rPr>
                <w:sz w:val="20"/>
                <w:szCs w:val="20"/>
                <w:color w:val="auto"/>
              </w:rPr>
            </w:pPr>
          </w:p>
        </w:tc>
        <w:tc>
          <w:tcPr>
            <w:tcW w:w="12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691,216</w:t>
            </w:r>
          </w:p>
        </w:tc>
        <w:tc>
          <w:tcPr>
            <w:tcW w:w="100" w:type="dxa"/>
            <w:vAlign w:val="bottom"/>
            <w:tcBorders>
              <w:bottom w:val="single" w:sz="8" w:color="FDFDFD"/>
            </w:tcBorders>
            <w:shd w:val="clear" w:color="auto" w:fill="FDFDFD"/>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4820" w:type="dxa"/>
            <w:vAlign w:val="bottom"/>
            <w:tcBorders>
              <w:bottom w:val="single" w:sz="8" w:color="FDFDFD"/>
            </w:tcBorders>
            <w:shd w:val="clear" w:color="auto" w:fill="FDFDFD"/>
          </w:tcPr>
          <w:p>
            <w:pPr>
              <w:spacing w:after="0"/>
              <w:rPr>
                <w:sz w:val="15"/>
                <w:szCs w:val="15"/>
                <w:color w:val="auto"/>
              </w:rPr>
            </w:pPr>
          </w:p>
        </w:tc>
        <w:tc>
          <w:tcPr>
            <w:tcW w:w="140" w:type="dxa"/>
            <w:vAlign w:val="bottom"/>
            <w:tcBorders>
              <w:bottom w:val="single" w:sz="8" w:color="FDFDFD"/>
            </w:tcBorders>
            <w:shd w:val="clear" w:color="auto" w:fill="FDFDFD"/>
          </w:tcPr>
          <w:p>
            <w:pPr>
              <w:spacing w:after="0"/>
              <w:rPr>
                <w:sz w:val="15"/>
                <w:szCs w:val="15"/>
                <w:color w:val="auto"/>
              </w:rPr>
            </w:pPr>
          </w:p>
        </w:tc>
        <w:tc>
          <w:tcPr>
            <w:tcW w:w="180" w:type="dxa"/>
            <w:vAlign w:val="bottom"/>
            <w:tcBorders>
              <w:bottom w:val="single" w:sz="8" w:color="auto"/>
            </w:tcBorders>
            <w:shd w:val="clear" w:color="auto" w:fill="FDFDFD"/>
          </w:tcPr>
          <w:p>
            <w:pPr>
              <w:spacing w:after="0"/>
              <w:rPr>
                <w:sz w:val="15"/>
                <w:szCs w:val="15"/>
                <w:color w:val="auto"/>
              </w:rPr>
            </w:pPr>
          </w:p>
        </w:tc>
        <w:tc>
          <w:tcPr>
            <w:tcW w:w="1040" w:type="dxa"/>
            <w:vAlign w:val="bottom"/>
            <w:tcBorders>
              <w:bottom w:val="single" w:sz="8" w:color="auto"/>
            </w:tcBorders>
            <w:shd w:val="clear" w:color="auto" w:fill="FDFDFD"/>
          </w:tcPr>
          <w:p>
            <w:pPr>
              <w:spacing w:after="0"/>
              <w:rPr>
                <w:sz w:val="15"/>
                <w:szCs w:val="15"/>
                <w:color w:val="auto"/>
              </w:rPr>
            </w:pPr>
          </w:p>
        </w:tc>
        <w:tc>
          <w:tcPr>
            <w:tcW w:w="1560" w:type="dxa"/>
            <w:vAlign w:val="bottom"/>
            <w:tcBorders>
              <w:bottom w:val="single" w:sz="8" w:color="auto"/>
            </w:tcBorders>
            <w:gridSpan w:val="4"/>
            <w:shd w:val="clear" w:color="auto" w:fill="FDFDFD"/>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bottom w:val="single" w:sz="8" w:color="auto"/>
            </w:tcBorders>
            <w:shd w:val="clear" w:color="auto" w:fill="FDFDFD"/>
          </w:tcPr>
          <w:p>
            <w:pPr>
              <w:spacing w:after="0"/>
              <w:rPr>
                <w:sz w:val="15"/>
                <w:szCs w:val="15"/>
                <w:color w:val="auto"/>
              </w:rPr>
            </w:pPr>
          </w:p>
        </w:tc>
        <w:tc>
          <w:tcPr>
            <w:tcW w:w="120" w:type="dxa"/>
            <w:vAlign w:val="bottom"/>
            <w:tcBorders>
              <w:bottom w:val="single" w:sz="8" w:color="auto"/>
            </w:tcBorders>
            <w:shd w:val="clear" w:color="auto" w:fill="FDFDFD"/>
          </w:tcPr>
          <w:p>
            <w:pPr>
              <w:spacing w:after="0"/>
              <w:rPr>
                <w:sz w:val="15"/>
                <w:szCs w:val="15"/>
                <w:color w:val="auto"/>
              </w:rPr>
            </w:pPr>
          </w:p>
        </w:tc>
        <w:tc>
          <w:tcPr>
            <w:tcW w:w="1100" w:type="dxa"/>
            <w:vAlign w:val="bottom"/>
            <w:tcBorders>
              <w:bottom w:val="single" w:sz="8" w:color="auto"/>
            </w:tcBorders>
            <w:shd w:val="clear" w:color="auto" w:fill="FDFDFD"/>
          </w:tcPr>
          <w:p>
            <w:pPr>
              <w:spacing w:after="0"/>
              <w:rPr>
                <w:sz w:val="15"/>
                <w:szCs w:val="15"/>
                <w:color w:val="auto"/>
              </w:rPr>
            </w:pPr>
          </w:p>
        </w:tc>
        <w:tc>
          <w:tcPr>
            <w:tcW w:w="100" w:type="dxa"/>
            <w:vAlign w:val="bottom"/>
            <w:tcBorders>
              <w:bottom w:val="single" w:sz="8" w:color="FDFDFD"/>
            </w:tcBorders>
            <w:shd w:val="clear" w:color="auto" w:fill="FDFDFD"/>
          </w:tcPr>
          <w:p>
            <w:pPr>
              <w:spacing w:after="0"/>
              <w:rPr>
                <w:sz w:val="15"/>
                <w:szCs w:val="15"/>
                <w:color w:val="auto"/>
              </w:rPr>
            </w:pPr>
          </w:p>
        </w:tc>
      </w:tr>
      <w:tr>
        <w:trPr>
          <w:trHeight w:val="154"/>
        </w:trPr>
        <w:tc>
          <w:tcPr>
            <w:tcW w:w="482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80" w:type="dxa"/>
            <w:vAlign w:val="bottom"/>
            <w:shd w:val="clear" w:color="auto" w:fill="FDFDFD"/>
          </w:tcPr>
          <w:p>
            <w:pPr>
              <w:spacing w:after="0"/>
              <w:rPr>
                <w:sz w:val="13"/>
                <w:szCs w:val="13"/>
                <w:color w:val="auto"/>
              </w:rPr>
            </w:pPr>
          </w:p>
        </w:tc>
        <w:tc>
          <w:tcPr>
            <w:tcW w:w="1040" w:type="dxa"/>
            <w:vAlign w:val="bottom"/>
            <w:shd w:val="clear" w:color="auto" w:fill="FDFDFD"/>
          </w:tcPr>
          <w:p>
            <w:pPr>
              <w:jc w:val="center"/>
              <w:ind w:right="106"/>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r>
      <w:tr>
        <w:trPr>
          <w:trHeight w:val="184"/>
        </w:trPr>
        <w:tc>
          <w:tcPr>
            <w:tcW w:w="482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040" w:type="dxa"/>
            <w:vAlign w:val="bottom"/>
            <w:shd w:val="clear" w:color="auto" w:fill="FDFDFD"/>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100" w:type="dxa"/>
            <w:vAlign w:val="bottom"/>
            <w:shd w:val="clear" w:color="auto" w:fill="FDFDFD"/>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100" w:type="dxa"/>
            <w:vAlign w:val="bottom"/>
            <w:shd w:val="clear" w:color="auto" w:fill="FDFDFD"/>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shd w:val="clear" w:color="auto" w:fill="FDFDFD"/>
          </w:tcPr>
          <w:p>
            <w:pPr>
              <w:spacing w:after="0"/>
              <w:rPr>
                <w:sz w:val="15"/>
                <w:szCs w:val="15"/>
                <w:color w:val="auto"/>
              </w:rPr>
            </w:pPr>
          </w:p>
        </w:tc>
      </w:tr>
      <w:tr>
        <w:trPr>
          <w:trHeight w:val="204"/>
        </w:trPr>
        <w:tc>
          <w:tcPr>
            <w:tcW w:w="48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E3E3E3"/>
            </w:tcBorders>
            <w:shd w:val="clear" w:color="auto" w:fill="FDFDFD"/>
          </w:tcPr>
          <w:p>
            <w:pPr>
              <w:spacing w:after="0"/>
              <w:rPr>
                <w:sz w:val="17"/>
                <w:szCs w:val="17"/>
                <w:color w:val="auto"/>
              </w:rPr>
            </w:pPr>
          </w:p>
        </w:tc>
        <w:tc>
          <w:tcPr>
            <w:tcW w:w="180" w:type="dxa"/>
            <w:vAlign w:val="bottom"/>
            <w:tcBorders>
              <w:bottom w:val="single" w:sz="8" w:color="auto"/>
            </w:tcBorders>
            <w:shd w:val="clear" w:color="auto" w:fill="FDFDFD"/>
          </w:tcPr>
          <w:p>
            <w:pPr>
              <w:spacing w:after="0"/>
              <w:rPr>
                <w:sz w:val="17"/>
                <w:szCs w:val="17"/>
                <w:color w:val="auto"/>
              </w:rPr>
            </w:pPr>
          </w:p>
        </w:tc>
        <w:tc>
          <w:tcPr>
            <w:tcW w:w="1040" w:type="dxa"/>
            <w:vAlign w:val="bottom"/>
            <w:tcBorders>
              <w:bottom w:val="single" w:sz="8" w:color="auto"/>
            </w:tcBorders>
            <w:shd w:val="clear" w:color="auto" w:fill="FDFDFD"/>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Borders>
              <w:bottom w:val="single" w:sz="8" w:color="E3E3E3"/>
            </w:tcBorders>
            <w:shd w:val="clear" w:color="auto" w:fill="FDFDFD"/>
          </w:tcPr>
          <w:p>
            <w:pPr>
              <w:spacing w:after="0"/>
              <w:rPr>
                <w:sz w:val="17"/>
                <w:szCs w:val="17"/>
                <w:color w:val="auto"/>
              </w:rPr>
            </w:pPr>
          </w:p>
        </w:tc>
        <w:tc>
          <w:tcPr>
            <w:tcW w:w="140" w:type="dxa"/>
            <w:vAlign w:val="bottom"/>
            <w:tcBorders>
              <w:bottom w:val="single" w:sz="8" w:color="auto"/>
            </w:tcBorders>
            <w:shd w:val="clear" w:color="auto" w:fill="FDFDFD"/>
          </w:tcPr>
          <w:p>
            <w:pPr>
              <w:spacing w:after="0"/>
              <w:rPr>
                <w:sz w:val="17"/>
                <w:szCs w:val="17"/>
                <w:color w:val="auto"/>
              </w:rPr>
            </w:pPr>
          </w:p>
        </w:tc>
        <w:tc>
          <w:tcPr>
            <w:tcW w:w="1100" w:type="dxa"/>
            <w:vAlign w:val="bottom"/>
            <w:tcBorders>
              <w:bottom w:val="single" w:sz="8" w:color="auto"/>
            </w:tcBorders>
            <w:shd w:val="clear" w:color="auto" w:fill="FDFDFD"/>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Borders>
              <w:bottom w:val="single" w:sz="8" w:color="E3E3E3"/>
            </w:tcBorders>
            <w:shd w:val="clear" w:color="auto" w:fill="FDFDFD"/>
          </w:tcPr>
          <w:p>
            <w:pPr>
              <w:spacing w:after="0"/>
              <w:rPr>
                <w:sz w:val="17"/>
                <w:szCs w:val="17"/>
                <w:color w:val="auto"/>
              </w:rPr>
            </w:pPr>
          </w:p>
        </w:tc>
        <w:tc>
          <w:tcPr>
            <w:tcW w:w="140" w:type="dxa"/>
            <w:vAlign w:val="bottom"/>
            <w:tcBorders>
              <w:bottom w:val="single" w:sz="8" w:color="E3E3E3"/>
            </w:tcBorders>
            <w:shd w:val="clear" w:color="auto" w:fill="FDFDFD"/>
          </w:tcPr>
          <w:p>
            <w:pPr>
              <w:spacing w:after="0"/>
              <w:rPr>
                <w:sz w:val="17"/>
                <w:szCs w:val="17"/>
                <w:color w:val="auto"/>
              </w:rPr>
            </w:pPr>
          </w:p>
        </w:tc>
        <w:tc>
          <w:tcPr>
            <w:tcW w:w="120" w:type="dxa"/>
            <w:vAlign w:val="bottom"/>
            <w:tcBorders>
              <w:bottom w:val="single" w:sz="8" w:color="auto"/>
            </w:tcBorders>
            <w:shd w:val="clear" w:color="auto" w:fill="FDFDFD"/>
          </w:tcPr>
          <w:p>
            <w:pPr>
              <w:spacing w:after="0"/>
              <w:rPr>
                <w:sz w:val="17"/>
                <w:szCs w:val="17"/>
                <w:color w:val="auto"/>
              </w:rPr>
            </w:pPr>
          </w:p>
        </w:tc>
        <w:tc>
          <w:tcPr>
            <w:tcW w:w="1100" w:type="dxa"/>
            <w:vAlign w:val="bottom"/>
            <w:tcBorders>
              <w:bottom w:val="single" w:sz="8" w:color="auto"/>
            </w:tcBorders>
            <w:shd w:val="clear" w:color="auto" w:fill="FDFDFD"/>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48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Finite-lived intangible assets:</w:t>
            </w:r>
          </w:p>
        </w:tc>
        <w:tc>
          <w:tcPr>
            <w:tcW w:w="1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04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482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Customer relationships</w:t>
            </w:r>
          </w:p>
        </w:tc>
        <w:tc>
          <w:tcPr>
            <w:tcW w:w="140" w:type="dxa"/>
            <w:vAlign w:val="bottom"/>
            <w:shd w:val="clear" w:color="auto" w:fill="FDFDFD"/>
          </w:tcPr>
          <w:p>
            <w:pPr>
              <w:spacing w:after="0"/>
              <w:rPr>
                <w:sz w:val="19"/>
                <w:szCs w:val="19"/>
                <w:color w:val="auto"/>
              </w:rPr>
            </w:pPr>
          </w:p>
        </w:tc>
        <w:tc>
          <w:tcPr>
            <w:tcW w:w="1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410,210</w:t>
            </w:r>
          </w:p>
        </w:tc>
        <w:tc>
          <w:tcPr>
            <w:tcW w:w="220" w:type="dxa"/>
            <w:vAlign w:val="bottom"/>
            <w:shd w:val="clear" w:color="auto" w:fill="FDFDFD"/>
          </w:tcPr>
          <w:p>
            <w:pPr>
              <w:spacing w:after="0"/>
              <w:rPr>
                <w:sz w:val="19"/>
                <w:szCs w:val="19"/>
                <w:color w:val="auto"/>
              </w:rPr>
            </w:pPr>
          </w:p>
        </w:tc>
        <w:tc>
          <w:tcPr>
            <w:tcW w:w="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(163,586)</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246,624</w:t>
            </w:r>
          </w:p>
        </w:tc>
        <w:tc>
          <w:tcPr>
            <w:tcW w:w="100" w:type="dxa"/>
            <w:vAlign w:val="bottom"/>
            <w:shd w:val="clear" w:color="auto" w:fill="FDFDFD"/>
          </w:tcPr>
          <w:p>
            <w:pPr>
              <w:spacing w:after="0"/>
              <w:rPr>
                <w:sz w:val="19"/>
                <w:szCs w:val="19"/>
                <w:color w:val="auto"/>
              </w:rPr>
            </w:pPr>
          </w:p>
        </w:tc>
      </w:tr>
      <w:tr>
        <w:trPr>
          <w:trHeight w:val="230"/>
        </w:trPr>
        <w:tc>
          <w:tcPr>
            <w:tcW w:w="482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Developed technologies</w:t>
            </w:r>
          </w:p>
        </w:tc>
        <w:tc>
          <w:tcPr>
            <w:tcW w:w="1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78,434</w:t>
            </w:r>
          </w:p>
        </w:tc>
        <w:tc>
          <w:tcPr>
            <w:tcW w:w="2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2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(33,769)</w:t>
            </w:r>
          </w:p>
        </w:tc>
        <w:tc>
          <w:tcPr>
            <w:tcW w:w="14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44,665</w:t>
            </w:r>
          </w:p>
        </w:tc>
        <w:tc>
          <w:tcPr>
            <w:tcW w:w="100" w:type="dxa"/>
            <w:vAlign w:val="bottom"/>
            <w:shd w:val="clear" w:color="auto" w:fill="E3E3E3"/>
          </w:tcPr>
          <w:p>
            <w:pPr>
              <w:spacing w:after="0"/>
              <w:rPr>
                <w:sz w:val="19"/>
                <w:szCs w:val="19"/>
                <w:color w:val="auto"/>
              </w:rPr>
            </w:pPr>
          </w:p>
        </w:tc>
      </w:tr>
      <w:tr>
        <w:trPr>
          <w:trHeight w:val="230"/>
        </w:trPr>
        <w:tc>
          <w:tcPr>
            <w:tcW w:w="482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Tradenames</w:t>
            </w:r>
          </w:p>
        </w:tc>
        <w:tc>
          <w:tcPr>
            <w:tcW w:w="14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36,062</w:t>
            </w:r>
          </w:p>
        </w:tc>
        <w:tc>
          <w:tcPr>
            <w:tcW w:w="22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20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(9,379)</w:t>
            </w:r>
          </w:p>
        </w:tc>
        <w:tc>
          <w:tcPr>
            <w:tcW w:w="14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26,683</w:t>
            </w:r>
          </w:p>
        </w:tc>
        <w:tc>
          <w:tcPr>
            <w:tcW w:w="100" w:type="dxa"/>
            <w:vAlign w:val="bottom"/>
            <w:shd w:val="clear" w:color="auto" w:fill="FDFDFD"/>
          </w:tcPr>
          <w:p>
            <w:pPr>
              <w:spacing w:after="0"/>
              <w:rPr>
                <w:sz w:val="19"/>
                <w:szCs w:val="19"/>
                <w:color w:val="auto"/>
              </w:rPr>
            </w:pPr>
          </w:p>
        </w:tc>
      </w:tr>
      <w:tr>
        <w:trPr>
          <w:trHeight w:val="230"/>
        </w:trPr>
        <w:tc>
          <w:tcPr>
            <w:tcW w:w="482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Database</w:t>
            </w:r>
          </w:p>
        </w:tc>
        <w:tc>
          <w:tcPr>
            <w:tcW w:w="14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50,221</w:t>
            </w:r>
          </w:p>
        </w:tc>
        <w:tc>
          <w:tcPr>
            <w:tcW w:w="2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2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(45,072)</w:t>
            </w:r>
          </w:p>
        </w:tc>
        <w:tc>
          <w:tcPr>
            <w:tcW w:w="14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5,149</w:t>
            </w:r>
          </w:p>
        </w:tc>
        <w:tc>
          <w:tcPr>
            <w:tcW w:w="100" w:type="dxa"/>
            <w:vAlign w:val="bottom"/>
            <w:shd w:val="clear" w:color="auto" w:fill="E3E3E3"/>
          </w:tcPr>
          <w:p>
            <w:pPr>
              <w:spacing w:after="0"/>
              <w:rPr>
                <w:sz w:val="19"/>
                <w:szCs w:val="19"/>
                <w:color w:val="auto"/>
              </w:rPr>
            </w:pPr>
          </w:p>
        </w:tc>
      </w:tr>
      <w:tr>
        <w:trPr>
          <w:trHeight w:val="220"/>
        </w:trPr>
        <w:tc>
          <w:tcPr>
            <w:tcW w:w="4820" w:type="dxa"/>
            <w:vAlign w:val="bottom"/>
            <w:tcBorders>
              <w:top w:val="single" w:sz="8" w:color="FDFDFD"/>
            </w:tcBorders>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Total finite-lived intangible assets</w:t>
            </w:r>
          </w:p>
        </w:tc>
        <w:tc>
          <w:tcPr>
            <w:tcW w:w="140" w:type="dxa"/>
            <w:vAlign w:val="bottom"/>
            <w:tcBorders>
              <w:top w:val="single" w:sz="8" w:color="FDFDFD"/>
            </w:tcBorders>
            <w:shd w:val="clear" w:color="auto" w:fill="FDFDFD"/>
          </w:tcPr>
          <w:p>
            <w:pPr>
              <w:spacing w:after="0"/>
              <w:rPr>
                <w:sz w:val="19"/>
                <w:szCs w:val="19"/>
                <w:color w:val="auto"/>
              </w:rPr>
            </w:pPr>
          </w:p>
        </w:tc>
        <w:tc>
          <w:tcPr>
            <w:tcW w:w="180" w:type="dxa"/>
            <w:vAlign w:val="bottom"/>
            <w:tcBorders>
              <w:top w:val="single" w:sz="8" w:color="auto"/>
            </w:tcBorders>
            <w:shd w:val="clear" w:color="auto" w:fill="FDFDFD"/>
          </w:tcPr>
          <w:p>
            <w:pPr>
              <w:spacing w:after="0"/>
              <w:rPr>
                <w:sz w:val="19"/>
                <w:szCs w:val="19"/>
                <w:color w:val="auto"/>
              </w:rPr>
            </w:pPr>
          </w:p>
        </w:tc>
        <w:tc>
          <w:tcPr>
            <w:tcW w:w="104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574,927</w:t>
            </w:r>
          </w:p>
        </w:tc>
        <w:tc>
          <w:tcPr>
            <w:tcW w:w="220" w:type="dxa"/>
            <w:vAlign w:val="bottom"/>
            <w:tcBorders>
              <w:top w:val="single" w:sz="8" w:color="FDFDFD"/>
            </w:tcBorders>
            <w:shd w:val="clear" w:color="auto" w:fill="FDFDFD"/>
          </w:tcPr>
          <w:p>
            <w:pPr>
              <w:spacing w:after="0"/>
              <w:rPr>
                <w:sz w:val="19"/>
                <w:szCs w:val="19"/>
                <w:color w:val="auto"/>
              </w:rPr>
            </w:pPr>
          </w:p>
        </w:tc>
        <w:tc>
          <w:tcPr>
            <w:tcW w:w="140" w:type="dxa"/>
            <w:vAlign w:val="bottom"/>
            <w:tcBorders>
              <w:top w:val="single" w:sz="8" w:color="auto"/>
            </w:tcBorders>
            <w:shd w:val="clear" w:color="auto" w:fill="FDFDFD"/>
          </w:tcPr>
          <w:p>
            <w:pPr>
              <w:spacing w:after="0"/>
              <w:rPr>
                <w:sz w:val="19"/>
                <w:szCs w:val="19"/>
                <w:color w:val="auto"/>
              </w:rPr>
            </w:pPr>
          </w:p>
        </w:tc>
        <w:tc>
          <w:tcPr>
            <w:tcW w:w="110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(251,806)</w:t>
            </w:r>
          </w:p>
        </w:tc>
        <w:tc>
          <w:tcPr>
            <w:tcW w:w="100" w:type="dxa"/>
            <w:vAlign w:val="bottom"/>
            <w:tcBorders>
              <w:top w:val="single" w:sz="8" w:color="FDFDFD"/>
            </w:tcBorders>
            <w:shd w:val="clear" w:color="auto" w:fill="FDFDFD"/>
          </w:tcPr>
          <w:p>
            <w:pPr>
              <w:spacing w:after="0"/>
              <w:rPr>
                <w:sz w:val="19"/>
                <w:szCs w:val="19"/>
                <w:color w:val="auto"/>
              </w:rPr>
            </w:pPr>
          </w:p>
        </w:tc>
        <w:tc>
          <w:tcPr>
            <w:tcW w:w="140" w:type="dxa"/>
            <w:vAlign w:val="bottom"/>
            <w:tcBorders>
              <w:top w:val="single" w:sz="8" w:color="FDFDFD"/>
            </w:tcBorders>
            <w:shd w:val="clear" w:color="auto" w:fill="FDFDFD"/>
          </w:tcPr>
          <w:p>
            <w:pPr>
              <w:spacing w:after="0"/>
              <w:rPr>
                <w:sz w:val="19"/>
                <w:szCs w:val="19"/>
                <w:color w:val="auto"/>
              </w:rPr>
            </w:pPr>
          </w:p>
        </w:tc>
        <w:tc>
          <w:tcPr>
            <w:tcW w:w="120" w:type="dxa"/>
            <w:vAlign w:val="bottom"/>
            <w:tcBorders>
              <w:top w:val="single" w:sz="8" w:color="auto"/>
            </w:tcBorders>
            <w:shd w:val="clear" w:color="auto" w:fill="FDFDFD"/>
          </w:tcPr>
          <w:p>
            <w:pPr>
              <w:spacing w:after="0"/>
              <w:rPr>
                <w:sz w:val="19"/>
                <w:szCs w:val="19"/>
                <w:color w:val="auto"/>
              </w:rPr>
            </w:pPr>
          </w:p>
        </w:tc>
        <w:tc>
          <w:tcPr>
            <w:tcW w:w="110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323,121</w:t>
            </w:r>
          </w:p>
        </w:tc>
        <w:tc>
          <w:tcPr>
            <w:tcW w:w="100" w:type="dxa"/>
            <w:vAlign w:val="bottom"/>
            <w:tcBorders>
              <w:top w:val="single" w:sz="8" w:color="FDFDFD"/>
            </w:tcBorders>
            <w:shd w:val="clear" w:color="auto" w:fill="FDFDFD"/>
          </w:tcPr>
          <w:p>
            <w:pPr>
              <w:spacing w:after="0"/>
              <w:rPr>
                <w:sz w:val="19"/>
                <w:szCs w:val="19"/>
                <w:color w:val="auto"/>
              </w:rPr>
            </w:pPr>
          </w:p>
        </w:tc>
      </w:tr>
      <w:tr>
        <w:trPr>
          <w:trHeight w:val="230"/>
        </w:trPr>
        <w:tc>
          <w:tcPr>
            <w:tcW w:w="4820" w:type="dxa"/>
            <w:vAlign w:val="bottom"/>
            <w:tcBorders>
              <w:bottom w:val="single" w:sz="8" w:color="FDFDFD"/>
            </w:tcBorders>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Goodwill</w:t>
            </w:r>
          </w:p>
        </w:tc>
        <w:tc>
          <w:tcPr>
            <w:tcW w:w="140" w:type="dxa"/>
            <w:vAlign w:val="bottom"/>
            <w:tcBorders>
              <w:bottom w:val="single" w:sz="8" w:color="FDFDFD"/>
            </w:tcBorders>
            <w:shd w:val="clear" w:color="auto" w:fill="E3E3E3"/>
          </w:tcPr>
          <w:p>
            <w:pPr>
              <w:spacing w:after="0"/>
              <w:rPr>
                <w:sz w:val="19"/>
                <w:szCs w:val="19"/>
                <w:color w:val="auto"/>
              </w:rPr>
            </w:pPr>
          </w:p>
        </w:tc>
        <w:tc>
          <w:tcPr>
            <w:tcW w:w="180" w:type="dxa"/>
            <w:vAlign w:val="bottom"/>
            <w:tcBorders>
              <w:bottom w:val="single" w:sz="8" w:color="auto"/>
            </w:tcBorders>
            <w:shd w:val="clear" w:color="auto" w:fill="E3E3E3"/>
          </w:tcPr>
          <w:p>
            <w:pPr>
              <w:spacing w:after="0"/>
              <w:rPr>
                <w:sz w:val="19"/>
                <w:szCs w:val="19"/>
                <w:color w:val="auto"/>
              </w:rPr>
            </w:pPr>
          </w:p>
        </w:tc>
        <w:tc>
          <w:tcPr>
            <w:tcW w:w="10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1,075,080</w:t>
            </w:r>
          </w:p>
        </w:tc>
        <w:tc>
          <w:tcPr>
            <w:tcW w:w="220" w:type="dxa"/>
            <w:vAlign w:val="bottom"/>
            <w:tcBorders>
              <w:bottom w:val="single" w:sz="8" w:color="FDFDFD"/>
            </w:tcBorders>
            <w:shd w:val="clear" w:color="auto" w:fill="E3E3E3"/>
          </w:tcPr>
          <w:p>
            <w:pPr>
              <w:spacing w:after="0"/>
              <w:rPr>
                <w:sz w:val="19"/>
                <w:szCs w:val="19"/>
                <w:color w:val="auto"/>
              </w:rPr>
            </w:pPr>
          </w:p>
        </w:tc>
        <w:tc>
          <w:tcPr>
            <w:tcW w:w="140" w:type="dxa"/>
            <w:vAlign w:val="bottom"/>
            <w:tcBorders>
              <w:bottom w:val="single" w:sz="8" w:color="auto"/>
            </w:tcBorders>
            <w:shd w:val="clear" w:color="auto" w:fill="E3E3E3"/>
          </w:tcPr>
          <w:p>
            <w:pPr>
              <w:spacing w:after="0"/>
              <w:rPr>
                <w:sz w:val="19"/>
                <w:szCs w:val="19"/>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FDFDFD"/>
            </w:tcBorders>
            <w:shd w:val="clear" w:color="auto" w:fill="E3E3E3"/>
          </w:tcPr>
          <w:p>
            <w:pPr>
              <w:spacing w:after="0"/>
              <w:rPr>
                <w:sz w:val="19"/>
                <w:szCs w:val="19"/>
                <w:color w:val="auto"/>
              </w:rPr>
            </w:pPr>
          </w:p>
        </w:tc>
        <w:tc>
          <w:tcPr>
            <w:tcW w:w="140" w:type="dxa"/>
            <w:vAlign w:val="bottom"/>
            <w:tcBorders>
              <w:bottom w:val="single" w:sz="8" w:color="FDFDFD"/>
            </w:tcBorders>
            <w:shd w:val="clear" w:color="auto" w:fill="E3E3E3"/>
          </w:tcPr>
          <w:p>
            <w:pPr>
              <w:spacing w:after="0"/>
              <w:rPr>
                <w:sz w:val="19"/>
                <w:szCs w:val="19"/>
                <w:color w:val="auto"/>
              </w:rPr>
            </w:pPr>
          </w:p>
        </w:tc>
        <w:tc>
          <w:tcPr>
            <w:tcW w:w="120" w:type="dxa"/>
            <w:vAlign w:val="bottom"/>
            <w:tcBorders>
              <w:bottom w:val="single" w:sz="8" w:color="auto"/>
            </w:tcBorders>
            <w:shd w:val="clear" w:color="auto" w:fill="E3E3E3"/>
          </w:tcPr>
          <w:p>
            <w:pPr>
              <w:spacing w:after="0"/>
              <w:rPr>
                <w:sz w:val="19"/>
                <w:szCs w:val="19"/>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1,075,080</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4820" w:type="dxa"/>
            <w:vAlign w:val="bottom"/>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Total goodwill and Intangible assets</w:t>
            </w:r>
          </w:p>
        </w:tc>
        <w:tc>
          <w:tcPr>
            <w:tcW w:w="140" w:type="dxa"/>
            <w:vAlign w:val="bottom"/>
            <w:shd w:val="clear" w:color="auto" w:fill="FDFDFD"/>
          </w:tcPr>
          <w:p>
            <w:pPr>
              <w:spacing w:after="0"/>
              <w:rPr>
                <w:sz w:val="19"/>
                <w:szCs w:val="19"/>
                <w:color w:val="auto"/>
              </w:rPr>
            </w:pPr>
          </w:p>
        </w:tc>
        <w:tc>
          <w:tcPr>
            <w:tcW w:w="18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04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white"/>
              </w:rPr>
              <w:t>1,650,007</w:t>
            </w:r>
          </w:p>
        </w:tc>
        <w:tc>
          <w:tcPr>
            <w:tcW w:w="220" w:type="dxa"/>
            <w:vAlign w:val="bottom"/>
            <w:shd w:val="clear" w:color="auto" w:fill="FDFDFD"/>
          </w:tcPr>
          <w:p>
            <w:pPr>
              <w:spacing w:after="0"/>
              <w:rPr>
                <w:sz w:val="19"/>
                <w:szCs w:val="19"/>
                <w:color w:val="auto"/>
              </w:rPr>
            </w:pPr>
          </w:p>
        </w:tc>
        <w:tc>
          <w:tcPr>
            <w:tcW w:w="14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(251,806)</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2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100" w:type="dxa"/>
            <w:vAlign w:val="bottom"/>
            <w:tcBorders>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white"/>
              </w:rPr>
              <w:t>1,398,201</w:t>
            </w:r>
          </w:p>
        </w:tc>
        <w:tc>
          <w:tcPr>
            <w:tcW w:w="100" w:type="dxa"/>
            <w:vAlign w:val="bottom"/>
            <w:shd w:val="clear" w:color="auto" w:fill="FDFDFD"/>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Amortization expense associated with finite-lived intangible assets was $49.4 million, $49.8 million, and $54.7 million for the years ended December 31, 2024, 2023 and 2022, respectively, of which $14.0 million, $12.7 million, and $16.8 million was included in cost of revenue for each respective period.</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Estimated total intangible amortization expense during the next five years and thereafter is as follows:</w:t>
      </w:r>
    </w:p>
    <w:p>
      <w:pPr>
        <w:spacing w:after="0" w:line="251" w:lineRule="exact"/>
        <w:rPr>
          <w:sz w:val="20"/>
          <w:szCs w:val="20"/>
          <w:color w:val="auto"/>
        </w:rPr>
      </w:pPr>
    </w:p>
    <w:tbl>
      <w:tblPr>
        <w:tblLayout w:type="fixed"/>
        <w:tblInd w:w="520" w:type="dxa"/>
        <w:tblCellMar>
          <w:top w:w="0" w:type="dxa"/>
          <w:left w:w="0" w:type="dxa"/>
          <w:bottom w:w="0" w:type="dxa"/>
          <w:right w:w="0" w:type="dxa"/>
        </w:tblCellMar>
      </w:tblPr>
      <w:tr>
        <w:trPr>
          <w:trHeight w:val="269"/>
        </w:trPr>
        <w:tc>
          <w:tcPr>
            <w:tcW w:w="738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80" w:type="dxa"/>
            <w:vAlign w:val="bottom"/>
            <w:shd w:val="clear" w:color="auto" w:fill="FDFDFD"/>
          </w:tcPr>
          <w:p>
            <w:pPr>
              <w:spacing w:after="0"/>
              <w:rPr>
                <w:sz w:val="23"/>
                <w:szCs w:val="23"/>
                <w:color w:val="auto"/>
              </w:rPr>
            </w:pPr>
          </w:p>
        </w:tc>
        <w:tc>
          <w:tcPr>
            <w:tcW w:w="500" w:type="dxa"/>
            <w:vAlign w:val="bottom"/>
            <w:shd w:val="clear" w:color="auto" w:fill="FDFDFD"/>
          </w:tcPr>
          <w:p>
            <w:pPr>
              <w:spacing w:after="0"/>
              <w:rPr>
                <w:sz w:val="23"/>
                <w:szCs w:val="23"/>
                <w:color w:val="auto"/>
              </w:rPr>
            </w:pPr>
          </w:p>
        </w:tc>
        <w:tc>
          <w:tcPr>
            <w:tcW w:w="1040" w:type="dxa"/>
            <w:vAlign w:val="bottom"/>
            <w:shd w:val="clear" w:color="auto" w:fill="FDFDFD"/>
          </w:tcPr>
          <w:p>
            <w:pPr>
              <w:spacing w:after="0"/>
              <w:rPr>
                <w:sz w:val="23"/>
                <w:szCs w:val="23"/>
                <w:color w:val="auto"/>
              </w:rPr>
            </w:pPr>
          </w:p>
        </w:tc>
        <w:tc>
          <w:tcPr>
            <w:tcW w:w="100" w:type="dxa"/>
            <w:vAlign w:val="bottom"/>
            <w:shd w:val="clear" w:color="auto" w:fill="FDFDFD"/>
          </w:tcPr>
          <w:p>
            <w:pPr>
              <w:spacing w:after="0"/>
              <w:rPr>
                <w:sz w:val="23"/>
                <w:szCs w:val="23"/>
                <w:color w:val="auto"/>
              </w:rPr>
            </w:pPr>
          </w:p>
        </w:tc>
      </w:tr>
      <w:tr>
        <w:trPr>
          <w:trHeight w:val="230"/>
        </w:trPr>
        <w:tc>
          <w:tcPr>
            <w:tcW w:w="73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2025</w:t>
            </w:r>
          </w:p>
        </w:tc>
        <w:tc>
          <w:tcPr>
            <w:tcW w:w="68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52,812</w:t>
            </w:r>
          </w:p>
        </w:tc>
        <w:tc>
          <w:tcPr>
            <w:tcW w:w="100" w:type="dxa"/>
            <w:vAlign w:val="bottom"/>
            <w:shd w:val="clear" w:color="auto" w:fill="E3E3E3"/>
          </w:tcPr>
          <w:p>
            <w:pPr>
              <w:spacing w:after="0"/>
              <w:rPr>
                <w:sz w:val="19"/>
                <w:szCs w:val="19"/>
                <w:color w:val="auto"/>
              </w:rPr>
            </w:pPr>
          </w:p>
        </w:tc>
      </w:tr>
      <w:tr>
        <w:trPr>
          <w:trHeight w:val="230"/>
        </w:trPr>
        <w:tc>
          <w:tcPr>
            <w:tcW w:w="73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2026</w:t>
            </w:r>
          </w:p>
        </w:tc>
        <w:tc>
          <w:tcPr>
            <w:tcW w:w="180" w:type="dxa"/>
            <w:vAlign w:val="bottom"/>
            <w:shd w:val="clear" w:color="auto" w:fill="FDFDFD"/>
          </w:tcPr>
          <w:p>
            <w:pPr>
              <w:spacing w:after="0"/>
              <w:rPr>
                <w:sz w:val="19"/>
                <w:szCs w:val="19"/>
                <w:color w:val="auto"/>
              </w:rPr>
            </w:pPr>
          </w:p>
        </w:tc>
        <w:tc>
          <w:tcPr>
            <w:tcW w:w="500" w:type="dxa"/>
            <w:vAlign w:val="bottom"/>
            <w:shd w:val="clear" w:color="auto" w:fill="FDFDFD"/>
          </w:tcPr>
          <w:p>
            <w:pPr>
              <w:spacing w:after="0"/>
              <w:rPr>
                <w:sz w:val="19"/>
                <w:szCs w:val="19"/>
                <w:color w:val="auto"/>
              </w:rPr>
            </w:pP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46,637</w:t>
            </w:r>
          </w:p>
        </w:tc>
        <w:tc>
          <w:tcPr>
            <w:tcW w:w="100" w:type="dxa"/>
            <w:vAlign w:val="bottom"/>
            <w:shd w:val="clear" w:color="auto" w:fill="FDFDFD"/>
          </w:tcPr>
          <w:p>
            <w:pPr>
              <w:spacing w:after="0"/>
              <w:rPr>
                <w:sz w:val="19"/>
                <w:szCs w:val="19"/>
                <w:color w:val="auto"/>
              </w:rPr>
            </w:pPr>
          </w:p>
        </w:tc>
      </w:tr>
      <w:tr>
        <w:trPr>
          <w:trHeight w:val="230"/>
        </w:trPr>
        <w:tc>
          <w:tcPr>
            <w:tcW w:w="73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2027</w:t>
            </w:r>
          </w:p>
        </w:tc>
        <w:tc>
          <w:tcPr>
            <w:tcW w:w="180" w:type="dxa"/>
            <w:vAlign w:val="bottom"/>
            <w:shd w:val="clear" w:color="auto" w:fill="E3E3E3"/>
          </w:tcPr>
          <w:p>
            <w:pPr>
              <w:spacing w:after="0"/>
              <w:rPr>
                <w:sz w:val="19"/>
                <w:szCs w:val="19"/>
                <w:color w:val="auto"/>
              </w:rPr>
            </w:pPr>
          </w:p>
        </w:tc>
        <w:tc>
          <w:tcPr>
            <w:tcW w:w="500" w:type="dxa"/>
            <w:vAlign w:val="bottom"/>
            <w:shd w:val="clear" w:color="auto" w:fill="E3E3E3"/>
          </w:tcPr>
          <w:p>
            <w:pPr>
              <w:spacing w:after="0"/>
              <w:rPr>
                <w:sz w:val="19"/>
                <w:szCs w:val="19"/>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39,859</w:t>
            </w:r>
          </w:p>
        </w:tc>
        <w:tc>
          <w:tcPr>
            <w:tcW w:w="100" w:type="dxa"/>
            <w:vAlign w:val="bottom"/>
            <w:shd w:val="clear" w:color="auto" w:fill="E3E3E3"/>
          </w:tcPr>
          <w:p>
            <w:pPr>
              <w:spacing w:after="0"/>
              <w:rPr>
                <w:sz w:val="19"/>
                <w:szCs w:val="19"/>
                <w:color w:val="auto"/>
              </w:rPr>
            </w:pPr>
          </w:p>
        </w:tc>
      </w:tr>
      <w:tr>
        <w:trPr>
          <w:trHeight w:val="230"/>
        </w:trPr>
        <w:tc>
          <w:tcPr>
            <w:tcW w:w="73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2028</w:t>
            </w:r>
          </w:p>
        </w:tc>
        <w:tc>
          <w:tcPr>
            <w:tcW w:w="180" w:type="dxa"/>
            <w:vAlign w:val="bottom"/>
            <w:shd w:val="clear" w:color="auto" w:fill="FDFDFD"/>
          </w:tcPr>
          <w:p>
            <w:pPr>
              <w:spacing w:after="0"/>
              <w:rPr>
                <w:sz w:val="19"/>
                <w:szCs w:val="19"/>
                <w:color w:val="auto"/>
              </w:rPr>
            </w:pPr>
          </w:p>
        </w:tc>
        <w:tc>
          <w:tcPr>
            <w:tcW w:w="500" w:type="dxa"/>
            <w:vAlign w:val="bottom"/>
            <w:shd w:val="clear" w:color="auto" w:fill="FDFDFD"/>
          </w:tcPr>
          <w:p>
            <w:pPr>
              <w:spacing w:after="0"/>
              <w:rPr>
                <w:sz w:val="19"/>
                <w:szCs w:val="19"/>
                <w:color w:val="auto"/>
              </w:rPr>
            </w:pP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30,778</w:t>
            </w:r>
          </w:p>
        </w:tc>
        <w:tc>
          <w:tcPr>
            <w:tcW w:w="100" w:type="dxa"/>
            <w:vAlign w:val="bottom"/>
            <w:shd w:val="clear" w:color="auto" w:fill="FDFDFD"/>
          </w:tcPr>
          <w:p>
            <w:pPr>
              <w:spacing w:after="0"/>
              <w:rPr>
                <w:sz w:val="19"/>
                <w:szCs w:val="19"/>
                <w:color w:val="auto"/>
              </w:rPr>
            </w:pPr>
          </w:p>
        </w:tc>
      </w:tr>
      <w:tr>
        <w:trPr>
          <w:trHeight w:val="230"/>
        </w:trPr>
        <w:tc>
          <w:tcPr>
            <w:tcW w:w="73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2029</w:t>
            </w:r>
          </w:p>
        </w:tc>
        <w:tc>
          <w:tcPr>
            <w:tcW w:w="180" w:type="dxa"/>
            <w:vAlign w:val="bottom"/>
            <w:shd w:val="clear" w:color="auto" w:fill="E3E3E3"/>
          </w:tcPr>
          <w:p>
            <w:pPr>
              <w:spacing w:after="0"/>
              <w:rPr>
                <w:sz w:val="19"/>
                <w:szCs w:val="19"/>
                <w:color w:val="auto"/>
              </w:rPr>
            </w:pPr>
          </w:p>
        </w:tc>
        <w:tc>
          <w:tcPr>
            <w:tcW w:w="500" w:type="dxa"/>
            <w:vAlign w:val="bottom"/>
            <w:shd w:val="clear" w:color="auto" w:fill="E3E3E3"/>
          </w:tcPr>
          <w:p>
            <w:pPr>
              <w:spacing w:after="0"/>
              <w:rPr>
                <w:sz w:val="19"/>
                <w:szCs w:val="19"/>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26,224</w:t>
            </w:r>
          </w:p>
        </w:tc>
        <w:tc>
          <w:tcPr>
            <w:tcW w:w="100" w:type="dxa"/>
            <w:vAlign w:val="bottom"/>
            <w:shd w:val="clear" w:color="auto" w:fill="E3E3E3"/>
          </w:tcPr>
          <w:p>
            <w:pPr>
              <w:spacing w:after="0"/>
              <w:rPr>
                <w:sz w:val="19"/>
                <w:szCs w:val="19"/>
                <w:color w:val="auto"/>
              </w:rPr>
            </w:pPr>
          </w:p>
        </w:tc>
      </w:tr>
      <w:tr>
        <w:trPr>
          <w:trHeight w:val="230"/>
        </w:trPr>
        <w:tc>
          <w:tcPr>
            <w:tcW w:w="738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Thereafter</w:t>
            </w:r>
          </w:p>
        </w:tc>
        <w:tc>
          <w:tcPr>
            <w:tcW w:w="180" w:type="dxa"/>
            <w:vAlign w:val="bottom"/>
            <w:tcBorders>
              <w:bottom w:val="single" w:sz="8" w:color="E3E3E3"/>
            </w:tcBorders>
            <w:shd w:val="clear" w:color="auto" w:fill="FDFDFD"/>
          </w:tcPr>
          <w:p>
            <w:pPr>
              <w:spacing w:after="0"/>
              <w:rPr>
                <w:sz w:val="19"/>
                <w:szCs w:val="19"/>
                <w:color w:val="auto"/>
              </w:rPr>
            </w:pPr>
          </w:p>
        </w:tc>
        <w:tc>
          <w:tcPr>
            <w:tcW w:w="500" w:type="dxa"/>
            <w:vAlign w:val="bottom"/>
            <w:tcBorders>
              <w:bottom w:val="single" w:sz="8" w:color="auto"/>
            </w:tcBorders>
            <w:shd w:val="clear" w:color="auto" w:fill="FDFDFD"/>
          </w:tcPr>
          <w:p>
            <w:pPr>
              <w:spacing w:after="0"/>
              <w:rPr>
                <w:sz w:val="19"/>
                <w:szCs w:val="19"/>
                <w:color w:val="auto"/>
              </w:rPr>
            </w:pPr>
          </w:p>
        </w:tc>
        <w:tc>
          <w:tcPr>
            <w:tcW w:w="104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101,623</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73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80" w:type="dxa"/>
            <w:vAlign w:val="bottom"/>
            <w:shd w:val="clear" w:color="auto" w:fill="E3E3E3"/>
          </w:tcPr>
          <w:p>
            <w:pPr>
              <w:spacing w:after="0"/>
              <w:rPr>
                <w:sz w:val="19"/>
                <w:szCs w:val="19"/>
                <w:color w:val="auto"/>
              </w:rPr>
            </w:pPr>
          </w:p>
        </w:tc>
        <w:tc>
          <w:tcPr>
            <w:tcW w:w="500" w:type="dxa"/>
            <w:vAlign w:val="bottom"/>
            <w:tcBorders>
              <w:bottom w:val="single" w:sz="8" w:color="auto"/>
            </w:tcBorders>
            <w:shd w:val="clear" w:color="auto" w:fill="E3E3E3"/>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297,933</w:t>
            </w:r>
          </w:p>
        </w:tc>
        <w:tc>
          <w:tcPr>
            <w:tcW w:w="100" w:type="dxa"/>
            <w:vAlign w:val="bottom"/>
            <w:shd w:val="clear" w:color="auto" w:fill="E3E3E3"/>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determined it had one reporting unit.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w:t>
      </w:r>
    </w:p>
    <w:p>
      <w:pPr>
        <w:spacing w:after="0" w:line="11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 xml:space="preserve">Goodwill and acquired intangible assets are initially recorded at fair value and tested periodically for impairment. The Company estimates the fair value of these assets using primarily unobservable inputs, which are considered Level 3 fair value measurements as defined in Note 12. </w:t>
      </w:r>
      <w:r>
        <w:rPr>
          <w:rFonts w:ascii="Times New Roman" w:cs="Times New Roman" w:eastAsia="Times New Roman" w:hAnsi="Times New Roman"/>
          <w:sz w:val="20"/>
          <w:szCs w:val="20"/>
          <w:i w:val="1"/>
          <w:iCs w:val="1"/>
          <w:color w:val="auto"/>
        </w:rPr>
        <w:t>Fair Value Measurements</w:t>
      </w:r>
      <w:r>
        <w:rPr>
          <w:rFonts w:ascii="Times New Roman" w:cs="Times New Roman" w:eastAsia="Times New Roman" w:hAnsi="Times New Roman"/>
          <w:sz w:val="20"/>
          <w:szCs w:val="20"/>
          <w:color w:val="auto"/>
        </w:rPr>
        <w:t>. The Company performs an impairment test of goodwill during the fourth quarter of each fiscal year and more frequently if indicators of potential impairment arise.</w:t>
      </w:r>
    </w:p>
    <w:p>
      <w:pPr>
        <w:spacing w:after="0" w:line="7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Recently, the Company experienced declines in its market capitalization as a result of sustained decreases in the Company’s stock price, which represented triggering events requiring management to perform quantitative goodwill impairment tests. As a result of each impairment test, the Company determined that the fair value of its single reporting unit was lower than its carrying value and, accordingly, recorded non-cash, pretax, goodwill impairment charges of $688.9 million and $287.4 million during the year ended December 31, 2024 and 2023, respectively. The goodwill impairment charges did not affect the Company’s liquidity or the financial covenants in its outstanding debt agreement.</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F-31</w:t>
      </w:r>
    </w:p>
    <w:p>
      <w:pPr>
        <w:sectPr>
          <w:pgSz w:w="11880" w:h="15480" w:orient="portrait"/>
          <w:cols w:equalWidth="0" w:num="1">
            <w:col w:w="10200"/>
          </w:cols>
          <w:pgMar w:left="820" w:top="803" w:right="860" w:bottom="0" w:gutter="0" w:footer="0" w:header="0"/>
        </w:sectPr>
      </w:pPr>
    </w:p>
    <w:bookmarkStart w:id="123" w:name="page124"/>
    <w:bookmarkEnd w:id="123"/>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In calculating the goodwill impairment charges, the Company estimated the fair value of its single reporting unit based on its market capitalization and an appropriate control premium. Market capitalization is determined by multiplying the number of shares of Class A Common Stock outstanding by the market price of its Class A Common Stock. The control premium, or the amount paid by a new controlling shareholder for the benefits resulting from synergies and other potential benefits derived from controlling the acquired company, is determined by utilizing data from publicly available premium studies for similarly situated public company transactions. A goodwill impairment loss is recognized for the difference between the carrying value of the reporting unit and the fair value.</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will continue to monitor for potential impairment should impairment indicators arise.</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and for the periods ended December 31, 2024 and 2023, goodwill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520" w:type="dxa"/>
            <w:vAlign w:val="bottom"/>
            <w:shd w:val="clear" w:color="auto" w:fill="FDFDFD"/>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6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540" w:type="dxa"/>
            <w:vAlign w:val="bottom"/>
            <w:gridSpan w:val="2"/>
            <w:shd w:val="clear" w:color="auto" w:fill="FDFDFD"/>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4"/>
        </w:trPr>
        <w:tc>
          <w:tcPr>
            <w:tcW w:w="656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520" w:type="dxa"/>
            <w:vAlign w:val="bottom"/>
            <w:shd w:val="clear" w:color="auto" w:fill="FDFDFD"/>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540" w:type="dxa"/>
            <w:vAlign w:val="bottom"/>
            <w:gridSpan w:val="2"/>
            <w:shd w:val="clear" w:color="auto" w:fill="FDFDFD"/>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20"/>
        </w:trPr>
        <w:tc>
          <w:tcPr>
            <w:tcW w:w="656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Goodwill, gross - beginning of period</w:t>
            </w:r>
          </w:p>
        </w:tc>
        <w:tc>
          <w:tcPr>
            <w:tcW w:w="100" w:type="dxa"/>
            <w:vAlign w:val="bottom"/>
            <w:tcBorders>
              <w:top w:val="single" w:sz="8" w:color="E3E3E3"/>
            </w:tcBorders>
            <w:shd w:val="clear" w:color="auto" w:fill="E3E3E3"/>
          </w:tcPr>
          <w:p>
            <w:pPr>
              <w:spacing w:after="0"/>
              <w:rPr>
                <w:sz w:val="19"/>
                <w:szCs w:val="19"/>
                <w:color w:val="auto"/>
              </w:rPr>
            </w:pPr>
          </w:p>
        </w:tc>
        <w:tc>
          <w:tcPr>
            <w:tcW w:w="14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1,362,480</w:t>
            </w:r>
          </w:p>
        </w:tc>
        <w:tc>
          <w:tcPr>
            <w:tcW w:w="260" w:type="dxa"/>
            <w:vAlign w:val="bottom"/>
            <w:tcBorders>
              <w:top w:val="single" w:sz="8" w:color="E3E3E3"/>
            </w:tcBorders>
            <w:shd w:val="clear" w:color="auto" w:fill="E3E3E3"/>
          </w:tcPr>
          <w:p>
            <w:pPr>
              <w:spacing w:after="0"/>
              <w:rPr>
                <w:sz w:val="19"/>
                <w:szCs w:val="19"/>
                <w:color w:val="auto"/>
              </w:rPr>
            </w:pPr>
          </w:p>
        </w:tc>
        <w:tc>
          <w:tcPr>
            <w:tcW w:w="12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1,324,733</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6560" w:type="dxa"/>
            <w:vAlign w:val="bottom"/>
            <w:tcBorders>
              <w:bottom w:val="single" w:sz="8" w:color="E3E3E3"/>
            </w:tcBorders>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Accumulated impairment losses</w:t>
            </w:r>
          </w:p>
        </w:tc>
        <w:tc>
          <w:tcPr>
            <w:tcW w:w="100" w:type="dxa"/>
            <w:vAlign w:val="bottom"/>
            <w:tcBorders>
              <w:bottom w:val="single" w:sz="8" w:color="E3E3E3"/>
            </w:tcBorders>
            <w:shd w:val="clear" w:color="auto" w:fill="FDFDFD"/>
          </w:tcPr>
          <w:p>
            <w:pPr>
              <w:spacing w:after="0"/>
              <w:rPr>
                <w:sz w:val="19"/>
                <w:szCs w:val="19"/>
                <w:color w:val="auto"/>
              </w:rPr>
            </w:pPr>
          </w:p>
        </w:tc>
        <w:tc>
          <w:tcPr>
            <w:tcW w:w="140" w:type="dxa"/>
            <w:vAlign w:val="bottom"/>
            <w:tcBorders>
              <w:bottom w:val="single" w:sz="8" w:color="auto"/>
            </w:tcBorders>
            <w:shd w:val="clear" w:color="auto" w:fill="FDFDFD"/>
          </w:tcPr>
          <w:p>
            <w:pPr>
              <w:spacing w:after="0"/>
              <w:rPr>
                <w:sz w:val="19"/>
                <w:szCs w:val="19"/>
                <w:color w:val="auto"/>
              </w:rPr>
            </w:pPr>
          </w:p>
        </w:tc>
        <w:tc>
          <w:tcPr>
            <w:tcW w:w="152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(287,400)</w:t>
            </w:r>
          </w:p>
        </w:tc>
        <w:tc>
          <w:tcPr>
            <w:tcW w:w="26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auto"/>
            </w:tcBorders>
            <w:shd w:val="clear" w:color="auto" w:fill="FDFDFD"/>
          </w:tcPr>
          <w:p>
            <w:pPr>
              <w:spacing w:after="0"/>
              <w:rPr>
                <w:sz w:val="19"/>
                <w:szCs w:val="19"/>
                <w:color w:val="auto"/>
              </w:rPr>
            </w:pPr>
          </w:p>
        </w:tc>
        <w:tc>
          <w:tcPr>
            <w:tcW w:w="144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656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Goodwill, net - beginning of period</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5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1,075,080</w:t>
            </w:r>
          </w:p>
        </w:tc>
        <w:tc>
          <w:tcPr>
            <w:tcW w:w="26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4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1,324,733</w:t>
            </w:r>
          </w:p>
        </w:tc>
        <w:tc>
          <w:tcPr>
            <w:tcW w:w="100" w:type="dxa"/>
            <w:vAlign w:val="bottom"/>
            <w:shd w:val="clear" w:color="auto" w:fill="E3E3E3"/>
          </w:tcPr>
          <w:p>
            <w:pPr>
              <w:spacing w:after="0"/>
              <w:rPr>
                <w:sz w:val="19"/>
                <w:szCs w:val="19"/>
                <w:color w:val="auto"/>
              </w:rPr>
            </w:pPr>
          </w:p>
        </w:tc>
      </w:tr>
      <w:tr>
        <w:trPr>
          <w:trHeight w:val="230"/>
        </w:trPr>
        <w:tc>
          <w:tcPr>
            <w:tcW w:w="65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Goodwill acquired during period</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5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7,057</w:t>
            </w:r>
          </w:p>
        </w:tc>
        <w:tc>
          <w:tcPr>
            <w:tcW w:w="26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4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37,747</w:t>
            </w:r>
          </w:p>
        </w:tc>
        <w:tc>
          <w:tcPr>
            <w:tcW w:w="100" w:type="dxa"/>
            <w:vAlign w:val="bottom"/>
            <w:shd w:val="clear" w:color="auto" w:fill="FDFDFD"/>
          </w:tcPr>
          <w:p>
            <w:pPr>
              <w:spacing w:after="0"/>
              <w:rPr>
                <w:sz w:val="19"/>
                <w:szCs w:val="19"/>
                <w:color w:val="auto"/>
              </w:rPr>
            </w:pPr>
          </w:p>
        </w:tc>
      </w:tr>
      <w:tr>
        <w:trPr>
          <w:trHeight w:val="230"/>
        </w:trPr>
        <w:tc>
          <w:tcPr>
            <w:tcW w:w="65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Goodwill impairment loss</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78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(688,854)</w:t>
            </w:r>
          </w:p>
        </w:tc>
        <w:tc>
          <w:tcPr>
            <w:tcW w:w="120" w:type="dxa"/>
            <w:vAlign w:val="bottom"/>
            <w:shd w:val="clear" w:color="auto" w:fill="E3E3E3"/>
          </w:tcPr>
          <w:p>
            <w:pPr>
              <w:spacing w:after="0"/>
              <w:rPr>
                <w:sz w:val="19"/>
                <w:szCs w:val="19"/>
                <w:color w:val="auto"/>
              </w:rPr>
            </w:pPr>
          </w:p>
        </w:tc>
        <w:tc>
          <w:tcPr>
            <w:tcW w:w="154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(287,400)</w:t>
            </w:r>
          </w:p>
        </w:tc>
      </w:tr>
      <w:tr>
        <w:trPr>
          <w:trHeight w:val="240"/>
        </w:trPr>
        <w:tc>
          <w:tcPr>
            <w:tcW w:w="6560" w:type="dxa"/>
            <w:vAlign w:val="bottom"/>
            <w:tcBorders>
              <w:top w:val="single" w:sz="8" w:color="FDFDFD"/>
              <w:bottom w:val="single" w:sz="8" w:color="FDFDFD"/>
            </w:tcBorders>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Goodwill, net - end of period</w:t>
            </w:r>
          </w:p>
        </w:tc>
        <w:tc>
          <w:tcPr>
            <w:tcW w:w="100" w:type="dxa"/>
            <w:vAlign w:val="bottom"/>
            <w:tcBorders>
              <w:top w:val="single" w:sz="8" w:color="FDFDFD"/>
              <w:bottom w:val="single" w:sz="8" w:color="FDFDFD"/>
            </w:tcBorders>
            <w:shd w:val="clear" w:color="auto" w:fill="FDFDFD"/>
          </w:tcPr>
          <w:p>
            <w:pPr>
              <w:spacing w:after="0"/>
              <w:rPr>
                <w:sz w:val="20"/>
                <w:szCs w:val="20"/>
                <w:color w:val="auto"/>
              </w:rPr>
            </w:pPr>
          </w:p>
        </w:tc>
        <w:tc>
          <w:tcPr>
            <w:tcW w:w="14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393,283</w:t>
            </w:r>
          </w:p>
        </w:tc>
        <w:tc>
          <w:tcPr>
            <w:tcW w:w="260" w:type="dxa"/>
            <w:vAlign w:val="bottom"/>
            <w:tcBorders>
              <w:top w:val="single" w:sz="8" w:color="FDFDFD"/>
              <w:bottom w:val="single" w:sz="8" w:color="FDFDFD"/>
            </w:tcBorders>
            <w:shd w:val="clear" w:color="auto" w:fill="FDFDFD"/>
          </w:tcPr>
          <w:p>
            <w:pPr>
              <w:spacing w:after="0"/>
              <w:rPr>
                <w:sz w:val="20"/>
                <w:szCs w:val="20"/>
                <w:color w:val="auto"/>
              </w:rPr>
            </w:pPr>
          </w:p>
        </w:tc>
        <w:tc>
          <w:tcPr>
            <w:tcW w:w="12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1,075,080</w:t>
            </w:r>
          </w:p>
        </w:tc>
        <w:tc>
          <w:tcPr>
            <w:tcW w:w="100" w:type="dxa"/>
            <w:vAlign w:val="bottom"/>
            <w:tcBorders>
              <w:top w:val="single" w:sz="8" w:color="FDFDFD"/>
              <w:bottom w:val="single" w:sz="8" w:color="FDFDFD"/>
            </w:tcBorders>
            <w:shd w:val="clear" w:color="auto" w:fill="FDFDFD"/>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5"/>
        </w:trPr>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spacing w:after="0"/>
              <w:rPr>
                <w:sz w:val="24"/>
                <w:szCs w:val="24"/>
                <w:color w:val="auto"/>
              </w:rPr>
            </w:pPr>
          </w:p>
        </w:tc>
      </w:tr>
      <w:tr>
        <w:trPr>
          <w:trHeight w:val="164"/>
        </w:trPr>
        <w:tc>
          <w:tcPr>
            <w:tcW w:w="656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40" w:type="dxa"/>
            <w:vAlign w:val="bottom"/>
            <w:shd w:val="clear" w:color="auto" w:fill="FDFDFD"/>
          </w:tcPr>
          <w:p>
            <w:pPr>
              <w:spacing w:after="0"/>
              <w:rPr>
                <w:sz w:val="14"/>
                <w:szCs w:val="14"/>
                <w:color w:val="auto"/>
              </w:rPr>
            </w:pPr>
          </w:p>
        </w:tc>
        <w:tc>
          <w:tcPr>
            <w:tcW w:w="1520" w:type="dxa"/>
            <w:vAlign w:val="bottom"/>
            <w:shd w:val="clear" w:color="auto" w:fill="FDFDFD"/>
          </w:tcPr>
          <w:p>
            <w:pPr>
              <w:jc w:val="center"/>
              <w:ind w:right="46"/>
              <w:spacing w:after="0" w:line="165"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260" w:type="dxa"/>
            <w:vAlign w:val="bottom"/>
            <w:shd w:val="clear" w:color="auto" w:fill="FDFDFD"/>
          </w:tcPr>
          <w:p>
            <w:pPr>
              <w:spacing w:after="0"/>
              <w:rPr>
                <w:sz w:val="14"/>
                <w:szCs w:val="14"/>
                <w:color w:val="auto"/>
              </w:rPr>
            </w:pPr>
          </w:p>
        </w:tc>
        <w:tc>
          <w:tcPr>
            <w:tcW w:w="120" w:type="dxa"/>
            <w:vAlign w:val="bottom"/>
            <w:shd w:val="clear" w:color="auto" w:fill="FDFDFD"/>
          </w:tcPr>
          <w:p>
            <w:pPr>
              <w:spacing w:after="0"/>
              <w:rPr>
                <w:sz w:val="14"/>
                <w:szCs w:val="14"/>
                <w:color w:val="auto"/>
              </w:rPr>
            </w:pPr>
          </w:p>
        </w:tc>
        <w:tc>
          <w:tcPr>
            <w:tcW w:w="1540" w:type="dxa"/>
            <w:vAlign w:val="bottom"/>
            <w:gridSpan w:val="2"/>
            <w:shd w:val="clear" w:color="auto" w:fill="FDFDFD"/>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4"/>
        </w:trPr>
        <w:tc>
          <w:tcPr>
            <w:tcW w:w="656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520" w:type="dxa"/>
            <w:vAlign w:val="bottom"/>
            <w:shd w:val="clear" w:color="auto" w:fill="FDFDFD"/>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540" w:type="dxa"/>
            <w:vAlign w:val="bottom"/>
            <w:gridSpan w:val="2"/>
            <w:shd w:val="clear" w:color="auto" w:fill="FDFDFD"/>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20"/>
        </w:trPr>
        <w:tc>
          <w:tcPr>
            <w:tcW w:w="656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Goodwill, gross - end of period</w:t>
            </w:r>
          </w:p>
        </w:tc>
        <w:tc>
          <w:tcPr>
            <w:tcW w:w="100" w:type="dxa"/>
            <w:vAlign w:val="bottom"/>
            <w:tcBorders>
              <w:top w:val="single" w:sz="8" w:color="E3E3E3"/>
            </w:tcBorders>
            <w:shd w:val="clear" w:color="auto" w:fill="E3E3E3"/>
          </w:tcPr>
          <w:p>
            <w:pPr>
              <w:spacing w:after="0"/>
              <w:rPr>
                <w:sz w:val="19"/>
                <w:szCs w:val="19"/>
                <w:color w:val="auto"/>
              </w:rPr>
            </w:pPr>
          </w:p>
        </w:tc>
        <w:tc>
          <w:tcPr>
            <w:tcW w:w="14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1,369,537</w:t>
            </w:r>
          </w:p>
        </w:tc>
        <w:tc>
          <w:tcPr>
            <w:tcW w:w="260" w:type="dxa"/>
            <w:vAlign w:val="bottom"/>
            <w:tcBorders>
              <w:top w:val="single" w:sz="8" w:color="E3E3E3"/>
            </w:tcBorders>
            <w:shd w:val="clear" w:color="auto" w:fill="E3E3E3"/>
          </w:tcPr>
          <w:p>
            <w:pPr>
              <w:spacing w:after="0"/>
              <w:rPr>
                <w:sz w:val="19"/>
                <w:szCs w:val="19"/>
                <w:color w:val="auto"/>
              </w:rPr>
            </w:pPr>
          </w:p>
        </w:tc>
        <w:tc>
          <w:tcPr>
            <w:tcW w:w="12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1,362,480</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6560" w:type="dxa"/>
            <w:vAlign w:val="bottom"/>
            <w:tcBorders>
              <w:bottom w:val="single" w:sz="8" w:color="E3E3E3"/>
            </w:tcBorders>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Accumulated impairment losses</w:t>
            </w:r>
          </w:p>
        </w:tc>
        <w:tc>
          <w:tcPr>
            <w:tcW w:w="100" w:type="dxa"/>
            <w:vAlign w:val="bottom"/>
            <w:tcBorders>
              <w:bottom w:val="single" w:sz="8" w:color="E3E3E3"/>
            </w:tcBorders>
            <w:shd w:val="clear" w:color="auto" w:fill="FDFDFD"/>
          </w:tcPr>
          <w:p>
            <w:pPr>
              <w:spacing w:after="0"/>
              <w:rPr>
                <w:sz w:val="19"/>
                <w:szCs w:val="19"/>
                <w:color w:val="auto"/>
              </w:rPr>
            </w:pPr>
          </w:p>
        </w:tc>
        <w:tc>
          <w:tcPr>
            <w:tcW w:w="140" w:type="dxa"/>
            <w:vAlign w:val="bottom"/>
            <w:tcBorders>
              <w:bottom w:val="single" w:sz="8" w:color="auto"/>
            </w:tcBorders>
            <w:shd w:val="clear" w:color="auto" w:fill="FDFDFD"/>
          </w:tcPr>
          <w:p>
            <w:pPr>
              <w:spacing w:after="0"/>
              <w:rPr>
                <w:sz w:val="19"/>
                <w:szCs w:val="19"/>
                <w:color w:val="auto"/>
              </w:rPr>
            </w:pPr>
          </w:p>
        </w:tc>
        <w:tc>
          <w:tcPr>
            <w:tcW w:w="152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(976,254)</w:t>
            </w:r>
          </w:p>
        </w:tc>
        <w:tc>
          <w:tcPr>
            <w:tcW w:w="26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auto"/>
            </w:tcBorders>
            <w:shd w:val="clear" w:color="auto" w:fill="FDFDFD"/>
          </w:tcPr>
          <w:p>
            <w:pPr>
              <w:spacing w:after="0"/>
              <w:rPr>
                <w:sz w:val="19"/>
                <w:szCs w:val="19"/>
                <w:color w:val="auto"/>
              </w:rPr>
            </w:pPr>
          </w:p>
        </w:tc>
        <w:tc>
          <w:tcPr>
            <w:tcW w:w="144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(287,400)</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656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Goodwill, net - end of period</w:t>
            </w:r>
          </w:p>
        </w:tc>
        <w:tc>
          <w:tcPr>
            <w:tcW w:w="100" w:type="dxa"/>
            <w:vAlign w:val="bottom"/>
            <w:shd w:val="clear" w:color="auto" w:fill="E3E3E3"/>
          </w:tcPr>
          <w:p>
            <w:pPr>
              <w:spacing w:after="0"/>
              <w:rPr>
                <w:sz w:val="19"/>
                <w:szCs w:val="19"/>
                <w:color w:val="auto"/>
              </w:rPr>
            </w:pPr>
          </w:p>
        </w:tc>
        <w:tc>
          <w:tcPr>
            <w:tcW w:w="14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393,283</w:t>
            </w:r>
          </w:p>
        </w:tc>
        <w:tc>
          <w:tcPr>
            <w:tcW w:w="260" w:type="dxa"/>
            <w:vAlign w:val="bottom"/>
            <w:shd w:val="clear" w:color="auto" w:fill="E3E3E3"/>
          </w:tcPr>
          <w:p>
            <w:pPr>
              <w:spacing w:after="0"/>
              <w:rPr>
                <w:sz w:val="19"/>
                <w:szCs w:val="19"/>
                <w:color w:val="auto"/>
              </w:rPr>
            </w:pPr>
          </w:p>
        </w:tc>
        <w:tc>
          <w:tcPr>
            <w:tcW w:w="1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1,075,080</w:t>
            </w:r>
          </w:p>
        </w:tc>
        <w:tc>
          <w:tcPr>
            <w:tcW w:w="100" w:type="dxa"/>
            <w:vAlign w:val="bottom"/>
            <w:shd w:val="clear" w:color="auto" w:fill="E3E3E3"/>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The Company also considered its intangible assets with finite useful lives, which are amortized over their estimated useful lives, generally on a straight-line basis. These assets are reviewed for impairment when facts or circumstances indicate that the carrying values may not be recoverable. The Company experienced triggering events in the years ended December 31, 2024 and 2023 resulting from declines in the Company’s market capitalization driven by sustained decreases in the Company’s stock price. In each case, the Company’s intangible assets were reviewed for impairment. Based on quantitative and qualitative analyses performed, management concluded the assets were recoverable and no impairment charges were recorded as a result of these triggering events.</w:t>
      </w:r>
    </w:p>
    <w:p>
      <w:pPr>
        <w:sectPr>
          <w:pgSz w:w="11880" w:h="15480" w:orient="portrait"/>
          <w:cols w:equalWidth="0" w:num="1">
            <w:col w:w="10240"/>
          </w:cols>
          <w:pgMar w:left="820" w:top="806" w:right="8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1880" w:h="15480" w:orient="portrait"/>
          <w:cols w:equalWidth="0" w:num="1">
            <w:col w:w="10240"/>
          </w:cols>
          <w:pgMar w:left="820" w:top="806" w:right="820" w:bottom="8" w:gutter="0" w:footer="0" w:header="0"/>
          <w:type w:val="continuous"/>
        </w:sectPr>
      </w:pPr>
    </w:p>
    <w:bookmarkStart w:id="124" w:name="page125"/>
    <w:bookmarkEnd w:id="124"/>
    <w:p>
      <w:pPr>
        <w:ind w:left="500" w:hanging="492"/>
        <w:spacing w:after="0"/>
        <w:tabs>
          <w:tab w:leader="none" w:pos="5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Long-Term Debt</w:t>
      </w:r>
    </w:p>
    <w:p>
      <w:pPr>
        <w:spacing w:after="0" w:line="123" w:lineRule="exact"/>
        <w:rPr>
          <w:rFonts w:ascii="Times New Roman" w:cs="Times New Roman" w:eastAsia="Times New Roman" w:hAnsi="Times New Roman"/>
          <w:sz w:val="20"/>
          <w:szCs w:val="20"/>
          <w:b w:val="1"/>
          <w:bCs w:val="1"/>
          <w:color w:val="auto"/>
        </w:rPr>
      </w:pPr>
    </w:p>
    <w:p>
      <w:pPr>
        <w:ind w:left="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Long-term debt consisted of the following as of:</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4100" w:type="dxa"/>
            <w:vAlign w:val="bottom"/>
            <w:tcBorders>
              <w:bottom w:val="single" w:sz="8" w:color="FDFDFD"/>
            </w:tcBorders>
            <w:shd w:val="clear" w:color="auto" w:fill="FDFDFD"/>
          </w:tcPr>
          <w:p>
            <w:pPr>
              <w:spacing w:after="0"/>
              <w:rPr>
                <w:sz w:val="17"/>
                <w:szCs w:val="17"/>
                <w:color w:val="auto"/>
              </w:rPr>
            </w:pPr>
          </w:p>
        </w:tc>
        <w:tc>
          <w:tcPr>
            <w:tcW w:w="120" w:type="dxa"/>
            <w:vAlign w:val="bottom"/>
            <w:tcBorders>
              <w:bottom w:val="single" w:sz="8" w:color="FDFDFD"/>
            </w:tcBorders>
            <w:shd w:val="clear" w:color="auto" w:fill="FDFDFD"/>
          </w:tcPr>
          <w:p>
            <w:pPr>
              <w:spacing w:after="0"/>
              <w:rPr>
                <w:sz w:val="17"/>
                <w:szCs w:val="17"/>
                <w:color w:val="auto"/>
              </w:rPr>
            </w:pPr>
          </w:p>
        </w:tc>
        <w:tc>
          <w:tcPr>
            <w:tcW w:w="220" w:type="dxa"/>
            <w:vAlign w:val="bottom"/>
            <w:tcBorders>
              <w:bottom w:val="single" w:sz="8" w:color="auto"/>
            </w:tcBorders>
            <w:shd w:val="clear" w:color="auto" w:fill="FDFDFD"/>
          </w:tcPr>
          <w:p>
            <w:pPr>
              <w:spacing w:after="0"/>
              <w:rPr>
                <w:sz w:val="17"/>
                <w:szCs w:val="17"/>
                <w:color w:val="auto"/>
              </w:rPr>
            </w:pPr>
          </w:p>
        </w:tc>
        <w:tc>
          <w:tcPr>
            <w:tcW w:w="108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120" w:type="dxa"/>
            <w:vAlign w:val="bottom"/>
            <w:tcBorders>
              <w:bottom w:val="single" w:sz="8" w:color="auto"/>
            </w:tcBorders>
            <w:shd w:val="clear" w:color="auto" w:fill="FDFDFD"/>
          </w:tcPr>
          <w:p>
            <w:pPr>
              <w:spacing w:after="0"/>
              <w:rPr>
                <w:sz w:val="17"/>
                <w:szCs w:val="17"/>
                <w:color w:val="auto"/>
              </w:rPr>
            </w:pPr>
          </w:p>
        </w:tc>
        <w:tc>
          <w:tcPr>
            <w:tcW w:w="160" w:type="dxa"/>
            <w:vAlign w:val="bottom"/>
            <w:tcBorders>
              <w:bottom w:val="single" w:sz="8" w:color="auto"/>
            </w:tcBorders>
            <w:shd w:val="clear" w:color="auto" w:fill="FDFDFD"/>
          </w:tcPr>
          <w:p>
            <w:pPr>
              <w:spacing w:after="0"/>
              <w:rPr>
                <w:sz w:val="17"/>
                <w:szCs w:val="17"/>
                <w:color w:val="auto"/>
              </w:rPr>
            </w:pPr>
          </w:p>
        </w:tc>
        <w:tc>
          <w:tcPr>
            <w:tcW w:w="1680" w:type="dxa"/>
            <w:vAlign w:val="bottom"/>
            <w:tcBorders>
              <w:bottom w:val="single" w:sz="8" w:color="auto"/>
            </w:tcBorders>
            <w:gridSpan w:val="2"/>
            <w:shd w:val="clear" w:color="auto" w:fill="FDFDFD"/>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shd w:val="clear" w:color="auto" w:fill="FDFDFD"/>
          </w:tcPr>
          <w:p>
            <w:pPr>
              <w:spacing w:after="0"/>
              <w:rPr>
                <w:sz w:val="17"/>
                <w:szCs w:val="17"/>
                <w:color w:val="auto"/>
              </w:rPr>
            </w:pPr>
          </w:p>
        </w:tc>
        <w:tc>
          <w:tcPr>
            <w:tcW w:w="200" w:type="dxa"/>
            <w:vAlign w:val="bottom"/>
            <w:tcBorders>
              <w:bottom w:val="single" w:sz="8" w:color="auto"/>
            </w:tcBorders>
            <w:shd w:val="clear" w:color="auto" w:fill="FDFDFD"/>
          </w:tcPr>
          <w:p>
            <w:pPr>
              <w:spacing w:after="0"/>
              <w:rPr>
                <w:sz w:val="17"/>
                <w:szCs w:val="17"/>
                <w:color w:val="auto"/>
              </w:rPr>
            </w:pPr>
          </w:p>
        </w:tc>
        <w:tc>
          <w:tcPr>
            <w:tcW w:w="108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54"/>
        </w:trPr>
        <w:tc>
          <w:tcPr>
            <w:tcW w:w="410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220" w:type="dxa"/>
            <w:vAlign w:val="bottom"/>
            <w:shd w:val="clear" w:color="auto" w:fill="FDFDFD"/>
          </w:tcPr>
          <w:p>
            <w:pPr>
              <w:spacing w:after="0"/>
              <w:rPr>
                <w:sz w:val="13"/>
                <w:szCs w:val="13"/>
                <w:color w:val="auto"/>
              </w:rPr>
            </w:pPr>
          </w:p>
        </w:tc>
        <w:tc>
          <w:tcPr>
            <w:tcW w:w="10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1560" w:type="dxa"/>
            <w:vAlign w:val="bottom"/>
            <w:shd w:val="clear" w:color="auto" w:fill="FDFDFD"/>
          </w:tcPr>
          <w:p>
            <w:pPr>
              <w:jc w:val="center"/>
              <w:ind w:right="76"/>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Unamortized debt</w:t>
            </w:r>
          </w:p>
        </w:tc>
        <w:tc>
          <w:tcPr>
            <w:tcW w:w="1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10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r>
      <w:tr>
        <w:trPr>
          <w:trHeight w:val="184"/>
        </w:trPr>
        <w:tc>
          <w:tcPr>
            <w:tcW w:w="4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c>
          <w:tcPr>
            <w:tcW w:w="10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1560" w:type="dxa"/>
            <w:vAlign w:val="bottom"/>
            <w:shd w:val="clear" w:color="auto" w:fill="FDFDFD"/>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issuance costs /</w:t>
            </w:r>
          </w:p>
        </w:tc>
        <w:tc>
          <w:tcPr>
            <w:tcW w:w="1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080" w:type="dxa"/>
            <w:vAlign w:val="bottom"/>
            <w:shd w:val="clear" w:color="auto" w:fill="FDFDFD"/>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Total debt,</w:t>
            </w:r>
          </w:p>
        </w:tc>
        <w:tc>
          <w:tcPr>
            <w:tcW w:w="100" w:type="dxa"/>
            <w:vAlign w:val="bottom"/>
            <w:shd w:val="clear" w:color="auto" w:fill="FDFDFD"/>
          </w:tcPr>
          <w:p>
            <w:pPr>
              <w:spacing w:after="0"/>
              <w:rPr>
                <w:sz w:val="15"/>
                <w:szCs w:val="15"/>
                <w:color w:val="auto"/>
              </w:rPr>
            </w:pPr>
          </w:p>
        </w:tc>
      </w:tr>
      <w:tr>
        <w:trPr>
          <w:trHeight w:val="204"/>
        </w:trPr>
        <w:tc>
          <w:tcPr>
            <w:tcW w:w="410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Borders>
              <w:bottom w:val="single" w:sz="8" w:color="E3E3E3"/>
            </w:tcBorders>
            <w:shd w:val="clear" w:color="auto" w:fill="FDFDFD"/>
          </w:tcPr>
          <w:p>
            <w:pPr>
              <w:spacing w:after="0"/>
              <w:rPr>
                <w:sz w:val="17"/>
                <w:szCs w:val="17"/>
                <w:color w:val="auto"/>
              </w:rPr>
            </w:pPr>
          </w:p>
        </w:tc>
        <w:tc>
          <w:tcPr>
            <w:tcW w:w="220" w:type="dxa"/>
            <w:vAlign w:val="bottom"/>
            <w:tcBorders>
              <w:bottom w:val="single" w:sz="8" w:color="auto"/>
            </w:tcBorders>
            <w:shd w:val="clear" w:color="auto" w:fill="FDFDFD"/>
          </w:tcPr>
          <w:p>
            <w:pPr>
              <w:spacing w:after="0"/>
              <w:rPr>
                <w:sz w:val="17"/>
                <w:szCs w:val="17"/>
                <w:color w:val="auto"/>
              </w:rPr>
            </w:pPr>
          </w:p>
        </w:tc>
        <w:tc>
          <w:tcPr>
            <w:tcW w:w="1080" w:type="dxa"/>
            <w:vAlign w:val="bottom"/>
            <w:tcBorders>
              <w:bottom w:val="single" w:sz="8" w:color="auto"/>
            </w:tcBorders>
            <w:shd w:val="clear" w:color="auto" w:fill="FDFDFD"/>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Borders>
              <w:bottom w:val="single" w:sz="8" w:color="E3E3E3"/>
            </w:tcBorders>
            <w:shd w:val="clear" w:color="auto" w:fill="FDFDFD"/>
          </w:tcPr>
          <w:p>
            <w:pPr>
              <w:spacing w:after="0"/>
              <w:rPr>
                <w:sz w:val="17"/>
                <w:szCs w:val="17"/>
                <w:color w:val="auto"/>
              </w:rPr>
            </w:pPr>
          </w:p>
        </w:tc>
        <w:tc>
          <w:tcPr>
            <w:tcW w:w="120" w:type="dxa"/>
            <w:vAlign w:val="bottom"/>
            <w:tcBorders>
              <w:bottom w:val="single" w:sz="8" w:color="E3E3E3"/>
            </w:tcBorders>
            <w:shd w:val="clear" w:color="auto" w:fill="FDFDFD"/>
          </w:tcPr>
          <w:p>
            <w:pPr>
              <w:spacing w:after="0"/>
              <w:rPr>
                <w:sz w:val="17"/>
                <w:szCs w:val="17"/>
                <w:color w:val="auto"/>
              </w:rPr>
            </w:pPr>
          </w:p>
        </w:tc>
        <w:tc>
          <w:tcPr>
            <w:tcW w:w="160" w:type="dxa"/>
            <w:vAlign w:val="bottom"/>
            <w:tcBorders>
              <w:bottom w:val="single" w:sz="8" w:color="auto"/>
            </w:tcBorders>
            <w:shd w:val="clear" w:color="auto" w:fill="FDFDFD"/>
          </w:tcPr>
          <w:p>
            <w:pPr>
              <w:spacing w:after="0"/>
              <w:rPr>
                <w:sz w:val="17"/>
                <w:szCs w:val="17"/>
                <w:color w:val="auto"/>
              </w:rPr>
            </w:pPr>
          </w:p>
        </w:tc>
        <w:tc>
          <w:tcPr>
            <w:tcW w:w="1560" w:type="dxa"/>
            <w:vAlign w:val="bottom"/>
            <w:tcBorders>
              <w:bottom w:val="single" w:sz="8" w:color="auto"/>
            </w:tcBorders>
            <w:shd w:val="clear" w:color="auto" w:fill="FDFDFD"/>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financing costs</w:t>
            </w:r>
          </w:p>
        </w:tc>
        <w:tc>
          <w:tcPr>
            <w:tcW w:w="120" w:type="dxa"/>
            <w:vAlign w:val="bottom"/>
            <w:tcBorders>
              <w:bottom w:val="single" w:sz="8" w:color="E3E3E3"/>
            </w:tcBorders>
            <w:shd w:val="clear" w:color="auto" w:fill="FDFDFD"/>
          </w:tcPr>
          <w:p>
            <w:pPr>
              <w:spacing w:after="0"/>
              <w:rPr>
                <w:sz w:val="17"/>
                <w:szCs w:val="17"/>
                <w:color w:val="auto"/>
              </w:rPr>
            </w:pPr>
          </w:p>
        </w:tc>
        <w:tc>
          <w:tcPr>
            <w:tcW w:w="120" w:type="dxa"/>
            <w:vAlign w:val="bottom"/>
            <w:tcBorders>
              <w:bottom w:val="single" w:sz="8" w:color="E3E3E3"/>
            </w:tcBorders>
            <w:shd w:val="clear" w:color="auto" w:fill="FDFDFD"/>
          </w:tcPr>
          <w:p>
            <w:pPr>
              <w:spacing w:after="0"/>
              <w:rPr>
                <w:sz w:val="17"/>
                <w:szCs w:val="17"/>
                <w:color w:val="auto"/>
              </w:rPr>
            </w:pPr>
          </w:p>
        </w:tc>
        <w:tc>
          <w:tcPr>
            <w:tcW w:w="200" w:type="dxa"/>
            <w:vAlign w:val="bottom"/>
            <w:tcBorders>
              <w:bottom w:val="single" w:sz="8" w:color="auto"/>
            </w:tcBorders>
            <w:shd w:val="clear" w:color="auto" w:fill="FDFDFD"/>
          </w:tcPr>
          <w:p>
            <w:pPr>
              <w:spacing w:after="0"/>
              <w:rPr>
                <w:sz w:val="17"/>
                <w:szCs w:val="17"/>
                <w:color w:val="auto"/>
              </w:rPr>
            </w:pPr>
          </w:p>
        </w:tc>
        <w:tc>
          <w:tcPr>
            <w:tcW w:w="1080" w:type="dxa"/>
            <w:vAlign w:val="bottom"/>
            <w:tcBorders>
              <w:bottom w:val="single" w:sz="8" w:color="auto"/>
            </w:tcBorders>
            <w:shd w:val="clear" w:color="auto" w:fill="FDFDFD"/>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410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2021 Term Loan</w:t>
            </w: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244,063</w:t>
            </w: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(945)</w:t>
            </w:r>
          </w:p>
        </w:tc>
        <w:tc>
          <w:tcPr>
            <w:tcW w:w="1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243,118</w:t>
            </w:r>
          </w:p>
        </w:tc>
        <w:tc>
          <w:tcPr>
            <w:tcW w:w="100" w:type="dxa"/>
            <w:vAlign w:val="bottom"/>
            <w:shd w:val="clear" w:color="auto" w:fill="E3E3E3"/>
          </w:tcPr>
          <w:p>
            <w:pPr>
              <w:spacing w:after="0"/>
              <w:rPr>
                <w:sz w:val="19"/>
                <w:szCs w:val="19"/>
                <w:color w:val="auto"/>
              </w:rPr>
            </w:pPr>
          </w:p>
        </w:tc>
      </w:tr>
      <w:tr>
        <w:trPr>
          <w:trHeight w:val="230"/>
        </w:trPr>
        <w:tc>
          <w:tcPr>
            <w:tcW w:w="410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Less: current portion of long-term debt</w:t>
            </w:r>
          </w:p>
        </w:tc>
        <w:tc>
          <w:tcPr>
            <w:tcW w:w="120" w:type="dxa"/>
            <w:vAlign w:val="bottom"/>
            <w:tcBorders>
              <w:bottom w:val="single" w:sz="8" w:color="E3E3E3"/>
            </w:tcBorders>
            <w:shd w:val="clear" w:color="auto" w:fill="FDFDFD"/>
          </w:tcPr>
          <w:p>
            <w:pPr>
              <w:spacing w:after="0"/>
              <w:rPr>
                <w:sz w:val="19"/>
                <w:szCs w:val="19"/>
                <w:color w:val="auto"/>
              </w:rPr>
            </w:pPr>
          </w:p>
        </w:tc>
        <w:tc>
          <w:tcPr>
            <w:tcW w:w="220" w:type="dxa"/>
            <w:vAlign w:val="bottom"/>
            <w:tcBorders>
              <w:bottom w:val="single" w:sz="8" w:color="E3E3E3"/>
            </w:tcBorders>
            <w:shd w:val="clear" w:color="auto" w:fill="FDFDFD"/>
          </w:tcPr>
          <w:p>
            <w:pPr>
              <w:spacing w:after="0"/>
              <w:rPr>
                <w:sz w:val="19"/>
                <w:szCs w:val="19"/>
                <w:color w:val="auto"/>
              </w:rPr>
            </w:pPr>
          </w:p>
        </w:tc>
        <w:tc>
          <w:tcPr>
            <w:tcW w:w="1080" w:type="dxa"/>
            <w:vAlign w:val="bottom"/>
            <w:tcBorders>
              <w:bottom w:val="single" w:sz="8" w:color="E3E3E3"/>
            </w:tcBorders>
            <w:shd w:val="clear" w:color="auto" w:fill="FDFDFD"/>
          </w:tcPr>
          <w:p>
            <w:pPr>
              <w:spacing w:after="0"/>
              <w:rPr>
                <w:sz w:val="19"/>
                <w:szCs w:val="19"/>
                <w:color w:val="auto"/>
              </w:rPr>
            </w:pPr>
          </w:p>
        </w:tc>
        <w:tc>
          <w:tcPr>
            <w:tcW w:w="10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160" w:type="dxa"/>
            <w:vAlign w:val="bottom"/>
            <w:tcBorders>
              <w:bottom w:val="single" w:sz="8" w:color="E3E3E3"/>
            </w:tcBorders>
            <w:shd w:val="clear" w:color="auto" w:fill="FDFDFD"/>
          </w:tcPr>
          <w:p>
            <w:pPr>
              <w:spacing w:after="0"/>
              <w:rPr>
                <w:sz w:val="19"/>
                <w:szCs w:val="19"/>
                <w:color w:val="auto"/>
              </w:rPr>
            </w:pPr>
          </w:p>
        </w:tc>
        <w:tc>
          <w:tcPr>
            <w:tcW w:w="156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200" w:type="dxa"/>
            <w:vAlign w:val="bottom"/>
            <w:tcBorders>
              <w:bottom w:val="single" w:sz="8" w:color="auto"/>
            </w:tcBorders>
            <w:shd w:val="clear" w:color="auto" w:fill="FDFDFD"/>
          </w:tcPr>
          <w:p>
            <w:pPr>
              <w:spacing w:after="0"/>
              <w:rPr>
                <w:sz w:val="19"/>
                <w:szCs w:val="19"/>
                <w:color w:val="auto"/>
              </w:rPr>
            </w:pPr>
          </w:p>
        </w:tc>
        <w:tc>
          <w:tcPr>
            <w:tcW w:w="108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13,750</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410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Long-term debt</w:t>
            </w: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0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56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229,368</w:t>
            </w:r>
          </w:p>
        </w:tc>
        <w:tc>
          <w:tcPr>
            <w:tcW w:w="100" w:type="dxa"/>
            <w:vAlign w:val="bottom"/>
            <w:shd w:val="clear" w:color="auto" w:fill="E3E3E3"/>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4100" w:type="dxa"/>
            <w:vAlign w:val="bottom"/>
            <w:tcBorders>
              <w:bottom w:val="single" w:sz="8" w:color="FDFDFD"/>
            </w:tcBorders>
            <w:shd w:val="clear" w:color="auto" w:fill="FDFDFD"/>
          </w:tcPr>
          <w:p>
            <w:pPr>
              <w:spacing w:after="0"/>
              <w:rPr>
                <w:sz w:val="15"/>
                <w:szCs w:val="15"/>
                <w:color w:val="auto"/>
              </w:rPr>
            </w:pPr>
          </w:p>
        </w:tc>
        <w:tc>
          <w:tcPr>
            <w:tcW w:w="120" w:type="dxa"/>
            <w:vAlign w:val="bottom"/>
            <w:tcBorders>
              <w:bottom w:val="single" w:sz="8" w:color="FDFDFD"/>
            </w:tcBorders>
            <w:shd w:val="clear" w:color="auto" w:fill="FDFDFD"/>
          </w:tcPr>
          <w:p>
            <w:pPr>
              <w:spacing w:after="0"/>
              <w:rPr>
                <w:sz w:val="15"/>
                <w:szCs w:val="15"/>
                <w:color w:val="auto"/>
              </w:rPr>
            </w:pPr>
          </w:p>
        </w:tc>
        <w:tc>
          <w:tcPr>
            <w:tcW w:w="220" w:type="dxa"/>
            <w:vAlign w:val="bottom"/>
            <w:tcBorders>
              <w:bottom w:val="single" w:sz="8" w:color="auto"/>
            </w:tcBorders>
            <w:shd w:val="clear" w:color="auto" w:fill="FDFDFD"/>
          </w:tcPr>
          <w:p>
            <w:pPr>
              <w:spacing w:after="0"/>
              <w:rPr>
                <w:sz w:val="15"/>
                <w:szCs w:val="15"/>
                <w:color w:val="auto"/>
              </w:rPr>
            </w:pPr>
          </w:p>
        </w:tc>
        <w:tc>
          <w:tcPr>
            <w:tcW w:w="1080" w:type="dxa"/>
            <w:vAlign w:val="bottom"/>
            <w:tcBorders>
              <w:bottom w:val="single" w:sz="8" w:color="auto"/>
            </w:tcBorders>
            <w:shd w:val="clear" w:color="auto" w:fill="FDFDFD"/>
          </w:tcPr>
          <w:p>
            <w:pPr>
              <w:spacing w:after="0"/>
              <w:rPr>
                <w:sz w:val="15"/>
                <w:szCs w:val="15"/>
                <w:color w:val="auto"/>
              </w:rPr>
            </w:pPr>
          </w:p>
        </w:tc>
        <w:tc>
          <w:tcPr>
            <w:tcW w:w="100" w:type="dxa"/>
            <w:vAlign w:val="bottom"/>
            <w:tcBorders>
              <w:bottom w:val="single" w:sz="8" w:color="auto"/>
            </w:tcBorders>
            <w:shd w:val="clear" w:color="auto" w:fill="FDFDFD"/>
          </w:tcPr>
          <w:p>
            <w:pPr>
              <w:spacing w:after="0"/>
              <w:rPr>
                <w:sz w:val="15"/>
                <w:szCs w:val="15"/>
                <w:color w:val="auto"/>
              </w:rPr>
            </w:pPr>
          </w:p>
        </w:tc>
        <w:tc>
          <w:tcPr>
            <w:tcW w:w="120" w:type="dxa"/>
            <w:vAlign w:val="bottom"/>
            <w:tcBorders>
              <w:bottom w:val="single" w:sz="8" w:color="auto"/>
            </w:tcBorders>
            <w:shd w:val="clear" w:color="auto" w:fill="FDFDFD"/>
          </w:tcPr>
          <w:p>
            <w:pPr>
              <w:spacing w:after="0"/>
              <w:rPr>
                <w:sz w:val="15"/>
                <w:szCs w:val="15"/>
                <w:color w:val="auto"/>
              </w:rPr>
            </w:pPr>
          </w:p>
        </w:tc>
        <w:tc>
          <w:tcPr>
            <w:tcW w:w="160" w:type="dxa"/>
            <w:vAlign w:val="bottom"/>
            <w:tcBorders>
              <w:bottom w:val="single" w:sz="8" w:color="auto"/>
            </w:tcBorders>
            <w:shd w:val="clear" w:color="auto" w:fill="FDFDFD"/>
          </w:tcPr>
          <w:p>
            <w:pPr>
              <w:spacing w:after="0"/>
              <w:rPr>
                <w:sz w:val="15"/>
                <w:szCs w:val="15"/>
                <w:color w:val="auto"/>
              </w:rPr>
            </w:pPr>
          </w:p>
        </w:tc>
        <w:tc>
          <w:tcPr>
            <w:tcW w:w="1680" w:type="dxa"/>
            <w:vAlign w:val="bottom"/>
            <w:tcBorders>
              <w:bottom w:val="single" w:sz="8" w:color="auto"/>
            </w:tcBorders>
            <w:gridSpan w:val="2"/>
            <w:shd w:val="clear" w:color="auto" w:fill="FDFDFD"/>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shd w:val="clear" w:color="auto" w:fill="FDFDFD"/>
          </w:tcPr>
          <w:p>
            <w:pPr>
              <w:spacing w:after="0"/>
              <w:rPr>
                <w:sz w:val="15"/>
                <w:szCs w:val="15"/>
                <w:color w:val="auto"/>
              </w:rPr>
            </w:pPr>
          </w:p>
        </w:tc>
        <w:tc>
          <w:tcPr>
            <w:tcW w:w="200" w:type="dxa"/>
            <w:vAlign w:val="bottom"/>
            <w:tcBorders>
              <w:bottom w:val="single" w:sz="8" w:color="auto"/>
            </w:tcBorders>
            <w:shd w:val="clear" w:color="auto" w:fill="FDFDFD"/>
          </w:tcPr>
          <w:p>
            <w:pPr>
              <w:spacing w:after="0"/>
              <w:rPr>
                <w:sz w:val="15"/>
                <w:szCs w:val="15"/>
                <w:color w:val="auto"/>
              </w:rPr>
            </w:pPr>
          </w:p>
        </w:tc>
        <w:tc>
          <w:tcPr>
            <w:tcW w:w="1080" w:type="dxa"/>
            <w:vAlign w:val="bottom"/>
            <w:tcBorders>
              <w:bottom w:val="single" w:sz="8" w:color="auto"/>
            </w:tcBorders>
            <w:shd w:val="clear" w:color="auto" w:fill="FDFDFD"/>
          </w:tcPr>
          <w:p>
            <w:pPr>
              <w:spacing w:after="0"/>
              <w:rPr>
                <w:sz w:val="15"/>
                <w:szCs w:val="15"/>
                <w:color w:val="auto"/>
              </w:rPr>
            </w:pPr>
          </w:p>
        </w:tc>
        <w:tc>
          <w:tcPr>
            <w:tcW w:w="100" w:type="dxa"/>
            <w:vAlign w:val="bottom"/>
            <w:tcBorders>
              <w:bottom w:val="single" w:sz="8" w:color="FDFDFD"/>
            </w:tcBorders>
            <w:shd w:val="clear" w:color="auto" w:fill="FDFDFD"/>
          </w:tcPr>
          <w:p>
            <w:pPr>
              <w:spacing w:after="0"/>
              <w:rPr>
                <w:sz w:val="15"/>
                <w:szCs w:val="15"/>
                <w:color w:val="auto"/>
              </w:rPr>
            </w:pPr>
          </w:p>
        </w:tc>
      </w:tr>
      <w:tr>
        <w:trPr>
          <w:trHeight w:val="154"/>
        </w:trPr>
        <w:tc>
          <w:tcPr>
            <w:tcW w:w="410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220" w:type="dxa"/>
            <w:vAlign w:val="bottom"/>
            <w:shd w:val="clear" w:color="auto" w:fill="FDFDFD"/>
          </w:tcPr>
          <w:p>
            <w:pPr>
              <w:spacing w:after="0"/>
              <w:rPr>
                <w:sz w:val="13"/>
                <w:szCs w:val="13"/>
                <w:color w:val="auto"/>
              </w:rPr>
            </w:pPr>
          </w:p>
        </w:tc>
        <w:tc>
          <w:tcPr>
            <w:tcW w:w="10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1560" w:type="dxa"/>
            <w:vAlign w:val="bottom"/>
            <w:shd w:val="clear" w:color="auto" w:fill="FDFDFD"/>
          </w:tcPr>
          <w:p>
            <w:pPr>
              <w:jc w:val="center"/>
              <w:ind w:right="76"/>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Unamortized debt</w:t>
            </w:r>
          </w:p>
        </w:tc>
        <w:tc>
          <w:tcPr>
            <w:tcW w:w="1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200" w:type="dxa"/>
            <w:vAlign w:val="bottom"/>
            <w:shd w:val="clear" w:color="auto" w:fill="FDFDFD"/>
          </w:tcPr>
          <w:p>
            <w:pPr>
              <w:spacing w:after="0"/>
              <w:rPr>
                <w:sz w:val="13"/>
                <w:szCs w:val="13"/>
                <w:color w:val="auto"/>
              </w:rPr>
            </w:pPr>
          </w:p>
        </w:tc>
        <w:tc>
          <w:tcPr>
            <w:tcW w:w="10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r>
      <w:tr>
        <w:trPr>
          <w:trHeight w:val="184"/>
        </w:trPr>
        <w:tc>
          <w:tcPr>
            <w:tcW w:w="4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c>
          <w:tcPr>
            <w:tcW w:w="10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1560" w:type="dxa"/>
            <w:vAlign w:val="bottom"/>
            <w:shd w:val="clear" w:color="auto" w:fill="FDFDFD"/>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issuance costs /</w:t>
            </w:r>
          </w:p>
        </w:tc>
        <w:tc>
          <w:tcPr>
            <w:tcW w:w="1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080" w:type="dxa"/>
            <w:vAlign w:val="bottom"/>
            <w:shd w:val="clear" w:color="auto" w:fill="FDFDFD"/>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Total debt,</w:t>
            </w:r>
          </w:p>
        </w:tc>
        <w:tc>
          <w:tcPr>
            <w:tcW w:w="100" w:type="dxa"/>
            <w:vAlign w:val="bottom"/>
            <w:shd w:val="clear" w:color="auto" w:fill="FDFDFD"/>
          </w:tcPr>
          <w:p>
            <w:pPr>
              <w:spacing w:after="0"/>
              <w:rPr>
                <w:sz w:val="15"/>
                <w:szCs w:val="15"/>
                <w:color w:val="auto"/>
              </w:rPr>
            </w:pPr>
          </w:p>
        </w:tc>
      </w:tr>
      <w:tr>
        <w:trPr>
          <w:trHeight w:val="204"/>
        </w:trPr>
        <w:tc>
          <w:tcPr>
            <w:tcW w:w="410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Borders>
              <w:bottom w:val="single" w:sz="8" w:color="E3E3E3"/>
            </w:tcBorders>
            <w:shd w:val="clear" w:color="auto" w:fill="FDFDFD"/>
          </w:tcPr>
          <w:p>
            <w:pPr>
              <w:spacing w:after="0"/>
              <w:rPr>
                <w:sz w:val="17"/>
                <w:szCs w:val="17"/>
                <w:color w:val="auto"/>
              </w:rPr>
            </w:pPr>
          </w:p>
        </w:tc>
        <w:tc>
          <w:tcPr>
            <w:tcW w:w="220" w:type="dxa"/>
            <w:vAlign w:val="bottom"/>
            <w:tcBorders>
              <w:bottom w:val="single" w:sz="8" w:color="auto"/>
            </w:tcBorders>
            <w:shd w:val="clear" w:color="auto" w:fill="FDFDFD"/>
          </w:tcPr>
          <w:p>
            <w:pPr>
              <w:spacing w:after="0"/>
              <w:rPr>
                <w:sz w:val="17"/>
                <w:szCs w:val="17"/>
                <w:color w:val="auto"/>
              </w:rPr>
            </w:pPr>
          </w:p>
        </w:tc>
        <w:tc>
          <w:tcPr>
            <w:tcW w:w="1080" w:type="dxa"/>
            <w:vAlign w:val="bottom"/>
            <w:tcBorders>
              <w:bottom w:val="single" w:sz="8" w:color="auto"/>
            </w:tcBorders>
            <w:shd w:val="clear" w:color="auto" w:fill="FDFDFD"/>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Borders>
              <w:bottom w:val="single" w:sz="8" w:color="E3E3E3"/>
            </w:tcBorders>
            <w:shd w:val="clear" w:color="auto" w:fill="FDFDFD"/>
          </w:tcPr>
          <w:p>
            <w:pPr>
              <w:spacing w:after="0"/>
              <w:rPr>
                <w:sz w:val="17"/>
                <w:szCs w:val="17"/>
                <w:color w:val="auto"/>
              </w:rPr>
            </w:pPr>
          </w:p>
        </w:tc>
        <w:tc>
          <w:tcPr>
            <w:tcW w:w="120" w:type="dxa"/>
            <w:vAlign w:val="bottom"/>
            <w:tcBorders>
              <w:bottom w:val="single" w:sz="8" w:color="E3E3E3"/>
            </w:tcBorders>
            <w:shd w:val="clear" w:color="auto" w:fill="FDFDFD"/>
          </w:tcPr>
          <w:p>
            <w:pPr>
              <w:spacing w:after="0"/>
              <w:rPr>
                <w:sz w:val="17"/>
                <w:szCs w:val="17"/>
                <w:color w:val="auto"/>
              </w:rPr>
            </w:pPr>
          </w:p>
        </w:tc>
        <w:tc>
          <w:tcPr>
            <w:tcW w:w="160" w:type="dxa"/>
            <w:vAlign w:val="bottom"/>
            <w:tcBorders>
              <w:bottom w:val="single" w:sz="8" w:color="auto"/>
            </w:tcBorders>
            <w:shd w:val="clear" w:color="auto" w:fill="FDFDFD"/>
          </w:tcPr>
          <w:p>
            <w:pPr>
              <w:spacing w:after="0"/>
              <w:rPr>
                <w:sz w:val="17"/>
                <w:szCs w:val="17"/>
                <w:color w:val="auto"/>
              </w:rPr>
            </w:pPr>
          </w:p>
        </w:tc>
        <w:tc>
          <w:tcPr>
            <w:tcW w:w="1560" w:type="dxa"/>
            <w:vAlign w:val="bottom"/>
            <w:tcBorders>
              <w:bottom w:val="single" w:sz="8" w:color="auto"/>
            </w:tcBorders>
            <w:shd w:val="clear" w:color="auto" w:fill="FDFDFD"/>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financing costs</w:t>
            </w:r>
          </w:p>
        </w:tc>
        <w:tc>
          <w:tcPr>
            <w:tcW w:w="120" w:type="dxa"/>
            <w:vAlign w:val="bottom"/>
            <w:tcBorders>
              <w:bottom w:val="single" w:sz="8" w:color="E3E3E3"/>
            </w:tcBorders>
            <w:shd w:val="clear" w:color="auto" w:fill="FDFDFD"/>
          </w:tcPr>
          <w:p>
            <w:pPr>
              <w:spacing w:after="0"/>
              <w:rPr>
                <w:sz w:val="17"/>
                <w:szCs w:val="17"/>
                <w:color w:val="auto"/>
              </w:rPr>
            </w:pPr>
          </w:p>
        </w:tc>
        <w:tc>
          <w:tcPr>
            <w:tcW w:w="120" w:type="dxa"/>
            <w:vAlign w:val="bottom"/>
            <w:tcBorders>
              <w:bottom w:val="single" w:sz="8" w:color="E3E3E3"/>
            </w:tcBorders>
            <w:shd w:val="clear" w:color="auto" w:fill="FDFDFD"/>
          </w:tcPr>
          <w:p>
            <w:pPr>
              <w:spacing w:after="0"/>
              <w:rPr>
                <w:sz w:val="17"/>
                <w:szCs w:val="17"/>
                <w:color w:val="auto"/>
              </w:rPr>
            </w:pPr>
          </w:p>
        </w:tc>
        <w:tc>
          <w:tcPr>
            <w:tcW w:w="200" w:type="dxa"/>
            <w:vAlign w:val="bottom"/>
            <w:tcBorders>
              <w:bottom w:val="single" w:sz="8" w:color="auto"/>
            </w:tcBorders>
            <w:shd w:val="clear" w:color="auto" w:fill="FDFDFD"/>
          </w:tcPr>
          <w:p>
            <w:pPr>
              <w:spacing w:after="0"/>
              <w:rPr>
                <w:sz w:val="17"/>
                <w:szCs w:val="17"/>
                <w:color w:val="auto"/>
              </w:rPr>
            </w:pPr>
          </w:p>
        </w:tc>
        <w:tc>
          <w:tcPr>
            <w:tcW w:w="1080" w:type="dxa"/>
            <w:vAlign w:val="bottom"/>
            <w:tcBorders>
              <w:bottom w:val="single" w:sz="8" w:color="auto"/>
            </w:tcBorders>
            <w:shd w:val="clear" w:color="auto" w:fill="FDFDFD"/>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410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2021 Term Loan</w:t>
            </w: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257,813</w:t>
            </w: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(1,496)</w:t>
            </w:r>
          </w:p>
        </w:tc>
        <w:tc>
          <w:tcPr>
            <w:tcW w:w="1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256,317</w:t>
            </w:r>
          </w:p>
        </w:tc>
        <w:tc>
          <w:tcPr>
            <w:tcW w:w="100" w:type="dxa"/>
            <w:vAlign w:val="bottom"/>
            <w:shd w:val="clear" w:color="auto" w:fill="E3E3E3"/>
          </w:tcPr>
          <w:p>
            <w:pPr>
              <w:spacing w:after="0"/>
              <w:rPr>
                <w:sz w:val="19"/>
                <w:szCs w:val="19"/>
                <w:color w:val="auto"/>
              </w:rPr>
            </w:pPr>
          </w:p>
        </w:tc>
      </w:tr>
      <w:tr>
        <w:trPr>
          <w:trHeight w:val="230"/>
        </w:trPr>
        <w:tc>
          <w:tcPr>
            <w:tcW w:w="410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Less: current portion of long-term debt</w:t>
            </w:r>
          </w:p>
        </w:tc>
        <w:tc>
          <w:tcPr>
            <w:tcW w:w="120" w:type="dxa"/>
            <w:vAlign w:val="bottom"/>
            <w:tcBorders>
              <w:bottom w:val="single" w:sz="8" w:color="E3E3E3"/>
            </w:tcBorders>
            <w:shd w:val="clear" w:color="auto" w:fill="FDFDFD"/>
          </w:tcPr>
          <w:p>
            <w:pPr>
              <w:spacing w:after="0"/>
              <w:rPr>
                <w:sz w:val="19"/>
                <w:szCs w:val="19"/>
                <w:color w:val="auto"/>
              </w:rPr>
            </w:pPr>
          </w:p>
        </w:tc>
        <w:tc>
          <w:tcPr>
            <w:tcW w:w="220" w:type="dxa"/>
            <w:vAlign w:val="bottom"/>
            <w:tcBorders>
              <w:bottom w:val="single" w:sz="8" w:color="E3E3E3"/>
            </w:tcBorders>
            <w:shd w:val="clear" w:color="auto" w:fill="FDFDFD"/>
          </w:tcPr>
          <w:p>
            <w:pPr>
              <w:spacing w:after="0"/>
              <w:rPr>
                <w:sz w:val="19"/>
                <w:szCs w:val="19"/>
                <w:color w:val="auto"/>
              </w:rPr>
            </w:pPr>
          </w:p>
        </w:tc>
        <w:tc>
          <w:tcPr>
            <w:tcW w:w="1080" w:type="dxa"/>
            <w:vAlign w:val="bottom"/>
            <w:tcBorders>
              <w:bottom w:val="single" w:sz="8" w:color="E3E3E3"/>
            </w:tcBorders>
            <w:shd w:val="clear" w:color="auto" w:fill="FDFDFD"/>
          </w:tcPr>
          <w:p>
            <w:pPr>
              <w:spacing w:after="0"/>
              <w:rPr>
                <w:sz w:val="19"/>
                <w:szCs w:val="19"/>
                <w:color w:val="auto"/>
              </w:rPr>
            </w:pPr>
          </w:p>
        </w:tc>
        <w:tc>
          <w:tcPr>
            <w:tcW w:w="10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160" w:type="dxa"/>
            <w:vAlign w:val="bottom"/>
            <w:tcBorders>
              <w:bottom w:val="single" w:sz="8" w:color="E3E3E3"/>
            </w:tcBorders>
            <w:shd w:val="clear" w:color="auto" w:fill="FDFDFD"/>
          </w:tcPr>
          <w:p>
            <w:pPr>
              <w:spacing w:after="0"/>
              <w:rPr>
                <w:sz w:val="19"/>
                <w:szCs w:val="19"/>
                <w:color w:val="auto"/>
              </w:rPr>
            </w:pPr>
          </w:p>
        </w:tc>
        <w:tc>
          <w:tcPr>
            <w:tcW w:w="156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200" w:type="dxa"/>
            <w:vAlign w:val="bottom"/>
            <w:tcBorders>
              <w:bottom w:val="single" w:sz="8" w:color="auto"/>
            </w:tcBorders>
            <w:shd w:val="clear" w:color="auto" w:fill="FDFDFD"/>
          </w:tcPr>
          <w:p>
            <w:pPr>
              <w:spacing w:after="0"/>
              <w:rPr>
                <w:sz w:val="19"/>
                <w:szCs w:val="19"/>
                <w:color w:val="auto"/>
              </w:rPr>
            </w:pPr>
          </w:p>
        </w:tc>
        <w:tc>
          <w:tcPr>
            <w:tcW w:w="108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13,750</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410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Long-term debt</w:t>
            </w:r>
          </w:p>
        </w:tc>
        <w:tc>
          <w:tcPr>
            <w:tcW w:w="12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0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56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242,567</w:t>
            </w:r>
          </w:p>
        </w:tc>
        <w:tc>
          <w:tcPr>
            <w:tcW w:w="100" w:type="dxa"/>
            <w:vAlign w:val="bottom"/>
            <w:shd w:val="clear" w:color="auto" w:fill="E3E3E3"/>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color w:val="auto"/>
        </w:rPr>
        <w:t>During the years ended December 31, 2024 and 2023, the Company repaid $13.8 million and $8.6 million, respectively, in outstanding principal of the 2021 Term Loan (as defined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Credit Agreement</w:t>
      </w:r>
    </w:p>
    <w:p>
      <w:pPr>
        <w:spacing w:after="0" w:line="118"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auto"/>
        </w:rPr>
        <w:t>In September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and negative financial covenants, which, among other limitations, limit DH Holdings’ and its restricted subsidiaries’ ability to sell assets, grant liens on assets, incur other secured indebtedness, and make certain investments, cash dividends, and restricted payments, all subject to exceptions set forth in the 2021 Credit Agreement and a maximum total net leverage ratio financial covenant as set forth in the 2021 Credit Agreement.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 (the “Pledged Assets”). As of December 31, 2024, the Pledged Assets of these subsidiaries approximated $976.4 million, and the net assets of these subsidiaries approximated $586.0 million.</w:t>
      </w:r>
    </w:p>
    <w:p>
      <w:pPr>
        <w:spacing w:after="0" w:line="91"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$244.1 million and $257.8 million outstanding on the 2021 Term Loan at December 31, 2024 and 2023. respectively.</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December 31, 2024 and 2023. However, in lieu of a security deposit, the Company has provided a standby letter of credit of $0.6 million to the lessor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s corporate headquarters, which reduced the amount available under our revolving credit facility to $74.4 million as of December 31, 2024.</w:t>
      </w: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F-33</w:t>
      </w:r>
    </w:p>
    <w:p>
      <w:pPr>
        <w:sectPr>
          <w:pgSz w:w="11880" w:h="15480" w:orient="portrait"/>
          <w:cols w:equalWidth="0" w:num="1">
            <w:col w:w="10220"/>
          </w:cols>
          <w:pgMar w:left="820" w:top="803" w:right="840" w:bottom="8" w:gutter="0" w:footer="0" w:header="0"/>
          <w:type w:val="continuous"/>
        </w:sectPr>
      </w:pPr>
    </w:p>
    <w:bookmarkStart w:id="125" w:name="page126"/>
    <w:bookmarkEnd w:id="125"/>
    <w:p>
      <w:pPr>
        <w:ind w:right="40" w:firstLine="490"/>
        <w:spacing w:after="0" w:line="279" w:lineRule="auto"/>
        <w:rPr>
          <w:sz w:val="20"/>
          <w:szCs w:val="20"/>
          <w:color w:val="auto"/>
        </w:rPr>
      </w:pPr>
      <w:r>
        <w:rPr>
          <w:rFonts w:ascii="Times New Roman" w:cs="Times New Roman" w:eastAsia="Times New Roman" w:hAnsi="Times New Roman"/>
          <w:sz w:val="20"/>
          <w:szCs w:val="20"/>
          <w:color w:val="auto"/>
        </w:rPr>
        <w:t>On October 31, 2022, the Company amended the 2021 Credit Agreement to replace the LIBO rate with Term SOFR plus an applicable rate.</w:t>
      </w:r>
    </w:p>
    <w:p>
      <w:pPr>
        <w:spacing w:after="0" w:line="45"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auto"/>
        </w:rPr>
        <w:t>For both the 2021 Term Loan and 2021 Revolving Line of Credit, DH Holdings may elect from several interest rate options based on the Term SOFR Rate or the Base Rate plus an applicable margin. The applicable margin is based on the total leverage ratio. As of December 31, 2024, the effective interest rate was 6.21%.</w:t>
      </w:r>
    </w:p>
    <w:p>
      <w:pPr>
        <w:spacing w:after="0" w:line="65"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In connection with the 2021 Credit Agreement, the Company capitalized financing costs totaling $3.5 million, of which $2.8 million related to the 2021 Term Loan facility and $0.8 million related to the 2021 Revolving Line of Credit. The financing costs associated with the 2021 Term Loan facility are recorded as a contra-debt balance in Term loan, net of current portion in the consolidated balance sheets and are amortized over the remaining life of the loan using the effective interest method. The financing costs associated with the 2021 Revolving Line of Credit are recorded in other assets in the consolidated balance sheets and are amortized over the life of the arrangement. The Company amortized capitalized financing costs for the 2021 Credit Agreement through interest expense of $0.7 million for the years ended December 31, 2024 and 2023. At December 31, 2024 and 2023, the unamortized financing costs for the 2021 Revolving Line of Credit were $0.3 million and $0.4 million, respectively.</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The expected future principal payments under the 2021 Credit Agreement as of December 31, 2024 are as follows:</w:t>
      </w:r>
    </w:p>
    <w:p>
      <w:pPr>
        <w:spacing w:after="0" w:line="261" w:lineRule="exact"/>
        <w:rPr>
          <w:sz w:val="20"/>
          <w:szCs w:val="20"/>
          <w:color w:val="auto"/>
        </w:rPr>
      </w:pPr>
    </w:p>
    <w:tbl>
      <w:tblPr>
        <w:tblLayout w:type="fixed"/>
        <w:tblInd w:w="1280" w:type="dxa"/>
        <w:tblCellMar>
          <w:top w:w="0" w:type="dxa"/>
          <w:left w:w="0" w:type="dxa"/>
          <w:bottom w:w="0" w:type="dxa"/>
          <w:right w:w="0" w:type="dxa"/>
        </w:tblCellMar>
      </w:tblPr>
      <w:tr>
        <w:trPr>
          <w:trHeight w:val="269"/>
        </w:trPr>
        <w:tc>
          <w:tcPr>
            <w:tcW w:w="616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shd w:val="clear" w:color="auto" w:fill="FDFDFD"/>
          </w:tcPr>
          <w:p>
            <w:pPr>
              <w:spacing w:after="0"/>
              <w:rPr>
                <w:sz w:val="23"/>
                <w:szCs w:val="23"/>
                <w:color w:val="auto"/>
              </w:rPr>
            </w:pPr>
          </w:p>
        </w:tc>
        <w:tc>
          <w:tcPr>
            <w:tcW w:w="380" w:type="dxa"/>
            <w:vAlign w:val="bottom"/>
            <w:shd w:val="clear" w:color="auto" w:fill="FDFDFD"/>
          </w:tcPr>
          <w:p>
            <w:pPr>
              <w:spacing w:after="0"/>
              <w:rPr>
                <w:sz w:val="23"/>
                <w:szCs w:val="23"/>
                <w:color w:val="auto"/>
              </w:rPr>
            </w:pPr>
          </w:p>
        </w:tc>
        <w:tc>
          <w:tcPr>
            <w:tcW w:w="920" w:type="dxa"/>
            <w:vAlign w:val="bottom"/>
            <w:shd w:val="clear" w:color="auto" w:fill="FDFDFD"/>
          </w:tcPr>
          <w:p>
            <w:pPr>
              <w:spacing w:after="0"/>
              <w:rPr>
                <w:sz w:val="23"/>
                <w:szCs w:val="23"/>
                <w:color w:val="auto"/>
              </w:rPr>
            </w:pPr>
          </w:p>
        </w:tc>
        <w:tc>
          <w:tcPr>
            <w:tcW w:w="80" w:type="dxa"/>
            <w:vAlign w:val="bottom"/>
            <w:shd w:val="clear" w:color="auto" w:fill="FDFDFD"/>
          </w:tcPr>
          <w:p>
            <w:pPr>
              <w:spacing w:after="0"/>
              <w:rPr>
                <w:sz w:val="23"/>
                <w:szCs w:val="23"/>
                <w:color w:val="auto"/>
              </w:rPr>
            </w:pPr>
          </w:p>
        </w:tc>
      </w:tr>
      <w:tr>
        <w:trPr>
          <w:trHeight w:val="230"/>
        </w:trPr>
        <w:tc>
          <w:tcPr>
            <w:tcW w:w="61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2025</w:t>
            </w:r>
          </w:p>
        </w:tc>
        <w:tc>
          <w:tcPr>
            <w:tcW w:w="520" w:type="dxa"/>
            <w:vAlign w:val="bottom"/>
            <w:gridSpan w:val="2"/>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13,750</w:t>
            </w:r>
          </w:p>
        </w:tc>
        <w:tc>
          <w:tcPr>
            <w:tcW w:w="80" w:type="dxa"/>
            <w:vAlign w:val="bottom"/>
            <w:shd w:val="clear" w:color="auto" w:fill="E3E3E3"/>
          </w:tcPr>
          <w:p>
            <w:pPr>
              <w:spacing w:after="0"/>
              <w:rPr>
                <w:sz w:val="19"/>
                <w:szCs w:val="19"/>
                <w:color w:val="auto"/>
              </w:rPr>
            </w:pPr>
          </w:p>
        </w:tc>
      </w:tr>
      <w:tr>
        <w:trPr>
          <w:trHeight w:val="230"/>
        </w:trPr>
        <w:tc>
          <w:tcPr>
            <w:tcW w:w="616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2026</w:t>
            </w:r>
          </w:p>
        </w:tc>
        <w:tc>
          <w:tcPr>
            <w:tcW w:w="140" w:type="dxa"/>
            <w:vAlign w:val="bottom"/>
            <w:tcBorders>
              <w:bottom w:val="single" w:sz="8" w:color="E3E3E3"/>
            </w:tcBorders>
            <w:shd w:val="clear" w:color="auto" w:fill="FDFDFD"/>
          </w:tcPr>
          <w:p>
            <w:pPr>
              <w:spacing w:after="0"/>
              <w:rPr>
                <w:sz w:val="19"/>
                <w:szCs w:val="19"/>
                <w:color w:val="auto"/>
              </w:rPr>
            </w:pPr>
          </w:p>
        </w:tc>
        <w:tc>
          <w:tcPr>
            <w:tcW w:w="380" w:type="dxa"/>
            <w:vAlign w:val="bottom"/>
            <w:tcBorders>
              <w:bottom w:val="single" w:sz="8" w:color="auto"/>
            </w:tcBorders>
            <w:shd w:val="clear" w:color="auto" w:fill="FDFDFD"/>
          </w:tcPr>
          <w:p>
            <w:pPr>
              <w:spacing w:after="0"/>
              <w:rPr>
                <w:sz w:val="19"/>
                <w:szCs w:val="19"/>
                <w:color w:val="auto"/>
              </w:rPr>
            </w:pPr>
          </w:p>
        </w:tc>
        <w:tc>
          <w:tcPr>
            <w:tcW w:w="92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230,313</w:t>
            </w:r>
          </w:p>
        </w:tc>
        <w:tc>
          <w:tcPr>
            <w:tcW w:w="80" w:type="dxa"/>
            <w:vAlign w:val="bottom"/>
            <w:tcBorders>
              <w:bottom w:val="single" w:sz="8" w:color="E3E3E3"/>
            </w:tcBorders>
            <w:shd w:val="clear" w:color="auto" w:fill="FDFDFD"/>
          </w:tcPr>
          <w:p>
            <w:pPr>
              <w:spacing w:after="0"/>
              <w:rPr>
                <w:sz w:val="19"/>
                <w:szCs w:val="19"/>
                <w:color w:val="auto"/>
              </w:rPr>
            </w:pPr>
          </w:p>
        </w:tc>
      </w:tr>
      <w:tr>
        <w:trPr>
          <w:trHeight w:val="220"/>
        </w:trPr>
        <w:tc>
          <w:tcPr>
            <w:tcW w:w="616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380" w:type="dxa"/>
            <w:vAlign w:val="bottom"/>
            <w:tcBorders>
              <w:bottom w:val="single" w:sz="8" w:color="auto"/>
            </w:tcBorders>
            <w:shd w:val="clear" w:color="auto" w:fill="E3E3E3"/>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244,063</w:t>
            </w:r>
          </w:p>
        </w:tc>
        <w:tc>
          <w:tcPr>
            <w:tcW w:w="80" w:type="dxa"/>
            <w:vAlign w:val="bottom"/>
            <w:shd w:val="clear" w:color="auto" w:fill="E3E3E3"/>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January 16, 2025, DH Holdings entered into an amendment to the 2021 Credit Agreement. See Note 23. </w:t>
      </w:r>
      <w:r>
        <w:rPr>
          <w:rFonts w:ascii="Times New Roman" w:cs="Times New Roman" w:eastAsia="Times New Roman" w:hAnsi="Times New Roman"/>
          <w:sz w:val="19"/>
          <w:szCs w:val="19"/>
          <w:i w:val="1"/>
          <w:iCs w:val="1"/>
          <w:color w:val="auto"/>
        </w:rPr>
        <w:t>Subsequent Events</w:t>
      </w:r>
      <w:r>
        <w:rPr>
          <w:rFonts w:ascii="Times New Roman" w:cs="Times New Roman" w:eastAsia="Times New Roman" w:hAnsi="Times New Roman"/>
          <w:sz w:val="19"/>
          <w:szCs w:val="19"/>
          <w:color w:val="auto"/>
        </w:rPr>
        <w:t>.</w:t>
      </w:r>
    </w:p>
    <w:p>
      <w:pPr>
        <w:sectPr>
          <w:pgSz w:w="11880" w:h="15480" w:orient="portrait"/>
          <w:cols w:equalWidth="0" w:num="1">
            <w:col w:w="10220"/>
          </w:cols>
          <w:pgMar w:left="820" w:top="806"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F-34</w:t>
      </w:r>
    </w:p>
    <w:p>
      <w:pPr>
        <w:sectPr>
          <w:pgSz w:w="11880" w:h="15480" w:orient="portrait"/>
          <w:cols w:equalWidth="0" w:num="1">
            <w:col w:w="10220"/>
          </w:cols>
          <w:pgMar w:left="820" w:top="806" w:right="840" w:bottom="8" w:gutter="0" w:footer="0" w:header="0"/>
          <w:type w:val="continuous"/>
        </w:sectPr>
      </w:pPr>
    </w:p>
    <w:bookmarkStart w:id="126" w:name="page127"/>
    <w:bookmarkEnd w:id="126"/>
    <w:p>
      <w:pPr>
        <w:ind w:right="5760" w:firstLine="8"/>
        <w:spacing w:after="0" w:line="366" w:lineRule="auto"/>
        <w:tabs>
          <w:tab w:leader="none" w:pos="49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Derivative Instruments and Hedging Activities </w:t>
      </w:r>
      <w:r>
        <w:rPr>
          <w:rFonts w:ascii="Times New Roman" w:cs="Times New Roman" w:eastAsia="Times New Roman" w:hAnsi="Times New Roman"/>
          <w:sz w:val="20"/>
          <w:szCs w:val="20"/>
          <w:b w:val="1"/>
          <w:bCs w:val="1"/>
          <w:i w:val="1"/>
          <w:iCs w:val="1"/>
          <w:color w:val="auto"/>
        </w:rPr>
        <w:t>Risk Management Objective of Using Derivatives</w:t>
      </w:r>
    </w:p>
    <w:p>
      <w:pPr>
        <w:spacing w:after="0" w:line="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 xml:space="preserve">The Company is exposed to risks from changes in interest rates related to the 2021 Term Loan (See Note 10. </w:t>
      </w:r>
      <w:r>
        <w:rPr>
          <w:rFonts w:ascii="Times New Roman" w:cs="Times New Roman" w:eastAsia="Times New Roman" w:hAnsi="Times New Roman"/>
          <w:sz w:val="20"/>
          <w:szCs w:val="20"/>
          <w:i w:val="1"/>
          <w:iCs w:val="1"/>
          <w:color w:val="auto"/>
        </w:rPr>
        <w:t>Long-Term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The Company uses derivative financial instruments, specifically, interest rate swap contracts, in order to manage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 Hedges of Interest Rate Risk</w:t>
      </w:r>
    </w:p>
    <w:p>
      <w:pPr>
        <w:spacing w:after="0" w:line="118" w:lineRule="exact"/>
        <w:rPr>
          <w:sz w:val="20"/>
          <w:szCs w:val="20"/>
          <w:color w:val="auto"/>
        </w:rPr>
      </w:pPr>
    </w:p>
    <w:p>
      <w:pPr>
        <w:ind w:right="20" w:firstLine="650"/>
        <w:spacing w:after="0" w:line="247" w:lineRule="auto"/>
        <w:rPr>
          <w:sz w:val="20"/>
          <w:szCs w:val="20"/>
          <w:color w:val="auto"/>
        </w:rPr>
      </w:pPr>
      <w:r>
        <w:rPr>
          <w:rFonts w:ascii="Times New Roman" w:cs="Times New Roman" w:eastAsia="Times New Roman" w:hAnsi="Times New Roman"/>
          <w:sz w:val="20"/>
          <w:szCs w:val="20"/>
          <w:color w:val="auto"/>
        </w:rPr>
        <w:t xml:space="preserve">The Company entered into two interest rate swap agreements, effective on March 31, 2022. Until October 31, 2022, the counterparties to each of the agreements paid the Company interest at a floating rate on the notional amounts based on the one-month USD-LIBOR swap rate. On October 31, 2022, in conjunction with the amendment to the 2021 Credit Agreement (See Note 10. </w:t>
      </w:r>
      <w:r>
        <w:rPr>
          <w:rFonts w:ascii="Times New Roman" w:cs="Times New Roman" w:eastAsia="Times New Roman" w:hAnsi="Times New Roman"/>
          <w:sz w:val="20"/>
          <w:szCs w:val="20"/>
          <w:i w:val="1"/>
          <w:iCs w:val="1"/>
          <w:color w:val="auto"/>
        </w:rPr>
        <w:t>Long-Term Debt</w:t>
      </w:r>
      <w:r>
        <w:rPr>
          <w:rFonts w:ascii="Times New Roman" w:cs="Times New Roman" w:eastAsia="Times New Roman" w:hAnsi="Times New Roman"/>
          <w:sz w:val="20"/>
          <w:szCs w:val="20"/>
          <w:color w:val="auto"/>
        </w:rPr>
        <w:t>), the Company amended the two interest rate swap agreements to replace the LIBO rate with Term SOFR. As a result, subsequent to October 31, 2022, the counterparties paid and will continue to pay interest at a floating rate based on Term SOFR.</w:t>
      </w:r>
    </w:p>
    <w:p>
      <w:pPr>
        <w:spacing w:after="0" w:line="8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As of December 31, 2024, the two outstanding interest rate swap agreements each had a notional value of $61.0 million with fixed interest rates of 1.90650% and 1.90900%. Interest payments under the swaps are made monthly on a net settlement basis. The Company has not recorded any amounts due to ineffectiveness for the year ended December 31, 2024. The notional value of each interest rate swap agreement is expected to match the corresponding principal amount of a portion of our borrowings under the 2021 Term Loan. The swap agreements mature on March 31, 2025.</w:t>
      </w:r>
    </w:p>
    <w:p>
      <w:pPr>
        <w:spacing w:after="0" w:line="77"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The derivative interest rate swaps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approximately $0.7 million of net pre-tax gains from accumulated other comprehensive income as a reduction of interest expense in the next twelve months associated with its interest rate swaps.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fair values of the interest rate swaps and their respective locations in our consolidated balance sheets at</w:t>
      </w:r>
    </w:p>
    <w:p>
      <w:pPr>
        <w:spacing w:after="0"/>
        <w:rPr>
          <w:sz w:val="20"/>
          <w:szCs w:val="20"/>
          <w:color w:val="auto"/>
        </w:rPr>
      </w:pPr>
      <w:r>
        <w:rPr>
          <w:rFonts w:ascii="Times New Roman" w:cs="Times New Roman" w:eastAsia="Times New Roman" w:hAnsi="Times New Roman"/>
          <w:sz w:val="20"/>
          <w:szCs w:val="20"/>
          <w:color w:val="auto"/>
        </w:rPr>
        <w:t>December 31, 2024 and 2023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4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0" w:type="dxa"/>
            <w:vAlign w:val="bottom"/>
            <w:shd w:val="clear" w:color="auto" w:fill="FDFDFD"/>
          </w:tcPr>
          <w:p>
            <w:pPr>
              <w:spacing w:after="0"/>
              <w:rPr>
                <w:sz w:val="21"/>
                <w:szCs w:val="21"/>
                <w:color w:val="auto"/>
              </w:rPr>
            </w:pPr>
          </w:p>
        </w:tc>
        <w:tc>
          <w:tcPr>
            <w:tcW w:w="3700" w:type="dxa"/>
            <w:vAlign w:val="bottom"/>
            <w:shd w:val="clear" w:color="auto" w:fill="FDFDFD"/>
          </w:tcPr>
          <w:p>
            <w:pPr>
              <w:spacing w:after="0"/>
              <w:rPr>
                <w:sz w:val="21"/>
                <w:szCs w:val="21"/>
                <w:color w:val="auto"/>
              </w:rPr>
            </w:pPr>
          </w:p>
        </w:tc>
        <w:tc>
          <w:tcPr>
            <w:tcW w:w="18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520" w:type="dxa"/>
            <w:vAlign w:val="bottom"/>
            <w:shd w:val="clear" w:color="auto" w:fill="FDFDFD"/>
          </w:tcPr>
          <w:p>
            <w:pPr>
              <w:spacing w:after="0"/>
              <w:rPr>
                <w:sz w:val="21"/>
                <w:szCs w:val="21"/>
                <w:color w:val="auto"/>
              </w:rPr>
            </w:pPr>
          </w:p>
        </w:tc>
        <w:tc>
          <w:tcPr>
            <w:tcW w:w="30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52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r>
      <w:tr>
        <w:trPr>
          <w:trHeight w:val="204"/>
        </w:trPr>
        <w:tc>
          <w:tcPr>
            <w:tcW w:w="244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0" w:type="dxa"/>
            <w:vAlign w:val="bottom"/>
            <w:shd w:val="clear" w:color="auto" w:fill="FDFDFD"/>
          </w:tcPr>
          <w:p>
            <w:pPr>
              <w:spacing w:after="0"/>
              <w:rPr>
                <w:sz w:val="17"/>
                <w:szCs w:val="17"/>
                <w:color w:val="auto"/>
              </w:rPr>
            </w:pPr>
          </w:p>
        </w:tc>
        <w:tc>
          <w:tcPr>
            <w:tcW w:w="370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8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520" w:type="dxa"/>
            <w:vAlign w:val="bottom"/>
            <w:shd w:val="clear" w:color="auto" w:fill="FDFDFD"/>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620" w:type="dxa"/>
            <w:vAlign w:val="bottom"/>
            <w:gridSpan w:val="2"/>
            <w:shd w:val="clear" w:color="auto" w:fill="FDFDFD"/>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0"/>
        </w:trPr>
        <w:tc>
          <w:tcPr>
            <w:tcW w:w="2440" w:type="dxa"/>
            <w:vAlign w:val="bottom"/>
            <w:tcBorders>
              <w:top w:val="single" w:sz="8" w:color="auto"/>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Short-term derivative asset</w:t>
            </w:r>
          </w:p>
        </w:tc>
        <w:tc>
          <w:tcPr>
            <w:tcW w:w="200" w:type="dxa"/>
            <w:vAlign w:val="bottom"/>
            <w:tcBorders>
              <w:top w:val="single" w:sz="8" w:color="E3E3E3"/>
            </w:tcBorders>
            <w:shd w:val="clear" w:color="auto" w:fill="E3E3E3"/>
          </w:tcPr>
          <w:p>
            <w:pPr>
              <w:spacing w:after="0"/>
              <w:rPr>
                <w:sz w:val="19"/>
                <w:szCs w:val="19"/>
                <w:color w:val="auto"/>
              </w:rPr>
            </w:pPr>
          </w:p>
        </w:tc>
        <w:tc>
          <w:tcPr>
            <w:tcW w:w="3700" w:type="dxa"/>
            <w:vAlign w:val="bottom"/>
            <w:tcBorders>
              <w:top w:val="single" w:sz="8" w:color="auto"/>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Prepaid expenses and other assets</w:t>
            </w:r>
          </w:p>
        </w:tc>
        <w:tc>
          <w:tcPr>
            <w:tcW w:w="180" w:type="dxa"/>
            <w:vAlign w:val="bottom"/>
            <w:tcBorders>
              <w:top w:val="single" w:sz="8" w:color="E3E3E3"/>
            </w:tcBorders>
            <w:shd w:val="clear" w:color="auto" w:fill="E3E3E3"/>
          </w:tcPr>
          <w:p>
            <w:pPr>
              <w:spacing w:after="0"/>
              <w:rPr>
                <w:sz w:val="19"/>
                <w:szCs w:val="19"/>
                <w:color w:val="auto"/>
              </w:rPr>
            </w:pPr>
          </w:p>
        </w:tc>
        <w:tc>
          <w:tcPr>
            <w:tcW w:w="14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717</w:t>
            </w:r>
          </w:p>
        </w:tc>
        <w:tc>
          <w:tcPr>
            <w:tcW w:w="300" w:type="dxa"/>
            <w:vAlign w:val="bottom"/>
            <w:tcBorders>
              <w:top w:val="single" w:sz="8" w:color="E3E3E3"/>
            </w:tcBorders>
            <w:shd w:val="clear" w:color="auto" w:fill="E3E3E3"/>
          </w:tcPr>
          <w:p>
            <w:pPr>
              <w:spacing w:after="0"/>
              <w:rPr>
                <w:sz w:val="19"/>
                <w:szCs w:val="19"/>
                <w:color w:val="auto"/>
              </w:rPr>
            </w:pPr>
          </w:p>
        </w:tc>
        <w:tc>
          <w:tcPr>
            <w:tcW w:w="14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3,426</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24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Long-term derivative asset</w:t>
            </w:r>
          </w:p>
        </w:tc>
        <w:tc>
          <w:tcPr>
            <w:tcW w:w="200" w:type="dxa"/>
            <w:vAlign w:val="bottom"/>
            <w:shd w:val="clear" w:color="auto" w:fill="FDFDFD"/>
          </w:tcPr>
          <w:p>
            <w:pPr>
              <w:spacing w:after="0"/>
              <w:rPr>
                <w:sz w:val="19"/>
                <w:szCs w:val="19"/>
                <w:color w:val="auto"/>
              </w:rPr>
            </w:pPr>
          </w:p>
        </w:tc>
        <w:tc>
          <w:tcPr>
            <w:tcW w:w="37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5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5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100" w:type="dxa"/>
            <w:vAlign w:val="bottom"/>
            <w:shd w:val="clear" w:color="auto" w:fill="FDFDFD"/>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10240"/>
          </w:cols>
          <w:pgMar w:left="820" w:top="803" w:right="8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1880" w:h="15480" w:orient="portrait"/>
          <w:cols w:equalWidth="0" w:num="1">
            <w:col w:w="10240"/>
          </w:cols>
          <w:pgMar w:left="820" w:top="803" w:right="820" w:bottom="8" w:gutter="0" w:footer="0" w:header="0"/>
          <w:type w:val="continuous"/>
        </w:sectPr>
      </w:pPr>
    </w:p>
    <w:bookmarkStart w:id="127" w:name="page128"/>
    <w:bookmarkEnd w:id="127"/>
    <w:p>
      <w:pPr>
        <w:ind w:left="500" w:hanging="492"/>
        <w:spacing w:after="0"/>
        <w:tabs>
          <w:tab w:leader="none" w:pos="50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123"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auto"/>
        </w:rPr>
        <w:t>ASC 820—</w:t>
      </w:r>
      <w:r>
        <w:rPr>
          <w:rFonts w:ascii="Times New Roman" w:cs="Times New Roman" w:eastAsia="Times New Roman" w:hAnsi="Times New Roman"/>
          <w:sz w:val="20"/>
          <w:szCs w:val="20"/>
          <w:i w:val="1"/>
          <w:iCs w:val="1"/>
          <w:color w:val="auto"/>
        </w:rPr>
        <w:t>Fair Value Measurements and Disclosures</w:t>
      </w:r>
      <w:r>
        <w:rPr>
          <w:rFonts w:ascii="Times New Roman" w:cs="Times New Roman" w:eastAsia="Times New Roman" w:hAnsi="Times New Roman"/>
          <w:sz w:val="20"/>
          <w:szCs w:val="20"/>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Level 1 - Observable inputs that reflect unadjusted quoted prices in active markets for identical assets or liabilities.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Level 2 - Other inputs that are directly or indirectly observable in the marketplace.</w:t>
      </w:r>
    </w:p>
    <w:p>
      <w:pPr>
        <w:spacing w:after="0" w:line="120" w:lineRule="exact"/>
        <w:rPr>
          <w:sz w:val="20"/>
          <w:szCs w:val="20"/>
          <w:color w:val="auto"/>
        </w:rPr>
      </w:pPr>
    </w:p>
    <w:p>
      <w:pPr>
        <w:ind w:left="500" w:right="940"/>
        <w:spacing w:after="0" w:line="279" w:lineRule="auto"/>
        <w:rPr>
          <w:sz w:val="20"/>
          <w:szCs w:val="20"/>
          <w:color w:val="auto"/>
        </w:rPr>
      </w:pPr>
      <w:r>
        <w:rPr>
          <w:rFonts w:ascii="Times New Roman" w:cs="Times New Roman" w:eastAsia="Times New Roman" w:hAnsi="Times New Roman"/>
          <w:sz w:val="20"/>
          <w:szCs w:val="20"/>
          <w:color w:val="auto"/>
        </w:rPr>
        <w:t>Level 3 - Unobservable inputs that are supported by little or no market activity, including the Company’s own assumptions in determining fair value.</w:t>
      </w:r>
    </w:p>
    <w:p>
      <w:pPr>
        <w:spacing w:after="0" w:line="45"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The Company’s financial assets and liabilities subject to the three-level fair value hierarchy consist principally of cash and equivalents, short-term investments, accounts receivable, derivative financial instruments, accounts payable, long-term and short-term debt and contingent consideration payable. The estimated fair value of cash included in cash and cash equivalents, accounts receivable, and accounts payable approximates their carrying value due to their short maturities (less than 12 months).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Debt</w:t>
      </w:r>
    </w:p>
    <w:p>
      <w:pPr>
        <w:spacing w:after="0" w:line="118" w:lineRule="exact"/>
        <w:rPr>
          <w:sz w:val="20"/>
          <w:szCs w:val="20"/>
          <w:color w:val="auto"/>
        </w:rPr>
      </w:pPr>
    </w:p>
    <w:p>
      <w:pPr>
        <w:jc w:val="both"/>
        <w:ind w:right="200" w:firstLine="490"/>
        <w:spacing w:after="0" w:line="259" w:lineRule="auto"/>
        <w:rPr>
          <w:sz w:val="20"/>
          <w:szCs w:val="20"/>
          <w:color w:val="auto"/>
        </w:rPr>
      </w:pPr>
      <w:r>
        <w:rPr>
          <w:rFonts w:ascii="Times New Roman" w:cs="Times New Roman" w:eastAsia="Times New Roman" w:hAnsi="Times New Roman"/>
          <w:sz w:val="20"/>
          <w:szCs w:val="20"/>
          <w:color w:val="auto"/>
        </w:rPr>
        <w:t>The Company’s short- and long-term debt are recorded at their carrying values in the consolidated balance sheets. The estimated fair values of the Company’s short- and long-term debt approximate their carrying values as of December 31, 2024 and 2023, based on interest rates currently available to the Company for similar borrowings.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Money market funds (included in cash and cash equivalents)</w:t>
      </w:r>
    </w:p>
    <w:p>
      <w:pPr>
        <w:spacing w:after="0" w:line="118" w:lineRule="exact"/>
        <w:rPr>
          <w:sz w:val="20"/>
          <w:szCs w:val="20"/>
          <w:color w:val="auto"/>
        </w:rPr>
      </w:pPr>
    </w:p>
    <w:p>
      <w:pPr>
        <w:ind w:right="100" w:firstLine="490"/>
        <w:spacing w:after="0" w:line="279" w:lineRule="auto"/>
        <w:rPr>
          <w:sz w:val="20"/>
          <w:szCs w:val="20"/>
          <w:color w:val="auto"/>
        </w:rPr>
      </w:pPr>
      <w:r>
        <w:rPr>
          <w:rFonts w:ascii="Times New Roman" w:cs="Times New Roman" w:eastAsia="Times New Roman" w:hAnsi="Times New Roman"/>
          <w:sz w:val="20"/>
          <w:szCs w:val="20"/>
          <w:color w:val="auto"/>
        </w:rPr>
        <w:t>Money market funds are recorded at fair value using quoted market prices in active markets and are classified as Level 1 in the fair value hierarchy.</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Short-term investments</w:t>
      </w:r>
    </w:p>
    <w:p>
      <w:pPr>
        <w:spacing w:after="0" w:line="11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Company estimates the fair values of investments in U.S. treasuries, agency bond securities, commercial paper, and certificates of deposit using level 2 inputs, by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Derivative financial instruments</w:t>
      </w:r>
    </w:p>
    <w:p>
      <w:pPr>
        <w:spacing w:after="0" w:line="118"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p>
    <w:p>
      <w:pPr>
        <w:spacing w:after="0" w:line="70"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To comply with the provisions of ASC 820, the Company incorporates credit valuation adjustments to appropriately reflect both its own nonperformance risk and the respective counterparty’s nonperformance risk in the fair value measurements.</w:t>
      </w:r>
    </w:p>
    <w:p>
      <w:pPr>
        <w:spacing w:after="0" w:line="45"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December 31, 2024 and 2023 were classified as Level 2 in the fair value hierarchy.</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w:t>
      </w:r>
    </w:p>
    <w:p>
      <w:pPr>
        <w:spacing w:after="0" w:line="118" w:lineRule="exact"/>
        <w:rPr>
          <w:sz w:val="20"/>
          <w:szCs w:val="20"/>
          <w:color w:val="auto"/>
        </w:rPr>
      </w:pPr>
    </w:p>
    <w:p>
      <w:pPr>
        <w:ind w:right="300" w:firstLine="490"/>
        <w:spacing w:after="0" w:line="246" w:lineRule="auto"/>
        <w:rPr>
          <w:sz w:val="20"/>
          <w:szCs w:val="20"/>
          <w:color w:val="auto"/>
        </w:rPr>
      </w:pPr>
      <w:r>
        <w:rPr>
          <w:rFonts w:ascii="Times New Roman" w:cs="Times New Roman" w:eastAsia="Times New Roman" w:hAnsi="Times New Roman"/>
          <w:sz w:val="20"/>
          <w:szCs w:val="20"/>
          <w:color w:val="auto"/>
        </w:rPr>
        <w:t>The deferred consideration resulting from the acquisition of Populi in the third quarter of 2023, which is subject to meeting certain revenue metrics during calendar years 2024 and 2025, is measured at fair value on a recurring basis using a Monte Carlo simulation with unobservable inputs. These inputs include the estimated amount and timing of projected future revenue, a discount rate, a risk-free rate, asset volatility, and revenue volatility. At December 31, 2024, the fair value of the contingent consideration, which was based on the present value of the amount expected to be paid at the end of the measurement period, was estimated to be $7.0 million, of which $3.0 million was included in accrued expenses and other liabilities and $4.0 million was included in other liabilities on the consolidated balance sheets. The change in estimate of</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F-36</w:t>
      </w:r>
    </w:p>
    <w:p>
      <w:pPr>
        <w:sectPr>
          <w:pgSz w:w="11880" w:h="15480" w:orient="portrait"/>
          <w:cols w:equalWidth="0" w:num="1">
            <w:col w:w="10240"/>
          </w:cols>
          <w:pgMar w:left="820" w:top="803" w:right="820" w:bottom="0" w:gutter="0" w:footer="0" w:header="0"/>
        </w:sectPr>
      </w:pPr>
    </w:p>
    <w:bookmarkStart w:id="128" w:name="page129"/>
    <w:bookmarkEnd w:id="128"/>
    <w:p>
      <w:pPr>
        <w:ind w:right="160"/>
        <w:spacing w:after="0" w:line="279" w:lineRule="auto"/>
        <w:rPr>
          <w:sz w:val="20"/>
          <w:szCs w:val="20"/>
          <w:color w:val="auto"/>
        </w:rPr>
      </w:pPr>
      <w:r>
        <w:rPr>
          <w:rFonts w:ascii="Times New Roman" w:cs="Times New Roman" w:eastAsia="Times New Roman" w:hAnsi="Times New Roman"/>
          <w:sz w:val="20"/>
          <w:szCs w:val="20"/>
          <w:color w:val="auto"/>
        </w:rPr>
        <w:t>contingent consideration subsequent to initial measurement as of the acquisition date was recorded in transaction, integration, and restructuring expense in the accompanying consolidated statements of operations.</w:t>
      </w:r>
    </w:p>
    <w:p>
      <w:pPr>
        <w:spacing w:after="0" w:line="45" w:lineRule="exact"/>
        <w:rPr>
          <w:sz w:val="20"/>
          <w:szCs w:val="20"/>
          <w:color w:val="auto"/>
        </w:rPr>
      </w:pPr>
    </w:p>
    <w:p>
      <w:pPr>
        <w:jc w:val="both"/>
        <w:ind w:right="40" w:firstLine="490"/>
        <w:spacing w:after="0" w:line="259" w:lineRule="auto"/>
        <w:rPr>
          <w:sz w:val="20"/>
          <w:szCs w:val="20"/>
          <w:color w:val="auto"/>
        </w:rPr>
      </w:pPr>
      <w:r>
        <w:rPr>
          <w:rFonts w:ascii="Times New Roman" w:cs="Times New Roman" w:eastAsia="Times New Roman" w:hAnsi="Times New Roman"/>
          <w:sz w:val="20"/>
          <w:szCs w:val="20"/>
          <w:color w:val="auto"/>
        </w:rPr>
        <w:t>The contingent consideration that resulted from the earnout associated with the acquisition of Analytical Wizards Inc. in February 2022, which was included in accrued expenses and other liabilities in the consolidated balance sheets as of December 31, 2023, was paid during the year ended December 31, 2024.</w:t>
      </w:r>
    </w:p>
    <w:p>
      <w:pPr>
        <w:spacing w:after="0" w:line="65"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0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140" w:type="dxa"/>
            <w:vAlign w:val="bottom"/>
            <w:shd w:val="clear" w:color="auto" w:fill="FDFDFD"/>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20" w:type="dxa"/>
            <w:vAlign w:val="bottom"/>
            <w:gridSpan w:val="2"/>
            <w:shd w:val="clear" w:color="auto" w:fill="FDFDFD"/>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608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E3E3E3"/>
            </w:tcBorders>
            <w:shd w:val="clear" w:color="auto" w:fill="FDFDFD"/>
          </w:tcPr>
          <w:p>
            <w:pPr>
              <w:spacing w:after="0"/>
              <w:rPr>
                <w:sz w:val="17"/>
                <w:szCs w:val="17"/>
                <w:color w:val="auto"/>
              </w:rPr>
            </w:pPr>
          </w:p>
        </w:tc>
        <w:tc>
          <w:tcPr>
            <w:tcW w:w="140" w:type="dxa"/>
            <w:vAlign w:val="bottom"/>
            <w:tcBorders>
              <w:bottom w:val="single" w:sz="8" w:color="auto"/>
            </w:tcBorders>
            <w:shd w:val="clear" w:color="auto" w:fill="FDFDFD"/>
          </w:tcPr>
          <w:p>
            <w:pPr>
              <w:spacing w:after="0"/>
              <w:rPr>
                <w:sz w:val="17"/>
                <w:szCs w:val="17"/>
                <w:color w:val="auto"/>
              </w:rPr>
            </w:pPr>
          </w:p>
        </w:tc>
        <w:tc>
          <w:tcPr>
            <w:tcW w:w="1140" w:type="dxa"/>
            <w:vAlign w:val="bottom"/>
            <w:tcBorders>
              <w:bottom w:val="single" w:sz="8" w:color="auto"/>
            </w:tcBorders>
            <w:shd w:val="clear" w:color="auto" w:fill="FDFDFD"/>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E3E3E3"/>
            </w:tcBorders>
            <w:shd w:val="clear" w:color="auto" w:fill="FDFDFD"/>
          </w:tcPr>
          <w:p>
            <w:pPr>
              <w:spacing w:after="0"/>
              <w:rPr>
                <w:sz w:val="17"/>
                <w:szCs w:val="17"/>
                <w:color w:val="auto"/>
              </w:rPr>
            </w:pPr>
          </w:p>
        </w:tc>
        <w:tc>
          <w:tcPr>
            <w:tcW w:w="140" w:type="dxa"/>
            <w:vAlign w:val="bottom"/>
            <w:tcBorders>
              <w:bottom w:val="single" w:sz="8" w:color="auto"/>
            </w:tcBorders>
            <w:shd w:val="clear" w:color="auto" w:fill="FDFDFD"/>
          </w:tcPr>
          <w:p>
            <w:pPr>
              <w:spacing w:after="0"/>
              <w:rPr>
                <w:sz w:val="17"/>
                <w:szCs w:val="17"/>
                <w:color w:val="auto"/>
              </w:rPr>
            </w:pPr>
          </w:p>
        </w:tc>
        <w:tc>
          <w:tcPr>
            <w:tcW w:w="1140" w:type="dxa"/>
            <w:vAlign w:val="bottom"/>
            <w:tcBorders>
              <w:bottom w:val="single" w:sz="8" w:color="auto"/>
            </w:tcBorders>
            <w:shd w:val="clear" w:color="auto" w:fill="FDFDFD"/>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3E3E3"/>
            </w:tcBorders>
            <w:shd w:val="clear" w:color="auto" w:fill="FDFDFD"/>
          </w:tcPr>
          <w:p>
            <w:pPr>
              <w:spacing w:after="0"/>
              <w:rPr>
                <w:sz w:val="17"/>
                <w:szCs w:val="17"/>
                <w:color w:val="auto"/>
              </w:rPr>
            </w:pPr>
          </w:p>
        </w:tc>
      </w:tr>
      <w:tr>
        <w:trPr>
          <w:trHeight w:val="234"/>
        </w:trPr>
        <w:tc>
          <w:tcPr>
            <w:tcW w:w="60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14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10,352</w:t>
            </w:r>
          </w:p>
        </w:tc>
        <w:tc>
          <w:tcPr>
            <w:tcW w:w="22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2,250</w:t>
            </w:r>
          </w:p>
        </w:tc>
        <w:tc>
          <w:tcPr>
            <w:tcW w:w="80" w:type="dxa"/>
            <w:vAlign w:val="bottom"/>
            <w:shd w:val="clear" w:color="auto" w:fill="E3E3E3"/>
          </w:tcPr>
          <w:p>
            <w:pPr>
              <w:spacing w:after="0"/>
              <w:rPr>
                <w:sz w:val="20"/>
                <w:szCs w:val="20"/>
                <w:color w:val="auto"/>
              </w:rPr>
            </w:pPr>
          </w:p>
        </w:tc>
      </w:tr>
      <w:tr>
        <w:trPr>
          <w:trHeight w:val="244"/>
        </w:trPr>
        <w:tc>
          <w:tcPr>
            <w:tcW w:w="60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Additions</w:t>
            </w:r>
          </w:p>
        </w:tc>
        <w:tc>
          <w:tcPr>
            <w:tcW w:w="14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7,800</w:t>
            </w:r>
          </w:p>
        </w:tc>
        <w:tc>
          <w:tcPr>
            <w:tcW w:w="80" w:type="dxa"/>
            <w:vAlign w:val="bottom"/>
            <w:shd w:val="clear" w:color="auto" w:fill="FDFDFD"/>
          </w:tcPr>
          <w:p>
            <w:pPr>
              <w:spacing w:after="0"/>
              <w:rPr>
                <w:sz w:val="21"/>
                <w:szCs w:val="21"/>
                <w:color w:val="auto"/>
              </w:rPr>
            </w:pPr>
          </w:p>
        </w:tc>
      </w:tr>
      <w:tr>
        <w:trPr>
          <w:trHeight w:val="244"/>
        </w:trPr>
        <w:tc>
          <w:tcPr>
            <w:tcW w:w="60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Net change in fair value and other adjustments</w:t>
            </w:r>
          </w:p>
        </w:tc>
        <w:tc>
          <w:tcPr>
            <w:tcW w:w="14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3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(1,780)</w:t>
            </w:r>
          </w:p>
        </w:tc>
        <w:tc>
          <w:tcPr>
            <w:tcW w:w="140" w:type="dxa"/>
            <w:vAlign w:val="bottom"/>
            <w:shd w:val="clear" w:color="auto" w:fill="E3E3E3"/>
          </w:tcPr>
          <w:p>
            <w:pPr>
              <w:spacing w:after="0"/>
              <w:rPr>
                <w:sz w:val="21"/>
                <w:szCs w:val="21"/>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80" w:type="dxa"/>
            <w:vAlign w:val="bottom"/>
            <w:shd w:val="clear" w:color="auto" w:fill="E3E3E3"/>
          </w:tcPr>
          <w:p>
            <w:pPr>
              <w:spacing w:after="0"/>
              <w:rPr>
                <w:sz w:val="21"/>
                <w:szCs w:val="21"/>
                <w:color w:val="auto"/>
              </w:rPr>
            </w:pPr>
          </w:p>
        </w:tc>
      </w:tr>
      <w:tr>
        <w:trPr>
          <w:trHeight w:val="244"/>
        </w:trPr>
        <w:tc>
          <w:tcPr>
            <w:tcW w:w="60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Payments</w:t>
            </w:r>
          </w:p>
        </w:tc>
        <w:tc>
          <w:tcPr>
            <w:tcW w:w="14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3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20"/>
                <w:szCs w:val="20"/>
                <w:color w:val="auto"/>
              </w:rPr>
              <w:t>(1,602)</w:t>
            </w:r>
          </w:p>
        </w:tc>
        <w:tc>
          <w:tcPr>
            <w:tcW w:w="140" w:type="dxa"/>
            <w:vAlign w:val="bottom"/>
            <w:shd w:val="clear" w:color="auto" w:fill="FDFDFD"/>
          </w:tcPr>
          <w:p>
            <w:pPr>
              <w:spacing w:after="0"/>
              <w:rPr>
                <w:sz w:val="21"/>
                <w:szCs w:val="21"/>
                <w:color w:val="auto"/>
              </w:rPr>
            </w:pPr>
          </w:p>
        </w:tc>
        <w:tc>
          <w:tcPr>
            <w:tcW w:w="122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608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Balance at end of year</w:t>
            </w:r>
          </w:p>
        </w:tc>
        <w:tc>
          <w:tcPr>
            <w:tcW w:w="14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6,970</w:t>
            </w:r>
          </w:p>
        </w:tc>
        <w:tc>
          <w:tcPr>
            <w:tcW w:w="22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10,352</w:t>
            </w:r>
          </w:p>
        </w:tc>
        <w:tc>
          <w:tcPr>
            <w:tcW w:w="80" w:type="dxa"/>
            <w:vAlign w:val="bottom"/>
            <w:tcBorders>
              <w:top w:val="single" w:sz="8" w:color="E3E3E3"/>
            </w:tcBorders>
            <w:shd w:val="clear" w:color="auto" w:fill="E3E3E3"/>
          </w:tcPr>
          <w:p>
            <w:pPr>
              <w:spacing w:after="0"/>
              <w:rPr>
                <w:sz w:val="20"/>
                <w:szCs w:val="20"/>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Non-recurring fair value measurements</w:t>
      </w:r>
    </w:p>
    <w:p>
      <w:pPr>
        <w:spacing w:after="0" w:line="118" w:lineRule="exact"/>
        <w:rPr>
          <w:sz w:val="20"/>
          <w:szCs w:val="20"/>
          <w:color w:val="auto"/>
        </w:rPr>
      </w:pPr>
    </w:p>
    <w:p>
      <w:pPr>
        <w:ind w:right="100" w:firstLine="490"/>
        <w:spacing w:after="0" w:line="266" w:lineRule="auto"/>
        <w:rPr>
          <w:sz w:val="20"/>
          <w:szCs w:val="20"/>
          <w:color w:val="auto"/>
        </w:rPr>
      </w:pPr>
      <w:r>
        <w:rPr>
          <w:rFonts w:ascii="Times New Roman" w:cs="Times New Roman" w:eastAsia="Times New Roman" w:hAnsi="Times New Roman"/>
          <w:sz w:val="19"/>
          <w:szCs w:val="19"/>
          <w:color w:val="auto"/>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cs="Times New Roman" w:eastAsia="Times New Roman" w:hAnsi="Times New Roman"/>
          <w:sz w:val="19"/>
          <w:szCs w:val="19"/>
          <w:i w:val="1"/>
          <w:iCs w:val="1"/>
          <w:color w:val="auto"/>
        </w:rPr>
        <w:t>Summary of Significant Accounting Policies.</w:t>
      </w:r>
    </w:p>
    <w:p>
      <w:pPr>
        <w:spacing w:after="0" w:line="5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 xml:space="preserve">The Company performed interim goodwill impairment tests on three occasions during the year ended December 31, 2024 and concluded in each case that the carrying value of its single reporting unit exceeded its fair value. Accordingly, the Company recorded $688.9 million in non-cash goodwill impairment charges during the year ended December 31, 2024. The Company performed an interim goodwill impairment test during the third quarter of 2023 and concluded that the carrying value of its single reporting unit exceeded its fair value and recorded a $287.4 million non-cash goodwill impairment charge for the year ended December 31, 2023. For further discussion about the impairment testing of assets not measured at fair value on a recurring basis, see Note 9. </w:t>
      </w:r>
      <w:r>
        <w:rPr>
          <w:rFonts w:ascii="Times New Roman" w:cs="Times New Roman" w:eastAsia="Times New Roman" w:hAnsi="Times New Roman"/>
          <w:sz w:val="20"/>
          <w:szCs w:val="20"/>
          <w:i w:val="1"/>
          <w:iCs w:val="1"/>
          <w:color w:val="auto"/>
        </w:rPr>
        <w:t>Goodwill and Intangible Assets</w:t>
      </w:r>
      <w:r>
        <w:rPr>
          <w:rFonts w:ascii="Times New Roman" w:cs="Times New Roman" w:eastAsia="Times New Roman" w:hAnsi="Times New Roman"/>
          <w:sz w:val="20"/>
          <w:szCs w:val="20"/>
          <w:color w:val="auto"/>
        </w:rPr>
        <w:t>.</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At December 31, 2024 and 2023, assets and liabilities measured at fair value on a recurring basis were as follows:</w:t>
      </w:r>
    </w:p>
    <w:p>
      <w:pPr>
        <w:spacing w:after="0" w:line="256"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376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FDFDFD"/>
            </w:tcBorders>
            <w:shd w:val="clear" w:color="auto" w:fill="FDFDFD"/>
          </w:tcPr>
          <w:p>
            <w:pPr>
              <w:spacing w:after="0"/>
              <w:rPr>
                <w:sz w:val="17"/>
                <w:szCs w:val="17"/>
                <w:color w:val="auto"/>
              </w:rPr>
            </w:pPr>
          </w:p>
        </w:tc>
        <w:tc>
          <w:tcPr>
            <w:tcW w:w="280" w:type="dxa"/>
            <w:vAlign w:val="bottom"/>
            <w:tcBorders>
              <w:bottom w:val="single" w:sz="8" w:color="auto"/>
            </w:tcBorders>
            <w:shd w:val="clear" w:color="auto" w:fill="FDFDFD"/>
          </w:tcPr>
          <w:p>
            <w:pPr>
              <w:spacing w:after="0"/>
              <w:rPr>
                <w:sz w:val="17"/>
                <w:szCs w:val="17"/>
                <w:color w:val="auto"/>
              </w:rPr>
            </w:pPr>
          </w:p>
        </w:tc>
        <w:tc>
          <w:tcPr>
            <w:tcW w:w="980" w:type="dxa"/>
            <w:vAlign w:val="bottom"/>
            <w:tcBorders>
              <w:bottom w:val="single" w:sz="8" w:color="auto"/>
            </w:tcBorders>
            <w:shd w:val="clear" w:color="auto" w:fill="FDFDFD"/>
          </w:tcPr>
          <w:p>
            <w:pPr>
              <w:spacing w:after="0"/>
              <w:rPr>
                <w:sz w:val="17"/>
                <w:szCs w:val="17"/>
                <w:color w:val="auto"/>
              </w:rPr>
            </w:pPr>
          </w:p>
        </w:tc>
        <w:tc>
          <w:tcPr>
            <w:tcW w:w="240" w:type="dxa"/>
            <w:vAlign w:val="bottom"/>
            <w:tcBorders>
              <w:bottom w:val="single" w:sz="8" w:color="auto"/>
            </w:tcBorders>
            <w:shd w:val="clear" w:color="auto" w:fill="FDFDFD"/>
          </w:tcPr>
          <w:p>
            <w:pPr>
              <w:spacing w:after="0"/>
              <w:rPr>
                <w:sz w:val="17"/>
                <w:szCs w:val="17"/>
                <w:color w:val="auto"/>
              </w:rPr>
            </w:pPr>
          </w:p>
        </w:tc>
        <w:tc>
          <w:tcPr>
            <w:tcW w:w="240" w:type="dxa"/>
            <w:vAlign w:val="bottom"/>
            <w:tcBorders>
              <w:bottom w:val="single" w:sz="8" w:color="auto"/>
            </w:tcBorders>
            <w:shd w:val="clear" w:color="auto" w:fill="FDFDFD"/>
          </w:tcPr>
          <w:p>
            <w:pPr>
              <w:spacing w:after="0"/>
              <w:rPr>
                <w:sz w:val="17"/>
                <w:szCs w:val="17"/>
                <w:color w:val="auto"/>
              </w:rPr>
            </w:pPr>
          </w:p>
        </w:tc>
        <w:tc>
          <w:tcPr>
            <w:tcW w:w="2960" w:type="dxa"/>
            <w:vAlign w:val="bottom"/>
            <w:tcBorders>
              <w:bottom w:val="single" w:sz="8" w:color="auto"/>
            </w:tcBorders>
            <w:gridSpan w:val="6"/>
            <w:shd w:val="clear" w:color="auto" w:fill="FDFDFD"/>
          </w:tcPr>
          <w:p>
            <w:pPr>
              <w:ind w:left="28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02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60" w:type="dxa"/>
            <w:vAlign w:val="bottom"/>
            <w:tcBorders>
              <w:bottom w:val="single" w:sz="8" w:color="E3E3E3"/>
            </w:tcBorders>
            <w:vMerge w:val="continue"/>
            <w:shd w:val="clear" w:color="auto" w:fill="FDFDFD"/>
          </w:tcPr>
          <w:p>
            <w:pPr>
              <w:spacing w:after="0"/>
              <w:rPr>
                <w:sz w:val="16"/>
                <w:szCs w:val="16"/>
                <w:color w:val="auto"/>
              </w:rPr>
            </w:pPr>
          </w:p>
        </w:tc>
        <w:tc>
          <w:tcPr>
            <w:tcW w:w="140" w:type="dxa"/>
            <w:vAlign w:val="bottom"/>
            <w:tcBorders>
              <w:bottom w:val="single" w:sz="8" w:color="E3E3E3"/>
            </w:tcBorders>
            <w:shd w:val="clear" w:color="auto" w:fill="FDFDFD"/>
          </w:tcPr>
          <w:p>
            <w:pPr>
              <w:spacing w:after="0"/>
              <w:rPr>
                <w:sz w:val="16"/>
                <w:szCs w:val="16"/>
                <w:color w:val="auto"/>
              </w:rPr>
            </w:pPr>
          </w:p>
        </w:tc>
        <w:tc>
          <w:tcPr>
            <w:tcW w:w="280" w:type="dxa"/>
            <w:vAlign w:val="bottom"/>
            <w:tcBorders>
              <w:bottom w:val="single" w:sz="8" w:color="auto"/>
            </w:tcBorders>
            <w:shd w:val="clear" w:color="auto" w:fill="FDFDFD"/>
          </w:tcPr>
          <w:p>
            <w:pPr>
              <w:spacing w:after="0"/>
              <w:rPr>
                <w:sz w:val="16"/>
                <w:szCs w:val="16"/>
                <w:color w:val="auto"/>
              </w:rPr>
            </w:pPr>
          </w:p>
        </w:tc>
        <w:tc>
          <w:tcPr>
            <w:tcW w:w="980" w:type="dxa"/>
            <w:vAlign w:val="bottom"/>
            <w:tcBorders>
              <w:bottom w:val="single" w:sz="8" w:color="auto"/>
            </w:tcBorders>
            <w:shd w:val="clear" w:color="auto" w:fill="FDFDFD"/>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E3E3E3"/>
            </w:tcBorders>
            <w:shd w:val="clear" w:color="auto" w:fill="FDFDFD"/>
          </w:tcPr>
          <w:p>
            <w:pPr>
              <w:spacing w:after="0"/>
              <w:rPr>
                <w:sz w:val="16"/>
                <w:szCs w:val="16"/>
                <w:color w:val="auto"/>
              </w:rPr>
            </w:pPr>
          </w:p>
        </w:tc>
        <w:tc>
          <w:tcPr>
            <w:tcW w:w="240" w:type="dxa"/>
            <w:vAlign w:val="bottom"/>
            <w:tcBorders>
              <w:bottom w:val="single" w:sz="8" w:color="auto"/>
            </w:tcBorders>
            <w:shd w:val="clear" w:color="auto" w:fill="FDFDFD"/>
          </w:tcPr>
          <w:p>
            <w:pPr>
              <w:spacing w:after="0"/>
              <w:rPr>
                <w:sz w:val="16"/>
                <w:szCs w:val="16"/>
                <w:color w:val="auto"/>
              </w:rPr>
            </w:pPr>
          </w:p>
        </w:tc>
        <w:tc>
          <w:tcPr>
            <w:tcW w:w="1000" w:type="dxa"/>
            <w:vAlign w:val="bottom"/>
            <w:tcBorders>
              <w:bottom w:val="single" w:sz="8" w:color="auto"/>
            </w:tcBorders>
            <w:shd w:val="clear" w:color="auto" w:fill="FDFDFD"/>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bottom w:val="single" w:sz="8" w:color="E3E3E3"/>
            </w:tcBorders>
            <w:shd w:val="clear" w:color="auto" w:fill="FDFDFD"/>
          </w:tcPr>
          <w:p>
            <w:pPr>
              <w:spacing w:after="0"/>
              <w:rPr>
                <w:sz w:val="16"/>
                <w:szCs w:val="16"/>
                <w:color w:val="auto"/>
              </w:rPr>
            </w:pPr>
          </w:p>
        </w:tc>
        <w:tc>
          <w:tcPr>
            <w:tcW w:w="240" w:type="dxa"/>
            <w:vAlign w:val="bottom"/>
            <w:tcBorders>
              <w:bottom w:val="single" w:sz="8" w:color="auto"/>
            </w:tcBorders>
            <w:shd w:val="clear" w:color="auto" w:fill="FDFDFD"/>
          </w:tcPr>
          <w:p>
            <w:pPr>
              <w:spacing w:after="0"/>
              <w:rPr>
                <w:sz w:val="16"/>
                <w:szCs w:val="16"/>
                <w:color w:val="auto"/>
              </w:rPr>
            </w:pPr>
          </w:p>
        </w:tc>
        <w:tc>
          <w:tcPr>
            <w:tcW w:w="1020" w:type="dxa"/>
            <w:vAlign w:val="bottom"/>
            <w:tcBorders>
              <w:bottom w:val="single" w:sz="8" w:color="auto"/>
            </w:tcBorders>
            <w:shd w:val="clear" w:color="auto" w:fill="FDFDFD"/>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Borders>
              <w:bottom w:val="single" w:sz="8" w:color="E3E3E3"/>
            </w:tcBorders>
            <w:shd w:val="clear" w:color="auto" w:fill="FDFDFD"/>
          </w:tcPr>
          <w:p>
            <w:pPr>
              <w:spacing w:after="0"/>
              <w:rPr>
                <w:sz w:val="16"/>
                <w:szCs w:val="16"/>
                <w:color w:val="auto"/>
              </w:rPr>
            </w:pPr>
          </w:p>
        </w:tc>
        <w:tc>
          <w:tcPr>
            <w:tcW w:w="220" w:type="dxa"/>
            <w:vAlign w:val="bottom"/>
            <w:tcBorders>
              <w:bottom w:val="single" w:sz="8" w:color="auto"/>
            </w:tcBorders>
            <w:shd w:val="clear" w:color="auto" w:fill="FDFDFD"/>
          </w:tcPr>
          <w:p>
            <w:pPr>
              <w:spacing w:after="0"/>
              <w:rPr>
                <w:sz w:val="16"/>
                <w:szCs w:val="16"/>
                <w:color w:val="auto"/>
              </w:rPr>
            </w:pPr>
          </w:p>
        </w:tc>
        <w:tc>
          <w:tcPr>
            <w:tcW w:w="1020" w:type="dxa"/>
            <w:vAlign w:val="bottom"/>
            <w:tcBorders>
              <w:bottom w:val="single" w:sz="8" w:color="auto"/>
            </w:tcBorders>
            <w:shd w:val="clear" w:color="auto" w:fill="FDFDFD"/>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bottom w:val="single" w:sz="8" w:color="E3E3E3"/>
            </w:tcBorders>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Assets:</w:t>
            </w:r>
          </w:p>
        </w:tc>
        <w:tc>
          <w:tcPr>
            <w:tcW w:w="140" w:type="dxa"/>
            <w:vAlign w:val="bottom"/>
            <w:shd w:val="clear" w:color="auto" w:fill="E3E3E3"/>
          </w:tcPr>
          <w:p>
            <w:pPr>
              <w:spacing w:after="0"/>
              <w:rPr>
                <w:sz w:val="20"/>
                <w:szCs w:val="20"/>
                <w:color w:val="auto"/>
              </w:rPr>
            </w:pPr>
          </w:p>
        </w:tc>
        <w:tc>
          <w:tcPr>
            <w:tcW w:w="280" w:type="dxa"/>
            <w:vAlign w:val="bottom"/>
            <w:shd w:val="clear" w:color="auto" w:fill="E3E3E3"/>
          </w:tcPr>
          <w:p>
            <w:pPr>
              <w:spacing w:after="0"/>
              <w:rPr>
                <w:sz w:val="20"/>
                <w:szCs w:val="20"/>
                <w:color w:val="auto"/>
              </w:rPr>
            </w:pPr>
          </w:p>
        </w:tc>
        <w:tc>
          <w:tcPr>
            <w:tcW w:w="98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100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102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0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40" w:type="dxa"/>
            <w:vAlign w:val="bottom"/>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98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0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2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102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Money market funds</w:t>
            </w:r>
          </w:p>
        </w:tc>
        <w:tc>
          <w:tcPr>
            <w:tcW w:w="420" w:type="dxa"/>
            <w:vAlign w:val="bottom"/>
            <w:gridSpan w:val="2"/>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63,389</w:t>
            </w:r>
          </w:p>
        </w:tc>
        <w:tc>
          <w:tcPr>
            <w:tcW w:w="48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63,389</w:t>
            </w:r>
          </w:p>
        </w:tc>
        <w:tc>
          <w:tcPr>
            <w:tcW w:w="48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gridSpan w:val="3"/>
            <w:shd w:val="clear" w:color="auto" w:fill="E3E3E3"/>
          </w:tcPr>
          <w:p>
            <w:pPr>
              <w:ind w:left="800"/>
              <w:spacing w:after="0"/>
              <w:rPr>
                <w:sz w:val="20"/>
                <w:szCs w:val="20"/>
                <w:color w:val="auto"/>
              </w:rPr>
            </w:pPr>
            <w:r>
              <w:rPr>
                <w:rFonts w:ascii="Times New Roman" w:cs="Times New Roman" w:eastAsia="Times New Roman" w:hAnsi="Times New Roman"/>
                <w:sz w:val="20"/>
                <w:szCs w:val="20"/>
                <w:color w:val="auto"/>
              </w:rPr>
              <w:t>—   $</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FDFDFD"/>
          </w:tcPr>
          <w:p>
            <w:pPr>
              <w:ind w:left="400"/>
              <w:spacing w:after="0" w:line="223" w:lineRule="exact"/>
              <w:rPr>
                <w:sz w:val="20"/>
                <w:szCs w:val="20"/>
                <w:color w:val="auto"/>
              </w:rPr>
            </w:pPr>
            <w:r>
              <w:rPr>
                <w:rFonts w:ascii="Times New Roman" w:cs="Times New Roman" w:eastAsia="Times New Roman" w:hAnsi="Times New Roman"/>
                <w:sz w:val="20"/>
                <w:szCs w:val="20"/>
                <w:color w:val="auto"/>
              </w:rPr>
              <w:t>Commercial paper (maturities less than</w:t>
            </w:r>
          </w:p>
        </w:tc>
        <w:tc>
          <w:tcPr>
            <w:tcW w:w="14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8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00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76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90 days)</w:t>
            </w:r>
          </w:p>
        </w:tc>
        <w:tc>
          <w:tcPr>
            <w:tcW w:w="140" w:type="dxa"/>
            <w:vAlign w:val="bottom"/>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4,997</w:t>
            </w: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4,997</w:t>
            </w:r>
          </w:p>
        </w:tc>
        <w:tc>
          <w:tcPr>
            <w:tcW w:w="24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Short-term investments:</w:t>
            </w:r>
          </w:p>
        </w:tc>
        <w:tc>
          <w:tcPr>
            <w:tcW w:w="14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98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U.S. treasuries</w:t>
            </w:r>
          </w:p>
        </w:tc>
        <w:tc>
          <w:tcPr>
            <w:tcW w:w="140" w:type="dxa"/>
            <w:vAlign w:val="bottom"/>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24,486</w:t>
            </w: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24,486</w:t>
            </w:r>
          </w:p>
        </w:tc>
        <w:tc>
          <w:tcPr>
            <w:tcW w:w="24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Commercial paper</w:t>
            </w:r>
          </w:p>
        </w:tc>
        <w:tc>
          <w:tcPr>
            <w:tcW w:w="14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127,682</w:t>
            </w:r>
          </w:p>
        </w:tc>
        <w:tc>
          <w:tcPr>
            <w:tcW w:w="2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127,682</w:t>
            </w:r>
          </w:p>
        </w:tc>
        <w:tc>
          <w:tcPr>
            <w:tcW w:w="24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Certificates of deposit</w:t>
            </w:r>
          </w:p>
        </w:tc>
        <w:tc>
          <w:tcPr>
            <w:tcW w:w="140" w:type="dxa"/>
            <w:vAlign w:val="bottom"/>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32,618</w:t>
            </w: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32,618</w:t>
            </w:r>
          </w:p>
        </w:tc>
        <w:tc>
          <w:tcPr>
            <w:tcW w:w="24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4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98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Interest rate swap contracts</w:t>
            </w:r>
          </w:p>
        </w:tc>
        <w:tc>
          <w:tcPr>
            <w:tcW w:w="140" w:type="dxa"/>
            <w:vAlign w:val="bottom"/>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24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4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98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140" w:type="dxa"/>
            <w:vAlign w:val="bottom"/>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98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0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2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102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Contingent consideration</w:t>
            </w:r>
          </w:p>
        </w:tc>
        <w:tc>
          <w:tcPr>
            <w:tcW w:w="14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2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480" w:type="dxa"/>
            <w:vAlign w:val="bottom"/>
            <w:gridSpan w:val="3"/>
            <w:shd w:val="clear" w:color="auto" w:fill="E3E3E3"/>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Other liabilities:</w:t>
            </w:r>
          </w:p>
        </w:tc>
        <w:tc>
          <w:tcPr>
            <w:tcW w:w="140" w:type="dxa"/>
            <w:vAlign w:val="bottom"/>
            <w:shd w:val="clear" w:color="auto" w:fill="FDFDFD"/>
          </w:tcPr>
          <w:p>
            <w:pPr>
              <w:spacing w:after="0"/>
              <w:rPr>
                <w:sz w:val="21"/>
                <w:szCs w:val="21"/>
                <w:color w:val="auto"/>
              </w:rPr>
            </w:pPr>
          </w:p>
        </w:tc>
        <w:tc>
          <w:tcPr>
            <w:tcW w:w="280" w:type="dxa"/>
            <w:vAlign w:val="bottom"/>
            <w:shd w:val="clear" w:color="auto" w:fill="FDFDFD"/>
          </w:tcPr>
          <w:p>
            <w:pPr>
              <w:spacing w:after="0"/>
              <w:rPr>
                <w:sz w:val="21"/>
                <w:szCs w:val="21"/>
                <w:color w:val="auto"/>
              </w:rPr>
            </w:pPr>
          </w:p>
        </w:tc>
        <w:tc>
          <w:tcPr>
            <w:tcW w:w="98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0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02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102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Contingent consideration</w:t>
            </w:r>
          </w:p>
        </w:tc>
        <w:tc>
          <w:tcPr>
            <w:tcW w:w="14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3,970</w:t>
            </w:r>
          </w:p>
        </w:tc>
        <w:tc>
          <w:tcPr>
            <w:tcW w:w="2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480" w:type="dxa"/>
            <w:vAlign w:val="bottom"/>
            <w:gridSpan w:val="3"/>
            <w:shd w:val="clear" w:color="auto" w:fill="E3E3E3"/>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3,970</w:t>
            </w: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20"/>
          </w:cols>
          <w:pgMar w:left="820" w:top="806"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F-37</w:t>
      </w:r>
    </w:p>
    <w:p>
      <w:pPr>
        <w:sectPr>
          <w:pgSz w:w="11880" w:h="15480" w:orient="portrait"/>
          <w:cols w:equalWidth="0" w:num="1">
            <w:col w:w="10220"/>
          </w:cols>
          <w:pgMar w:left="820" w:top="806" w:right="840" w:bottom="8" w:gutter="0" w:footer="0" w:header="0"/>
          <w:type w:val="continuous"/>
        </w:sectPr>
      </w:pPr>
    </w:p>
    <w:bookmarkStart w:id="129" w:name="page130"/>
    <w:bookmarkEnd w:id="129"/>
    <w:tbl>
      <w:tblPr>
        <w:tblLayout w:type="fixed"/>
        <w:tblInd w:w="260" w:type="dxa"/>
        <w:tblCellMar>
          <w:top w:w="0" w:type="dxa"/>
          <w:left w:w="0" w:type="dxa"/>
          <w:bottom w:w="0" w:type="dxa"/>
          <w:right w:w="0" w:type="dxa"/>
        </w:tblCellMar>
      </w:tblPr>
      <w:tr>
        <w:trPr>
          <w:trHeight w:val="204"/>
        </w:trPr>
        <w:tc>
          <w:tcPr>
            <w:tcW w:w="378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FDFDFD"/>
            </w:tcBorders>
            <w:shd w:val="clear" w:color="auto" w:fill="FDFDFD"/>
          </w:tcPr>
          <w:p>
            <w:pPr>
              <w:spacing w:after="0"/>
              <w:rPr>
                <w:sz w:val="17"/>
                <w:szCs w:val="17"/>
                <w:color w:val="auto"/>
              </w:rPr>
            </w:pPr>
          </w:p>
        </w:tc>
        <w:tc>
          <w:tcPr>
            <w:tcW w:w="260" w:type="dxa"/>
            <w:vAlign w:val="bottom"/>
            <w:tcBorders>
              <w:bottom w:val="single" w:sz="8" w:color="auto"/>
            </w:tcBorders>
            <w:shd w:val="clear" w:color="auto" w:fill="FDFDFD"/>
          </w:tcPr>
          <w:p>
            <w:pPr>
              <w:spacing w:after="0"/>
              <w:rPr>
                <w:sz w:val="17"/>
                <w:szCs w:val="17"/>
                <w:color w:val="auto"/>
              </w:rPr>
            </w:pPr>
          </w:p>
        </w:tc>
        <w:tc>
          <w:tcPr>
            <w:tcW w:w="98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140" w:type="dxa"/>
            <w:vAlign w:val="bottom"/>
            <w:tcBorders>
              <w:bottom w:val="single" w:sz="8" w:color="auto"/>
            </w:tcBorders>
            <w:shd w:val="clear" w:color="auto" w:fill="FDFDFD"/>
          </w:tcPr>
          <w:p>
            <w:pPr>
              <w:spacing w:after="0"/>
              <w:rPr>
                <w:sz w:val="17"/>
                <w:szCs w:val="17"/>
                <w:color w:val="auto"/>
              </w:rPr>
            </w:pPr>
          </w:p>
        </w:tc>
        <w:tc>
          <w:tcPr>
            <w:tcW w:w="240" w:type="dxa"/>
            <w:vAlign w:val="bottom"/>
            <w:tcBorders>
              <w:bottom w:val="single" w:sz="8" w:color="auto"/>
            </w:tcBorders>
            <w:shd w:val="clear" w:color="auto" w:fill="FDFDFD"/>
          </w:tcPr>
          <w:p>
            <w:pPr>
              <w:spacing w:after="0"/>
              <w:rPr>
                <w:sz w:val="17"/>
                <w:szCs w:val="17"/>
                <w:color w:val="auto"/>
              </w:rPr>
            </w:pPr>
          </w:p>
        </w:tc>
        <w:tc>
          <w:tcPr>
            <w:tcW w:w="2980" w:type="dxa"/>
            <w:vAlign w:val="bottom"/>
            <w:tcBorders>
              <w:bottom w:val="single" w:sz="8" w:color="auto"/>
            </w:tcBorders>
            <w:gridSpan w:val="7"/>
            <w:shd w:val="clear" w:color="auto" w:fill="FDFDFD"/>
          </w:tcPr>
          <w:p>
            <w:pPr>
              <w:ind w:left="28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00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780" w:type="dxa"/>
            <w:vAlign w:val="bottom"/>
            <w:tcBorders>
              <w:bottom w:val="single" w:sz="8" w:color="E3E3E3"/>
            </w:tcBorders>
            <w:vMerge w:val="continue"/>
            <w:shd w:val="clear" w:color="auto" w:fill="FDFDFD"/>
          </w:tcPr>
          <w:p>
            <w:pPr>
              <w:spacing w:after="0"/>
              <w:rPr>
                <w:sz w:val="15"/>
                <w:szCs w:val="15"/>
                <w:color w:val="auto"/>
              </w:rPr>
            </w:pPr>
          </w:p>
        </w:tc>
        <w:tc>
          <w:tcPr>
            <w:tcW w:w="140" w:type="dxa"/>
            <w:vAlign w:val="bottom"/>
            <w:tcBorders>
              <w:bottom w:val="single" w:sz="8" w:color="E3E3E3"/>
            </w:tcBorders>
            <w:shd w:val="clear" w:color="auto" w:fill="FDFDFD"/>
          </w:tcPr>
          <w:p>
            <w:pPr>
              <w:spacing w:after="0"/>
              <w:rPr>
                <w:sz w:val="15"/>
                <w:szCs w:val="15"/>
                <w:color w:val="auto"/>
              </w:rPr>
            </w:pPr>
          </w:p>
        </w:tc>
        <w:tc>
          <w:tcPr>
            <w:tcW w:w="260" w:type="dxa"/>
            <w:vAlign w:val="bottom"/>
            <w:tcBorders>
              <w:bottom w:val="single" w:sz="8" w:color="auto"/>
            </w:tcBorders>
            <w:shd w:val="clear" w:color="auto" w:fill="FDFDFD"/>
          </w:tcPr>
          <w:p>
            <w:pPr>
              <w:spacing w:after="0"/>
              <w:rPr>
                <w:sz w:val="15"/>
                <w:szCs w:val="15"/>
                <w:color w:val="auto"/>
              </w:rPr>
            </w:pPr>
          </w:p>
        </w:tc>
        <w:tc>
          <w:tcPr>
            <w:tcW w:w="980" w:type="dxa"/>
            <w:vAlign w:val="bottom"/>
            <w:tcBorders>
              <w:bottom w:val="single" w:sz="8" w:color="auto"/>
            </w:tcBorders>
            <w:shd w:val="clear" w:color="auto" w:fill="FDFDFD"/>
          </w:tcPr>
          <w:p>
            <w:pPr>
              <w:ind w:left="180"/>
              <w:spacing w:after="0" w:line="174"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E3E3E3"/>
            </w:tcBorders>
            <w:shd w:val="clear" w:color="auto" w:fill="FDFDFD"/>
          </w:tcPr>
          <w:p>
            <w:pPr>
              <w:spacing w:after="0"/>
              <w:rPr>
                <w:sz w:val="15"/>
                <w:szCs w:val="15"/>
                <w:color w:val="auto"/>
              </w:rPr>
            </w:pPr>
          </w:p>
        </w:tc>
        <w:tc>
          <w:tcPr>
            <w:tcW w:w="140" w:type="dxa"/>
            <w:vAlign w:val="bottom"/>
            <w:tcBorders>
              <w:bottom w:val="single" w:sz="8" w:color="E3E3E3"/>
            </w:tcBorders>
            <w:shd w:val="clear" w:color="auto" w:fill="FDFDFD"/>
          </w:tcPr>
          <w:p>
            <w:pPr>
              <w:spacing w:after="0"/>
              <w:rPr>
                <w:sz w:val="15"/>
                <w:szCs w:val="15"/>
                <w:color w:val="auto"/>
              </w:rPr>
            </w:pPr>
          </w:p>
        </w:tc>
        <w:tc>
          <w:tcPr>
            <w:tcW w:w="240" w:type="dxa"/>
            <w:vAlign w:val="bottom"/>
            <w:tcBorders>
              <w:bottom w:val="single" w:sz="8" w:color="auto"/>
            </w:tcBorders>
            <w:shd w:val="clear" w:color="auto" w:fill="FDFDFD"/>
          </w:tcPr>
          <w:p>
            <w:pPr>
              <w:spacing w:after="0"/>
              <w:rPr>
                <w:sz w:val="15"/>
                <w:szCs w:val="15"/>
                <w:color w:val="auto"/>
              </w:rPr>
            </w:pPr>
          </w:p>
        </w:tc>
        <w:tc>
          <w:tcPr>
            <w:tcW w:w="1000" w:type="dxa"/>
            <w:vAlign w:val="bottom"/>
            <w:tcBorders>
              <w:bottom w:val="single" w:sz="8" w:color="auto"/>
            </w:tcBorders>
            <w:shd w:val="clear" w:color="auto" w:fill="FDFDFD"/>
          </w:tcPr>
          <w:p>
            <w:pPr>
              <w:ind w:left="140"/>
              <w:spacing w:after="0" w:line="174"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E3E3E3"/>
            </w:tcBorders>
            <w:shd w:val="clear" w:color="auto" w:fill="FDFDFD"/>
          </w:tcPr>
          <w:p>
            <w:pPr>
              <w:spacing w:after="0"/>
              <w:rPr>
                <w:sz w:val="15"/>
                <w:szCs w:val="15"/>
                <w:color w:val="auto"/>
              </w:rPr>
            </w:pPr>
          </w:p>
        </w:tc>
        <w:tc>
          <w:tcPr>
            <w:tcW w:w="160" w:type="dxa"/>
            <w:vAlign w:val="bottom"/>
            <w:tcBorders>
              <w:bottom w:val="single" w:sz="8" w:color="E3E3E3"/>
            </w:tcBorders>
            <w:shd w:val="clear" w:color="auto" w:fill="FDFDFD"/>
          </w:tcPr>
          <w:p>
            <w:pPr>
              <w:spacing w:after="0"/>
              <w:rPr>
                <w:sz w:val="15"/>
                <w:szCs w:val="15"/>
                <w:color w:val="auto"/>
              </w:rPr>
            </w:pPr>
          </w:p>
        </w:tc>
        <w:tc>
          <w:tcPr>
            <w:tcW w:w="220" w:type="dxa"/>
            <w:vAlign w:val="bottom"/>
            <w:tcBorders>
              <w:bottom w:val="single" w:sz="8" w:color="auto"/>
            </w:tcBorders>
            <w:shd w:val="clear" w:color="auto" w:fill="FDFDFD"/>
          </w:tcPr>
          <w:p>
            <w:pPr>
              <w:spacing w:after="0"/>
              <w:rPr>
                <w:sz w:val="15"/>
                <w:szCs w:val="15"/>
                <w:color w:val="auto"/>
              </w:rPr>
            </w:pPr>
          </w:p>
        </w:tc>
        <w:tc>
          <w:tcPr>
            <w:tcW w:w="1020" w:type="dxa"/>
            <w:vAlign w:val="bottom"/>
            <w:tcBorders>
              <w:bottom w:val="single" w:sz="8" w:color="auto"/>
            </w:tcBorders>
            <w:shd w:val="clear" w:color="auto" w:fill="FDFDFD"/>
          </w:tcPr>
          <w:p>
            <w:pPr>
              <w:jc w:val="right"/>
              <w:ind w:right="282"/>
              <w:spacing w:after="0" w:line="174"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Borders>
              <w:bottom w:val="single" w:sz="8" w:color="E3E3E3"/>
            </w:tcBorders>
            <w:shd w:val="clear" w:color="auto" w:fill="FDFDFD"/>
          </w:tcPr>
          <w:p>
            <w:pPr>
              <w:spacing w:after="0"/>
              <w:rPr>
                <w:sz w:val="15"/>
                <w:szCs w:val="15"/>
                <w:color w:val="auto"/>
              </w:rPr>
            </w:pPr>
          </w:p>
        </w:tc>
        <w:tc>
          <w:tcPr>
            <w:tcW w:w="240" w:type="dxa"/>
            <w:vAlign w:val="bottom"/>
            <w:tcBorders>
              <w:bottom w:val="single" w:sz="8" w:color="auto"/>
            </w:tcBorders>
            <w:shd w:val="clear" w:color="auto" w:fill="FDFDFD"/>
          </w:tcPr>
          <w:p>
            <w:pPr>
              <w:spacing w:after="0"/>
              <w:rPr>
                <w:sz w:val="15"/>
                <w:szCs w:val="15"/>
                <w:color w:val="auto"/>
              </w:rPr>
            </w:pPr>
          </w:p>
        </w:tc>
        <w:tc>
          <w:tcPr>
            <w:tcW w:w="1000" w:type="dxa"/>
            <w:vAlign w:val="bottom"/>
            <w:tcBorders>
              <w:bottom w:val="single" w:sz="8" w:color="auto"/>
            </w:tcBorders>
            <w:shd w:val="clear" w:color="auto" w:fill="FDFDFD"/>
          </w:tcPr>
          <w:p>
            <w:pPr>
              <w:jc w:val="right"/>
              <w:ind w:right="282"/>
              <w:spacing w:after="0" w:line="174" w:lineRule="exact"/>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bottom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Assets:</w:t>
            </w:r>
          </w:p>
        </w:tc>
        <w:tc>
          <w:tcPr>
            <w:tcW w:w="14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9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4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9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0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0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Money market funds</w:t>
            </w:r>
          </w:p>
        </w:tc>
        <w:tc>
          <w:tcPr>
            <w:tcW w:w="4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87,869</w:t>
            </w:r>
          </w:p>
        </w:tc>
        <w:tc>
          <w:tcPr>
            <w:tcW w:w="38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87,869</w:t>
            </w:r>
          </w:p>
        </w:tc>
        <w:tc>
          <w:tcPr>
            <w:tcW w:w="38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gridSpan w:val="3"/>
            <w:shd w:val="clear" w:color="auto" w:fill="E3E3E3"/>
          </w:tcPr>
          <w:p>
            <w:pPr>
              <w:ind w:left="820"/>
              <w:spacing w:after="0"/>
              <w:rPr>
                <w:sz w:val="20"/>
                <w:szCs w:val="20"/>
                <w:color w:val="auto"/>
              </w:rPr>
            </w:pPr>
            <w:r>
              <w:rPr>
                <w:rFonts w:ascii="Times New Roman" w:cs="Times New Roman" w:eastAsia="Times New Roman" w:hAnsi="Times New Roman"/>
                <w:sz w:val="20"/>
                <w:szCs w:val="20"/>
                <w:color w:val="auto"/>
              </w:rPr>
              <w:t>—   $</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FDFDFD"/>
          </w:tcPr>
          <w:p>
            <w:pPr>
              <w:ind w:left="400"/>
              <w:spacing w:after="0" w:line="208" w:lineRule="exact"/>
              <w:rPr>
                <w:sz w:val="20"/>
                <w:szCs w:val="20"/>
                <w:color w:val="auto"/>
              </w:rPr>
            </w:pPr>
            <w:r>
              <w:rPr>
                <w:rFonts w:ascii="Times New Roman" w:cs="Times New Roman" w:eastAsia="Times New Roman" w:hAnsi="Times New Roman"/>
                <w:sz w:val="20"/>
                <w:szCs w:val="20"/>
                <w:color w:val="auto"/>
              </w:rPr>
              <w:t>Commercial paper (maturities less than</w:t>
            </w:r>
          </w:p>
        </w:tc>
        <w:tc>
          <w:tcPr>
            <w:tcW w:w="140" w:type="dxa"/>
            <w:vAlign w:val="bottom"/>
            <w:shd w:val="clear" w:color="auto" w:fill="FDFDFD"/>
          </w:tcPr>
          <w:p>
            <w:pPr>
              <w:spacing w:after="0"/>
              <w:rPr>
                <w:sz w:val="18"/>
                <w:szCs w:val="18"/>
                <w:color w:val="auto"/>
              </w:rPr>
            </w:pPr>
          </w:p>
        </w:tc>
        <w:tc>
          <w:tcPr>
            <w:tcW w:w="260" w:type="dxa"/>
            <w:vAlign w:val="bottom"/>
            <w:shd w:val="clear" w:color="auto" w:fill="FDFDFD"/>
          </w:tcPr>
          <w:p>
            <w:pPr>
              <w:spacing w:after="0"/>
              <w:rPr>
                <w:sz w:val="18"/>
                <w:szCs w:val="18"/>
                <w:color w:val="auto"/>
              </w:rPr>
            </w:pPr>
          </w:p>
        </w:tc>
        <w:tc>
          <w:tcPr>
            <w:tcW w:w="98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240" w:type="dxa"/>
            <w:vAlign w:val="bottom"/>
            <w:shd w:val="clear" w:color="auto" w:fill="FDFDFD"/>
          </w:tcPr>
          <w:p>
            <w:pPr>
              <w:spacing w:after="0"/>
              <w:rPr>
                <w:sz w:val="18"/>
                <w:szCs w:val="18"/>
                <w:color w:val="auto"/>
              </w:rPr>
            </w:pPr>
          </w:p>
        </w:tc>
        <w:tc>
          <w:tcPr>
            <w:tcW w:w="100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60" w:type="dxa"/>
            <w:vAlign w:val="bottom"/>
            <w:shd w:val="clear" w:color="auto" w:fill="FDFDFD"/>
          </w:tcPr>
          <w:p>
            <w:pPr>
              <w:spacing w:after="0"/>
              <w:rPr>
                <w:sz w:val="18"/>
                <w:szCs w:val="18"/>
                <w:color w:val="auto"/>
              </w:rPr>
            </w:pPr>
          </w:p>
        </w:tc>
        <w:tc>
          <w:tcPr>
            <w:tcW w:w="220" w:type="dxa"/>
            <w:vAlign w:val="bottom"/>
            <w:shd w:val="clear" w:color="auto" w:fill="FDFDFD"/>
          </w:tcPr>
          <w:p>
            <w:pPr>
              <w:spacing w:after="0"/>
              <w:rPr>
                <w:sz w:val="18"/>
                <w:szCs w:val="18"/>
                <w:color w:val="auto"/>
              </w:rPr>
            </w:pPr>
          </w:p>
        </w:tc>
        <w:tc>
          <w:tcPr>
            <w:tcW w:w="1020" w:type="dxa"/>
            <w:vAlign w:val="bottom"/>
            <w:shd w:val="clear" w:color="auto" w:fill="FDFDFD"/>
          </w:tcPr>
          <w:p>
            <w:pPr>
              <w:spacing w:after="0"/>
              <w:rPr>
                <w:sz w:val="18"/>
                <w:szCs w:val="18"/>
                <w:color w:val="auto"/>
              </w:rPr>
            </w:pPr>
          </w:p>
        </w:tc>
        <w:tc>
          <w:tcPr>
            <w:tcW w:w="240" w:type="dxa"/>
            <w:vAlign w:val="bottom"/>
            <w:shd w:val="clear" w:color="auto" w:fill="FDFDFD"/>
          </w:tcPr>
          <w:p>
            <w:pPr>
              <w:spacing w:after="0"/>
              <w:rPr>
                <w:sz w:val="18"/>
                <w:szCs w:val="18"/>
                <w:color w:val="auto"/>
              </w:rPr>
            </w:pPr>
          </w:p>
        </w:tc>
        <w:tc>
          <w:tcPr>
            <w:tcW w:w="240" w:type="dxa"/>
            <w:vAlign w:val="bottom"/>
            <w:shd w:val="clear" w:color="auto" w:fill="FDFDFD"/>
          </w:tcPr>
          <w:p>
            <w:pPr>
              <w:spacing w:after="0"/>
              <w:rPr>
                <w:sz w:val="18"/>
                <w:szCs w:val="18"/>
                <w:color w:val="auto"/>
              </w:rPr>
            </w:pPr>
          </w:p>
        </w:tc>
        <w:tc>
          <w:tcPr>
            <w:tcW w:w="100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78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90 days)</w:t>
            </w:r>
          </w:p>
        </w:tc>
        <w:tc>
          <w:tcPr>
            <w:tcW w:w="140" w:type="dxa"/>
            <w:vAlign w:val="bottom"/>
            <w:shd w:val="clear" w:color="auto" w:fill="FDFDFD"/>
          </w:tcPr>
          <w:p>
            <w:pPr>
              <w:spacing w:after="0"/>
              <w:rPr>
                <w:sz w:val="21"/>
                <w:szCs w:val="21"/>
                <w:color w:val="auto"/>
              </w:rPr>
            </w:pPr>
          </w:p>
        </w:tc>
        <w:tc>
          <w:tcPr>
            <w:tcW w:w="260" w:type="dxa"/>
            <w:vAlign w:val="bottom"/>
            <w:shd w:val="clear" w:color="auto" w:fill="FDFDFD"/>
          </w:tcPr>
          <w:p>
            <w:pPr>
              <w:spacing w:after="0"/>
              <w:rPr>
                <w:sz w:val="21"/>
                <w:szCs w:val="21"/>
                <w:color w:val="auto"/>
              </w:rPr>
            </w:pPr>
          </w:p>
        </w:tc>
        <w:tc>
          <w:tcPr>
            <w:tcW w:w="108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4,227</w:t>
            </w:r>
          </w:p>
        </w:tc>
        <w:tc>
          <w:tcPr>
            <w:tcW w:w="140" w:type="dxa"/>
            <w:vAlign w:val="bottom"/>
            <w:shd w:val="clear" w:color="auto" w:fill="FDFDFD"/>
          </w:tcPr>
          <w:p>
            <w:pPr>
              <w:spacing w:after="0"/>
              <w:rPr>
                <w:sz w:val="21"/>
                <w:szCs w:val="21"/>
                <w:color w:val="auto"/>
              </w:rPr>
            </w:pPr>
          </w:p>
        </w:tc>
        <w:tc>
          <w:tcPr>
            <w:tcW w:w="240" w:type="dxa"/>
            <w:vAlign w:val="bottom"/>
            <w:shd w:val="clear" w:color="auto" w:fill="FDFDFD"/>
          </w:tcPr>
          <w:p>
            <w:pPr>
              <w:spacing w:after="0"/>
              <w:rPr>
                <w:sz w:val="21"/>
                <w:szCs w:val="21"/>
                <w:color w:val="auto"/>
              </w:rPr>
            </w:pPr>
          </w:p>
        </w:tc>
        <w:tc>
          <w:tcPr>
            <w:tcW w:w="11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1260" w:type="dxa"/>
            <w:vAlign w:val="bottom"/>
            <w:gridSpan w:val="2"/>
            <w:shd w:val="clear" w:color="auto" w:fill="FDFDFD"/>
          </w:tcPr>
          <w:p>
            <w:pPr>
              <w:jc w:val="right"/>
              <w:ind w:right="240"/>
              <w:spacing w:after="0"/>
              <w:rPr>
                <w:sz w:val="20"/>
                <w:szCs w:val="20"/>
                <w:color w:val="auto"/>
              </w:rPr>
            </w:pPr>
            <w:r>
              <w:rPr>
                <w:rFonts w:ascii="Times New Roman" w:cs="Times New Roman" w:eastAsia="Times New Roman" w:hAnsi="Times New Roman"/>
                <w:sz w:val="20"/>
                <w:szCs w:val="20"/>
                <w:color w:val="auto"/>
              </w:rPr>
              <w:t>4,227</w:t>
            </w:r>
          </w:p>
        </w:tc>
        <w:tc>
          <w:tcPr>
            <w:tcW w:w="240" w:type="dxa"/>
            <w:vAlign w:val="bottom"/>
            <w:shd w:val="clear" w:color="auto" w:fill="FDFDFD"/>
          </w:tcPr>
          <w:p>
            <w:pPr>
              <w:spacing w:after="0"/>
              <w:rPr>
                <w:sz w:val="21"/>
                <w:szCs w:val="21"/>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E3E3E3"/>
          </w:tcPr>
          <w:p>
            <w:pPr>
              <w:ind w:left="400"/>
              <w:spacing w:after="0" w:line="208" w:lineRule="exact"/>
              <w:rPr>
                <w:sz w:val="20"/>
                <w:szCs w:val="20"/>
                <w:color w:val="auto"/>
              </w:rPr>
            </w:pPr>
            <w:r>
              <w:rPr>
                <w:rFonts w:ascii="Times New Roman" w:cs="Times New Roman" w:eastAsia="Times New Roman" w:hAnsi="Times New Roman"/>
                <w:sz w:val="20"/>
                <w:szCs w:val="20"/>
                <w:color w:val="auto"/>
              </w:rPr>
              <w:t>Certificates of deposit (maturities less</w:t>
            </w:r>
          </w:p>
        </w:tc>
        <w:tc>
          <w:tcPr>
            <w:tcW w:w="14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98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100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220" w:type="dxa"/>
            <w:vAlign w:val="bottom"/>
            <w:shd w:val="clear" w:color="auto" w:fill="E3E3E3"/>
          </w:tcPr>
          <w:p>
            <w:pPr>
              <w:spacing w:after="0"/>
              <w:rPr>
                <w:sz w:val="18"/>
                <w:szCs w:val="18"/>
                <w:color w:val="auto"/>
              </w:rPr>
            </w:pPr>
          </w:p>
        </w:tc>
        <w:tc>
          <w:tcPr>
            <w:tcW w:w="102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100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78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than 90 days)</w:t>
            </w:r>
          </w:p>
        </w:tc>
        <w:tc>
          <w:tcPr>
            <w:tcW w:w="14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108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1,000</w:t>
            </w:r>
          </w:p>
        </w:tc>
        <w:tc>
          <w:tcPr>
            <w:tcW w:w="14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10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260" w:type="dxa"/>
            <w:vAlign w:val="bottom"/>
            <w:gridSpan w:val="2"/>
            <w:shd w:val="clear" w:color="auto" w:fill="E3E3E3"/>
          </w:tcPr>
          <w:p>
            <w:pPr>
              <w:jc w:val="right"/>
              <w:ind w:right="240"/>
              <w:spacing w:after="0"/>
              <w:rPr>
                <w:sz w:val="20"/>
                <w:szCs w:val="20"/>
                <w:color w:val="auto"/>
              </w:rPr>
            </w:pPr>
            <w:r>
              <w:rPr>
                <w:rFonts w:ascii="Times New Roman" w:cs="Times New Roman" w:eastAsia="Times New Roman" w:hAnsi="Times New Roman"/>
                <w:sz w:val="20"/>
                <w:szCs w:val="20"/>
                <w:color w:val="auto"/>
              </w:rPr>
              <w:t>1,000</w:t>
            </w:r>
          </w:p>
        </w:tc>
        <w:tc>
          <w:tcPr>
            <w:tcW w:w="240" w:type="dxa"/>
            <w:vAlign w:val="bottom"/>
            <w:shd w:val="clear" w:color="auto" w:fill="E3E3E3"/>
          </w:tcPr>
          <w:p>
            <w:pPr>
              <w:spacing w:after="0"/>
              <w:rPr>
                <w:sz w:val="21"/>
                <w:szCs w:val="21"/>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Short-term investments:</w:t>
            </w:r>
          </w:p>
        </w:tc>
        <w:tc>
          <w:tcPr>
            <w:tcW w:w="14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9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0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0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U.S. treasuries</w:t>
            </w:r>
          </w:p>
        </w:tc>
        <w:tc>
          <w:tcPr>
            <w:tcW w:w="14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08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62,461</w:t>
            </w:r>
          </w:p>
        </w:tc>
        <w:tc>
          <w:tcPr>
            <w:tcW w:w="14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260" w:type="dxa"/>
            <w:vAlign w:val="bottom"/>
            <w:gridSpan w:val="2"/>
            <w:shd w:val="clear" w:color="auto" w:fill="E3E3E3"/>
          </w:tcPr>
          <w:p>
            <w:pPr>
              <w:jc w:val="right"/>
              <w:ind w:right="240"/>
              <w:spacing w:after="0"/>
              <w:rPr>
                <w:sz w:val="20"/>
                <w:szCs w:val="20"/>
                <w:color w:val="auto"/>
              </w:rPr>
            </w:pPr>
            <w:r>
              <w:rPr>
                <w:rFonts w:ascii="Times New Roman" w:cs="Times New Roman" w:eastAsia="Times New Roman" w:hAnsi="Times New Roman"/>
                <w:sz w:val="20"/>
                <w:szCs w:val="20"/>
                <w:color w:val="auto"/>
              </w:rPr>
              <w:t>62,461</w:t>
            </w:r>
          </w:p>
        </w:tc>
        <w:tc>
          <w:tcPr>
            <w:tcW w:w="24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Corporate bonds</w:t>
            </w:r>
          </w:p>
        </w:tc>
        <w:tc>
          <w:tcPr>
            <w:tcW w:w="14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08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2,324</w:t>
            </w:r>
          </w:p>
        </w:tc>
        <w:tc>
          <w:tcPr>
            <w:tcW w:w="14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260" w:type="dxa"/>
            <w:vAlign w:val="bottom"/>
            <w:gridSpan w:val="2"/>
            <w:shd w:val="clear" w:color="auto" w:fill="FDFDFD"/>
          </w:tcPr>
          <w:p>
            <w:pPr>
              <w:jc w:val="right"/>
              <w:ind w:right="240"/>
              <w:spacing w:after="0"/>
              <w:rPr>
                <w:sz w:val="20"/>
                <w:szCs w:val="20"/>
                <w:color w:val="auto"/>
              </w:rPr>
            </w:pPr>
            <w:r>
              <w:rPr>
                <w:rFonts w:ascii="Times New Roman" w:cs="Times New Roman" w:eastAsia="Times New Roman" w:hAnsi="Times New Roman"/>
                <w:sz w:val="20"/>
                <w:szCs w:val="20"/>
                <w:color w:val="auto"/>
              </w:rPr>
              <w:t>2,324</w:t>
            </w:r>
          </w:p>
        </w:tc>
        <w:tc>
          <w:tcPr>
            <w:tcW w:w="24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auto"/>
              </w:rPr>
              <w:t>Commercial paper</w:t>
            </w:r>
          </w:p>
        </w:tc>
        <w:tc>
          <w:tcPr>
            <w:tcW w:w="14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08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94,336</w:t>
            </w:r>
          </w:p>
        </w:tc>
        <w:tc>
          <w:tcPr>
            <w:tcW w:w="14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10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260" w:type="dxa"/>
            <w:vAlign w:val="bottom"/>
            <w:gridSpan w:val="2"/>
            <w:shd w:val="clear" w:color="auto" w:fill="E3E3E3"/>
          </w:tcPr>
          <w:p>
            <w:pPr>
              <w:jc w:val="right"/>
              <w:ind w:right="240"/>
              <w:spacing w:after="0"/>
              <w:rPr>
                <w:sz w:val="20"/>
                <w:szCs w:val="20"/>
                <w:color w:val="auto"/>
              </w:rPr>
            </w:pPr>
            <w:r>
              <w:rPr>
                <w:rFonts w:ascii="Times New Roman" w:cs="Times New Roman" w:eastAsia="Times New Roman" w:hAnsi="Times New Roman"/>
                <w:sz w:val="20"/>
                <w:szCs w:val="20"/>
                <w:color w:val="auto"/>
              </w:rPr>
              <w:t>94,336</w:t>
            </w:r>
          </w:p>
        </w:tc>
        <w:tc>
          <w:tcPr>
            <w:tcW w:w="24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Certificates of deposit</w:t>
            </w:r>
          </w:p>
        </w:tc>
        <w:tc>
          <w:tcPr>
            <w:tcW w:w="14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08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17,971</w:t>
            </w:r>
          </w:p>
        </w:tc>
        <w:tc>
          <w:tcPr>
            <w:tcW w:w="14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260" w:type="dxa"/>
            <w:vAlign w:val="bottom"/>
            <w:gridSpan w:val="2"/>
            <w:shd w:val="clear" w:color="auto" w:fill="FDFDFD"/>
          </w:tcPr>
          <w:p>
            <w:pPr>
              <w:jc w:val="right"/>
              <w:ind w:right="240"/>
              <w:spacing w:after="0"/>
              <w:rPr>
                <w:sz w:val="20"/>
                <w:szCs w:val="20"/>
                <w:color w:val="auto"/>
              </w:rPr>
            </w:pPr>
            <w:r>
              <w:rPr>
                <w:rFonts w:ascii="Times New Roman" w:cs="Times New Roman" w:eastAsia="Times New Roman" w:hAnsi="Times New Roman"/>
                <w:sz w:val="20"/>
                <w:szCs w:val="20"/>
                <w:color w:val="auto"/>
              </w:rPr>
              <w:t>17,971</w:t>
            </w:r>
          </w:p>
        </w:tc>
        <w:tc>
          <w:tcPr>
            <w:tcW w:w="24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4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9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Interest rate swap contracts</w:t>
            </w:r>
          </w:p>
        </w:tc>
        <w:tc>
          <w:tcPr>
            <w:tcW w:w="14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08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3,426</w:t>
            </w:r>
          </w:p>
        </w:tc>
        <w:tc>
          <w:tcPr>
            <w:tcW w:w="14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260" w:type="dxa"/>
            <w:vAlign w:val="bottom"/>
            <w:gridSpan w:val="2"/>
            <w:shd w:val="clear" w:color="auto" w:fill="FDFDFD"/>
          </w:tcPr>
          <w:p>
            <w:pPr>
              <w:jc w:val="right"/>
              <w:ind w:right="240"/>
              <w:spacing w:after="0"/>
              <w:rPr>
                <w:sz w:val="20"/>
                <w:szCs w:val="20"/>
                <w:color w:val="auto"/>
              </w:rPr>
            </w:pPr>
            <w:r>
              <w:rPr>
                <w:rFonts w:ascii="Times New Roman" w:cs="Times New Roman" w:eastAsia="Times New Roman" w:hAnsi="Times New Roman"/>
                <w:sz w:val="20"/>
                <w:szCs w:val="20"/>
                <w:color w:val="auto"/>
              </w:rPr>
              <w:t>3,426</w:t>
            </w:r>
          </w:p>
        </w:tc>
        <w:tc>
          <w:tcPr>
            <w:tcW w:w="24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Other assets:</w:t>
            </w:r>
          </w:p>
        </w:tc>
        <w:tc>
          <w:tcPr>
            <w:tcW w:w="14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9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Interest rate swap contracts</w:t>
            </w:r>
          </w:p>
        </w:tc>
        <w:tc>
          <w:tcPr>
            <w:tcW w:w="14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08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509</w:t>
            </w:r>
          </w:p>
        </w:tc>
        <w:tc>
          <w:tcPr>
            <w:tcW w:w="14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260" w:type="dxa"/>
            <w:vAlign w:val="bottom"/>
            <w:gridSpan w:val="2"/>
            <w:shd w:val="clear" w:color="auto" w:fill="FDFDFD"/>
          </w:tcPr>
          <w:p>
            <w:pPr>
              <w:jc w:val="right"/>
              <w:ind w:right="240"/>
              <w:spacing w:after="0"/>
              <w:rPr>
                <w:sz w:val="20"/>
                <w:szCs w:val="20"/>
                <w:color w:val="auto"/>
              </w:rPr>
            </w:pPr>
            <w:r>
              <w:rPr>
                <w:rFonts w:ascii="Times New Roman" w:cs="Times New Roman" w:eastAsia="Times New Roman" w:hAnsi="Times New Roman"/>
                <w:sz w:val="20"/>
                <w:szCs w:val="20"/>
                <w:color w:val="auto"/>
              </w:rPr>
              <w:t>509</w:t>
            </w:r>
          </w:p>
        </w:tc>
        <w:tc>
          <w:tcPr>
            <w:tcW w:w="24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4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9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auto"/>
              </w:rPr>
              <w:t>Contingent consideration</w:t>
            </w:r>
          </w:p>
        </w:tc>
        <w:tc>
          <w:tcPr>
            <w:tcW w:w="14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08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10,352</w:t>
            </w:r>
          </w:p>
        </w:tc>
        <w:tc>
          <w:tcPr>
            <w:tcW w:w="14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1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500" w:type="dxa"/>
            <w:vAlign w:val="bottom"/>
            <w:gridSpan w:val="3"/>
            <w:shd w:val="clear" w:color="auto" w:fill="FDFDFD"/>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10,352</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At December 31, 2024 and 2023, except for the long-term contingent consideration noted above, the estimated fair values of all of the Company’s financial assets and liabilities subject to the three-level fair value hierarchy approximated their carrying values due to their short-term maturities (less than 12 months).</w:t>
      </w:r>
    </w:p>
    <w:p>
      <w:pPr>
        <w:sectPr>
          <w:pgSz w:w="11880" w:h="15480" w:orient="portrait"/>
          <w:cols w:equalWidth="0" w:num="1">
            <w:col w:w="10080"/>
          </w:cols>
          <w:pgMar w:left="820" w:top="808" w:right="9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F-38</w:t>
      </w:r>
    </w:p>
    <w:p>
      <w:pPr>
        <w:sectPr>
          <w:pgSz w:w="11880" w:h="15480" w:orient="portrait"/>
          <w:cols w:equalWidth="0" w:num="1">
            <w:col w:w="10080"/>
          </w:cols>
          <w:pgMar w:left="820" w:top="808" w:right="980" w:bottom="8" w:gutter="0" w:footer="0" w:header="0"/>
          <w:type w:val="continuous"/>
        </w:sectPr>
      </w:pPr>
    </w:p>
    <w:bookmarkStart w:id="130" w:name="page131"/>
    <w:bookmarkEnd w:id="130"/>
    <w:p>
      <w:pPr>
        <w:ind w:left="500" w:hanging="492"/>
        <w:spacing w:after="0"/>
        <w:tabs>
          <w:tab w:leader="none" w:pos="50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Accrued Expenses and Other Liabilities</w:t>
      </w:r>
    </w:p>
    <w:p>
      <w:pPr>
        <w:spacing w:after="0" w:line="123" w:lineRule="exact"/>
        <w:rPr>
          <w:rFonts w:ascii="Times New Roman" w:cs="Times New Roman" w:eastAsia="Times New Roman" w:hAnsi="Times New Roman"/>
          <w:sz w:val="20"/>
          <w:szCs w:val="20"/>
          <w:b w:val="1"/>
          <w:bCs w:val="1"/>
          <w:color w:val="auto"/>
        </w:rPr>
      </w:pPr>
    </w:p>
    <w:p>
      <w:pPr>
        <w:ind w:left="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Accrued expenses and other current liabilities consisted of the following:</w:t>
      </w:r>
    </w:p>
    <w:p>
      <w:pPr>
        <w:spacing w:after="0" w:line="246"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616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160" w:type="dxa"/>
            <w:vAlign w:val="bottom"/>
            <w:shd w:val="clear" w:color="auto" w:fill="FDFDFD"/>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40" w:type="dxa"/>
            <w:vAlign w:val="bottom"/>
            <w:gridSpan w:val="2"/>
            <w:shd w:val="clear" w:color="auto" w:fill="FDFDFD"/>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616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E3E3E3"/>
            </w:tcBorders>
            <w:shd w:val="clear" w:color="auto" w:fill="FDFDFD"/>
          </w:tcPr>
          <w:p>
            <w:pPr>
              <w:spacing w:after="0"/>
              <w:rPr>
                <w:sz w:val="17"/>
                <w:szCs w:val="17"/>
                <w:color w:val="auto"/>
              </w:rPr>
            </w:pPr>
          </w:p>
        </w:tc>
        <w:tc>
          <w:tcPr>
            <w:tcW w:w="140" w:type="dxa"/>
            <w:vAlign w:val="bottom"/>
            <w:tcBorders>
              <w:bottom w:val="single" w:sz="8" w:color="auto"/>
            </w:tcBorders>
            <w:shd w:val="clear" w:color="auto" w:fill="FDFDFD"/>
          </w:tcPr>
          <w:p>
            <w:pPr>
              <w:spacing w:after="0"/>
              <w:rPr>
                <w:sz w:val="17"/>
                <w:szCs w:val="17"/>
                <w:color w:val="auto"/>
              </w:rPr>
            </w:pPr>
          </w:p>
        </w:tc>
        <w:tc>
          <w:tcPr>
            <w:tcW w:w="1160" w:type="dxa"/>
            <w:vAlign w:val="bottom"/>
            <w:tcBorders>
              <w:bottom w:val="single" w:sz="8" w:color="auto"/>
            </w:tcBorders>
            <w:shd w:val="clear" w:color="auto" w:fill="FDFDFD"/>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E3E3E3"/>
            </w:tcBorders>
            <w:shd w:val="clear" w:color="auto" w:fill="FDFDFD"/>
          </w:tcPr>
          <w:p>
            <w:pPr>
              <w:spacing w:after="0"/>
              <w:rPr>
                <w:sz w:val="17"/>
                <w:szCs w:val="17"/>
                <w:color w:val="auto"/>
              </w:rPr>
            </w:pPr>
          </w:p>
        </w:tc>
        <w:tc>
          <w:tcPr>
            <w:tcW w:w="140" w:type="dxa"/>
            <w:vAlign w:val="bottom"/>
            <w:tcBorders>
              <w:bottom w:val="single" w:sz="8" w:color="auto"/>
            </w:tcBorders>
            <w:shd w:val="clear" w:color="auto" w:fill="FDFDFD"/>
          </w:tcPr>
          <w:p>
            <w:pPr>
              <w:spacing w:after="0"/>
              <w:rPr>
                <w:sz w:val="17"/>
                <w:szCs w:val="17"/>
                <w:color w:val="auto"/>
              </w:rPr>
            </w:pPr>
          </w:p>
        </w:tc>
        <w:tc>
          <w:tcPr>
            <w:tcW w:w="1160" w:type="dxa"/>
            <w:vAlign w:val="bottom"/>
            <w:tcBorders>
              <w:bottom w:val="single" w:sz="8" w:color="auto"/>
            </w:tcBorders>
            <w:shd w:val="clear" w:color="auto" w:fill="FDFDFD"/>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3E3E3"/>
            </w:tcBorders>
            <w:shd w:val="clear" w:color="auto" w:fill="FDFDFD"/>
          </w:tcPr>
          <w:p>
            <w:pPr>
              <w:spacing w:after="0"/>
              <w:rPr>
                <w:sz w:val="17"/>
                <w:szCs w:val="17"/>
                <w:color w:val="auto"/>
              </w:rPr>
            </w:pPr>
          </w:p>
        </w:tc>
      </w:tr>
      <w:tr>
        <w:trPr>
          <w:trHeight w:val="234"/>
        </w:trPr>
        <w:tc>
          <w:tcPr>
            <w:tcW w:w="61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Payroll and payroll-related</w:t>
            </w:r>
          </w:p>
        </w:tc>
        <w:tc>
          <w:tcPr>
            <w:tcW w:w="14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13,440</w:t>
            </w:r>
          </w:p>
        </w:tc>
        <w:tc>
          <w:tcPr>
            <w:tcW w:w="22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12,805</w:t>
            </w:r>
          </w:p>
        </w:tc>
        <w:tc>
          <w:tcPr>
            <w:tcW w:w="80" w:type="dxa"/>
            <w:vAlign w:val="bottom"/>
            <w:shd w:val="clear" w:color="auto" w:fill="E3E3E3"/>
          </w:tcPr>
          <w:p>
            <w:pPr>
              <w:spacing w:after="0"/>
              <w:rPr>
                <w:sz w:val="20"/>
                <w:szCs w:val="20"/>
                <w:color w:val="auto"/>
              </w:rPr>
            </w:pPr>
          </w:p>
        </w:tc>
      </w:tr>
      <w:tr>
        <w:trPr>
          <w:trHeight w:val="244"/>
        </w:trPr>
        <w:tc>
          <w:tcPr>
            <w:tcW w:w="61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Tax receivable agreement, current portion</w:t>
            </w:r>
          </w:p>
        </w:tc>
        <w:tc>
          <w:tcPr>
            <w:tcW w:w="14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13,653</w:t>
            </w:r>
          </w:p>
        </w:tc>
        <w:tc>
          <w:tcPr>
            <w:tcW w:w="22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20,095</w:t>
            </w:r>
          </w:p>
        </w:tc>
        <w:tc>
          <w:tcPr>
            <w:tcW w:w="80" w:type="dxa"/>
            <w:vAlign w:val="bottom"/>
            <w:shd w:val="clear" w:color="auto" w:fill="FDFDFD"/>
          </w:tcPr>
          <w:p>
            <w:pPr>
              <w:spacing w:after="0"/>
              <w:rPr>
                <w:sz w:val="21"/>
                <w:szCs w:val="21"/>
                <w:color w:val="auto"/>
              </w:rPr>
            </w:pPr>
          </w:p>
        </w:tc>
      </w:tr>
      <w:tr>
        <w:trPr>
          <w:trHeight w:val="244"/>
        </w:trPr>
        <w:tc>
          <w:tcPr>
            <w:tcW w:w="61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Accrued capital data expenditures</w:t>
            </w:r>
          </w:p>
        </w:tc>
        <w:tc>
          <w:tcPr>
            <w:tcW w:w="14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2,979</w:t>
            </w:r>
          </w:p>
        </w:tc>
        <w:tc>
          <w:tcPr>
            <w:tcW w:w="2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2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1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Contingent consideration, current</w:t>
            </w:r>
          </w:p>
        </w:tc>
        <w:tc>
          <w:tcPr>
            <w:tcW w:w="14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22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1,602</w:t>
            </w:r>
          </w:p>
        </w:tc>
        <w:tc>
          <w:tcPr>
            <w:tcW w:w="80" w:type="dxa"/>
            <w:vAlign w:val="bottom"/>
            <w:shd w:val="clear" w:color="auto" w:fill="FDFDFD"/>
          </w:tcPr>
          <w:p>
            <w:pPr>
              <w:spacing w:after="0"/>
              <w:rPr>
                <w:sz w:val="21"/>
                <w:szCs w:val="21"/>
                <w:color w:val="auto"/>
              </w:rPr>
            </w:pPr>
          </w:p>
        </w:tc>
      </w:tr>
      <w:tr>
        <w:trPr>
          <w:trHeight w:val="244"/>
        </w:trPr>
        <w:tc>
          <w:tcPr>
            <w:tcW w:w="61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Sales, franchise and other taxes</w:t>
            </w:r>
          </w:p>
        </w:tc>
        <w:tc>
          <w:tcPr>
            <w:tcW w:w="14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2,029</w:t>
            </w:r>
          </w:p>
        </w:tc>
        <w:tc>
          <w:tcPr>
            <w:tcW w:w="2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9,526</w:t>
            </w:r>
          </w:p>
        </w:tc>
        <w:tc>
          <w:tcPr>
            <w:tcW w:w="80" w:type="dxa"/>
            <w:vAlign w:val="bottom"/>
            <w:shd w:val="clear" w:color="auto" w:fill="E3E3E3"/>
          </w:tcPr>
          <w:p>
            <w:pPr>
              <w:spacing w:after="0"/>
              <w:rPr>
                <w:sz w:val="21"/>
                <w:szCs w:val="21"/>
                <w:color w:val="auto"/>
              </w:rPr>
            </w:pPr>
          </w:p>
        </w:tc>
      </w:tr>
      <w:tr>
        <w:trPr>
          <w:trHeight w:val="244"/>
        </w:trPr>
        <w:tc>
          <w:tcPr>
            <w:tcW w:w="616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Other</w:t>
            </w:r>
          </w:p>
        </w:tc>
        <w:tc>
          <w:tcPr>
            <w:tcW w:w="140" w:type="dxa"/>
            <w:vAlign w:val="bottom"/>
            <w:tcBorders>
              <w:bottom w:val="single" w:sz="8" w:color="E3E3E3"/>
            </w:tcBorders>
            <w:shd w:val="clear" w:color="auto" w:fill="FDFDFD"/>
          </w:tcPr>
          <w:p>
            <w:pPr>
              <w:spacing w:after="0"/>
              <w:rPr>
                <w:sz w:val="21"/>
                <w:szCs w:val="21"/>
                <w:color w:val="auto"/>
              </w:rPr>
            </w:pPr>
          </w:p>
        </w:tc>
        <w:tc>
          <w:tcPr>
            <w:tcW w:w="140" w:type="dxa"/>
            <w:vAlign w:val="bottom"/>
            <w:tcBorders>
              <w:bottom w:val="single" w:sz="8" w:color="auto"/>
            </w:tcBorders>
            <w:shd w:val="clear" w:color="auto" w:fill="FDFDFD"/>
          </w:tcPr>
          <w:p>
            <w:pPr>
              <w:spacing w:after="0"/>
              <w:rPr>
                <w:sz w:val="21"/>
                <w:szCs w:val="21"/>
                <w:color w:val="auto"/>
              </w:rPr>
            </w:pPr>
          </w:p>
        </w:tc>
        <w:tc>
          <w:tcPr>
            <w:tcW w:w="11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5,795</w:t>
            </w:r>
          </w:p>
        </w:tc>
        <w:tc>
          <w:tcPr>
            <w:tcW w:w="220" w:type="dxa"/>
            <w:vAlign w:val="bottom"/>
            <w:tcBorders>
              <w:bottom w:val="single" w:sz="8" w:color="E3E3E3"/>
            </w:tcBorders>
            <w:shd w:val="clear" w:color="auto" w:fill="FDFDFD"/>
          </w:tcPr>
          <w:p>
            <w:pPr>
              <w:spacing w:after="0"/>
              <w:rPr>
                <w:sz w:val="21"/>
                <w:szCs w:val="21"/>
                <w:color w:val="auto"/>
              </w:rPr>
            </w:pPr>
          </w:p>
        </w:tc>
        <w:tc>
          <w:tcPr>
            <w:tcW w:w="140" w:type="dxa"/>
            <w:vAlign w:val="bottom"/>
            <w:tcBorders>
              <w:bottom w:val="single" w:sz="8" w:color="auto"/>
            </w:tcBorders>
            <w:shd w:val="clear" w:color="auto" w:fill="FDFDFD"/>
          </w:tcPr>
          <w:p>
            <w:pPr>
              <w:spacing w:after="0"/>
              <w:rPr>
                <w:sz w:val="21"/>
                <w:szCs w:val="21"/>
                <w:color w:val="auto"/>
              </w:rPr>
            </w:pPr>
          </w:p>
        </w:tc>
        <w:tc>
          <w:tcPr>
            <w:tcW w:w="11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7,501</w:t>
            </w:r>
          </w:p>
        </w:tc>
        <w:tc>
          <w:tcPr>
            <w:tcW w:w="80" w:type="dxa"/>
            <w:vAlign w:val="bottom"/>
            <w:tcBorders>
              <w:bottom w:val="single" w:sz="8" w:color="E3E3E3"/>
            </w:tcBorders>
            <w:shd w:val="clear" w:color="auto" w:fill="FDFDFD"/>
          </w:tcPr>
          <w:p>
            <w:pPr>
              <w:spacing w:after="0"/>
              <w:rPr>
                <w:sz w:val="21"/>
                <w:szCs w:val="21"/>
                <w:color w:val="auto"/>
              </w:rPr>
            </w:pPr>
          </w:p>
        </w:tc>
      </w:tr>
      <w:tr>
        <w:trPr>
          <w:trHeight w:val="234"/>
        </w:trPr>
        <w:tc>
          <w:tcPr>
            <w:tcW w:w="61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140" w:type="dxa"/>
            <w:vAlign w:val="bottom"/>
            <w:shd w:val="clear" w:color="auto" w:fill="E3E3E3"/>
          </w:tcPr>
          <w:p>
            <w:pPr>
              <w:spacing w:after="0"/>
              <w:rPr>
                <w:sz w:val="20"/>
                <w:szCs w:val="20"/>
                <w:color w:val="auto"/>
              </w:rPr>
            </w:pPr>
          </w:p>
        </w:tc>
        <w:tc>
          <w:tcPr>
            <w:tcW w:w="1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40,896</w:t>
            </w:r>
          </w:p>
        </w:tc>
        <w:tc>
          <w:tcPr>
            <w:tcW w:w="220" w:type="dxa"/>
            <w:vAlign w:val="bottom"/>
            <w:shd w:val="clear" w:color="auto" w:fill="E3E3E3"/>
          </w:tcPr>
          <w:p>
            <w:pPr>
              <w:spacing w:after="0"/>
              <w:rPr>
                <w:sz w:val="20"/>
                <w:szCs w:val="20"/>
                <w:color w:val="auto"/>
              </w:rPr>
            </w:pPr>
          </w:p>
        </w:tc>
        <w:tc>
          <w:tcPr>
            <w:tcW w:w="1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51,529</w:t>
            </w:r>
          </w:p>
        </w:tc>
        <w:tc>
          <w:tcPr>
            <w:tcW w:w="80" w:type="dxa"/>
            <w:vAlign w:val="bottom"/>
            <w:shd w:val="clear" w:color="auto" w:fill="E3E3E3"/>
          </w:tcPr>
          <w:p>
            <w:pPr>
              <w:spacing w:after="0"/>
              <w:rPr>
                <w:sz w:val="20"/>
                <w:szCs w:val="20"/>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On January 3, 2024, the Company committed to a restructuring plan (the “2024 Restructuring Plan”) intended to reduce operating costs, improve operating margins, and continue advancing the Company’s ongoing commitment to profitable growth. The 2024 Restructuring Plan provided for a reduction of the Company’s current workforce by approximately 150 people. During the year ended December 31, 2024, the Company incurred restructuring and related charges of $8.1 million, consisting of severance payments, employee benefits, and related cash expenses. As of December 31, 2024, $0.2 million of severance and separation benefits is included in accrued expenses and other liabilities in the consolidated balance sheets and the Company expects these payments will be made over the next six months. The Company does not expect to incur any additional material charges associated with the 2024 Restructuring Plan.</w:t>
      </w:r>
    </w:p>
    <w:p>
      <w:pPr>
        <w:spacing w:after="0" w:line="82" w:lineRule="exact"/>
        <w:rPr>
          <w:sz w:val="20"/>
          <w:szCs w:val="20"/>
          <w:color w:val="auto"/>
        </w:rPr>
      </w:pPr>
    </w:p>
    <w:p>
      <w:pPr>
        <w:ind w:right="400" w:firstLine="490"/>
        <w:spacing w:after="0" w:line="249" w:lineRule="auto"/>
        <w:rPr>
          <w:sz w:val="20"/>
          <w:szCs w:val="20"/>
          <w:color w:val="auto"/>
        </w:rPr>
      </w:pPr>
      <w:r>
        <w:rPr>
          <w:rFonts w:ascii="Times New Roman" w:cs="Times New Roman" w:eastAsia="Times New Roman" w:hAnsi="Times New Roman"/>
          <w:sz w:val="20"/>
          <w:szCs w:val="20"/>
          <w:color w:val="auto"/>
        </w:rPr>
        <w:t>During the first and third quarters of 2023, the Company announced restructuring plans with similar objectives (the “2023 Restructuring Plans” and, collectively with the 2024 Restructuring Plan, the “Restructuring Plans”. During the year ended December 31, 2023, the Company incurred restructuring and related charges of $4.7 million, consisting primarily of severance payments, employee benefits, and related cash expenses. These charges were recognized within transaction, integration, and restructuring expenses in the Company’s consolidated statements of operations.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sets forth the employee termination costs in the Company’s liabilities resulting from the</w:t>
      </w:r>
    </w:p>
    <w:p>
      <w:pPr>
        <w:spacing w:after="0"/>
        <w:rPr>
          <w:sz w:val="20"/>
          <w:szCs w:val="20"/>
          <w:color w:val="auto"/>
        </w:rPr>
      </w:pPr>
      <w:r>
        <w:rPr>
          <w:rFonts w:ascii="Times New Roman" w:cs="Times New Roman" w:eastAsia="Times New Roman" w:hAnsi="Times New Roman"/>
          <w:sz w:val="20"/>
          <w:szCs w:val="20"/>
          <w:color w:val="auto"/>
        </w:rPr>
        <w:t>Restructuring Plans:</w:t>
      </w:r>
    </w:p>
    <w:p>
      <w:pPr>
        <w:spacing w:after="0" w:line="366"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616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160" w:type="dxa"/>
            <w:vAlign w:val="bottom"/>
            <w:shd w:val="clear" w:color="auto" w:fill="FDFDFD"/>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160" w:type="dxa"/>
            <w:vAlign w:val="bottom"/>
            <w:shd w:val="clear" w:color="auto" w:fill="FDFDFD"/>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shd w:val="clear" w:color="auto" w:fill="FDFDFD"/>
          </w:tcPr>
          <w:p>
            <w:pPr>
              <w:spacing w:after="0"/>
              <w:rPr>
                <w:sz w:val="16"/>
                <w:szCs w:val="16"/>
                <w:color w:val="auto"/>
              </w:rPr>
            </w:pPr>
          </w:p>
        </w:tc>
      </w:tr>
      <w:tr>
        <w:trPr>
          <w:trHeight w:val="184"/>
        </w:trPr>
        <w:tc>
          <w:tcPr>
            <w:tcW w:w="616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160" w:type="dxa"/>
            <w:vAlign w:val="bottom"/>
            <w:shd w:val="clear" w:color="auto" w:fill="FDFDFD"/>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Restructuring</w:t>
            </w:r>
          </w:p>
        </w:tc>
        <w:tc>
          <w:tcPr>
            <w:tcW w:w="22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240" w:type="dxa"/>
            <w:vAlign w:val="bottom"/>
            <w:gridSpan w:val="2"/>
            <w:shd w:val="clear" w:color="auto" w:fill="FDFDFD"/>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Restructuring</w:t>
            </w:r>
          </w:p>
        </w:tc>
      </w:tr>
      <w:tr>
        <w:trPr>
          <w:trHeight w:val="204"/>
        </w:trPr>
        <w:tc>
          <w:tcPr>
            <w:tcW w:w="616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160" w:type="dxa"/>
            <w:vAlign w:val="bottom"/>
            <w:shd w:val="clear" w:color="auto" w:fill="FDFDFD"/>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6"/>
              </w:rPr>
              <w:t>Plans</w:t>
            </w:r>
          </w:p>
        </w:tc>
        <w:tc>
          <w:tcPr>
            <w:tcW w:w="22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240" w:type="dxa"/>
            <w:vAlign w:val="bottom"/>
            <w:gridSpan w:val="2"/>
            <w:shd w:val="clear" w:color="auto" w:fill="FDFDFD"/>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Plan</w:t>
            </w:r>
          </w:p>
        </w:tc>
      </w:tr>
      <w:tr>
        <w:trPr>
          <w:trHeight w:val="234"/>
        </w:trPr>
        <w:tc>
          <w:tcPr>
            <w:tcW w:w="6160" w:type="dxa"/>
            <w:vAlign w:val="bottom"/>
            <w:tcBorders>
              <w:top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140" w:type="dxa"/>
            <w:vAlign w:val="bottom"/>
            <w:tcBorders>
              <w:top w:val="single" w:sz="8" w:color="FDFDFD"/>
            </w:tcBorders>
            <w:shd w:val="clear" w:color="auto" w:fill="FDFDFD"/>
          </w:tcPr>
          <w:p>
            <w:pPr>
              <w:spacing w:after="0"/>
              <w:rPr>
                <w:sz w:val="20"/>
                <w:szCs w:val="20"/>
                <w:color w:val="auto"/>
              </w:rPr>
            </w:pPr>
          </w:p>
        </w:tc>
        <w:tc>
          <w:tcPr>
            <w:tcW w:w="14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FDFDFD"/>
            </w:tcBorders>
            <w:shd w:val="clear" w:color="auto" w:fill="FDFDFD"/>
          </w:tcPr>
          <w:p>
            <w:pPr>
              <w:spacing w:after="0"/>
              <w:rPr>
                <w:sz w:val="20"/>
                <w:szCs w:val="20"/>
                <w:color w:val="auto"/>
              </w:rPr>
            </w:pPr>
          </w:p>
        </w:tc>
        <w:tc>
          <w:tcPr>
            <w:tcW w:w="14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FDFDFD"/>
            </w:tcBorders>
            <w:shd w:val="clear" w:color="auto" w:fill="FDFDFD"/>
          </w:tcPr>
          <w:p>
            <w:pPr>
              <w:spacing w:after="0"/>
              <w:rPr>
                <w:sz w:val="20"/>
                <w:szCs w:val="20"/>
                <w:color w:val="auto"/>
              </w:rPr>
            </w:pPr>
          </w:p>
        </w:tc>
      </w:tr>
      <w:tr>
        <w:trPr>
          <w:trHeight w:val="244"/>
        </w:trPr>
        <w:tc>
          <w:tcPr>
            <w:tcW w:w="61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Charges incurred</w:t>
            </w:r>
          </w:p>
        </w:tc>
        <w:tc>
          <w:tcPr>
            <w:tcW w:w="14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4,679</w:t>
            </w:r>
          </w:p>
        </w:tc>
        <w:tc>
          <w:tcPr>
            <w:tcW w:w="2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1"/>
                <w:szCs w:val="21"/>
                <w:color w:val="auto"/>
              </w:rPr>
            </w:pPr>
          </w:p>
        </w:tc>
      </w:tr>
      <w:tr>
        <w:trPr>
          <w:trHeight w:val="244"/>
        </w:trPr>
        <w:tc>
          <w:tcPr>
            <w:tcW w:w="61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Cash payments made</w:t>
            </w:r>
          </w:p>
        </w:tc>
        <w:tc>
          <w:tcPr>
            <w:tcW w:w="14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38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20"/>
                <w:szCs w:val="20"/>
                <w:color w:val="auto"/>
              </w:rPr>
              <w:t>(4,557)</w:t>
            </w:r>
          </w:p>
        </w:tc>
        <w:tc>
          <w:tcPr>
            <w:tcW w:w="140" w:type="dxa"/>
            <w:vAlign w:val="bottom"/>
            <w:shd w:val="clear" w:color="auto" w:fill="FDFDFD"/>
          </w:tcPr>
          <w:p>
            <w:pPr>
              <w:spacing w:after="0"/>
              <w:rPr>
                <w:sz w:val="21"/>
                <w:szCs w:val="21"/>
                <w:color w:val="auto"/>
              </w:rPr>
            </w:pPr>
          </w:p>
        </w:tc>
        <w:tc>
          <w:tcPr>
            <w:tcW w:w="12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6160" w:type="dxa"/>
            <w:vAlign w:val="bottom"/>
            <w:tcBorders>
              <w:top w:val="single" w:sz="8" w:color="E3E3E3"/>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40" w:type="dxa"/>
            <w:vAlign w:val="bottom"/>
            <w:tcBorders>
              <w:top w:val="single" w:sz="8" w:color="E3E3E3"/>
              <w:bottom w:val="single" w:sz="8" w:color="FDFDFD"/>
            </w:tcBorders>
            <w:shd w:val="clear" w:color="auto" w:fill="E3E3E3"/>
          </w:tcPr>
          <w:p>
            <w:pPr>
              <w:spacing w:after="0"/>
              <w:rPr>
                <w:sz w:val="20"/>
                <w:szCs w:val="20"/>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220" w:type="dxa"/>
            <w:vAlign w:val="bottom"/>
            <w:tcBorders>
              <w:top w:val="single" w:sz="8" w:color="E3E3E3"/>
              <w:bottom w:val="single" w:sz="8" w:color="FDFDFD"/>
            </w:tcBorders>
            <w:shd w:val="clear" w:color="auto" w:fill="E3E3E3"/>
          </w:tcPr>
          <w:p>
            <w:pPr>
              <w:spacing w:after="0"/>
              <w:rPr>
                <w:sz w:val="20"/>
                <w:szCs w:val="20"/>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3E3E3"/>
              <w:bottom w:val="single" w:sz="8" w:color="FDFDFD"/>
            </w:tcBorders>
            <w:shd w:val="clear" w:color="auto" w:fill="E3E3E3"/>
          </w:tcPr>
          <w:p>
            <w:pPr>
              <w:spacing w:after="0"/>
              <w:rPr>
                <w:sz w:val="20"/>
                <w:szCs w:val="20"/>
                <w:color w:val="auto"/>
              </w:rPr>
            </w:pPr>
          </w:p>
        </w:tc>
      </w:tr>
      <w:tr>
        <w:trPr>
          <w:trHeight w:val="234"/>
        </w:trPr>
        <w:tc>
          <w:tcPr>
            <w:tcW w:w="61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Charges incurred</w:t>
            </w:r>
          </w:p>
        </w:tc>
        <w:tc>
          <w:tcPr>
            <w:tcW w:w="14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8,097</w:t>
            </w:r>
          </w:p>
        </w:tc>
        <w:tc>
          <w:tcPr>
            <w:tcW w:w="80" w:type="dxa"/>
            <w:vAlign w:val="bottom"/>
            <w:shd w:val="clear" w:color="auto" w:fill="FDFDFD"/>
          </w:tcPr>
          <w:p>
            <w:pPr>
              <w:spacing w:after="0"/>
              <w:rPr>
                <w:sz w:val="20"/>
                <w:szCs w:val="20"/>
                <w:color w:val="auto"/>
              </w:rPr>
            </w:pPr>
          </w:p>
        </w:tc>
      </w:tr>
      <w:tr>
        <w:trPr>
          <w:trHeight w:val="244"/>
        </w:trPr>
        <w:tc>
          <w:tcPr>
            <w:tcW w:w="6160" w:type="dxa"/>
            <w:vAlign w:val="bottom"/>
            <w:tcBorders>
              <w:bottom w:val="single" w:sz="8" w:color="FDFDFD"/>
            </w:tcBorders>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Cash payments made</w:t>
            </w:r>
          </w:p>
        </w:tc>
        <w:tc>
          <w:tcPr>
            <w:tcW w:w="140" w:type="dxa"/>
            <w:vAlign w:val="bottom"/>
            <w:tcBorders>
              <w:bottom w:val="single" w:sz="8" w:color="FDFDFD"/>
            </w:tcBorders>
            <w:shd w:val="clear" w:color="auto" w:fill="E3E3E3"/>
          </w:tcPr>
          <w:p>
            <w:pPr>
              <w:spacing w:after="0"/>
              <w:rPr>
                <w:sz w:val="21"/>
                <w:szCs w:val="21"/>
                <w:color w:val="auto"/>
              </w:rPr>
            </w:pPr>
          </w:p>
        </w:tc>
        <w:tc>
          <w:tcPr>
            <w:tcW w:w="140" w:type="dxa"/>
            <w:vAlign w:val="bottom"/>
            <w:tcBorders>
              <w:bottom w:val="single" w:sz="8" w:color="auto"/>
            </w:tcBorders>
            <w:shd w:val="clear" w:color="auto" w:fill="E3E3E3"/>
          </w:tcPr>
          <w:p>
            <w:pPr>
              <w:spacing w:after="0"/>
              <w:rPr>
                <w:sz w:val="21"/>
                <w:szCs w:val="21"/>
                <w:color w:val="auto"/>
              </w:rPr>
            </w:pP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220" w:type="dxa"/>
            <w:vAlign w:val="bottom"/>
            <w:tcBorders>
              <w:bottom w:val="single" w:sz="8" w:color="FDFDFD"/>
            </w:tcBorders>
            <w:shd w:val="clear" w:color="auto" w:fill="E3E3E3"/>
          </w:tcPr>
          <w:p>
            <w:pPr>
              <w:spacing w:after="0"/>
              <w:rPr>
                <w:sz w:val="21"/>
                <w:szCs w:val="21"/>
                <w:color w:val="auto"/>
              </w:rPr>
            </w:pPr>
          </w:p>
        </w:tc>
        <w:tc>
          <w:tcPr>
            <w:tcW w:w="140" w:type="dxa"/>
            <w:vAlign w:val="bottom"/>
            <w:tcBorders>
              <w:bottom w:val="single" w:sz="8" w:color="auto"/>
            </w:tcBorders>
            <w:shd w:val="clear" w:color="auto" w:fill="E3E3E3"/>
          </w:tcPr>
          <w:p>
            <w:pPr>
              <w:spacing w:after="0"/>
              <w:rPr>
                <w:sz w:val="21"/>
                <w:szCs w:val="21"/>
                <w:color w:val="auto"/>
              </w:rPr>
            </w:pP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(7,911)</w:t>
            </w:r>
          </w:p>
        </w:tc>
        <w:tc>
          <w:tcPr>
            <w:tcW w:w="80" w:type="dxa"/>
            <w:vAlign w:val="bottom"/>
            <w:tcBorders>
              <w:bottom w:val="single" w:sz="8" w:color="FDFDFD"/>
            </w:tcBorders>
            <w:shd w:val="clear" w:color="auto" w:fill="E3E3E3"/>
          </w:tcPr>
          <w:p>
            <w:pPr>
              <w:spacing w:after="0"/>
              <w:rPr>
                <w:sz w:val="21"/>
                <w:szCs w:val="21"/>
                <w:color w:val="auto"/>
              </w:rPr>
            </w:pPr>
          </w:p>
        </w:tc>
      </w:tr>
      <w:tr>
        <w:trPr>
          <w:trHeight w:val="254"/>
        </w:trPr>
        <w:tc>
          <w:tcPr>
            <w:tcW w:w="616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40" w:type="dxa"/>
            <w:vAlign w:val="bottom"/>
            <w:tcBorders>
              <w:bottom w:val="single" w:sz="8" w:color="FDFDFD"/>
            </w:tcBorders>
            <w:shd w:val="clear" w:color="auto" w:fill="FDFDFD"/>
          </w:tcPr>
          <w:p>
            <w:pPr>
              <w:spacing w:after="0"/>
              <w:rPr>
                <w:sz w:val="22"/>
                <w:szCs w:val="22"/>
                <w:color w:val="auto"/>
              </w:rPr>
            </w:pPr>
          </w:p>
        </w:tc>
        <w:tc>
          <w:tcPr>
            <w:tcW w:w="14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FDFDFD"/>
            </w:tcBorders>
            <w:shd w:val="clear" w:color="auto" w:fill="FDFDFD"/>
          </w:tcPr>
          <w:p>
            <w:pPr>
              <w:spacing w:after="0"/>
              <w:rPr>
                <w:sz w:val="22"/>
                <w:szCs w:val="22"/>
                <w:color w:val="auto"/>
              </w:rPr>
            </w:pPr>
          </w:p>
        </w:tc>
        <w:tc>
          <w:tcPr>
            <w:tcW w:w="14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80" w:type="dxa"/>
            <w:vAlign w:val="bottom"/>
            <w:tcBorders>
              <w:bottom w:val="single" w:sz="8" w:color="FDFDFD"/>
            </w:tcBorders>
            <w:shd w:val="clear" w:color="auto" w:fill="FDFDFD"/>
          </w:tcPr>
          <w:p>
            <w:pPr>
              <w:spacing w:after="0"/>
              <w:rPr>
                <w:sz w:val="22"/>
                <w:szCs w:val="22"/>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F-39</w:t>
      </w:r>
    </w:p>
    <w:p>
      <w:pPr>
        <w:sectPr>
          <w:pgSz w:w="11880" w:h="15480" w:orient="portrait"/>
          <w:cols w:equalWidth="0" w:num="1">
            <w:col w:w="10220"/>
          </w:cols>
          <w:pgMar w:left="820" w:top="803" w:right="840" w:bottom="8" w:gutter="0" w:footer="0" w:header="0"/>
          <w:type w:val="continuous"/>
        </w:sectPr>
      </w:pPr>
    </w:p>
    <w:bookmarkStart w:id="131" w:name="page132"/>
    <w:bookmarkEnd w:id="131"/>
    <w:p>
      <w:pPr>
        <w:ind w:left="500" w:hanging="492"/>
        <w:spacing w:after="0"/>
        <w:tabs>
          <w:tab w:leader="none" w:pos="50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43"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The Company enters into purchase obligations in the normal course of doing business. The estimated annual minimum purchase commitments under those agreements were as follows for each of the years ending December 31:</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83"/>
        </w:trPr>
        <w:tc>
          <w:tcPr>
            <w:tcW w:w="7280" w:type="dxa"/>
            <w:vAlign w:val="bottom"/>
            <w:shd w:val="clear" w:color="auto" w:fill="FDFDFD"/>
          </w:tcPr>
          <w:p>
            <w:pPr>
              <w:jc w:val="right"/>
              <w:ind w:right="6244"/>
              <w:spacing w:after="0"/>
              <w:rPr>
                <w:sz w:val="20"/>
                <w:szCs w:val="20"/>
                <w:color w:val="auto"/>
              </w:rPr>
            </w:pPr>
            <w:r>
              <w:rPr>
                <w:rFonts w:ascii="Times New Roman" w:cs="Times New Roman" w:eastAsia="Times New Roman" w:hAnsi="Times New Roman"/>
                <w:sz w:val="16"/>
                <w:szCs w:val="16"/>
                <w:b w:val="1"/>
                <w:bCs w:val="1"/>
                <w:i w:val="1"/>
                <w:iCs w:val="1"/>
                <w:color w:val="auto"/>
                <w:w w:val="96"/>
              </w:rPr>
              <w:t>(in thousands)</w:t>
            </w:r>
          </w:p>
        </w:tc>
        <w:tc>
          <w:tcPr>
            <w:tcW w:w="180" w:type="dxa"/>
            <w:vAlign w:val="bottom"/>
            <w:shd w:val="clear" w:color="auto" w:fill="FDFDFD"/>
          </w:tcPr>
          <w:p>
            <w:pPr>
              <w:spacing w:after="0"/>
              <w:rPr>
                <w:sz w:val="24"/>
                <w:szCs w:val="24"/>
                <w:color w:val="auto"/>
              </w:rPr>
            </w:pPr>
          </w:p>
        </w:tc>
        <w:tc>
          <w:tcPr>
            <w:tcW w:w="540" w:type="dxa"/>
            <w:vAlign w:val="bottom"/>
            <w:shd w:val="clear" w:color="auto" w:fill="FDFDFD"/>
          </w:tcPr>
          <w:p>
            <w:pPr>
              <w:spacing w:after="0"/>
              <w:rPr>
                <w:sz w:val="24"/>
                <w:szCs w:val="24"/>
                <w:color w:val="auto"/>
              </w:rPr>
            </w:pPr>
          </w:p>
        </w:tc>
        <w:tc>
          <w:tcPr>
            <w:tcW w:w="1000" w:type="dxa"/>
            <w:vAlign w:val="bottom"/>
            <w:shd w:val="clear" w:color="auto" w:fill="FDFDFD"/>
          </w:tcPr>
          <w:p>
            <w:pPr>
              <w:spacing w:after="0"/>
              <w:rPr>
                <w:sz w:val="24"/>
                <w:szCs w:val="24"/>
                <w:color w:val="auto"/>
              </w:rPr>
            </w:pPr>
          </w:p>
        </w:tc>
        <w:tc>
          <w:tcPr>
            <w:tcW w:w="80" w:type="dxa"/>
            <w:vAlign w:val="bottom"/>
            <w:shd w:val="clear" w:color="auto" w:fill="FDFDFD"/>
          </w:tcPr>
          <w:p>
            <w:pPr>
              <w:spacing w:after="0"/>
              <w:rPr>
                <w:sz w:val="24"/>
                <w:szCs w:val="24"/>
                <w:color w:val="auto"/>
              </w:rPr>
            </w:pPr>
          </w:p>
        </w:tc>
      </w:tr>
      <w:tr>
        <w:trPr>
          <w:trHeight w:val="244"/>
        </w:trPr>
        <w:tc>
          <w:tcPr>
            <w:tcW w:w="7280" w:type="dxa"/>
            <w:vAlign w:val="bottom"/>
            <w:shd w:val="clear" w:color="auto" w:fill="E3E3E3"/>
          </w:tcPr>
          <w:p>
            <w:pPr>
              <w:jc w:val="right"/>
              <w:ind w:right="6744"/>
              <w:spacing w:after="0"/>
              <w:rPr>
                <w:sz w:val="20"/>
                <w:szCs w:val="20"/>
                <w:color w:val="auto"/>
              </w:rPr>
            </w:pPr>
            <w:r>
              <w:rPr>
                <w:rFonts w:ascii="Times New Roman" w:cs="Times New Roman" w:eastAsia="Times New Roman" w:hAnsi="Times New Roman"/>
                <w:sz w:val="20"/>
                <w:szCs w:val="20"/>
                <w:color w:val="auto"/>
              </w:rPr>
              <w:t>2025</w:t>
            </w:r>
          </w:p>
        </w:tc>
        <w:tc>
          <w:tcPr>
            <w:tcW w:w="720" w:type="dxa"/>
            <w:vAlign w:val="bottom"/>
            <w:gridSpan w:val="2"/>
            <w:shd w:val="clear" w:color="auto" w:fill="E3E3E3"/>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24,793</w:t>
            </w:r>
          </w:p>
        </w:tc>
        <w:tc>
          <w:tcPr>
            <w:tcW w:w="80" w:type="dxa"/>
            <w:vAlign w:val="bottom"/>
            <w:shd w:val="clear" w:color="auto" w:fill="E3E3E3"/>
          </w:tcPr>
          <w:p>
            <w:pPr>
              <w:spacing w:after="0"/>
              <w:rPr>
                <w:sz w:val="21"/>
                <w:szCs w:val="21"/>
                <w:color w:val="auto"/>
              </w:rPr>
            </w:pPr>
          </w:p>
        </w:tc>
      </w:tr>
      <w:tr>
        <w:trPr>
          <w:trHeight w:val="244"/>
        </w:trPr>
        <w:tc>
          <w:tcPr>
            <w:tcW w:w="7280" w:type="dxa"/>
            <w:vAlign w:val="bottom"/>
            <w:shd w:val="clear" w:color="auto" w:fill="FDFDFD"/>
          </w:tcPr>
          <w:p>
            <w:pPr>
              <w:jc w:val="right"/>
              <w:ind w:right="6744"/>
              <w:spacing w:after="0"/>
              <w:rPr>
                <w:sz w:val="20"/>
                <w:szCs w:val="20"/>
                <w:color w:val="auto"/>
              </w:rPr>
            </w:pPr>
            <w:r>
              <w:rPr>
                <w:rFonts w:ascii="Times New Roman" w:cs="Times New Roman" w:eastAsia="Times New Roman" w:hAnsi="Times New Roman"/>
                <w:sz w:val="20"/>
                <w:szCs w:val="20"/>
                <w:color w:val="auto"/>
              </w:rPr>
              <w:t>2026</w:t>
            </w:r>
          </w:p>
        </w:tc>
        <w:tc>
          <w:tcPr>
            <w:tcW w:w="180" w:type="dxa"/>
            <w:vAlign w:val="bottom"/>
            <w:shd w:val="clear" w:color="auto" w:fill="FDFDFD"/>
          </w:tcPr>
          <w:p>
            <w:pPr>
              <w:spacing w:after="0"/>
              <w:rPr>
                <w:sz w:val="21"/>
                <w:szCs w:val="21"/>
                <w:color w:val="auto"/>
              </w:rPr>
            </w:pPr>
          </w:p>
        </w:tc>
        <w:tc>
          <w:tcPr>
            <w:tcW w:w="540" w:type="dxa"/>
            <w:vAlign w:val="bottom"/>
            <w:shd w:val="clear" w:color="auto" w:fill="FDFDFD"/>
          </w:tcPr>
          <w:p>
            <w:pPr>
              <w:spacing w:after="0"/>
              <w:rPr>
                <w:sz w:val="21"/>
                <w:szCs w:val="21"/>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12,393</w:t>
            </w:r>
          </w:p>
        </w:tc>
        <w:tc>
          <w:tcPr>
            <w:tcW w:w="80" w:type="dxa"/>
            <w:vAlign w:val="bottom"/>
            <w:shd w:val="clear" w:color="auto" w:fill="FDFDFD"/>
          </w:tcPr>
          <w:p>
            <w:pPr>
              <w:spacing w:after="0"/>
              <w:rPr>
                <w:sz w:val="21"/>
                <w:szCs w:val="21"/>
                <w:color w:val="auto"/>
              </w:rPr>
            </w:pPr>
          </w:p>
        </w:tc>
      </w:tr>
      <w:tr>
        <w:trPr>
          <w:trHeight w:val="244"/>
        </w:trPr>
        <w:tc>
          <w:tcPr>
            <w:tcW w:w="7280" w:type="dxa"/>
            <w:vAlign w:val="bottom"/>
            <w:shd w:val="clear" w:color="auto" w:fill="E3E3E3"/>
          </w:tcPr>
          <w:p>
            <w:pPr>
              <w:jc w:val="right"/>
              <w:ind w:right="6744"/>
              <w:spacing w:after="0"/>
              <w:rPr>
                <w:sz w:val="20"/>
                <w:szCs w:val="20"/>
                <w:color w:val="auto"/>
              </w:rPr>
            </w:pPr>
            <w:r>
              <w:rPr>
                <w:rFonts w:ascii="Times New Roman" w:cs="Times New Roman" w:eastAsia="Times New Roman" w:hAnsi="Times New Roman"/>
                <w:sz w:val="20"/>
                <w:szCs w:val="20"/>
                <w:color w:val="auto"/>
              </w:rPr>
              <w:t>2027</w:t>
            </w:r>
          </w:p>
        </w:tc>
        <w:tc>
          <w:tcPr>
            <w:tcW w:w="18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7,303</w:t>
            </w:r>
          </w:p>
        </w:tc>
        <w:tc>
          <w:tcPr>
            <w:tcW w:w="80" w:type="dxa"/>
            <w:vAlign w:val="bottom"/>
            <w:shd w:val="clear" w:color="auto" w:fill="E3E3E3"/>
          </w:tcPr>
          <w:p>
            <w:pPr>
              <w:spacing w:after="0"/>
              <w:rPr>
                <w:sz w:val="21"/>
                <w:szCs w:val="21"/>
                <w:color w:val="auto"/>
              </w:rPr>
            </w:pPr>
          </w:p>
        </w:tc>
      </w:tr>
      <w:tr>
        <w:trPr>
          <w:trHeight w:val="244"/>
        </w:trPr>
        <w:tc>
          <w:tcPr>
            <w:tcW w:w="7280" w:type="dxa"/>
            <w:vAlign w:val="bottom"/>
            <w:tcBorders>
              <w:bottom w:val="single" w:sz="8" w:color="E3E3E3"/>
            </w:tcBorders>
            <w:shd w:val="clear" w:color="auto" w:fill="FDFDFD"/>
          </w:tcPr>
          <w:p>
            <w:pPr>
              <w:jc w:val="right"/>
              <w:ind w:right="6744"/>
              <w:spacing w:after="0"/>
              <w:rPr>
                <w:sz w:val="20"/>
                <w:szCs w:val="20"/>
                <w:color w:val="auto"/>
              </w:rPr>
            </w:pPr>
            <w:r>
              <w:rPr>
                <w:rFonts w:ascii="Times New Roman" w:cs="Times New Roman" w:eastAsia="Times New Roman" w:hAnsi="Times New Roman"/>
                <w:sz w:val="20"/>
                <w:szCs w:val="20"/>
                <w:color w:val="auto"/>
              </w:rPr>
              <w:t>2028</w:t>
            </w:r>
          </w:p>
        </w:tc>
        <w:tc>
          <w:tcPr>
            <w:tcW w:w="180" w:type="dxa"/>
            <w:vAlign w:val="bottom"/>
            <w:tcBorders>
              <w:bottom w:val="single" w:sz="8" w:color="E3E3E3"/>
            </w:tcBorders>
            <w:shd w:val="clear" w:color="auto" w:fill="FDFDFD"/>
          </w:tcPr>
          <w:p>
            <w:pPr>
              <w:spacing w:after="0"/>
              <w:rPr>
                <w:sz w:val="21"/>
                <w:szCs w:val="21"/>
                <w:color w:val="auto"/>
              </w:rPr>
            </w:pPr>
          </w:p>
        </w:tc>
        <w:tc>
          <w:tcPr>
            <w:tcW w:w="540" w:type="dxa"/>
            <w:vAlign w:val="bottom"/>
            <w:tcBorders>
              <w:bottom w:val="single" w:sz="8" w:color="auto"/>
            </w:tcBorders>
            <w:shd w:val="clear" w:color="auto" w:fill="FDFDFD"/>
          </w:tcPr>
          <w:p>
            <w:pPr>
              <w:spacing w:after="0"/>
              <w:rPr>
                <w:sz w:val="21"/>
                <w:szCs w:val="21"/>
                <w:color w:val="auto"/>
              </w:rPr>
            </w:pPr>
          </w:p>
        </w:tc>
        <w:tc>
          <w:tcPr>
            <w:tcW w:w="10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80" w:type="dxa"/>
            <w:vAlign w:val="bottom"/>
            <w:tcBorders>
              <w:bottom w:val="single" w:sz="8" w:color="E3E3E3"/>
            </w:tcBorders>
            <w:shd w:val="clear" w:color="auto" w:fill="FDFDFD"/>
          </w:tcPr>
          <w:p>
            <w:pPr>
              <w:spacing w:after="0"/>
              <w:rPr>
                <w:sz w:val="21"/>
                <w:szCs w:val="21"/>
                <w:color w:val="auto"/>
              </w:rPr>
            </w:pPr>
          </w:p>
        </w:tc>
      </w:tr>
      <w:tr>
        <w:trPr>
          <w:trHeight w:val="234"/>
        </w:trPr>
        <w:tc>
          <w:tcPr>
            <w:tcW w:w="728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540" w:type="dxa"/>
            <w:vAlign w:val="bottom"/>
            <w:tcBorders>
              <w:bottom w:val="single" w:sz="8" w:color="auto"/>
            </w:tcBorders>
            <w:shd w:val="clear" w:color="auto" w:fill="E3E3E3"/>
          </w:tcPr>
          <w:p>
            <w:pPr>
              <w:jc w:val="right"/>
              <w:ind w:right="3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44,670</w:t>
            </w:r>
          </w:p>
        </w:tc>
        <w:tc>
          <w:tcPr>
            <w:tcW w:w="80" w:type="dxa"/>
            <w:vAlign w:val="bottom"/>
            <w:shd w:val="clear" w:color="auto" w:fill="E3E3E3"/>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60" w:firstLine="490"/>
        <w:spacing w:after="0" w:line="259" w:lineRule="auto"/>
        <w:rPr>
          <w:sz w:val="20"/>
          <w:szCs w:val="20"/>
          <w:color w:val="auto"/>
        </w:rPr>
      </w:pPr>
      <w:r>
        <w:rPr>
          <w:rFonts w:ascii="Times New Roman" w:cs="Times New Roman" w:eastAsia="Times New Roman" w:hAnsi="Times New Roman"/>
          <w:sz w:val="20"/>
          <w:szCs w:val="20"/>
          <w:color w:val="auto"/>
        </w:rPr>
        <w:t>From time to time, the Company is subject to various legal proceedings and claims, which arise during the ordinary course of business. The outcomes of such matters are not expected to have a material, adverse effect on the Company’s financial position, results of operations, and/or cash flows.</w:t>
      </w:r>
    </w:p>
    <w:p>
      <w:pPr>
        <w:sectPr>
          <w:pgSz w:w="11880" w:h="15480" w:orient="portrait"/>
          <w:cols w:equalWidth="0" w:num="1">
            <w:col w:w="10000"/>
          </w:cols>
          <w:pgMar w:left="820" w:top="803" w:right="10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F-40</w:t>
      </w:r>
    </w:p>
    <w:p>
      <w:pPr>
        <w:sectPr>
          <w:pgSz w:w="11880" w:h="15480" w:orient="portrait"/>
          <w:cols w:equalWidth="0" w:num="1">
            <w:col w:w="10000"/>
          </w:cols>
          <w:pgMar w:left="820" w:top="803" w:right="1060" w:bottom="8" w:gutter="0" w:footer="0" w:header="0"/>
          <w:type w:val="continuous"/>
        </w:sectPr>
      </w:pPr>
    </w:p>
    <w:bookmarkStart w:id="132" w:name="page133"/>
    <w:bookmarkEnd w:id="132"/>
    <w:p>
      <w:pPr>
        <w:ind w:left="500" w:hanging="492"/>
        <w:spacing w:after="0"/>
        <w:tabs>
          <w:tab w:leader="none" w:pos="50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Accumulated Other Comprehensive Income</w:t>
      </w:r>
    </w:p>
    <w:p>
      <w:pPr>
        <w:spacing w:after="0" w:line="243"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The following table summarizes the changes in accumulated balances of other comprehensive income (“AOCI”) for the years ended December 31, 2024, 2023 and 2022, respectively.</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42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04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160" w:type="dxa"/>
            <w:vAlign w:val="bottom"/>
            <w:gridSpan w:val="2"/>
            <w:shd w:val="clear" w:color="auto" w:fill="FDFDFD"/>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40" w:type="dxa"/>
            <w:vAlign w:val="bottom"/>
            <w:shd w:val="clear" w:color="auto" w:fill="FDFDFD"/>
          </w:tcPr>
          <w:p>
            <w:pPr>
              <w:spacing w:after="0"/>
              <w:rPr>
                <w:sz w:val="16"/>
                <w:szCs w:val="16"/>
                <w:color w:val="auto"/>
              </w:rPr>
            </w:pPr>
          </w:p>
        </w:tc>
        <w:tc>
          <w:tcPr>
            <w:tcW w:w="8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r>
      <w:tr>
        <w:trPr>
          <w:trHeight w:val="184"/>
        </w:trPr>
        <w:tc>
          <w:tcPr>
            <w:tcW w:w="442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128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Unrealized Gain</w:t>
            </w:r>
          </w:p>
        </w:tc>
        <w:tc>
          <w:tcPr>
            <w:tcW w:w="10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140" w:type="dxa"/>
            <w:vAlign w:val="bottom"/>
            <w:gridSpan w:val="2"/>
            <w:shd w:val="clear" w:color="auto" w:fill="FDFDFD"/>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shd w:val="clear" w:color="auto" w:fill="FDFDFD"/>
          </w:tcPr>
          <w:p>
            <w:pPr>
              <w:spacing w:after="0"/>
              <w:rPr>
                <w:sz w:val="15"/>
                <w:szCs w:val="15"/>
                <w:color w:val="auto"/>
              </w:rPr>
            </w:pPr>
          </w:p>
        </w:tc>
        <w:tc>
          <w:tcPr>
            <w:tcW w:w="1160" w:type="dxa"/>
            <w:vAlign w:val="bottom"/>
            <w:gridSpan w:val="2"/>
            <w:shd w:val="clear" w:color="auto" w:fill="FDFDFD"/>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40" w:type="dxa"/>
            <w:vAlign w:val="bottom"/>
            <w:shd w:val="clear" w:color="auto" w:fill="FDFDFD"/>
          </w:tcPr>
          <w:p>
            <w:pPr>
              <w:spacing w:after="0"/>
              <w:rPr>
                <w:sz w:val="15"/>
                <w:szCs w:val="15"/>
                <w:color w:val="auto"/>
              </w:rPr>
            </w:pPr>
          </w:p>
        </w:tc>
        <w:tc>
          <w:tcPr>
            <w:tcW w:w="8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184"/>
        </w:trPr>
        <w:tc>
          <w:tcPr>
            <w:tcW w:w="442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180" w:type="dxa"/>
            <w:vAlign w:val="bottom"/>
            <w:shd w:val="clear" w:color="auto" w:fill="FDFDFD"/>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8"/>
              </w:rPr>
              <w:t>(Loss) on Cash</w:t>
            </w:r>
          </w:p>
        </w:tc>
        <w:tc>
          <w:tcPr>
            <w:tcW w:w="100" w:type="dxa"/>
            <w:vAlign w:val="bottom"/>
            <w:shd w:val="clear" w:color="auto" w:fill="FDFDFD"/>
          </w:tcPr>
          <w:p>
            <w:pPr>
              <w:spacing w:after="0"/>
              <w:rPr>
                <w:sz w:val="15"/>
                <w:szCs w:val="15"/>
                <w:color w:val="auto"/>
              </w:rPr>
            </w:pPr>
          </w:p>
        </w:tc>
        <w:tc>
          <w:tcPr>
            <w:tcW w:w="1280" w:type="dxa"/>
            <w:vAlign w:val="bottom"/>
            <w:gridSpan w:val="3"/>
            <w:shd w:val="clear" w:color="auto" w:fill="FDFDFD"/>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(Loss) Gain on</w:t>
            </w:r>
          </w:p>
        </w:tc>
        <w:tc>
          <w:tcPr>
            <w:tcW w:w="120" w:type="dxa"/>
            <w:vAlign w:val="bottom"/>
            <w:shd w:val="clear" w:color="auto" w:fill="FDFDFD"/>
          </w:tcPr>
          <w:p>
            <w:pPr>
              <w:spacing w:after="0"/>
              <w:rPr>
                <w:sz w:val="15"/>
                <w:szCs w:val="15"/>
                <w:color w:val="auto"/>
              </w:rPr>
            </w:pPr>
          </w:p>
        </w:tc>
        <w:tc>
          <w:tcPr>
            <w:tcW w:w="1160" w:type="dxa"/>
            <w:vAlign w:val="bottom"/>
            <w:gridSpan w:val="2"/>
            <w:shd w:val="clear" w:color="auto" w:fill="FDFDFD"/>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40" w:type="dxa"/>
            <w:vAlign w:val="bottom"/>
            <w:shd w:val="clear" w:color="auto" w:fill="FDFDFD"/>
          </w:tcPr>
          <w:p>
            <w:pPr>
              <w:spacing w:after="0"/>
              <w:rPr>
                <w:sz w:val="15"/>
                <w:szCs w:val="15"/>
                <w:color w:val="auto"/>
              </w:rPr>
            </w:pPr>
          </w:p>
        </w:tc>
        <w:tc>
          <w:tcPr>
            <w:tcW w:w="8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194"/>
        </w:trPr>
        <w:tc>
          <w:tcPr>
            <w:tcW w:w="442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80" w:type="dxa"/>
            <w:vAlign w:val="bottom"/>
            <w:shd w:val="clear" w:color="auto" w:fill="FDFDFD"/>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Flow Hedges</w:t>
            </w:r>
          </w:p>
        </w:tc>
        <w:tc>
          <w:tcPr>
            <w:tcW w:w="10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140" w:type="dxa"/>
            <w:vAlign w:val="bottom"/>
            <w:gridSpan w:val="2"/>
            <w:shd w:val="clear" w:color="auto" w:fill="FDFDFD"/>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Investments</w:t>
            </w:r>
          </w:p>
        </w:tc>
        <w:tc>
          <w:tcPr>
            <w:tcW w:w="120" w:type="dxa"/>
            <w:vAlign w:val="bottom"/>
            <w:shd w:val="clear" w:color="auto" w:fill="FDFDFD"/>
          </w:tcPr>
          <w:p>
            <w:pPr>
              <w:spacing w:after="0"/>
              <w:rPr>
                <w:sz w:val="16"/>
                <w:szCs w:val="16"/>
                <w:color w:val="auto"/>
              </w:rPr>
            </w:pPr>
          </w:p>
        </w:tc>
        <w:tc>
          <w:tcPr>
            <w:tcW w:w="1160" w:type="dxa"/>
            <w:vAlign w:val="bottom"/>
            <w:gridSpan w:val="2"/>
            <w:shd w:val="clear" w:color="auto" w:fill="FDFDFD"/>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24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4420" w:type="dxa"/>
            <w:vAlign w:val="bottom"/>
            <w:tcBorders>
              <w:top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auto"/>
              </w:rPr>
              <w:t>Balances as of December 31, 2021</w:t>
            </w:r>
          </w:p>
        </w:tc>
        <w:tc>
          <w:tcPr>
            <w:tcW w:w="160" w:type="dxa"/>
            <w:vAlign w:val="bottom"/>
            <w:tcBorders>
              <w:top w:val="single" w:sz="8" w:color="FDFDFD"/>
            </w:tcBorders>
            <w:shd w:val="clear" w:color="auto" w:fill="FDFDFD"/>
          </w:tcPr>
          <w:p>
            <w:pPr>
              <w:spacing w:after="0"/>
              <w:rPr>
                <w:sz w:val="19"/>
                <w:szCs w:val="19"/>
                <w:color w:val="auto"/>
              </w:rPr>
            </w:pPr>
          </w:p>
        </w:tc>
        <w:tc>
          <w:tcPr>
            <w:tcW w:w="10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8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FDFDFD"/>
            </w:tcBorders>
            <w:shd w:val="clear" w:color="auto" w:fill="FDFDFD"/>
          </w:tcPr>
          <w:p>
            <w:pPr>
              <w:spacing w:after="0"/>
              <w:rPr>
                <w:sz w:val="19"/>
                <w:szCs w:val="19"/>
                <w:color w:val="auto"/>
              </w:rPr>
            </w:pPr>
          </w:p>
        </w:tc>
        <w:tc>
          <w:tcPr>
            <w:tcW w:w="14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FDFDFD"/>
            </w:tcBorders>
            <w:shd w:val="clear" w:color="auto" w:fill="FDFDFD"/>
          </w:tcPr>
          <w:p>
            <w:pPr>
              <w:spacing w:after="0"/>
              <w:rPr>
                <w:sz w:val="19"/>
                <w:szCs w:val="19"/>
                <w:color w:val="auto"/>
              </w:rPr>
            </w:pPr>
          </w:p>
        </w:tc>
        <w:tc>
          <w:tcPr>
            <w:tcW w:w="12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00" w:type="dxa"/>
            <w:vAlign w:val="bottom"/>
            <w:tcBorders>
              <w:top w:val="single" w:sz="8" w:color="FDFDFD"/>
            </w:tcBorders>
            <w:shd w:val="clear" w:color="auto" w:fill="FDFDFD"/>
          </w:tcPr>
          <w:p>
            <w:pPr>
              <w:spacing w:after="0"/>
              <w:rPr>
                <w:sz w:val="19"/>
                <w:szCs w:val="19"/>
                <w:color w:val="auto"/>
              </w:rPr>
            </w:pPr>
          </w:p>
        </w:tc>
        <w:tc>
          <w:tcPr>
            <w:tcW w:w="240" w:type="dxa"/>
            <w:vAlign w:val="bottom"/>
            <w:tcBorders>
              <w:top w:val="single" w:sz="8" w:color="auto"/>
            </w:tcBorders>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00" w:type="dxa"/>
            <w:vAlign w:val="bottom"/>
            <w:tcBorders>
              <w:top w:val="single" w:sz="8" w:color="FDFDFD"/>
            </w:tcBorders>
            <w:shd w:val="clear" w:color="auto" w:fill="FDFDFD"/>
          </w:tcPr>
          <w:p>
            <w:pPr>
              <w:spacing w:after="0"/>
              <w:rPr>
                <w:sz w:val="19"/>
                <w:szCs w:val="19"/>
                <w:color w:val="auto"/>
              </w:rPr>
            </w:pPr>
          </w:p>
        </w:tc>
      </w:tr>
      <w:tr>
        <w:trPr>
          <w:trHeight w:val="209"/>
        </w:trPr>
        <w:tc>
          <w:tcPr>
            <w:tcW w:w="4420" w:type="dxa"/>
            <w:vAlign w:val="bottom"/>
            <w:shd w:val="clear" w:color="auto" w:fill="E3E3E3"/>
          </w:tcPr>
          <w:p>
            <w:pPr>
              <w:spacing w:after="0" w:line="208" w:lineRule="exact"/>
              <w:rPr>
                <w:sz w:val="20"/>
                <w:szCs w:val="20"/>
                <w:color w:val="auto"/>
              </w:rPr>
            </w:pPr>
            <w:r>
              <w:rPr>
                <w:rFonts w:ascii="Times New Roman" w:cs="Times New Roman" w:eastAsia="Times New Roman" w:hAnsi="Times New Roman"/>
                <w:sz w:val="20"/>
                <w:szCs w:val="20"/>
                <w:color w:val="auto"/>
              </w:rPr>
              <w:t>Other comprehensive income (loss) before</w:t>
            </w:r>
          </w:p>
        </w:tc>
        <w:tc>
          <w:tcPr>
            <w:tcW w:w="1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18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104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8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r>
      <w:tr>
        <w:trPr>
          <w:trHeight w:val="251"/>
        </w:trPr>
        <w:tc>
          <w:tcPr>
            <w:tcW w:w="4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reclassifications</w:t>
            </w:r>
          </w:p>
        </w:tc>
        <w:tc>
          <w:tcPr>
            <w:tcW w:w="1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8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4,480</w:t>
            </w:r>
          </w:p>
        </w:tc>
        <w:tc>
          <w:tcPr>
            <w:tcW w:w="140" w:type="dxa"/>
            <w:vAlign w:val="bottom"/>
            <w:shd w:val="clear" w:color="auto" w:fill="E3E3E3"/>
          </w:tcPr>
          <w:p>
            <w:pPr>
              <w:spacing w:after="0"/>
              <w:rPr>
                <w:sz w:val="21"/>
                <w:szCs w:val="21"/>
                <w:color w:val="auto"/>
              </w:rPr>
            </w:pPr>
          </w:p>
        </w:tc>
        <w:tc>
          <w:tcPr>
            <w:tcW w:w="11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(135)</w:t>
            </w:r>
          </w:p>
        </w:tc>
        <w:tc>
          <w:tcPr>
            <w:tcW w:w="120" w:type="dxa"/>
            <w:vAlign w:val="bottom"/>
            <w:shd w:val="clear" w:color="auto" w:fill="E3E3E3"/>
          </w:tcPr>
          <w:p>
            <w:pPr>
              <w:spacing w:after="0"/>
              <w:rPr>
                <w:sz w:val="21"/>
                <w:szCs w:val="21"/>
                <w:color w:val="auto"/>
              </w:rPr>
            </w:pPr>
          </w:p>
        </w:tc>
        <w:tc>
          <w:tcPr>
            <w:tcW w:w="11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(566)</w:t>
            </w:r>
          </w:p>
        </w:tc>
        <w:tc>
          <w:tcPr>
            <w:tcW w:w="24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3,779</w:t>
            </w:r>
          </w:p>
        </w:tc>
        <w:tc>
          <w:tcPr>
            <w:tcW w:w="100" w:type="dxa"/>
            <w:vAlign w:val="bottom"/>
            <w:shd w:val="clear" w:color="auto" w:fill="E3E3E3"/>
          </w:tcPr>
          <w:p>
            <w:pPr>
              <w:spacing w:after="0"/>
              <w:rPr>
                <w:sz w:val="21"/>
                <w:szCs w:val="21"/>
                <w:color w:val="auto"/>
              </w:rPr>
            </w:pPr>
          </w:p>
        </w:tc>
      </w:tr>
      <w:tr>
        <w:trPr>
          <w:trHeight w:val="230"/>
        </w:trPr>
        <w:tc>
          <w:tcPr>
            <w:tcW w:w="44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Amounts reclassified from AOCI</w:t>
            </w:r>
          </w:p>
        </w:tc>
        <w:tc>
          <w:tcPr>
            <w:tcW w:w="1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280" w:type="dxa"/>
            <w:vAlign w:val="bottom"/>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(173)</w:t>
            </w:r>
          </w:p>
        </w:tc>
        <w:tc>
          <w:tcPr>
            <w:tcW w:w="140" w:type="dxa"/>
            <w:vAlign w:val="bottom"/>
            <w:shd w:val="clear" w:color="auto" w:fill="FDFDFD"/>
          </w:tcPr>
          <w:p>
            <w:pPr>
              <w:spacing w:after="0"/>
              <w:rPr>
                <w:sz w:val="19"/>
                <w:szCs w:val="19"/>
                <w:color w:val="auto"/>
              </w:rPr>
            </w:pPr>
          </w:p>
        </w:tc>
        <w:tc>
          <w:tcPr>
            <w:tcW w:w="11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FDFDFD"/>
          </w:tcPr>
          <w:p>
            <w:pPr>
              <w:spacing w:after="0"/>
              <w:rPr>
                <w:sz w:val="19"/>
                <w:szCs w:val="19"/>
                <w:color w:val="auto"/>
              </w:rPr>
            </w:pPr>
          </w:p>
        </w:tc>
        <w:tc>
          <w:tcPr>
            <w:tcW w:w="11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FDFDFD"/>
          </w:tcPr>
          <w:p>
            <w:pPr>
              <w:spacing w:after="0"/>
              <w:rPr>
                <w:sz w:val="19"/>
                <w:szCs w:val="19"/>
                <w:color w:val="auto"/>
              </w:rPr>
            </w:pPr>
          </w:p>
        </w:tc>
        <w:tc>
          <w:tcPr>
            <w:tcW w:w="9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(173)</w:t>
            </w:r>
          </w:p>
        </w:tc>
      </w:tr>
      <w:tr>
        <w:trPr>
          <w:trHeight w:val="220"/>
        </w:trPr>
        <w:tc>
          <w:tcPr>
            <w:tcW w:w="442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Balances as of December 31, 2022</w:t>
            </w:r>
          </w:p>
        </w:tc>
        <w:tc>
          <w:tcPr>
            <w:tcW w:w="16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8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4,307</w:t>
            </w:r>
          </w:p>
        </w:tc>
        <w:tc>
          <w:tcPr>
            <w:tcW w:w="100" w:type="dxa"/>
            <w:vAlign w:val="bottom"/>
            <w:tcBorders>
              <w:top w:val="single" w:sz="8" w:color="E3E3E3"/>
            </w:tcBorders>
            <w:shd w:val="clear" w:color="auto" w:fill="E3E3E3"/>
          </w:tcPr>
          <w:p>
            <w:pPr>
              <w:spacing w:after="0"/>
              <w:rPr>
                <w:sz w:val="19"/>
                <w:szCs w:val="19"/>
                <w:color w:val="auto"/>
              </w:rPr>
            </w:pPr>
          </w:p>
        </w:tc>
        <w:tc>
          <w:tcPr>
            <w:tcW w:w="14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(135)</w:t>
            </w:r>
          </w:p>
        </w:tc>
        <w:tc>
          <w:tcPr>
            <w:tcW w:w="100" w:type="dxa"/>
            <w:vAlign w:val="bottom"/>
            <w:tcBorders>
              <w:top w:val="single" w:sz="8" w:color="E3E3E3"/>
            </w:tcBorders>
            <w:shd w:val="clear" w:color="auto" w:fill="E3E3E3"/>
          </w:tcPr>
          <w:p>
            <w:pPr>
              <w:spacing w:after="0"/>
              <w:rPr>
                <w:sz w:val="19"/>
                <w:szCs w:val="19"/>
                <w:color w:val="auto"/>
              </w:rPr>
            </w:pPr>
          </w:p>
        </w:tc>
        <w:tc>
          <w:tcPr>
            <w:tcW w:w="12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(504)</w:t>
            </w:r>
          </w:p>
        </w:tc>
        <w:tc>
          <w:tcPr>
            <w:tcW w:w="100" w:type="dxa"/>
            <w:vAlign w:val="bottom"/>
            <w:tcBorders>
              <w:top w:val="single" w:sz="8" w:color="E3E3E3"/>
            </w:tcBorders>
            <w:shd w:val="clear" w:color="auto" w:fill="E3E3E3"/>
          </w:tcPr>
          <w:p>
            <w:pPr>
              <w:spacing w:after="0"/>
              <w:rPr>
                <w:sz w:val="19"/>
                <w:szCs w:val="19"/>
                <w:color w:val="auto"/>
              </w:rPr>
            </w:pPr>
          </w:p>
        </w:tc>
        <w:tc>
          <w:tcPr>
            <w:tcW w:w="240" w:type="dxa"/>
            <w:vAlign w:val="bottom"/>
            <w:tcBorders>
              <w:top w:val="single" w:sz="8" w:color="auto"/>
            </w:tcBorders>
            <w:shd w:val="clear" w:color="auto" w:fill="E3E3E3"/>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3,668</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44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Other comprehensive income before reclassifications</w:t>
            </w:r>
          </w:p>
        </w:tc>
        <w:tc>
          <w:tcPr>
            <w:tcW w:w="1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1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1,119</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10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1,480</w:t>
            </w:r>
          </w:p>
        </w:tc>
        <w:tc>
          <w:tcPr>
            <w:tcW w:w="100" w:type="dxa"/>
            <w:vAlign w:val="bottom"/>
            <w:shd w:val="clear" w:color="auto" w:fill="FDFDFD"/>
          </w:tcPr>
          <w:p>
            <w:pPr>
              <w:spacing w:after="0"/>
              <w:rPr>
                <w:sz w:val="19"/>
                <w:szCs w:val="19"/>
                <w:color w:val="auto"/>
              </w:rPr>
            </w:pPr>
          </w:p>
        </w:tc>
      </w:tr>
      <w:tr>
        <w:trPr>
          <w:trHeight w:val="230"/>
        </w:trPr>
        <w:tc>
          <w:tcPr>
            <w:tcW w:w="4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Amounts reclassified from AOCI</w:t>
            </w:r>
          </w:p>
        </w:tc>
        <w:tc>
          <w:tcPr>
            <w:tcW w:w="1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28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(3,039)</w:t>
            </w:r>
          </w:p>
        </w:tc>
        <w:tc>
          <w:tcPr>
            <w:tcW w:w="140" w:type="dxa"/>
            <w:vAlign w:val="bottom"/>
            <w:shd w:val="clear" w:color="auto" w:fill="E3E3E3"/>
          </w:tcPr>
          <w:p>
            <w:pPr>
              <w:spacing w:after="0"/>
              <w:rPr>
                <w:sz w:val="19"/>
                <w:szCs w:val="19"/>
                <w:color w:val="auto"/>
              </w:rPr>
            </w:pPr>
          </w:p>
        </w:tc>
        <w:tc>
          <w:tcPr>
            <w:tcW w:w="11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3E3E3"/>
          </w:tcPr>
          <w:p>
            <w:pPr>
              <w:spacing w:after="0"/>
              <w:rPr>
                <w:sz w:val="19"/>
                <w:szCs w:val="19"/>
                <w:color w:val="auto"/>
              </w:rPr>
            </w:pPr>
          </w:p>
        </w:tc>
        <w:tc>
          <w:tcPr>
            <w:tcW w:w="11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3E3E3"/>
          </w:tcPr>
          <w:p>
            <w:pPr>
              <w:spacing w:after="0"/>
              <w:rPr>
                <w:sz w:val="19"/>
                <w:szCs w:val="19"/>
                <w:color w:val="auto"/>
              </w:rPr>
            </w:pPr>
          </w:p>
        </w:tc>
        <w:tc>
          <w:tcPr>
            <w:tcW w:w="9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(3,039)</w:t>
            </w:r>
          </w:p>
        </w:tc>
      </w:tr>
      <w:tr>
        <w:trPr>
          <w:trHeight w:val="220"/>
        </w:trPr>
        <w:tc>
          <w:tcPr>
            <w:tcW w:w="4420" w:type="dxa"/>
            <w:vAlign w:val="bottom"/>
            <w:tcBorders>
              <w:top w:val="single" w:sz="8" w:color="FDFDFD"/>
            </w:tcBorders>
            <w:shd w:val="clear" w:color="auto" w:fill="FDFDFD"/>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Balances as of December 31, 2023</w:t>
            </w:r>
          </w:p>
        </w:tc>
        <w:tc>
          <w:tcPr>
            <w:tcW w:w="160" w:type="dxa"/>
            <w:vAlign w:val="bottom"/>
            <w:tcBorders>
              <w:top w:val="single" w:sz="8" w:color="FDFDFD"/>
            </w:tcBorders>
            <w:shd w:val="clear" w:color="auto" w:fill="FDFDFD"/>
          </w:tcPr>
          <w:p>
            <w:pPr>
              <w:spacing w:after="0"/>
              <w:rPr>
                <w:sz w:val="19"/>
                <w:szCs w:val="19"/>
                <w:color w:val="auto"/>
              </w:rPr>
            </w:pPr>
          </w:p>
        </w:tc>
        <w:tc>
          <w:tcPr>
            <w:tcW w:w="10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18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2,387</w:t>
            </w:r>
          </w:p>
        </w:tc>
        <w:tc>
          <w:tcPr>
            <w:tcW w:w="100" w:type="dxa"/>
            <w:vAlign w:val="bottom"/>
            <w:tcBorders>
              <w:top w:val="single" w:sz="8" w:color="FDFDFD"/>
            </w:tcBorders>
            <w:shd w:val="clear" w:color="auto" w:fill="FDFDFD"/>
          </w:tcPr>
          <w:p>
            <w:pPr>
              <w:spacing w:after="0"/>
              <w:rPr>
                <w:sz w:val="19"/>
                <w:szCs w:val="19"/>
                <w:color w:val="auto"/>
              </w:rPr>
            </w:pPr>
          </w:p>
        </w:tc>
        <w:tc>
          <w:tcPr>
            <w:tcW w:w="14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96</w:t>
            </w:r>
          </w:p>
        </w:tc>
        <w:tc>
          <w:tcPr>
            <w:tcW w:w="100" w:type="dxa"/>
            <w:vAlign w:val="bottom"/>
            <w:tcBorders>
              <w:top w:val="single" w:sz="8" w:color="FDFDFD"/>
            </w:tcBorders>
            <w:shd w:val="clear" w:color="auto" w:fill="FDFDFD"/>
          </w:tcPr>
          <w:p>
            <w:pPr>
              <w:spacing w:after="0"/>
              <w:rPr>
                <w:sz w:val="19"/>
                <w:szCs w:val="19"/>
                <w:color w:val="auto"/>
              </w:rPr>
            </w:pPr>
          </w:p>
        </w:tc>
        <w:tc>
          <w:tcPr>
            <w:tcW w:w="12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(374)</w:t>
            </w:r>
          </w:p>
        </w:tc>
        <w:tc>
          <w:tcPr>
            <w:tcW w:w="100" w:type="dxa"/>
            <w:vAlign w:val="bottom"/>
            <w:tcBorders>
              <w:top w:val="single" w:sz="8" w:color="FDFDFD"/>
            </w:tcBorders>
            <w:shd w:val="clear" w:color="auto" w:fill="FDFDFD"/>
          </w:tcPr>
          <w:p>
            <w:pPr>
              <w:spacing w:after="0"/>
              <w:rPr>
                <w:sz w:val="19"/>
                <w:szCs w:val="19"/>
                <w:color w:val="auto"/>
              </w:rPr>
            </w:pPr>
          </w:p>
        </w:tc>
        <w:tc>
          <w:tcPr>
            <w:tcW w:w="240" w:type="dxa"/>
            <w:vAlign w:val="bottom"/>
            <w:tcBorders>
              <w:top w:val="single" w:sz="8" w:color="auto"/>
            </w:tcBorders>
            <w:shd w:val="clear" w:color="auto" w:fill="FDFDFD"/>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2,109</w:t>
            </w:r>
          </w:p>
        </w:tc>
        <w:tc>
          <w:tcPr>
            <w:tcW w:w="100" w:type="dxa"/>
            <w:vAlign w:val="bottom"/>
            <w:tcBorders>
              <w:top w:val="single" w:sz="8" w:color="FDFDFD"/>
            </w:tcBorders>
            <w:shd w:val="clear" w:color="auto" w:fill="FDFDFD"/>
          </w:tcPr>
          <w:p>
            <w:pPr>
              <w:spacing w:after="0"/>
              <w:rPr>
                <w:sz w:val="19"/>
                <w:szCs w:val="19"/>
                <w:color w:val="auto"/>
              </w:rPr>
            </w:pPr>
          </w:p>
        </w:tc>
      </w:tr>
      <w:tr>
        <w:trPr>
          <w:trHeight w:val="209"/>
        </w:trPr>
        <w:tc>
          <w:tcPr>
            <w:tcW w:w="4420" w:type="dxa"/>
            <w:vAlign w:val="bottom"/>
            <w:shd w:val="clear" w:color="auto" w:fill="E3E3E3"/>
          </w:tcPr>
          <w:p>
            <w:pPr>
              <w:spacing w:after="0" w:line="208" w:lineRule="exact"/>
              <w:rPr>
                <w:sz w:val="20"/>
                <w:szCs w:val="20"/>
                <w:color w:val="auto"/>
              </w:rPr>
            </w:pPr>
            <w:r>
              <w:rPr>
                <w:rFonts w:ascii="Times New Roman" w:cs="Times New Roman" w:eastAsia="Times New Roman" w:hAnsi="Times New Roman"/>
                <w:sz w:val="20"/>
                <w:szCs w:val="20"/>
                <w:color w:val="auto"/>
              </w:rPr>
              <w:t>Other comprehensive income (loss) before</w:t>
            </w:r>
          </w:p>
        </w:tc>
        <w:tc>
          <w:tcPr>
            <w:tcW w:w="1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18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104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8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r>
      <w:tr>
        <w:trPr>
          <w:trHeight w:val="251"/>
        </w:trPr>
        <w:tc>
          <w:tcPr>
            <w:tcW w:w="4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reclassifications</w:t>
            </w:r>
          </w:p>
        </w:tc>
        <w:tc>
          <w:tcPr>
            <w:tcW w:w="1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8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727</w:t>
            </w:r>
          </w:p>
        </w:tc>
        <w:tc>
          <w:tcPr>
            <w:tcW w:w="140" w:type="dxa"/>
            <w:vAlign w:val="bottom"/>
            <w:shd w:val="clear" w:color="auto" w:fill="E3E3E3"/>
          </w:tcPr>
          <w:p>
            <w:pPr>
              <w:spacing w:after="0"/>
              <w:rPr>
                <w:sz w:val="21"/>
                <w:szCs w:val="21"/>
                <w:color w:val="auto"/>
              </w:rPr>
            </w:pPr>
          </w:p>
        </w:tc>
        <w:tc>
          <w:tcPr>
            <w:tcW w:w="11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c>
          <w:tcPr>
            <w:tcW w:w="120" w:type="dxa"/>
            <w:vAlign w:val="bottom"/>
            <w:shd w:val="clear" w:color="auto" w:fill="E3E3E3"/>
          </w:tcPr>
          <w:p>
            <w:pPr>
              <w:spacing w:after="0"/>
              <w:rPr>
                <w:sz w:val="21"/>
                <w:szCs w:val="21"/>
                <w:color w:val="auto"/>
              </w:rPr>
            </w:pPr>
          </w:p>
        </w:tc>
        <w:tc>
          <w:tcPr>
            <w:tcW w:w="11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(304)</w:t>
            </w:r>
          </w:p>
        </w:tc>
        <w:tc>
          <w:tcPr>
            <w:tcW w:w="240" w:type="dxa"/>
            <w:vAlign w:val="bottom"/>
            <w:shd w:val="clear" w:color="auto" w:fill="E3E3E3"/>
          </w:tcPr>
          <w:p>
            <w:pPr>
              <w:spacing w:after="0"/>
              <w:rPr>
                <w:sz w:val="21"/>
                <w:szCs w:val="21"/>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100" w:type="dxa"/>
            <w:vAlign w:val="bottom"/>
            <w:shd w:val="clear" w:color="auto" w:fill="E3E3E3"/>
          </w:tcPr>
          <w:p>
            <w:pPr>
              <w:spacing w:after="0"/>
              <w:rPr>
                <w:sz w:val="21"/>
                <w:szCs w:val="21"/>
                <w:color w:val="auto"/>
              </w:rPr>
            </w:pPr>
          </w:p>
        </w:tc>
      </w:tr>
      <w:tr>
        <w:trPr>
          <w:trHeight w:val="230"/>
        </w:trPr>
        <w:tc>
          <w:tcPr>
            <w:tcW w:w="44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Amounts reclassified from AOCI</w:t>
            </w:r>
          </w:p>
        </w:tc>
        <w:tc>
          <w:tcPr>
            <w:tcW w:w="1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280" w:type="dxa"/>
            <w:vAlign w:val="bottom"/>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(3,133)</w:t>
            </w:r>
          </w:p>
        </w:tc>
        <w:tc>
          <w:tcPr>
            <w:tcW w:w="140" w:type="dxa"/>
            <w:vAlign w:val="bottom"/>
            <w:shd w:val="clear" w:color="auto" w:fill="FDFDFD"/>
          </w:tcPr>
          <w:p>
            <w:pPr>
              <w:spacing w:after="0"/>
              <w:rPr>
                <w:sz w:val="19"/>
                <w:szCs w:val="19"/>
                <w:color w:val="auto"/>
              </w:rPr>
            </w:pPr>
          </w:p>
        </w:tc>
        <w:tc>
          <w:tcPr>
            <w:tcW w:w="11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FDFDFD"/>
          </w:tcPr>
          <w:p>
            <w:pPr>
              <w:spacing w:after="0"/>
              <w:rPr>
                <w:sz w:val="19"/>
                <w:szCs w:val="19"/>
                <w:color w:val="auto"/>
              </w:rPr>
            </w:pPr>
          </w:p>
        </w:tc>
        <w:tc>
          <w:tcPr>
            <w:tcW w:w="11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FDFDFD"/>
          </w:tcPr>
          <w:p>
            <w:pPr>
              <w:spacing w:after="0"/>
              <w:rPr>
                <w:sz w:val="19"/>
                <w:szCs w:val="19"/>
                <w:color w:val="auto"/>
              </w:rPr>
            </w:pPr>
          </w:p>
        </w:tc>
        <w:tc>
          <w:tcPr>
            <w:tcW w:w="9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(3,133)</w:t>
            </w:r>
          </w:p>
        </w:tc>
      </w:tr>
      <w:tr>
        <w:trPr>
          <w:trHeight w:val="220"/>
        </w:trPr>
        <w:tc>
          <w:tcPr>
            <w:tcW w:w="442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Balances as of December 31, 2024</w:t>
            </w:r>
          </w:p>
        </w:tc>
        <w:tc>
          <w:tcPr>
            <w:tcW w:w="16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8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(19)</w:t>
            </w:r>
          </w:p>
        </w:tc>
        <w:tc>
          <w:tcPr>
            <w:tcW w:w="100" w:type="dxa"/>
            <w:vAlign w:val="bottom"/>
            <w:tcBorders>
              <w:top w:val="single" w:sz="8" w:color="E3E3E3"/>
            </w:tcBorders>
            <w:shd w:val="clear" w:color="auto" w:fill="E3E3E3"/>
          </w:tcPr>
          <w:p>
            <w:pPr>
              <w:spacing w:after="0"/>
              <w:rPr>
                <w:sz w:val="19"/>
                <w:szCs w:val="19"/>
                <w:color w:val="auto"/>
              </w:rPr>
            </w:pPr>
          </w:p>
        </w:tc>
        <w:tc>
          <w:tcPr>
            <w:tcW w:w="14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87</w:t>
            </w:r>
          </w:p>
        </w:tc>
        <w:tc>
          <w:tcPr>
            <w:tcW w:w="100" w:type="dxa"/>
            <w:vAlign w:val="bottom"/>
            <w:tcBorders>
              <w:top w:val="single" w:sz="8" w:color="E3E3E3"/>
            </w:tcBorders>
            <w:shd w:val="clear" w:color="auto" w:fill="E3E3E3"/>
          </w:tcPr>
          <w:p>
            <w:pPr>
              <w:spacing w:after="0"/>
              <w:rPr>
                <w:sz w:val="19"/>
                <w:szCs w:val="19"/>
                <w:color w:val="auto"/>
              </w:rPr>
            </w:pPr>
          </w:p>
        </w:tc>
        <w:tc>
          <w:tcPr>
            <w:tcW w:w="12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(678)</w:t>
            </w:r>
          </w:p>
        </w:tc>
        <w:tc>
          <w:tcPr>
            <w:tcW w:w="100" w:type="dxa"/>
            <w:vAlign w:val="bottom"/>
            <w:tcBorders>
              <w:top w:val="single" w:sz="8" w:color="E3E3E3"/>
            </w:tcBorders>
            <w:shd w:val="clear" w:color="auto" w:fill="E3E3E3"/>
          </w:tcPr>
          <w:p>
            <w:pPr>
              <w:spacing w:after="0"/>
              <w:rPr>
                <w:sz w:val="19"/>
                <w:szCs w:val="19"/>
                <w:color w:val="auto"/>
              </w:rPr>
            </w:pPr>
          </w:p>
        </w:tc>
        <w:tc>
          <w:tcPr>
            <w:tcW w:w="240" w:type="dxa"/>
            <w:vAlign w:val="bottom"/>
            <w:tcBorders>
              <w:top w:val="single" w:sz="8" w:color="auto"/>
              <w:bottom w:val="single" w:sz="8" w:color="auto"/>
            </w:tcBorders>
            <w:shd w:val="clear" w:color="auto" w:fill="E3E3E3"/>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(610)</w:t>
            </w:r>
          </w:p>
        </w:tc>
        <w:tc>
          <w:tcPr>
            <w:tcW w:w="100" w:type="dxa"/>
            <w:vAlign w:val="bottom"/>
            <w:tcBorders>
              <w:top w:val="single" w:sz="8" w:color="E3E3E3"/>
            </w:tcBorders>
            <w:shd w:val="clear" w:color="auto" w:fill="E3E3E3"/>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820" w:top="803" w:right="9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F-41</w:t>
      </w:r>
    </w:p>
    <w:p>
      <w:pPr>
        <w:sectPr>
          <w:pgSz w:w="11880" w:h="15480" w:orient="portrait"/>
          <w:cols w:equalWidth="0" w:num="1">
            <w:col w:w="10080"/>
          </w:cols>
          <w:pgMar w:left="820" w:top="803" w:right="980" w:bottom="8" w:gutter="0" w:footer="0" w:header="0"/>
          <w:type w:val="continuous"/>
        </w:sectPr>
      </w:pPr>
    </w:p>
    <w:bookmarkStart w:id="133" w:name="page134"/>
    <w:bookmarkEnd w:id="133"/>
    <w:p>
      <w:pPr>
        <w:ind w:left="500" w:hanging="492"/>
        <w:spacing w:after="0"/>
        <w:tabs>
          <w:tab w:leader="none" w:pos="50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w:t>
      </w:r>
    </w:p>
    <w:p>
      <w:pPr>
        <w:spacing w:after="0" w:line="123"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The Company has Class A Common Stock, Class B Common Stock and Preferred Stock. Holders of outstanding shares of Class A and Class B Common Stock vote as a single class on all matters on which stockholders are entitled to vote generally, except as otherwise required by law. Class B Common Stock issued to holders of Definitive OpCo Units (directly or indirectly through AIDH Management Holdings, LLC) that are unvested shall have no vote per share until such time as such Units have vested.</w:t>
      </w:r>
    </w:p>
    <w:p>
      <w:pPr>
        <w:spacing w:after="0" w:line="77"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Class A Common Stockholders are entitled to receive dividends, if declared by our board of directors out of legally available funds. 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70" w:lineRule="exact"/>
        <w:rPr>
          <w:sz w:val="20"/>
          <w:szCs w:val="20"/>
          <w:color w:val="auto"/>
        </w:rPr>
      </w:pPr>
    </w:p>
    <w:p>
      <w:pPr>
        <w:ind w:right="80" w:firstLine="490"/>
        <w:spacing w:after="0" w:line="279" w:lineRule="auto"/>
        <w:rPr>
          <w:sz w:val="20"/>
          <w:szCs w:val="20"/>
          <w:color w:val="auto"/>
        </w:rPr>
      </w:pPr>
      <w:r>
        <w:rPr>
          <w:rFonts w:ascii="Times New Roman" w:cs="Times New Roman" w:eastAsia="Times New Roman" w:hAnsi="Times New Roman"/>
          <w:sz w:val="20"/>
          <w:szCs w:val="20"/>
          <w:color w:val="auto"/>
        </w:rPr>
        <w:t>Class B Common Stockholders are not entitled to economic interests in Definitive Healthcare Corp. and do not have any right to receive dividends or to receive a distribution upon a liquidation or winding up of Definitive Healthcare Corp.</w:t>
      </w:r>
    </w:p>
    <w:p>
      <w:pPr>
        <w:spacing w:after="0" w:line="45"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Shares of Preferred Stock have not been issued at December 31, 2024. The board of directors may authorize one or more series of Preferred Stock (including convertible Preferred Stock) and will determine, with respect to any series of Preferred Stock, the voting rights, preferences, participation, or other special right and limitations.</w:t>
      </w:r>
    </w:p>
    <w:p>
      <w:pPr>
        <w:spacing w:after="0" w:line="65" w:lineRule="exact"/>
        <w:rPr>
          <w:sz w:val="20"/>
          <w:szCs w:val="20"/>
          <w:color w:val="auto"/>
        </w:rPr>
      </w:pPr>
    </w:p>
    <w:p>
      <w:pPr>
        <w:jc w:val="both"/>
        <w:ind w:right="100" w:firstLine="490"/>
        <w:spacing w:after="0" w:line="253" w:lineRule="auto"/>
        <w:rPr>
          <w:sz w:val="20"/>
          <w:szCs w:val="20"/>
          <w:color w:val="auto"/>
        </w:rPr>
      </w:pPr>
      <w:r>
        <w:rPr>
          <w:rFonts w:ascii="Times New Roman" w:cs="Times New Roman" w:eastAsia="Times New Roman" w:hAnsi="Times New Roman"/>
          <w:sz w:val="20"/>
          <w:szCs w:val="20"/>
          <w:color w:val="auto"/>
        </w:rPr>
        <w:t>Under the Amended Definitive OpCo LLC Agreement, the holders of LLC Units other than Definitive Healthcare Corp. (“LLC Members”) have the right to redeem or exchange all or a portion of their LLC Units for newly issued shares of Class A Common Stock, which may consist of unregistered shares, on a one-for-one basis. Shares of Class B Common Stock and their corresponding LLC Units will be canceled on a one-for-one basis once an exchange has been completed.</w:t>
      </w:r>
    </w:p>
    <w:p>
      <w:pPr>
        <w:spacing w:after="0" w:line="70"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auto"/>
        </w:rPr>
        <w:t>Upon formation of Definitive OpCo in conjunction with the Advent Acquisition in July 2019, two classes of LLC units were established: Class A Units (“Class A Units”) and Class B Units (“Class B Units”), collectively “the Units”.</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 xml:space="preserve">Refer to Note 17. </w:t>
      </w:r>
      <w:r>
        <w:rPr>
          <w:rFonts w:ascii="Times New Roman" w:cs="Times New Roman" w:eastAsia="Times New Roman" w:hAnsi="Times New Roman"/>
          <w:sz w:val="20"/>
          <w:szCs w:val="20"/>
          <w:i w:val="1"/>
          <w:iCs w:val="1"/>
          <w:color w:val="auto"/>
        </w:rPr>
        <w:t>Equity-Based Compensation</w:t>
      </w:r>
      <w:r>
        <w:rPr>
          <w:rFonts w:ascii="Times New Roman" w:cs="Times New Roman" w:eastAsia="Times New Roman" w:hAnsi="Times New Roman"/>
          <w:sz w:val="20"/>
          <w:szCs w:val="20"/>
          <w:color w:val="auto"/>
        </w:rPr>
        <w:t xml:space="preserve"> for further information on Class B Units.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consolidated financial statements based on the LLC Units held by Continuing Pre-IPO LLC Members other than Definitive Healthcare Corp. Changes in Definitive Healthcare Corp.’s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consolidated balance sheets.</w:t>
      </w:r>
    </w:p>
    <w:p>
      <w:pPr>
        <w:spacing w:after="0" w:line="82"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During the year ended December 31, 2024, 270,251 LLC Units held by Continuing Pre-IPO LLC Members were exchanged for shares of Class A Common Stock of Definitive Healthcare Corp. pursuant to the terms of the Amended LLC Agreement. In addition, 2,883,145 restricted stock units (“RSUs”) vested and 981,295 shares of Class A Common Stock were withheld to cover withholding tax obligations, resulting in the net issuance of 1,901,850 shares of Class A Common Stock of Definitive Healthcare Corp. Furthermore, 4,780,799 shares of Class A Common Stock have been repurchased and subsequently retired under stock repurchase programs authorized by the Company’s board of directors. Pursuant to the Definitive OpCo second amended and restated limited liability company agreement entered into in connection with the IPO, LLC Units were issued on a one-for-one basis in connection with the vesting of RSUs and LLC Units were cancelled on a one-for-one basis in connection with the repurchases of shares of the Company’s Class A Common Stock.</w:t>
      </w:r>
    </w:p>
    <w:p>
      <w:pPr>
        <w:spacing w:after="0" w:line="86"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auto"/>
        </w:rPr>
        <w:t>As of December 31, 2024 and 2023, Definitive Healthcare Corp. held ownership interests in Definitive OpCo of 74.3% and 74.9%, respectively, and noncontrolling interests of 25.7% and 25.1%, respectively.</w:t>
      </w: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F-42</w:t>
      </w:r>
    </w:p>
    <w:p>
      <w:pPr>
        <w:sectPr>
          <w:pgSz w:w="11880" w:h="15480" w:orient="portrait"/>
          <w:cols w:equalWidth="0" w:num="1">
            <w:col w:w="10220"/>
          </w:cols>
          <w:pgMar w:left="820" w:top="803" w:right="840" w:bottom="8" w:gutter="0" w:footer="0" w:header="0"/>
          <w:type w:val="continuous"/>
        </w:sectPr>
      </w:pPr>
    </w:p>
    <w:bookmarkStart w:id="134" w:name="page135"/>
    <w:bookmarkEnd w:id="134"/>
    <w:p>
      <w:pPr>
        <w:ind w:left="500" w:hanging="492"/>
        <w:spacing w:after="0"/>
        <w:tabs>
          <w:tab w:leader="none" w:pos="50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Equity-Based Compensation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Incentive Equity Plan</w:t>
      </w:r>
    </w:p>
    <w:p>
      <w:pPr>
        <w:spacing w:after="0" w:line="118"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The Definitive Healthcare Corp. 2021 Equity Incentive Plan (the “2021 Plan”) was adopted in September 2021. The types of grants available under the 2021 Plan include stock options (both incentive and non-qualified), stock appreciation rights (“SARs”), restricted stock awards (“RSAs”), restricted stock units (“RSUs”), and stock-based awards.</w:t>
      </w:r>
    </w:p>
    <w:p>
      <w:pPr>
        <w:spacing w:after="0" w:line="65" w:lineRule="exact"/>
        <w:rPr>
          <w:sz w:val="20"/>
          <w:szCs w:val="20"/>
          <w:color w:val="auto"/>
        </w:rPr>
      </w:pPr>
    </w:p>
    <w:p>
      <w:pPr>
        <w:ind w:right="480" w:firstLine="490"/>
        <w:spacing w:after="0" w:line="259" w:lineRule="auto"/>
        <w:rPr>
          <w:sz w:val="20"/>
          <w:szCs w:val="20"/>
          <w:color w:val="auto"/>
        </w:rPr>
      </w:pPr>
      <w:r>
        <w:rPr>
          <w:rFonts w:ascii="Times New Roman" w:cs="Times New Roman" w:eastAsia="Times New Roman" w:hAnsi="Times New Roman"/>
          <w:sz w:val="20"/>
          <w:szCs w:val="20"/>
          <w:color w:val="auto"/>
        </w:rPr>
        <w:t>The aggregate number of shares of Class A Common Stock available for grant under the 2021 Plan was 10,600,545 shares at December 31, 2024. The outstanding RSUs granted under this plan have time-based and/or performance-based vesting criteria.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2023 Inducement Plan</w:t>
      </w:r>
    </w:p>
    <w:p>
      <w:pPr>
        <w:spacing w:after="0" w:line="118" w:lineRule="exact"/>
        <w:rPr>
          <w:sz w:val="20"/>
          <w:szCs w:val="20"/>
          <w:color w:val="auto"/>
        </w:rPr>
      </w:pPr>
    </w:p>
    <w:p>
      <w:pPr>
        <w:jc w:val="both"/>
        <w:ind w:right="100" w:firstLine="490"/>
        <w:spacing w:after="0" w:line="253" w:lineRule="auto"/>
        <w:rPr>
          <w:sz w:val="20"/>
          <w:szCs w:val="20"/>
          <w:color w:val="auto"/>
        </w:rPr>
      </w:pPr>
      <w:r>
        <w:rPr>
          <w:rFonts w:ascii="Times New Roman" w:cs="Times New Roman" w:eastAsia="Times New Roman" w:hAnsi="Times New Roman"/>
          <w:sz w:val="20"/>
          <w:szCs w:val="20"/>
          <w:color w:val="auto"/>
        </w:rPr>
        <w:t>The Definitive Healthcare Corp. 2023 Inducement Plan (the “Inducement Plan”) was adopted in September 2023 for the purpose of granting equity-based awards to individuals who were not previously employees or directors of the Company. The Inducement Plan provides for the grant of equity-based awards in the form of nonstatutory stock options, SARs, RSAs, RSUs, and dividend equivalent rights.</w:t>
      </w:r>
    </w:p>
    <w:p>
      <w:pPr>
        <w:spacing w:after="0" w:line="70"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The aggregate number of shares of Class A Common Stock available for grant under the Inducement Plan was 1,520,408 shares at December 31, 2024. The outstanding RSUs granted under this plan have time-based and/or performance-based vesting criteria.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Time-Based RSUs</w:t>
      </w:r>
    </w:p>
    <w:p>
      <w:pPr>
        <w:spacing w:after="0" w:line="118" w:lineRule="exact"/>
        <w:rPr>
          <w:sz w:val="20"/>
          <w:szCs w:val="20"/>
          <w:color w:val="auto"/>
        </w:rPr>
      </w:pPr>
    </w:p>
    <w:p>
      <w:pPr>
        <w:ind w:right="40" w:firstLine="490"/>
        <w:spacing w:after="0" w:line="279" w:lineRule="auto"/>
        <w:rPr>
          <w:sz w:val="20"/>
          <w:szCs w:val="20"/>
          <w:color w:val="auto"/>
        </w:rPr>
      </w:pPr>
      <w:r>
        <w:rPr>
          <w:rFonts w:ascii="Times New Roman" w:cs="Times New Roman" w:eastAsia="Times New Roman" w:hAnsi="Times New Roman"/>
          <w:sz w:val="19"/>
          <w:szCs w:val="19"/>
          <w:color w:val="auto"/>
        </w:rPr>
        <w:t>Outstanding time-based RSUs granted under the 2021 Plan generally vest partially on the one-year anniversary of each grant and quarterly over the subsequent two- or three-year period. Outstanding time-based RSUs granted under the Inducement Plan generally vest partially in annual and quarterly increments over the subsequent two-, three-, or four-year periods.</w:t>
      </w:r>
    </w:p>
    <w:p>
      <w:pPr>
        <w:spacing w:after="0" w:line="48" w:lineRule="exact"/>
        <w:rPr>
          <w:sz w:val="20"/>
          <w:szCs w:val="20"/>
          <w:color w:val="auto"/>
        </w:rPr>
      </w:pPr>
    </w:p>
    <w:p>
      <w:pPr>
        <w:jc w:val="both"/>
        <w:ind w:right="240" w:firstLine="490"/>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2024, the Company accelerated the vesting of 779,024 previously unvested time-based RSUs, along with 67,937 previously unvested LLC Units. Remaining unvested shares held by the award holders were forfeited upon separation, and the modifications resulted in incremental stock-based compensation charges of approximately $4.2 million during the year ended December 31, 2024.</w:t>
      </w:r>
    </w:p>
    <w:p>
      <w:pPr>
        <w:spacing w:after="0" w:line="70" w:lineRule="exact"/>
        <w:rPr>
          <w:sz w:val="20"/>
          <w:szCs w:val="20"/>
          <w:color w:val="auto"/>
        </w:rPr>
      </w:pPr>
    </w:p>
    <w:p>
      <w:pPr>
        <w:ind w:right="220" w:firstLine="490"/>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2023, the Company accelerated the vesting of 99,662 previously unvested time-based RSUs in connection with restructuring plans announced during the year, along with the departure of two management-level employees. The incremental stock-based compensation expense resulting from the modifications was not material and any unvested time-based RSUs and PSUs held by the individuals were forfeited upon separation.</w:t>
      </w:r>
    </w:p>
    <w:p>
      <w:pPr>
        <w:spacing w:after="0" w:line="70" w:lineRule="exact"/>
        <w:rPr>
          <w:sz w:val="20"/>
          <w:szCs w:val="20"/>
          <w:color w:val="auto"/>
        </w:rPr>
      </w:pPr>
    </w:p>
    <w:p>
      <w:pPr>
        <w:ind w:right="340" w:firstLine="490"/>
        <w:spacing w:after="0" w:line="279" w:lineRule="auto"/>
        <w:rPr>
          <w:sz w:val="20"/>
          <w:szCs w:val="20"/>
          <w:color w:val="auto"/>
        </w:rPr>
      </w:pPr>
      <w:r>
        <w:rPr>
          <w:rFonts w:ascii="Times New Roman" w:cs="Times New Roman" w:eastAsia="Times New Roman" w:hAnsi="Times New Roman"/>
          <w:sz w:val="20"/>
          <w:szCs w:val="20"/>
          <w:color w:val="auto"/>
        </w:rPr>
        <w:t>The following table summarizes the Company’s unvested time-based RSU activity for the years ended December 31, 2024 and 2023:</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3380" w:type="dxa"/>
            <w:vAlign w:val="bottom"/>
            <w:tcBorders>
              <w:top w:val="single" w:sz="8" w:color="FDFDFD"/>
              <w:bottom w:val="single" w:sz="8" w:color="FDFDFD"/>
            </w:tcBorders>
            <w:shd w:val="clear" w:color="auto" w:fill="FDFDFD"/>
          </w:tcPr>
          <w:p>
            <w:pPr>
              <w:spacing w:after="0"/>
              <w:rPr>
                <w:sz w:val="17"/>
                <w:szCs w:val="17"/>
                <w:color w:val="auto"/>
              </w:rPr>
            </w:pPr>
          </w:p>
        </w:tc>
        <w:tc>
          <w:tcPr>
            <w:tcW w:w="100" w:type="dxa"/>
            <w:vAlign w:val="bottom"/>
            <w:tcBorders>
              <w:top w:val="single" w:sz="8" w:color="FDFDFD"/>
              <w:bottom w:val="single" w:sz="8" w:color="FDFDFD"/>
            </w:tcBorders>
            <w:shd w:val="clear" w:color="auto" w:fill="FDFDFD"/>
          </w:tcPr>
          <w:p>
            <w:pPr>
              <w:spacing w:after="0"/>
              <w:rPr>
                <w:sz w:val="17"/>
                <w:szCs w:val="17"/>
                <w:color w:val="auto"/>
              </w:rPr>
            </w:pPr>
          </w:p>
        </w:tc>
        <w:tc>
          <w:tcPr>
            <w:tcW w:w="1620" w:type="dxa"/>
            <w:vAlign w:val="bottom"/>
            <w:tcBorders>
              <w:top w:val="single" w:sz="8" w:color="auto"/>
              <w:bottom w:val="single" w:sz="8" w:color="auto"/>
            </w:tcBorders>
            <w:gridSpan w:val="4"/>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40" w:type="dxa"/>
            <w:vAlign w:val="bottom"/>
            <w:tcBorders>
              <w:top w:val="single" w:sz="8" w:color="auto"/>
              <w:bottom w:val="single" w:sz="8" w:color="auto"/>
            </w:tcBorders>
            <w:shd w:val="clear" w:color="auto" w:fill="FDFDFD"/>
          </w:tcPr>
          <w:p>
            <w:pPr>
              <w:spacing w:after="0"/>
              <w:rPr>
                <w:sz w:val="17"/>
                <w:szCs w:val="17"/>
                <w:color w:val="auto"/>
              </w:rPr>
            </w:pPr>
          </w:p>
        </w:tc>
        <w:tc>
          <w:tcPr>
            <w:tcW w:w="100" w:type="dxa"/>
            <w:vAlign w:val="bottom"/>
            <w:tcBorders>
              <w:top w:val="single" w:sz="8" w:color="FDFDFD"/>
              <w:bottom w:val="single" w:sz="8" w:color="FDFDFD"/>
            </w:tcBorders>
            <w:shd w:val="clear" w:color="auto" w:fill="FDFDFD"/>
          </w:tcPr>
          <w:p>
            <w:pPr>
              <w:spacing w:after="0"/>
              <w:rPr>
                <w:sz w:val="17"/>
                <w:szCs w:val="17"/>
                <w:color w:val="auto"/>
              </w:rPr>
            </w:pPr>
          </w:p>
        </w:tc>
        <w:tc>
          <w:tcPr>
            <w:tcW w:w="100" w:type="dxa"/>
            <w:vAlign w:val="bottom"/>
            <w:tcBorders>
              <w:top w:val="single" w:sz="8" w:color="auto"/>
              <w:bottom w:val="single" w:sz="8" w:color="FDFDFD"/>
            </w:tcBorders>
            <w:shd w:val="clear" w:color="auto" w:fill="FDFDFD"/>
          </w:tcPr>
          <w:p>
            <w:pPr>
              <w:spacing w:after="0"/>
              <w:rPr>
                <w:sz w:val="17"/>
                <w:szCs w:val="17"/>
                <w:color w:val="auto"/>
              </w:rPr>
            </w:pPr>
          </w:p>
        </w:tc>
        <w:tc>
          <w:tcPr>
            <w:tcW w:w="1620" w:type="dxa"/>
            <w:vAlign w:val="bottom"/>
            <w:tcBorders>
              <w:top w:val="single" w:sz="8" w:color="auto"/>
              <w:bottom w:val="single" w:sz="8" w:color="auto"/>
            </w:tcBorders>
            <w:gridSpan w:val="4"/>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60" w:type="dxa"/>
            <w:vAlign w:val="bottom"/>
            <w:tcBorders>
              <w:top w:val="single" w:sz="8" w:color="auto"/>
              <w:bottom w:val="single" w:sz="8" w:color="auto"/>
            </w:tcBorders>
            <w:shd w:val="clear" w:color="auto" w:fill="FDFDFD"/>
          </w:tcPr>
          <w:p>
            <w:pPr>
              <w:spacing w:after="0"/>
              <w:rPr>
                <w:sz w:val="17"/>
                <w:szCs w:val="17"/>
                <w:color w:val="auto"/>
              </w:rPr>
            </w:pPr>
          </w:p>
        </w:tc>
        <w:tc>
          <w:tcPr>
            <w:tcW w:w="100" w:type="dxa"/>
            <w:vAlign w:val="bottom"/>
            <w:tcBorders>
              <w:top w:val="single" w:sz="8" w:color="FDFDFD"/>
              <w:bottom w:val="single" w:sz="8" w:color="FDFDFD"/>
            </w:tcBorders>
            <w:shd w:val="clear" w:color="auto" w:fill="FDFDFD"/>
          </w:tcPr>
          <w:p>
            <w:pPr>
              <w:spacing w:after="0"/>
              <w:rPr>
                <w:sz w:val="17"/>
                <w:szCs w:val="17"/>
                <w:color w:val="auto"/>
              </w:rPr>
            </w:pPr>
          </w:p>
        </w:tc>
      </w:tr>
      <w:tr>
        <w:trPr>
          <w:trHeight w:val="166"/>
        </w:trPr>
        <w:tc>
          <w:tcPr>
            <w:tcW w:w="338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28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4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140" w:type="dxa"/>
            <w:vAlign w:val="bottom"/>
            <w:shd w:val="clear" w:color="auto" w:fill="FDFDFD"/>
          </w:tcPr>
          <w:p>
            <w:pPr>
              <w:jc w:val="center"/>
              <w:ind w:right="26"/>
              <w:spacing w:after="0" w:line="166"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28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4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160" w:type="dxa"/>
            <w:vAlign w:val="bottom"/>
            <w:shd w:val="clear" w:color="auto" w:fill="FDFDFD"/>
          </w:tcPr>
          <w:p>
            <w:pPr>
              <w:jc w:val="center"/>
              <w:ind w:right="6"/>
              <w:spacing w:after="0" w:line="166"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shd w:val="clear" w:color="auto" w:fill="FDFDFD"/>
          </w:tcPr>
          <w:p>
            <w:pPr>
              <w:spacing w:after="0"/>
              <w:rPr>
                <w:sz w:val="14"/>
                <w:szCs w:val="14"/>
                <w:color w:val="auto"/>
              </w:rPr>
            </w:pPr>
          </w:p>
        </w:tc>
      </w:tr>
      <w:tr>
        <w:trPr>
          <w:trHeight w:val="184"/>
        </w:trPr>
        <w:tc>
          <w:tcPr>
            <w:tcW w:w="33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280" w:type="dxa"/>
            <w:vAlign w:val="bottom"/>
            <w:shd w:val="clear" w:color="auto" w:fill="FDFDFD"/>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140" w:type="dxa"/>
            <w:vAlign w:val="bottom"/>
            <w:shd w:val="clear" w:color="auto" w:fill="FDFDFD"/>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280" w:type="dxa"/>
            <w:vAlign w:val="bottom"/>
            <w:shd w:val="clear" w:color="auto" w:fill="FDFDFD"/>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160" w:type="dxa"/>
            <w:vAlign w:val="bottom"/>
            <w:shd w:val="clear" w:color="auto" w:fill="FDFDFD"/>
          </w:tcPr>
          <w:p>
            <w:pPr>
              <w:jc w:val="center"/>
              <w:ind w:right="6"/>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00" w:type="dxa"/>
            <w:vAlign w:val="bottom"/>
            <w:shd w:val="clear" w:color="auto" w:fill="FDFDFD"/>
          </w:tcPr>
          <w:p>
            <w:pPr>
              <w:spacing w:after="0"/>
              <w:rPr>
                <w:sz w:val="15"/>
                <w:szCs w:val="15"/>
                <w:color w:val="auto"/>
              </w:rPr>
            </w:pPr>
          </w:p>
        </w:tc>
      </w:tr>
      <w:tr>
        <w:trPr>
          <w:trHeight w:val="204"/>
        </w:trPr>
        <w:tc>
          <w:tcPr>
            <w:tcW w:w="3380" w:type="dxa"/>
            <w:vAlign w:val="bottom"/>
            <w:tcBorders>
              <w:bottom w:val="single" w:sz="8" w:color="E3E3E3"/>
            </w:tcBorders>
            <w:shd w:val="clear" w:color="auto" w:fill="FDFDFD"/>
          </w:tcPr>
          <w:p>
            <w:pPr>
              <w:spacing w:after="0"/>
              <w:rPr>
                <w:sz w:val="17"/>
                <w:szCs w:val="17"/>
                <w:color w:val="auto"/>
              </w:rPr>
            </w:pPr>
          </w:p>
        </w:tc>
        <w:tc>
          <w:tcPr>
            <w:tcW w:w="100" w:type="dxa"/>
            <w:vAlign w:val="bottom"/>
            <w:tcBorders>
              <w:bottom w:val="single" w:sz="8" w:color="E3E3E3"/>
            </w:tcBorders>
            <w:shd w:val="clear" w:color="auto" w:fill="FDFDFD"/>
          </w:tcPr>
          <w:p>
            <w:pPr>
              <w:spacing w:after="0"/>
              <w:rPr>
                <w:sz w:val="17"/>
                <w:szCs w:val="17"/>
                <w:color w:val="auto"/>
              </w:rPr>
            </w:pPr>
          </w:p>
        </w:tc>
        <w:tc>
          <w:tcPr>
            <w:tcW w:w="1280" w:type="dxa"/>
            <w:vAlign w:val="bottom"/>
            <w:tcBorders>
              <w:bottom w:val="single" w:sz="8" w:color="auto"/>
            </w:tcBorders>
            <w:shd w:val="clear" w:color="auto" w:fill="FDFDFD"/>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00" w:type="dxa"/>
            <w:vAlign w:val="bottom"/>
            <w:tcBorders>
              <w:bottom w:val="single" w:sz="8" w:color="E3E3E3"/>
            </w:tcBorders>
            <w:shd w:val="clear" w:color="auto" w:fill="FDFDFD"/>
          </w:tcPr>
          <w:p>
            <w:pPr>
              <w:spacing w:after="0"/>
              <w:rPr>
                <w:sz w:val="17"/>
                <w:szCs w:val="17"/>
                <w:color w:val="auto"/>
              </w:rPr>
            </w:pPr>
          </w:p>
        </w:tc>
        <w:tc>
          <w:tcPr>
            <w:tcW w:w="140" w:type="dxa"/>
            <w:vAlign w:val="bottom"/>
            <w:tcBorders>
              <w:bottom w:val="single" w:sz="8" w:color="E3E3E3"/>
            </w:tcBorders>
            <w:shd w:val="clear" w:color="auto" w:fill="FDFDFD"/>
          </w:tcPr>
          <w:p>
            <w:pPr>
              <w:spacing w:after="0"/>
              <w:rPr>
                <w:sz w:val="17"/>
                <w:szCs w:val="17"/>
                <w:color w:val="auto"/>
              </w:rPr>
            </w:pPr>
          </w:p>
        </w:tc>
        <w:tc>
          <w:tcPr>
            <w:tcW w:w="1240" w:type="dxa"/>
            <w:vAlign w:val="bottom"/>
            <w:tcBorders>
              <w:bottom w:val="single" w:sz="8" w:color="auto"/>
            </w:tcBorders>
            <w:gridSpan w:val="2"/>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100" w:type="dxa"/>
            <w:vAlign w:val="bottom"/>
            <w:tcBorders>
              <w:bottom w:val="single" w:sz="8" w:color="E3E3E3"/>
            </w:tcBorders>
            <w:shd w:val="clear" w:color="auto" w:fill="FDFDFD"/>
          </w:tcPr>
          <w:p>
            <w:pPr>
              <w:spacing w:after="0"/>
              <w:rPr>
                <w:sz w:val="17"/>
                <w:szCs w:val="17"/>
                <w:color w:val="auto"/>
              </w:rPr>
            </w:pPr>
          </w:p>
        </w:tc>
        <w:tc>
          <w:tcPr>
            <w:tcW w:w="100" w:type="dxa"/>
            <w:vAlign w:val="bottom"/>
            <w:tcBorders>
              <w:bottom w:val="single" w:sz="8" w:color="E3E3E3"/>
            </w:tcBorders>
            <w:shd w:val="clear" w:color="auto" w:fill="FDFDFD"/>
          </w:tcPr>
          <w:p>
            <w:pPr>
              <w:spacing w:after="0"/>
              <w:rPr>
                <w:sz w:val="17"/>
                <w:szCs w:val="17"/>
                <w:color w:val="auto"/>
              </w:rPr>
            </w:pPr>
          </w:p>
        </w:tc>
        <w:tc>
          <w:tcPr>
            <w:tcW w:w="1280" w:type="dxa"/>
            <w:vAlign w:val="bottom"/>
            <w:tcBorders>
              <w:bottom w:val="single" w:sz="8" w:color="auto"/>
            </w:tcBorders>
            <w:shd w:val="clear" w:color="auto" w:fill="FDFDFD"/>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00" w:type="dxa"/>
            <w:vAlign w:val="bottom"/>
            <w:tcBorders>
              <w:bottom w:val="single" w:sz="8" w:color="E3E3E3"/>
            </w:tcBorders>
            <w:shd w:val="clear" w:color="auto" w:fill="FDFDFD"/>
          </w:tcPr>
          <w:p>
            <w:pPr>
              <w:spacing w:after="0"/>
              <w:rPr>
                <w:sz w:val="17"/>
                <w:szCs w:val="17"/>
                <w:color w:val="auto"/>
              </w:rPr>
            </w:pPr>
          </w:p>
        </w:tc>
        <w:tc>
          <w:tcPr>
            <w:tcW w:w="140" w:type="dxa"/>
            <w:vAlign w:val="bottom"/>
            <w:tcBorders>
              <w:bottom w:val="single" w:sz="8" w:color="E3E3E3"/>
            </w:tcBorders>
            <w:shd w:val="clear" w:color="auto" w:fill="FDFDFD"/>
          </w:tcPr>
          <w:p>
            <w:pPr>
              <w:spacing w:after="0"/>
              <w:rPr>
                <w:sz w:val="17"/>
                <w:szCs w:val="17"/>
                <w:color w:val="auto"/>
              </w:rPr>
            </w:pPr>
          </w:p>
        </w:tc>
        <w:tc>
          <w:tcPr>
            <w:tcW w:w="1260" w:type="dxa"/>
            <w:vAlign w:val="bottom"/>
            <w:tcBorders>
              <w:bottom w:val="single" w:sz="8" w:color="auto"/>
            </w:tcBorders>
            <w:gridSpan w:val="2"/>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33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Unvested at beginning of year</w:t>
            </w:r>
          </w:p>
        </w:tc>
        <w:tc>
          <w:tcPr>
            <w:tcW w:w="100" w:type="dxa"/>
            <w:vAlign w:val="bottom"/>
            <w:shd w:val="clear" w:color="auto" w:fill="E3E3E3"/>
          </w:tcPr>
          <w:p>
            <w:pPr>
              <w:spacing w:after="0"/>
              <w:rPr>
                <w:sz w:val="19"/>
                <w:szCs w:val="19"/>
                <w:color w:val="auto"/>
              </w:rPr>
            </w:pPr>
          </w:p>
        </w:tc>
        <w:tc>
          <w:tcPr>
            <w:tcW w:w="12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5,581,890</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16.25</w:t>
            </w: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2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3,438,387</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24.82</w:t>
            </w:r>
          </w:p>
        </w:tc>
        <w:tc>
          <w:tcPr>
            <w:tcW w:w="100" w:type="dxa"/>
            <w:vAlign w:val="bottom"/>
            <w:shd w:val="clear" w:color="auto" w:fill="E3E3E3"/>
          </w:tcPr>
          <w:p>
            <w:pPr>
              <w:spacing w:after="0"/>
              <w:rPr>
                <w:sz w:val="19"/>
                <w:szCs w:val="19"/>
                <w:color w:val="auto"/>
              </w:rPr>
            </w:pPr>
          </w:p>
        </w:tc>
      </w:tr>
      <w:tr>
        <w:trPr>
          <w:trHeight w:val="230"/>
        </w:trPr>
        <w:tc>
          <w:tcPr>
            <w:tcW w:w="33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Granted</w:t>
            </w:r>
          </w:p>
        </w:tc>
        <w:tc>
          <w:tcPr>
            <w:tcW w:w="100" w:type="dxa"/>
            <w:vAlign w:val="bottom"/>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5,626,732</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7.14</w:t>
            </w:r>
          </w:p>
        </w:tc>
        <w:tc>
          <w:tcPr>
            <w:tcW w:w="200" w:type="dxa"/>
            <w:vAlign w:val="bottom"/>
            <w:gridSpan w:val="2"/>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3,979,312</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11.65</w:t>
            </w:r>
          </w:p>
        </w:tc>
        <w:tc>
          <w:tcPr>
            <w:tcW w:w="100" w:type="dxa"/>
            <w:vAlign w:val="bottom"/>
            <w:shd w:val="clear" w:color="auto" w:fill="FDFDFD"/>
          </w:tcPr>
          <w:p>
            <w:pPr>
              <w:spacing w:after="0"/>
              <w:rPr>
                <w:sz w:val="19"/>
                <w:szCs w:val="19"/>
                <w:color w:val="auto"/>
              </w:rPr>
            </w:pPr>
          </w:p>
        </w:tc>
      </w:tr>
      <w:tr>
        <w:trPr>
          <w:trHeight w:val="230"/>
        </w:trPr>
        <w:tc>
          <w:tcPr>
            <w:tcW w:w="34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Vested</w:t>
            </w:r>
          </w:p>
        </w:tc>
        <w:tc>
          <w:tcPr>
            <w:tcW w:w="138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(2,664,642)</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13.92</w:t>
            </w:r>
          </w:p>
        </w:tc>
        <w:tc>
          <w:tcPr>
            <w:tcW w:w="1580" w:type="dxa"/>
            <w:vAlign w:val="bottom"/>
            <w:gridSpan w:val="4"/>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(1,300,786)</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23.91</w:t>
            </w:r>
          </w:p>
        </w:tc>
        <w:tc>
          <w:tcPr>
            <w:tcW w:w="100" w:type="dxa"/>
            <w:vAlign w:val="bottom"/>
            <w:shd w:val="clear" w:color="auto" w:fill="E3E3E3"/>
          </w:tcPr>
          <w:p>
            <w:pPr>
              <w:spacing w:after="0"/>
              <w:rPr>
                <w:sz w:val="19"/>
                <w:szCs w:val="19"/>
                <w:color w:val="auto"/>
              </w:rPr>
            </w:pPr>
          </w:p>
        </w:tc>
      </w:tr>
      <w:tr>
        <w:trPr>
          <w:trHeight w:val="230"/>
        </w:trPr>
        <w:tc>
          <w:tcPr>
            <w:tcW w:w="34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auto"/>
              </w:rPr>
              <w:t>Forfeited</w:t>
            </w:r>
          </w:p>
        </w:tc>
        <w:tc>
          <w:tcPr>
            <w:tcW w:w="138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(2,083,281)</w:t>
            </w:r>
          </w:p>
        </w:tc>
        <w:tc>
          <w:tcPr>
            <w:tcW w:w="2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12.81</w:t>
            </w:r>
          </w:p>
        </w:tc>
        <w:tc>
          <w:tcPr>
            <w:tcW w:w="1580" w:type="dxa"/>
            <w:vAlign w:val="bottom"/>
            <w:gridSpan w:val="4"/>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(535,023)</w:t>
            </w:r>
          </w:p>
        </w:tc>
        <w:tc>
          <w:tcPr>
            <w:tcW w:w="2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18.48</w:t>
            </w:r>
          </w:p>
        </w:tc>
        <w:tc>
          <w:tcPr>
            <w:tcW w:w="100" w:type="dxa"/>
            <w:vAlign w:val="bottom"/>
            <w:shd w:val="clear" w:color="auto" w:fill="FDFDFD"/>
          </w:tcPr>
          <w:p>
            <w:pPr>
              <w:spacing w:after="0"/>
              <w:rPr>
                <w:sz w:val="19"/>
                <w:szCs w:val="19"/>
                <w:color w:val="auto"/>
              </w:rPr>
            </w:pPr>
          </w:p>
        </w:tc>
      </w:tr>
      <w:tr>
        <w:trPr>
          <w:trHeight w:val="220"/>
        </w:trPr>
        <w:tc>
          <w:tcPr>
            <w:tcW w:w="3480" w:type="dxa"/>
            <w:vAlign w:val="bottom"/>
            <w:tcBorders>
              <w:top w:val="single" w:sz="8" w:color="E3E3E3"/>
            </w:tcBorders>
            <w:gridSpan w:val="2"/>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Unvested at end of year</w:t>
            </w:r>
          </w:p>
        </w:tc>
        <w:tc>
          <w:tcPr>
            <w:tcW w:w="128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6,460,699</w:t>
            </w:r>
          </w:p>
        </w:tc>
        <w:tc>
          <w:tcPr>
            <w:tcW w:w="100" w:type="dxa"/>
            <w:vAlign w:val="bottom"/>
            <w:tcBorders>
              <w:top w:val="single" w:sz="8" w:color="E3E3E3"/>
            </w:tcBorders>
            <w:shd w:val="clear" w:color="auto" w:fill="E3E3E3"/>
          </w:tcPr>
          <w:p>
            <w:pPr>
              <w:spacing w:after="0"/>
              <w:rPr>
                <w:sz w:val="19"/>
                <w:szCs w:val="19"/>
                <w:color w:val="auto"/>
              </w:rPr>
            </w:pPr>
          </w:p>
        </w:tc>
        <w:tc>
          <w:tcPr>
            <w:tcW w:w="240" w:type="dxa"/>
            <w:vAlign w:val="bottom"/>
            <w:tcBorders>
              <w:top w:val="single" w:sz="8" w:color="E3E3E3"/>
            </w:tcBorders>
            <w:gridSpan w:val="2"/>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E3E3E3"/>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10.38</w:t>
            </w:r>
          </w:p>
        </w:tc>
        <w:tc>
          <w:tcPr>
            <w:tcW w:w="200" w:type="dxa"/>
            <w:vAlign w:val="bottom"/>
            <w:tcBorders>
              <w:top w:val="single" w:sz="8" w:color="E3E3E3"/>
            </w:tcBorders>
            <w:gridSpan w:val="2"/>
            <w:shd w:val="clear" w:color="auto" w:fill="E3E3E3"/>
          </w:tcPr>
          <w:p>
            <w:pPr>
              <w:spacing w:after="0"/>
              <w:rPr>
                <w:sz w:val="19"/>
                <w:szCs w:val="19"/>
                <w:color w:val="auto"/>
              </w:rPr>
            </w:pPr>
          </w:p>
        </w:tc>
        <w:tc>
          <w:tcPr>
            <w:tcW w:w="128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5,581,890</w:t>
            </w:r>
          </w:p>
        </w:tc>
        <w:tc>
          <w:tcPr>
            <w:tcW w:w="100" w:type="dxa"/>
            <w:vAlign w:val="bottom"/>
            <w:tcBorders>
              <w:top w:val="single" w:sz="8" w:color="E3E3E3"/>
            </w:tcBorders>
            <w:shd w:val="clear" w:color="auto" w:fill="E3E3E3"/>
          </w:tcPr>
          <w:p>
            <w:pPr>
              <w:spacing w:after="0"/>
              <w:rPr>
                <w:sz w:val="19"/>
                <w:szCs w:val="19"/>
                <w:color w:val="auto"/>
              </w:rPr>
            </w:pPr>
          </w:p>
        </w:tc>
        <w:tc>
          <w:tcPr>
            <w:tcW w:w="240" w:type="dxa"/>
            <w:vAlign w:val="bottom"/>
            <w:tcBorders>
              <w:top w:val="single" w:sz="8" w:color="E3E3E3"/>
            </w:tcBorders>
            <w:gridSpan w:val="2"/>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E3E3E3"/>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16.25</w:t>
            </w:r>
          </w:p>
        </w:tc>
        <w:tc>
          <w:tcPr>
            <w:tcW w:w="100" w:type="dxa"/>
            <w:vAlign w:val="bottom"/>
            <w:tcBorders>
              <w:top w:val="single" w:sz="8" w:color="E3E3E3"/>
            </w:tcBorders>
            <w:shd w:val="clear" w:color="auto" w:fill="E3E3E3"/>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Performance-Based RSUs (“Performance Stock Units” or “PSUs”)</w:t>
      </w:r>
    </w:p>
    <w:p>
      <w:pPr>
        <w:spacing w:after="0" w:line="118" w:lineRule="exact"/>
        <w:rPr>
          <w:sz w:val="20"/>
          <w:szCs w:val="20"/>
          <w:color w:val="auto"/>
        </w:rPr>
      </w:pPr>
    </w:p>
    <w:p>
      <w:pPr>
        <w:ind w:right="80" w:firstLine="490"/>
        <w:spacing w:after="0" w:line="266" w:lineRule="auto"/>
        <w:rPr>
          <w:sz w:val="20"/>
          <w:szCs w:val="20"/>
          <w:color w:val="auto"/>
        </w:rPr>
      </w:pPr>
      <w:r>
        <w:rPr>
          <w:rFonts w:ascii="Times New Roman" w:cs="Times New Roman" w:eastAsia="Times New Roman" w:hAnsi="Times New Roman"/>
          <w:sz w:val="19"/>
          <w:szCs w:val="19"/>
          <w:color w:val="auto"/>
        </w:rPr>
        <w:t>The Company periodically grants PSUs under the 2021 Plan to certain members of the Company’s senior management team subject to the satisfaction of annual and cumulative performance conditions and/or market conditions established by the Human Capital Management and Compensation Committee of the board of directors of Definitive Healthcare Corp. Following the performance period, those PSUs without market-based vesting conditions are subject to the completion of a service period. These earned awards vest on a graded vesting schedule over the remaining service period, which is generally two years.</w:t>
      </w:r>
    </w:p>
    <w:p>
      <w:pPr>
        <w:spacing w:after="0" w:line="59"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Outstanding PSUs granted under the Inducement Plan generally vest annually over three years subject to the achievement of certain performance targets and continued service.</w:t>
      </w:r>
    </w:p>
    <w:p>
      <w:pPr>
        <w:spacing w:after="0" w:line="45" w:lineRule="exact"/>
        <w:rPr>
          <w:sz w:val="20"/>
          <w:szCs w:val="20"/>
          <w:color w:val="auto"/>
        </w:rPr>
      </w:pPr>
    </w:p>
    <w:p>
      <w:pPr>
        <w:ind w:right="200" w:firstLine="490"/>
        <w:spacing w:after="0" w:line="279" w:lineRule="auto"/>
        <w:rPr>
          <w:sz w:val="20"/>
          <w:szCs w:val="20"/>
          <w:color w:val="auto"/>
        </w:rPr>
      </w:pPr>
      <w:r>
        <w:rPr>
          <w:rFonts w:ascii="Times New Roman" w:cs="Times New Roman" w:eastAsia="Times New Roman" w:hAnsi="Times New Roman"/>
          <w:sz w:val="20"/>
          <w:szCs w:val="20"/>
          <w:color w:val="auto"/>
        </w:rPr>
        <w:t>Expense for PSU awards is recognized when it becomes probable that performance measures triggering vesting will be achieved.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F-43</w:t>
      </w:r>
    </w:p>
    <w:p>
      <w:pPr>
        <w:sectPr>
          <w:pgSz w:w="11880" w:h="15480" w:orient="portrait"/>
          <w:cols w:equalWidth="0" w:num="1">
            <w:col w:w="10220"/>
          </w:cols>
          <w:pgMar w:left="820" w:top="803" w:right="840" w:bottom="0" w:gutter="0" w:footer="0" w:header="0"/>
        </w:sectPr>
      </w:pPr>
    </w:p>
    <w:bookmarkStart w:id="135" w:name="page136"/>
    <w:bookmarkEnd w:id="135"/>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In June 2024, the Company granted PSUs to its Chief Executive Officer with performance criteria related to the Company's achievement of certain stock price hurdles over a four-year period. These PSUs subject to the performance criteria will become earned and eligible to vest in four vesting tranches over the performance period.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pacing w:after="0" w:line="8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In February 2024, the Company granted PSUs to its Executive Chairman with performance criteria related to the relative ranking of the total stockholder return (“TSR”) of the Company’s common stock for the cumulative three-year performance period return relative to the TSR of certain peer companies within the Nasdaq Software &amp; Services Index. TSR will be measured based on the 45-trading-day average closing stock price on the first day of the performance period compared to the 45-trading-day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200%,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May 2022, the Company granted PSUs to a former member of the executive leadership team with performance criteria related to the relative ranking of the total stockholder return (“TSR”) of the Company’s common stock for the cumulative three-year performance period return relative to the TSR of certain peer companies within the Nasdaq Software &amp; Services Index. TSR will be measured based on the 20-trading-day average closing stock price on the first day of the performance period compared to the 20-trading-day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300%,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pacing w:after="0" w:line="86"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Additionally, during the year ended December 31, 2024, the Company accelerated the vesting of 58,565 previously unvested performance-based PSUs. These modifications occurred in connection with departures of certain executive-level employees. Remaining unvested shares held by the award holders were forfeited upon separation, and the modifications resulted in incremental stock-based compensation charges of approximately $2.9 million during the year ended December 31, 2024.</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The following table summarizes the Company’s unvested PSU activity for the years ended December 31, 2024 and 2023:</w:t>
      </w:r>
    </w:p>
    <w:p>
      <w:pPr>
        <w:spacing w:after="0" w:line="253" w:lineRule="exact"/>
        <w:rPr>
          <w:sz w:val="20"/>
          <w:szCs w:val="20"/>
          <w:color w:val="auto"/>
        </w:rPr>
      </w:pPr>
    </w:p>
    <w:tbl>
      <w:tblPr>
        <w:tblLayout w:type="fixed"/>
        <w:tblInd w:w="520" w:type="dxa"/>
        <w:tblCellMar>
          <w:top w:w="0" w:type="dxa"/>
          <w:left w:w="0" w:type="dxa"/>
          <w:bottom w:w="0" w:type="dxa"/>
          <w:right w:w="0" w:type="dxa"/>
        </w:tblCellMar>
      </w:tblPr>
      <w:tr>
        <w:trPr>
          <w:trHeight w:val="208"/>
        </w:trPr>
        <w:tc>
          <w:tcPr>
            <w:tcW w:w="3860" w:type="dxa"/>
            <w:vAlign w:val="bottom"/>
            <w:tcBorders>
              <w:top w:val="single" w:sz="8" w:color="FDFDFD"/>
              <w:bottom w:val="single" w:sz="8" w:color="FDFDFD"/>
            </w:tcBorders>
            <w:shd w:val="clear" w:color="auto" w:fill="FDFDFD"/>
          </w:tcPr>
          <w:p>
            <w:pPr>
              <w:spacing w:after="0"/>
              <w:rPr>
                <w:sz w:val="18"/>
                <w:szCs w:val="18"/>
                <w:color w:val="auto"/>
              </w:rPr>
            </w:pPr>
          </w:p>
        </w:tc>
        <w:tc>
          <w:tcPr>
            <w:tcW w:w="100" w:type="dxa"/>
            <w:vAlign w:val="bottom"/>
            <w:tcBorders>
              <w:top w:val="single" w:sz="8" w:color="FDFDFD"/>
              <w:bottom w:val="single" w:sz="8" w:color="FDFDFD"/>
            </w:tcBorders>
            <w:shd w:val="clear" w:color="auto" w:fill="FDFDFD"/>
          </w:tcPr>
          <w:p>
            <w:pPr>
              <w:spacing w:after="0"/>
              <w:rPr>
                <w:sz w:val="18"/>
                <w:szCs w:val="18"/>
                <w:color w:val="auto"/>
              </w:rPr>
            </w:pPr>
          </w:p>
        </w:tc>
        <w:tc>
          <w:tcPr>
            <w:tcW w:w="1520" w:type="dxa"/>
            <w:vAlign w:val="bottom"/>
            <w:tcBorders>
              <w:top w:val="single" w:sz="8" w:color="auto"/>
              <w:bottom w:val="single" w:sz="8" w:color="auto"/>
            </w:tcBorders>
            <w:gridSpan w:val="4"/>
            <w:shd w:val="clear" w:color="auto" w:fill="FDFDFD"/>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Borders>
              <w:top w:val="single" w:sz="8" w:color="auto"/>
              <w:bottom w:val="single" w:sz="8" w:color="auto"/>
            </w:tcBorders>
            <w:shd w:val="clear" w:color="auto" w:fill="FDFDFD"/>
          </w:tcPr>
          <w:p>
            <w:pPr>
              <w:spacing w:after="0"/>
              <w:rPr>
                <w:sz w:val="18"/>
                <w:szCs w:val="18"/>
                <w:color w:val="auto"/>
              </w:rPr>
            </w:pPr>
          </w:p>
        </w:tc>
        <w:tc>
          <w:tcPr>
            <w:tcW w:w="100" w:type="dxa"/>
            <w:vAlign w:val="bottom"/>
            <w:tcBorders>
              <w:top w:val="single" w:sz="8" w:color="FDFDFD"/>
              <w:bottom w:val="single" w:sz="8" w:color="FDFDFD"/>
            </w:tcBorders>
            <w:shd w:val="clear" w:color="auto" w:fill="FDFDFD"/>
          </w:tcPr>
          <w:p>
            <w:pPr>
              <w:spacing w:after="0"/>
              <w:rPr>
                <w:sz w:val="18"/>
                <w:szCs w:val="18"/>
                <w:color w:val="auto"/>
              </w:rPr>
            </w:pPr>
          </w:p>
        </w:tc>
        <w:tc>
          <w:tcPr>
            <w:tcW w:w="80" w:type="dxa"/>
            <w:vAlign w:val="bottom"/>
            <w:tcBorders>
              <w:top w:val="single" w:sz="8" w:color="auto"/>
              <w:bottom w:val="single" w:sz="8" w:color="FDFDFD"/>
            </w:tcBorders>
            <w:shd w:val="clear" w:color="auto" w:fill="FDFDFD"/>
          </w:tcPr>
          <w:p>
            <w:pPr>
              <w:spacing w:after="0"/>
              <w:rPr>
                <w:sz w:val="18"/>
                <w:szCs w:val="18"/>
                <w:color w:val="auto"/>
              </w:rPr>
            </w:pPr>
          </w:p>
        </w:tc>
        <w:tc>
          <w:tcPr>
            <w:tcW w:w="1520" w:type="dxa"/>
            <w:vAlign w:val="bottom"/>
            <w:tcBorders>
              <w:top w:val="single" w:sz="8" w:color="auto"/>
              <w:bottom w:val="single" w:sz="8" w:color="auto"/>
            </w:tcBorders>
            <w:gridSpan w:val="4"/>
            <w:shd w:val="clear" w:color="auto" w:fill="FDFDFD"/>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80" w:type="dxa"/>
            <w:vAlign w:val="bottom"/>
            <w:tcBorders>
              <w:top w:val="single" w:sz="8" w:color="auto"/>
              <w:bottom w:val="single" w:sz="8" w:color="auto"/>
            </w:tcBorders>
            <w:shd w:val="clear" w:color="auto" w:fill="FDFDFD"/>
          </w:tcPr>
          <w:p>
            <w:pPr>
              <w:spacing w:after="0"/>
              <w:rPr>
                <w:sz w:val="18"/>
                <w:szCs w:val="18"/>
                <w:color w:val="auto"/>
              </w:rPr>
            </w:pPr>
          </w:p>
        </w:tc>
        <w:tc>
          <w:tcPr>
            <w:tcW w:w="80" w:type="dxa"/>
            <w:vAlign w:val="bottom"/>
            <w:tcBorders>
              <w:top w:val="single" w:sz="8" w:color="FDFDFD"/>
              <w:bottom w:val="single" w:sz="8" w:color="FDFDFD"/>
            </w:tcBorders>
            <w:shd w:val="clear" w:color="auto" w:fill="FDFDFD"/>
          </w:tcPr>
          <w:p>
            <w:pPr>
              <w:spacing w:after="0"/>
              <w:rPr>
                <w:sz w:val="18"/>
                <w:szCs w:val="18"/>
                <w:color w:val="auto"/>
              </w:rPr>
            </w:pPr>
          </w:p>
        </w:tc>
      </w:tr>
      <w:tr>
        <w:trPr>
          <w:trHeight w:val="194"/>
        </w:trPr>
        <w:tc>
          <w:tcPr>
            <w:tcW w:w="38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960" w:type="dxa"/>
            <w:vAlign w:val="bottom"/>
            <w:shd w:val="clear" w:color="auto" w:fill="FDFDFD"/>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4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980" w:type="dxa"/>
            <w:vAlign w:val="bottom"/>
            <w:shd w:val="clear" w:color="auto" w:fill="FDFDFD"/>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shd w:val="clear" w:color="auto" w:fill="FDFDFD"/>
          </w:tcPr>
          <w:p>
            <w:pPr>
              <w:spacing w:after="0"/>
              <w:rPr>
                <w:sz w:val="16"/>
                <w:szCs w:val="16"/>
                <w:color w:val="auto"/>
              </w:rPr>
            </w:pPr>
          </w:p>
        </w:tc>
      </w:tr>
      <w:tr>
        <w:trPr>
          <w:trHeight w:val="198"/>
        </w:trPr>
        <w:tc>
          <w:tcPr>
            <w:tcW w:w="386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140" w:type="dxa"/>
            <w:vAlign w:val="bottom"/>
            <w:shd w:val="clear" w:color="auto" w:fill="FDFDFD"/>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8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1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Grant</w:t>
            </w:r>
          </w:p>
        </w:tc>
        <w:tc>
          <w:tcPr>
            <w:tcW w:w="100" w:type="dxa"/>
            <w:vAlign w:val="bottom"/>
            <w:shd w:val="clear" w:color="auto" w:fill="FDFDFD"/>
          </w:tcPr>
          <w:p>
            <w:pPr>
              <w:spacing w:after="0"/>
              <w:rPr>
                <w:sz w:val="17"/>
                <w:szCs w:val="17"/>
                <w:color w:val="auto"/>
              </w:rPr>
            </w:pPr>
          </w:p>
        </w:tc>
        <w:tc>
          <w:tcPr>
            <w:tcW w:w="80" w:type="dxa"/>
            <w:vAlign w:val="bottom"/>
            <w:shd w:val="clear" w:color="auto" w:fill="FDFDFD"/>
          </w:tcPr>
          <w:p>
            <w:pPr>
              <w:spacing w:after="0"/>
              <w:rPr>
                <w:sz w:val="17"/>
                <w:szCs w:val="17"/>
                <w:color w:val="auto"/>
              </w:rPr>
            </w:pPr>
          </w:p>
        </w:tc>
        <w:tc>
          <w:tcPr>
            <w:tcW w:w="1140" w:type="dxa"/>
            <w:vAlign w:val="bottom"/>
            <w:shd w:val="clear" w:color="auto" w:fill="FDFDFD"/>
          </w:tcPr>
          <w:p>
            <w:pPr>
              <w:jc w:val="right"/>
              <w:ind w:right="29"/>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Grant</w:t>
            </w:r>
          </w:p>
        </w:tc>
        <w:tc>
          <w:tcPr>
            <w:tcW w:w="80" w:type="dxa"/>
            <w:vAlign w:val="bottom"/>
            <w:shd w:val="clear" w:color="auto" w:fill="FDFDFD"/>
          </w:tcPr>
          <w:p>
            <w:pPr>
              <w:spacing w:after="0"/>
              <w:rPr>
                <w:sz w:val="17"/>
                <w:szCs w:val="17"/>
                <w:color w:val="auto"/>
              </w:rPr>
            </w:pPr>
          </w:p>
        </w:tc>
      </w:tr>
      <w:tr>
        <w:trPr>
          <w:trHeight w:val="204"/>
        </w:trPr>
        <w:tc>
          <w:tcPr>
            <w:tcW w:w="3860" w:type="dxa"/>
            <w:vAlign w:val="bottom"/>
            <w:tcBorders>
              <w:bottom w:val="single" w:sz="8" w:color="E3E3E3"/>
            </w:tcBorders>
            <w:shd w:val="clear" w:color="auto" w:fill="FDFDFD"/>
          </w:tcPr>
          <w:p>
            <w:pPr>
              <w:spacing w:after="0"/>
              <w:rPr>
                <w:sz w:val="17"/>
                <w:szCs w:val="17"/>
                <w:color w:val="auto"/>
              </w:rPr>
            </w:pPr>
          </w:p>
        </w:tc>
        <w:tc>
          <w:tcPr>
            <w:tcW w:w="100" w:type="dxa"/>
            <w:vAlign w:val="bottom"/>
            <w:tcBorders>
              <w:bottom w:val="single" w:sz="8" w:color="E3E3E3"/>
            </w:tcBorders>
            <w:shd w:val="clear" w:color="auto" w:fill="FDFDFD"/>
          </w:tcPr>
          <w:p>
            <w:pPr>
              <w:spacing w:after="0"/>
              <w:rPr>
                <w:sz w:val="17"/>
                <w:szCs w:val="17"/>
                <w:color w:val="auto"/>
              </w:rPr>
            </w:pPr>
          </w:p>
        </w:tc>
        <w:tc>
          <w:tcPr>
            <w:tcW w:w="1140" w:type="dxa"/>
            <w:vAlign w:val="bottom"/>
            <w:tcBorders>
              <w:bottom w:val="single" w:sz="8" w:color="auto"/>
            </w:tcBorders>
            <w:shd w:val="clear" w:color="auto" w:fill="FDFDFD"/>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80" w:type="dxa"/>
            <w:vAlign w:val="bottom"/>
            <w:tcBorders>
              <w:bottom w:val="single" w:sz="8" w:color="E3E3E3"/>
            </w:tcBorders>
            <w:shd w:val="clear" w:color="auto" w:fill="FDFDFD"/>
          </w:tcPr>
          <w:p>
            <w:pPr>
              <w:spacing w:after="0"/>
              <w:rPr>
                <w:sz w:val="17"/>
                <w:szCs w:val="17"/>
                <w:color w:val="auto"/>
              </w:rPr>
            </w:pPr>
          </w:p>
        </w:tc>
        <w:tc>
          <w:tcPr>
            <w:tcW w:w="140" w:type="dxa"/>
            <w:vAlign w:val="bottom"/>
            <w:tcBorders>
              <w:bottom w:val="single" w:sz="8" w:color="E3E3E3"/>
            </w:tcBorders>
            <w:shd w:val="clear" w:color="auto" w:fill="FDFDFD"/>
          </w:tcPr>
          <w:p>
            <w:pPr>
              <w:spacing w:after="0"/>
              <w:rPr>
                <w:sz w:val="17"/>
                <w:szCs w:val="17"/>
                <w:color w:val="auto"/>
              </w:rPr>
            </w:pPr>
          </w:p>
        </w:tc>
        <w:tc>
          <w:tcPr>
            <w:tcW w:w="1120" w:type="dxa"/>
            <w:vAlign w:val="bottom"/>
            <w:tcBorders>
              <w:bottom w:val="single" w:sz="8" w:color="auto"/>
            </w:tcBorders>
            <w:gridSpan w:val="2"/>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100" w:type="dxa"/>
            <w:vAlign w:val="bottom"/>
            <w:tcBorders>
              <w:bottom w:val="single" w:sz="8" w:color="E3E3E3"/>
            </w:tcBorders>
            <w:shd w:val="clear" w:color="auto" w:fill="FDFDFD"/>
          </w:tcPr>
          <w:p>
            <w:pPr>
              <w:spacing w:after="0"/>
              <w:rPr>
                <w:sz w:val="17"/>
                <w:szCs w:val="17"/>
                <w:color w:val="auto"/>
              </w:rPr>
            </w:pPr>
          </w:p>
        </w:tc>
        <w:tc>
          <w:tcPr>
            <w:tcW w:w="80" w:type="dxa"/>
            <w:vAlign w:val="bottom"/>
            <w:tcBorders>
              <w:bottom w:val="single" w:sz="8" w:color="E3E3E3"/>
            </w:tcBorders>
            <w:shd w:val="clear" w:color="auto" w:fill="FDFDFD"/>
          </w:tcPr>
          <w:p>
            <w:pPr>
              <w:spacing w:after="0"/>
              <w:rPr>
                <w:sz w:val="17"/>
                <w:szCs w:val="17"/>
                <w:color w:val="auto"/>
              </w:rPr>
            </w:pPr>
          </w:p>
        </w:tc>
        <w:tc>
          <w:tcPr>
            <w:tcW w:w="1140" w:type="dxa"/>
            <w:vAlign w:val="bottom"/>
            <w:tcBorders>
              <w:bottom w:val="single" w:sz="8" w:color="auto"/>
            </w:tcBorders>
            <w:shd w:val="clear" w:color="auto" w:fill="FDFDFD"/>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00" w:type="dxa"/>
            <w:vAlign w:val="bottom"/>
            <w:tcBorders>
              <w:bottom w:val="single" w:sz="8" w:color="E3E3E3"/>
            </w:tcBorders>
            <w:shd w:val="clear" w:color="auto" w:fill="FDFDFD"/>
          </w:tcPr>
          <w:p>
            <w:pPr>
              <w:spacing w:after="0"/>
              <w:rPr>
                <w:sz w:val="17"/>
                <w:szCs w:val="17"/>
                <w:color w:val="auto"/>
              </w:rPr>
            </w:pPr>
          </w:p>
        </w:tc>
        <w:tc>
          <w:tcPr>
            <w:tcW w:w="120" w:type="dxa"/>
            <w:vAlign w:val="bottom"/>
            <w:tcBorders>
              <w:bottom w:val="single" w:sz="8" w:color="E3E3E3"/>
            </w:tcBorders>
            <w:shd w:val="clear" w:color="auto" w:fill="FDFDFD"/>
          </w:tcPr>
          <w:p>
            <w:pPr>
              <w:spacing w:after="0"/>
              <w:rPr>
                <w:sz w:val="17"/>
                <w:szCs w:val="17"/>
                <w:color w:val="auto"/>
              </w:rPr>
            </w:pPr>
          </w:p>
        </w:tc>
        <w:tc>
          <w:tcPr>
            <w:tcW w:w="1140" w:type="dxa"/>
            <w:vAlign w:val="bottom"/>
            <w:tcBorders>
              <w:bottom w:val="single" w:sz="8" w:color="auto"/>
            </w:tcBorders>
            <w:gridSpan w:val="2"/>
            <w:shd w:val="clear" w:color="auto" w:fill="FDFDFD"/>
          </w:tcPr>
          <w:p>
            <w:pPr>
              <w:ind w:left="2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80" w:type="dxa"/>
            <w:vAlign w:val="bottom"/>
            <w:tcBorders>
              <w:bottom w:val="single" w:sz="8" w:color="E3E3E3"/>
            </w:tcBorders>
            <w:shd w:val="clear" w:color="auto" w:fill="FDFDFD"/>
          </w:tcPr>
          <w:p>
            <w:pPr>
              <w:spacing w:after="0"/>
              <w:rPr>
                <w:sz w:val="17"/>
                <w:szCs w:val="17"/>
                <w:color w:val="auto"/>
              </w:rPr>
            </w:pPr>
          </w:p>
        </w:tc>
      </w:tr>
      <w:tr>
        <w:trPr>
          <w:trHeight w:val="234"/>
        </w:trPr>
        <w:tc>
          <w:tcPr>
            <w:tcW w:w="38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Unvested at beginning of year</w:t>
            </w:r>
          </w:p>
        </w:tc>
        <w:tc>
          <w:tcPr>
            <w:tcW w:w="100" w:type="dxa"/>
            <w:vAlign w:val="bottom"/>
            <w:shd w:val="clear" w:color="auto" w:fill="E3E3E3"/>
          </w:tcPr>
          <w:p>
            <w:pPr>
              <w:spacing w:after="0"/>
              <w:rPr>
                <w:sz w:val="20"/>
                <w:szCs w:val="20"/>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1,246,600</w:t>
            </w:r>
          </w:p>
        </w:tc>
        <w:tc>
          <w:tcPr>
            <w:tcW w:w="8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15.69</w:t>
            </w:r>
          </w:p>
        </w:tc>
        <w:tc>
          <w:tcPr>
            <w:tcW w:w="180" w:type="dxa"/>
            <w:vAlign w:val="bottom"/>
            <w:gridSpan w:val="2"/>
            <w:shd w:val="clear" w:color="auto" w:fill="E3E3E3"/>
          </w:tcPr>
          <w:p>
            <w:pPr>
              <w:spacing w:after="0"/>
              <w:rPr>
                <w:sz w:val="20"/>
                <w:szCs w:val="20"/>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54.25</w:t>
            </w:r>
          </w:p>
        </w:tc>
        <w:tc>
          <w:tcPr>
            <w:tcW w:w="80" w:type="dxa"/>
            <w:vAlign w:val="bottom"/>
            <w:shd w:val="clear" w:color="auto" w:fill="E3E3E3"/>
          </w:tcPr>
          <w:p>
            <w:pPr>
              <w:spacing w:after="0"/>
              <w:rPr>
                <w:sz w:val="20"/>
                <w:szCs w:val="20"/>
                <w:color w:val="auto"/>
              </w:rPr>
            </w:pPr>
          </w:p>
        </w:tc>
      </w:tr>
      <w:tr>
        <w:trPr>
          <w:trHeight w:val="244"/>
        </w:trPr>
        <w:tc>
          <w:tcPr>
            <w:tcW w:w="3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 xml:space="preserve">Granted </w:t>
            </w:r>
            <w:r>
              <w:rPr>
                <w:rFonts w:ascii="Times New Roman" w:cs="Times New Roman" w:eastAsia="Times New Roman" w:hAnsi="Times New Roman"/>
                <w:sz w:val="13"/>
                <w:szCs w:val="13"/>
                <w:color w:val="auto"/>
              </w:rPr>
              <w:t>(1)</w:t>
            </w:r>
          </w:p>
        </w:tc>
        <w:tc>
          <w:tcPr>
            <w:tcW w:w="100" w:type="dxa"/>
            <w:vAlign w:val="bottom"/>
            <w:shd w:val="clear" w:color="auto" w:fill="FDFDFD"/>
          </w:tcPr>
          <w:p>
            <w:pPr>
              <w:spacing w:after="0"/>
              <w:rPr>
                <w:sz w:val="21"/>
                <w:szCs w:val="21"/>
                <w:color w:val="auto"/>
              </w:rPr>
            </w:pP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2,309,704</w:t>
            </w:r>
          </w:p>
        </w:tc>
        <w:tc>
          <w:tcPr>
            <w:tcW w:w="8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6.81</w:t>
            </w:r>
          </w:p>
        </w:tc>
        <w:tc>
          <w:tcPr>
            <w:tcW w:w="180" w:type="dxa"/>
            <w:vAlign w:val="bottom"/>
            <w:gridSpan w:val="2"/>
            <w:shd w:val="clear" w:color="auto" w:fill="FDFDFD"/>
          </w:tcPr>
          <w:p>
            <w:pPr>
              <w:spacing w:after="0"/>
              <w:rPr>
                <w:sz w:val="21"/>
                <w:szCs w:val="21"/>
                <w:color w:val="auto"/>
              </w:rPr>
            </w:pP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1,187,390</w:t>
            </w:r>
          </w:p>
        </w:tc>
        <w:tc>
          <w:tcPr>
            <w:tcW w:w="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1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11.52</w:t>
            </w:r>
          </w:p>
        </w:tc>
        <w:tc>
          <w:tcPr>
            <w:tcW w:w="80" w:type="dxa"/>
            <w:vAlign w:val="bottom"/>
            <w:shd w:val="clear" w:color="auto" w:fill="FDFDFD"/>
          </w:tcPr>
          <w:p>
            <w:pPr>
              <w:spacing w:after="0"/>
              <w:rPr>
                <w:sz w:val="21"/>
                <w:szCs w:val="21"/>
                <w:color w:val="auto"/>
              </w:rPr>
            </w:pPr>
          </w:p>
        </w:tc>
      </w:tr>
      <w:tr>
        <w:trPr>
          <w:trHeight w:val="244"/>
        </w:trPr>
        <w:tc>
          <w:tcPr>
            <w:tcW w:w="39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Vested</w:t>
            </w:r>
          </w:p>
        </w:tc>
        <w:tc>
          <w:tcPr>
            <w:tcW w:w="122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(218,503)</w:t>
            </w:r>
          </w:p>
        </w:tc>
        <w:tc>
          <w:tcPr>
            <w:tcW w:w="30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10.99</w:t>
            </w:r>
          </w:p>
        </w:tc>
        <w:tc>
          <w:tcPr>
            <w:tcW w:w="10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12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21"/>
                <w:szCs w:val="21"/>
                <w:color w:val="auto"/>
              </w:rPr>
            </w:pPr>
          </w:p>
        </w:tc>
      </w:tr>
      <w:tr>
        <w:trPr>
          <w:trHeight w:val="244"/>
        </w:trPr>
        <w:tc>
          <w:tcPr>
            <w:tcW w:w="39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auto"/>
              </w:rPr>
              <w:t>Forfeited</w:t>
            </w:r>
          </w:p>
        </w:tc>
        <w:tc>
          <w:tcPr>
            <w:tcW w:w="1220" w:type="dxa"/>
            <w:vAlign w:val="bottom"/>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(692,709)</w:t>
            </w:r>
          </w:p>
        </w:tc>
        <w:tc>
          <w:tcPr>
            <w:tcW w:w="300" w:type="dxa"/>
            <w:vAlign w:val="bottom"/>
            <w:gridSpan w:val="2"/>
            <w:shd w:val="clear" w:color="auto" w:fill="FDFDFD"/>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8.10</w:t>
            </w:r>
          </w:p>
        </w:tc>
        <w:tc>
          <w:tcPr>
            <w:tcW w:w="1420" w:type="dxa"/>
            <w:vAlign w:val="bottom"/>
            <w:gridSpan w:val="4"/>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(65,790)</w:t>
            </w:r>
          </w:p>
        </w:tc>
        <w:tc>
          <w:tcPr>
            <w:tcW w:w="280" w:type="dxa"/>
            <w:vAlign w:val="bottom"/>
            <w:gridSpan w:val="2"/>
            <w:shd w:val="clear" w:color="auto" w:fill="FDFDFD"/>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13.62</w:t>
            </w:r>
          </w:p>
        </w:tc>
        <w:tc>
          <w:tcPr>
            <w:tcW w:w="80" w:type="dxa"/>
            <w:vAlign w:val="bottom"/>
            <w:shd w:val="clear" w:color="auto" w:fill="FDFDFD"/>
          </w:tcPr>
          <w:p>
            <w:pPr>
              <w:spacing w:after="0"/>
              <w:rPr>
                <w:sz w:val="21"/>
                <w:szCs w:val="21"/>
                <w:color w:val="auto"/>
              </w:rPr>
            </w:pPr>
          </w:p>
        </w:tc>
      </w:tr>
      <w:tr>
        <w:trPr>
          <w:trHeight w:val="234"/>
        </w:trPr>
        <w:tc>
          <w:tcPr>
            <w:tcW w:w="3960" w:type="dxa"/>
            <w:vAlign w:val="bottom"/>
            <w:tcBorders>
              <w:top w:val="single" w:sz="8" w:color="E3E3E3"/>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 xml:space="preserve">Unvested at end of year </w:t>
            </w:r>
            <w:r>
              <w:rPr>
                <w:rFonts w:ascii="Times New Roman" w:cs="Times New Roman" w:eastAsia="Times New Roman" w:hAnsi="Times New Roman"/>
                <w:sz w:val="13"/>
                <w:szCs w:val="13"/>
                <w:color w:val="auto"/>
              </w:rPr>
              <w:t>(2)</w:t>
            </w:r>
          </w:p>
        </w:tc>
        <w:tc>
          <w:tcPr>
            <w:tcW w:w="1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2,645,092</w:t>
            </w:r>
          </w:p>
        </w:tc>
        <w:tc>
          <w:tcPr>
            <w:tcW w:w="80" w:type="dxa"/>
            <w:vAlign w:val="bottom"/>
            <w:tcBorders>
              <w:top w:val="single" w:sz="8" w:color="E3E3E3"/>
            </w:tcBorders>
            <w:shd w:val="clear" w:color="auto" w:fill="E3E3E3"/>
          </w:tcPr>
          <w:p>
            <w:pPr>
              <w:spacing w:after="0"/>
              <w:rPr>
                <w:sz w:val="20"/>
                <w:szCs w:val="20"/>
                <w:color w:val="auto"/>
              </w:rPr>
            </w:pPr>
          </w:p>
        </w:tc>
        <w:tc>
          <w:tcPr>
            <w:tcW w:w="300" w:type="dxa"/>
            <w:vAlign w:val="bottom"/>
            <w:tcBorders>
              <w:top w:val="single" w:sz="8" w:color="E3E3E3"/>
            </w:tcBorders>
            <w:gridSpan w:val="2"/>
            <w:shd w:val="clear" w:color="auto" w:fill="E3E3E3"/>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180" w:type="dxa"/>
            <w:vAlign w:val="bottom"/>
            <w:tcBorders>
              <w:top w:val="single" w:sz="8" w:color="E3E3E3"/>
            </w:tcBorders>
            <w:gridSpan w:val="2"/>
            <w:shd w:val="clear" w:color="auto" w:fill="E3E3E3"/>
          </w:tcPr>
          <w:p>
            <w:pPr>
              <w:spacing w:after="0"/>
              <w:rPr>
                <w:sz w:val="20"/>
                <w:szCs w:val="20"/>
                <w:color w:val="auto"/>
              </w:rPr>
            </w:pPr>
          </w:p>
        </w:tc>
        <w:tc>
          <w:tcPr>
            <w:tcW w:w="1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1,246,600</w:t>
            </w:r>
          </w:p>
        </w:tc>
        <w:tc>
          <w:tcPr>
            <w:tcW w:w="100" w:type="dxa"/>
            <w:vAlign w:val="bottom"/>
            <w:tcBorders>
              <w:top w:val="single" w:sz="8" w:color="E3E3E3"/>
            </w:tcBorders>
            <w:shd w:val="clear" w:color="auto" w:fill="E3E3E3"/>
          </w:tcPr>
          <w:p>
            <w:pPr>
              <w:spacing w:after="0"/>
              <w:rPr>
                <w:sz w:val="20"/>
                <w:szCs w:val="20"/>
                <w:color w:val="auto"/>
              </w:rPr>
            </w:pPr>
          </w:p>
        </w:tc>
        <w:tc>
          <w:tcPr>
            <w:tcW w:w="280" w:type="dxa"/>
            <w:vAlign w:val="bottom"/>
            <w:tcBorders>
              <w:top w:val="single" w:sz="8" w:color="E3E3E3"/>
            </w:tcBorders>
            <w:gridSpan w:val="2"/>
            <w:shd w:val="clear" w:color="auto" w:fill="E3E3E3"/>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15.69</w:t>
            </w:r>
          </w:p>
        </w:tc>
        <w:tc>
          <w:tcPr>
            <w:tcW w:w="80" w:type="dxa"/>
            <w:vAlign w:val="bottom"/>
            <w:tcBorders>
              <w:top w:val="single" w:sz="8" w:color="E3E3E3"/>
            </w:tcBorders>
            <w:shd w:val="clear" w:color="auto" w:fill="E3E3E3"/>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9" w:lineRule="exact"/>
        <w:rPr>
          <w:sz w:val="20"/>
          <w:szCs w:val="20"/>
          <w:color w:val="auto"/>
        </w:rPr>
      </w:pPr>
    </w:p>
    <w:p>
      <w:pPr>
        <w:ind w:left="980" w:right="680" w:hanging="483"/>
        <w:spacing w:after="0" w:line="279" w:lineRule="auto"/>
        <w:tabs>
          <w:tab w:leader="none" w:pos="9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PSUs awarded represents the target number of shares of common stock that may be earned; however, the actual number of shares may vary based on the satisfaction of performance criteria.</w:t>
      </w:r>
    </w:p>
    <w:p>
      <w:pPr>
        <w:spacing w:after="0" w:line="45" w:lineRule="exact"/>
        <w:rPr>
          <w:rFonts w:ascii="Times New Roman" w:cs="Times New Roman" w:eastAsia="Times New Roman" w:hAnsi="Times New Roman"/>
          <w:sz w:val="20"/>
          <w:szCs w:val="20"/>
          <w:color w:val="auto"/>
        </w:rPr>
      </w:pPr>
    </w:p>
    <w:p>
      <w:pPr>
        <w:ind w:left="980" w:right="180" w:hanging="483"/>
        <w:spacing w:after="0" w:line="270" w:lineRule="auto"/>
        <w:tabs>
          <w:tab w:leader="none" w:pos="980" w:val="left"/>
        </w:tabs>
        <w:numPr>
          <w:ilvl w:val="0"/>
          <w:numId w:val="49"/>
        </w:numPr>
        <w:rPr>
          <w:rFonts w:ascii="Times New Roman" w:cs="Times New Roman" w:eastAsia="Times New Roman" w:hAnsi="Times New Roman"/>
          <w:sz w:val="2"/>
          <w:szCs w:val="2"/>
          <w:color w:val="auto"/>
        </w:rPr>
      </w:pPr>
      <w:r>
        <w:rPr>
          <w:rFonts w:ascii="Times New Roman" w:cs="Times New Roman" w:eastAsia="Times New Roman" w:hAnsi="Times New Roman"/>
          <w:sz w:val="19"/>
          <w:szCs w:val="19"/>
          <w:color w:val="auto"/>
        </w:rPr>
        <w:t>Of the 2,645,092 unvested PSUs outstanding as of December 31, 2024, 2,515,897 shares were unearned and subject to achievement of specific financial goals. Once earned, those awards without market-based vesting conditions will be subject to time-based vesting according to terms of the award. Based on 2024 financial results, approximately 465,000 of the 2,515,897 unearned shares are expected to be forfeited in the first quarter of 2025.</w:t>
      </w:r>
    </w:p>
    <w:p>
      <w:pPr>
        <w:sectPr>
          <w:pgSz w:w="11880" w:h="15480" w:orient="portrait"/>
          <w:cols w:equalWidth="0" w:num="1">
            <w:col w:w="10220"/>
          </w:cols>
          <w:pgMar w:left="820" w:top="1156" w:right="840" w:bottom="8"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F-44</w:t>
      </w:r>
    </w:p>
    <w:p>
      <w:pPr>
        <w:sectPr>
          <w:pgSz w:w="11880" w:h="15480" w:orient="portrait"/>
          <w:cols w:equalWidth="0" w:num="1">
            <w:col w:w="10220"/>
          </w:cols>
          <w:pgMar w:left="820" w:top="1156" w:right="840" w:bottom="8"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i w:val="1"/>
          <w:iCs w:val="1"/>
          <w:color w:val="auto"/>
        </w:rPr>
        <w:t>2019 Incentive Equity Plan</w:t>
      </w:r>
    </w:p>
    <w:p>
      <w:pPr>
        <w:spacing w:after="0" w:line="118"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auto"/>
        </w:rPr>
        <w:t>The AIDH Topco, LLC 2019 Equity Incentive Plan (the “2019 Plan”) was utilized prior to the Reorganization Transactions and the IPO for the issuance of equity awards in the form of Class B Units to or on behalf of employees, consultants, directors, managers, or others providing services to the Company. In connection with the Reorganization Transactions and the IPO, unvested Class B Units held directly by employees of the Company or indirectly through AIDH Management Holdings, LLC, were exchanged for unvested Definitive OpCo units (held directly or indirectly through AIDH Management Holdings, LLC) based on their respective participation thresholds and the IPO price of $27.00 per share. The Company no longer grants any awards under the 2019 Plan, though previously granted awards under the 2019 Plan remain outstanding and governed by the 2019 Plan, including unvested units.</w:t>
      </w:r>
    </w:p>
    <w:p>
      <w:pPr>
        <w:spacing w:after="0" w:line="82" w:lineRule="exact"/>
        <w:rPr>
          <w:sz w:val="20"/>
          <w:szCs w:val="20"/>
          <w:color w:val="auto"/>
        </w:rPr>
      </w:pPr>
    </w:p>
    <w:p>
      <w:pPr>
        <w:ind w:right="420" w:firstLine="49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2024, the Company accelerated the vesting of 67,937 previously unvested Definitive OpCo units (held indirectly through AIDH Management Holdings, LLC). These modifications occurred in connection with departures of certain executive-level employees. Any remaining unvested Definitive OpCo units (held indirectly through AIDH Management Holdings, LLC) were forfeited upon separation, and the modifications resulted in incremental stock-based compensation charges of approximately $0.5 million during the year ended December 31, 2024.</w:t>
      </w:r>
    </w:p>
    <w:p>
      <w:pPr>
        <w:spacing w:after="0" w:line="77"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2023, in connection with the departure of three management-level employees during the year, the Company accelerated the vesting of 50,772 previously unvested Definitive OpCo units (held indirectly through AIDH Management Holdings, LLC). The incremental stock-based compensation expense was not material and any unvested Definitive OpCo units (held indirectly through AIDH Management Holdings, LLC) were forfeited upon separation.</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the Company’s unvested unit activity.</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386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540" w:type="dxa"/>
            <w:vAlign w:val="bottom"/>
            <w:gridSpan w:val="4"/>
            <w:shd w:val="clear" w:color="auto" w:fill="FDFDFD"/>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shd w:val="clear" w:color="auto" w:fill="FDFDFD"/>
          </w:tcPr>
          <w:p>
            <w:pPr>
              <w:spacing w:after="0"/>
              <w:rPr>
                <w:sz w:val="17"/>
                <w:szCs w:val="17"/>
                <w:color w:val="auto"/>
              </w:rPr>
            </w:pPr>
          </w:p>
        </w:tc>
        <w:tc>
          <w:tcPr>
            <w:tcW w:w="1720" w:type="dxa"/>
            <w:vAlign w:val="bottom"/>
            <w:gridSpan w:val="5"/>
            <w:shd w:val="clear" w:color="auto" w:fill="FDFDFD"/>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9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r>
      <w:tr>
        <w:trPr>
          <w:trHeight w:val="166"/>
        </w:trPr>
        <w:tc>
          <w:tcPr>
            <w:tcW w:w="3860" w:type="dxa"/>
            <w:vAlign w:val="bottom"/>
            <w:tcBorders>
              <w:top w:val="single" w:sz="8" w:color="FDFDFD"/>
            </w:tcBorders>
            <w:shd w:val="clear" w:color="auto" w:fill="FDFDFD"/>
          </w:tcPr>
          <w:p>
            <w:pPr>
              <w:spacing w:after="0"/>
              <w:rPr>
                <w:sz w:val="14"/>
                <w:szCs w:val="14"/>
                <w:color w:val="auto"/>
              </w:rPr>
            </w:pPr>
          </w:p>
        </w:tc>
        <w:tc>
          <w:tcPr>
            <w:tcW w:w="100" w:type="dxa"/>
            <w:vAlign w:val="bottom"/>
            <w:tcBorders>
              <w:top w:val="single" w:sz="8" w:color="FDFDFD"/>
            </w:tcBorders>
            <w:shd w:val="clear" w:color="auto" w:fill="FDFDFD"/>
          </w:tcPr>
          <w:p>
            <w:pPr>
              <w:spacing w:after="0"/>
              <w:rPr>
                <w:sz w:val="14"/>
                <w:szCs w:val="14"/>
                <w:color w:val="auto"/>
              </w:rPr>
            </w:pPr>
          </w:p>
        </w:tc>
        <w:tc>
          <w:tcPr>
            <w:tcW w:w="1140" w:type="dxa"/>
            <w:vAlign w:val="bottom"/>
            <w:tcBorders>
              <w:top w:val="single" w:sz="8" w:color="auto"/>
            </w:tcBorders>
            <w:shd w:val="clear" w:color="auto" w:fill="FDFDFD"/>
          </w:tcPr>
          <w:p>
            <w:pPr>
              <w:spacing w:after="0"/>
              <w:rPr>
                <w:sz w:val="14"/>
                <w:szCs w:val="14"/>
                <w:color w:val="auto"/>
              </w:rPr>
            </w:pPr>
          </w:p>
        </w:tc>
        <w:tc>
          <w:tcPr>
            <w:tcW w:w="100" w:type="dxa"/>
            <w:vAlign w:val="bottom"/>
            <w:tcBorders>
              <w:top w:val="single" w:sz="8" w:color="auto"/>
            </w:tcBorders>
            <w:shd w:val="clear" w:color="auto" w:fill="FDFDFD"/>
          </w:tcPr>
          <w:p>
            <w:pPr>
              <w:spacing w:after="0"/>
              <w:rPr>
                <w:sz w:val="14"/>
                <w:szCs w:val="14"/>
                <w:color w:val="auto"/>
              </w:rPr>
            </w:pPr>
          </w:p>
        </w:tc>
        <w:tc>
          <w:tcPr>
            <w:tcW w:w="140" w:type="dxa"/>
            <w:vAlign w:val="bottom"/>
            <w:tcBorders>
              <w:top w:val="single" w:sz="8" w:color="auto"/>
            </w:tcBorders>
            <w:shd w:val="clear" w:color="auto" w:fill="FDFDFD"/>
          </w:tcPr>
          <w:p>
            <w:pPr>
              <w:spacing w:after="0"/>
              <w:rPr>
                <w:sz w:val="14"/>
                <w:szCs w:val="14"/>
                <w:color w:val="auto"/>
              </w:rPr>
            </w:pPr>
          </w:p>
        </w:tc>
        <w:tc>
          <w:tcPr>
            <w:tcW w:w="160" w:type="dxa"/>
            <w:vAlign w:val="bottom"/>
            <w:tcBorders>
              <w:top w:val="single" w:sz="8" w:color="auto"/>
            </w:tcBorders>
            <w:shd w:val="clear" w:color="auto" w:fill="FDFDFD"/>
          </w:tcPr>
          <w:p>
            <w:pPr>
              <w:spacing w:after="0"/>
              <w:rPr>
                <w:sz w:val="14"/>
                <w:szCs w:val="14"/>
                <w:color w:val="auto"/>
              </w:rPr>
            </w:pPr>
          </w:p>
        </w:tc>
        <w:tc>
          <w:tcPr>
            <w:tcW w:w="940" w:type="dxa"/>
            <w:vAlign w:val="bottom"/>
            <w:tcBorders>
              <w:top w:val="single" w:sz="8" w:color="auto"/>
            </w:tcBorders>
            <w:shd w:val="clear" w:color="auto" w:fill="FDFDFD"/>
          </w:tcPr>
          <w:p>
            <w:pPr>
              <w:jc w:val="center"/>
              <w:ind w:right="64"/>
              <w:spacing w:after="0" w:line="166"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Borders>
              <w:top w:val="single" w:sz="8" w:color="FDFDFD"/>
            </w:tcBorders>
            <w:shd w:val="clear" w:color="auto" w:fill="FDFDFD"/>
          </w:tcPr>
          <w:p>
            <w:pPr>
              <w:spacing w:after="0"/>
              <w:rPr>
                <w:sz w:val="14"/>
                <w:szCs w:val="14"/>
                <w:color w:val="auto"/>
              </w:rPr>
            </w:pPr>
          </w:p>
        </w:tc>
        <w:tc>
          <w:tcPr>
            <w:tcW w:w="1160" w:type="dxa"/>
            <w:vAlign w:val="bottom"/>
            <w:tcBorders>
              <w:top w:val="single" w:sz="8" w:color="auto"/>
            </w:tcBorders>
            <w:shd w:val="clear" w:color="auto" w:fill="FDFDFD"/>
          </w:tcPr>
          <w:p>
            <w:pPr>
              <w:spacing w:after="0"/>
              <w:rPr>
                <w:sz w:val="14"/>
                <w:szCs w:val="14"/>
                <w:color w:val="auto"/>
              </w:rPr>
            </w:pPr>
          </w:p>
        </w:tc>
        <w:tc>
          <w:tcPr>
            <w:tcW w:w="80" w:type="dxa"/>
            <w:vAlign w:val="bottom"/>
            <w:tcBorders>
              <w:top w:val="single" w:sz="8" w:color="auto"/>
            </w:tcBorders>
            <w:shd w:val="clear" w:color="auto" w:fill="FDFDFD"/>
          </w:tcPr>
          <w:p>
            <w:pPr>
              <w:spacing w:after="0"/>
              <w:rPr>
                <w:sz w:val="14"/>
                <w:szCs w:val="14"/>
                <w:color w:val="auto"/>
              </w:rPr>
            </w:pPr>
          </w:p>
        </w:tc>
        <w:tc>
          <w:tcPr>
            <w:tcW w:w="140" w:type="dxa"/>
            <w:vAlign w:val="bottom"/>
            <w:tcBorders>
              <w:top w:val="single" w:sz="8" w:color="auto"/>
            </w:tcBorders>
            <w:shd w:val="clear" w:color="auto" w:fill="FDFDFD"/>
          </w:tcPr>
          <w:p>
            <w:pPr>
              <w:spacing w:after="0"/>
              <w:rPr>
                <w:sz w:val="14"/>
                <w:szCs w:val="14"/>
                <w:color w:val="auto"/>
              </w:rPr>
            </w:pPr>
          </w:p>
        </w:tc>
        <w:tc>
          <w:tcPr>
            <w:tcW w:w="160" w:type="dxa"/>
            <w:vAlign w:val="bottom"/>
            <w:tcBorders>
              <w:top w:val="single" w:sz="8" w:color="auto"/>
            </w:tcBorders>
            <w:shd w:val="clear" w:color="auto" w:fill="FDFDFD"/>
          </w:tcPr>
          <w:p>
            <w:pPr>
              <w:spacing w:after="0"/>
              <w:rPr>
                <w:sz w:val="14"/>
                <w:szCs w:val="14"/>
                <w:color w:val="auto"/>
              </w:rPr>
            </w:pPr>
          </w:p>
        </w:tc>
        <w:tc>
          <w:tcPr>
            <w:tcW w:w="940" w:type="dxa"/>
            <w:vAlign w:val="bottom"/>
            <w:tcBorders>
              <w:top w:val="single" w:sz="8" w:color="auto"/>
            </w:tcBorders>
            <w:shd w:val="clear" w:color="auto" w:fill="FDFDFD"/>
          </w:tcPr>
          <w:p>
            <w:pPr>
              <w:jc w:val="right"/>
              <w:ind w:right="124"/>
              <w:spacing w:after="0" w:line="166"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Borders>
              <w:top w:val="single" w:sz="8" w:color="FDFDFD"/>
            </w:tcBorders>
            <w:shd w:val="clear" w:color="auto" w:fill="FDFDFD"/>
          </w:tcPr>
          <w:p>
            <w:pPr>
              <w:spacing w:after="0"/>
              <w:rPr>
                <w:sz w:val="14"/>
                <w:szCs w:val="14"/>
                <w:color w:val="auto"/>
              </w:rPr>
            </w:pPr>
          </w:p>
        </w:tc>
      </w:tr>
      <w:tr>
        <w:trPr>
          <w:trHeight w:val="184"/>
        </w:trPr>
        <w:tc>
          <w:tcPr>
            <w:tcW w:w="38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140" w:type="dxa"/>
            <w:vAlign w:val="bottom"/>
            <w:shd w:val="clear" w:color="auto" w:fill="FDFDFD"/>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Non-Vested</w:t>
            </w:r>
          </w:p>
        </w:tc>
        <w:tc>
          <w:tcPr>
            <w:tcW w:w="10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100" w:type="dxa"/>
            <w:vAlign w:val="bottom"/>
            <w:gridSpan w:val="2"/>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80" w:type="dxa"/>
            <w:vAlign w:val="bottom"/>
            <w:shd w:val="clear" w:color="auto" w:fill="FDFDFD"/>
          </w:tcPr>
          <w:p>
            <w:pPr>
              <w:spacing w:after="0"/>
              <w:rPr>
                <w:sz w:val="15"/>
                <w:szCs w:val="15"/>
                <w:color w:val="auto"/>
              </w:rPr>
            </w:pPr>
          </w:p>
        </w:tc>
        <w:tc>
          <w:tcPr>
            <w:tcW w:w="1160" w:type="dxa"/>
            <w:vAlign w:val="bottom"/>
            <w:shd w:val="clear" w:color="auto" w:fill="FDFDFD"/>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Non-Vested</w:t>
            </w:r>
          </w:p>
        </w:tc>
        <w:tc>
          <w:tcPr>
            <w:tcW w:w="8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1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Grant</w:t>
            </w:r>
          </w:p>
        </w:tc>
        <w:tc>
          <w:tcPr>
            <w:tcW w:w="100" w:type="dxa"/>
            <w:vAlign w:val="bottom"/>
            <w:shd w:val="clear" w:color="auto" w:fill="FDFDFD"/>
          </w:tcPr>
          <w:p>
            <w:pPr>
              <w:spacing w:after="0"/>
              <w:rPr>
                <w:sz w:val="15"/>
                <w:szCs w:val="15"/>
                <w:color w:val="auto"/>
              </w:rPr>
            </w:pPr>
          </w:p>
        </w:tc>
      </w:tr>
      <w:tr>
        <w:trPr>
          <w:trHeight w:val="204"/>
        </w:trPr>
        <w:tc>
          <w:tcPr>
            <w:tcW w:w="3860" w:type="dxa"/>
            <w:vAlign w:val="bottom"/>
            <w:tcBorders>
              <w:bottom w:val="single" w:sz="8" w:color="E3E3E3"/>
            </w:tcBorders>
            <w:shd w:val="clear" w:color="auto" w:fill="FDFDFD"/>
          </w:tcPr>
          <w:p>
            <w:pPr>
              <w:spacing w:after="0"/>
              <w:rPr>
                <w:sz w:val="17"/>
                <w:szCs w:val="17"/>
                <w:color w:val="auto"/>
              </w:rPr>
            </w:pPr>
          </w:p>
        </w:tc>
        <w:tc>
          <w:tcPr>
            <w:tcW w:w="100" w:type="dxa"/>
            <w:vAlign w:val="bottom"/>
            <w:tcBorders>
              <w:bottom w:val="single" w:sz="8" w:color="E3E3E3"/>
            </w:tcBorders>
            <w:shd w:val="clear" w:color="auto" w:fill="FDFDFD"/>
          </w:tcPr>
          <w:p>
            <w:pPr>
              <w:spacing w:after="0"/>
              <w:rPr>
                <w:sz w:val="17"/>
                <w:szCs w:val="17"/>
                <w:color w:val="auto"/>
              </w:rPr>
            </w:pPr>
          </w:p>
        </w:tc>
        <w:tc>
          <w:tcPr>
            <w:tcW w:w="1140" w:type="dxa"/>
            <w:vAlign w:val="bottom"/>
            <w:tcBorders>
              <w:bottom w:val="single" w:sz="8" w:color="auto"/>
            </w:tcBorders>
            <w:shd w:val="clear" w:color="auto" w:fill="FDFDFD"/>
          </w:tcPr>
          <w:p>
            <w:pPr>
              <w:jc w:val="right"/>
              <w:ind w:right="289"/>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bottom w:val="single" w:sz="8" w:color="E3E3E3"/>
            </w:tcBorders>
            <w:shd w:val="clear" w:color="auto" w:fill="FDFDFD"/>
          </w:tcPr>
          <w:p>
            <w:pPr>
              <w:spacing w:after="0"/>
              <w:rPr>
                <w:sz w:val="17"/>
                <w:szCs w:val="17"/>
                <w:color w:val="auto"/>
              </w:rPr>
            </w:pPr>
          </w:p>
        </w:tc>
        <w:tc>
          <w:tcPr>
            <w:tcW w:w="140" w:type="dxa"/>
            <w:vAlign w:val="bottom"/>
            <w:tcBorders>
              <w:bottom w:val="single" w:sz="8" w:color="E3E3E3"/>
            </w:tcBorders>
            <w:shd w:val="clear" w:color="auto" w:fill="FDFDFD"/>
          </w:tcPr>
          <w:p>
            <w:pPr>
              <w:spacing w:after="0"/>
              <w:rPr>
                <w:sz w:val="17"/>
                <w:szCs w:val="17"/>
                <w:color w:val="auto"/>
              </w:rPr>
            </w:pPr>
          </w:p>
        </w:tc>
        <w:tc>
          <w:tcPr>
            <w:tcW w:w="1100" w:type="dxa"/>
            <w:vAlign w:val="bottom"/>
            <w:tcBorders>
              <w:bottom w:val="single" w:sz="8" w:color="auto"/>
            </w:tcBorders>
            <w:gridSpan w:val="2"/>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180" w:type="dxa"/>
            <w:vAlign w:val="bottom"/>
            <w:tcBorders>
              <w:bottom w:val="single" w:sz="8" w:color="E3E3E3"/>
            </w:tcBorders>
            <w:shd w:val="clear" w:color="auto" w:fill="FDFDFD"/>
          </w:tcPr>
          <w:p>
            <w:pPr>
              <w:spacing w:after="0"/>
              <w:rPr>
                <w:sz w:val="17"/>
                <w:szCs w:val="17"/>
                <w:color w:val="auto"/>
              </w:rPr>
            </w:pPr>
          </w:p>
        </w:tc>
        <w:tc>
          <w:tcPr>
            <w:tcW w:w="1160" w:type="dxa"/>
            <w:vAlign w:val="bottom"/>
            <w:tcBorders>
              <w:bottom w:val="single" w:sz="8" w:color="auto"/>
            </w:tcBorders>
            <w:shd w:val="clear" w:color="auto" w:fill="FDFDFD"/>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Borders>
              <w:bottom w:val="single" w:sz="8" w:color="E3E3E3"/>
            </w:tcBorders>
            <w:shd w:val="clear" w:color="auto" w:fill="FDFDFD"/>
          </w:tcPr>
          <w:p>
            <w:pPr>
              <w:spacing w:after="0"/>
              <w:rPr>
                <w:sz w:val="17"/>
                <w:szCs w:val="17"/>
                <w:color w:val="auto"/>
              </w:rPr>
            </w:pPr>
          </w:p>
        </w:tc>
        <w:tc>
          <w:tcPr>
            <w:tcW w:w="140" w:type="dxa"/>
            <w:vAlign w:val="bottom"/>
            <w:tcBorders>
              <w:bottom w:val="single" w:sz="8" w:color="E3E3E3"/>
            </w:tcBorders>
            <w:shd w:val="clear" w:color="auto" w:fill="FDFDFD"/>
          </w:tcPr>
          <w:p>
            <w:pPr>
              <w:spacing w:after="0"/>
              <w:rPr>
                <w:sz w:val="17"/>
                <w:szCs w:val="17"/>
                <w:color w:val="auto"/>
              </w:rPr>
            </w:pPr>
          </w:p>
        </w:tc>
        <w:tc>
          <w:tcPr>
            <w:tcW w:w="1100" w:type="dxa"/>
            <w:vAlign w:val="bottom"/>
            <w:tcBorders>
              <w:bottom w:val="single" w:sz="8" w:color="auto"/>
            </w:tcBorders>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386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Unvested at beginning of year</w:t>
            </w:r>
          </w:p>
        </w:tc>
        <w:tc>
          <w:tcPr>
            <w:tcW w:w="100" w:type="dxa"/>
            <w:vAlign w:val="bottom"/>
            <w:shd w:val="clear" w:color="auto" w:fill="E3E3E3"/>
          </w:tcPr>
          <w:p>
            <w:pPr>
              <w:spacing w:after="0"/>
              <w:rPr>
                <w:sz w:val="19"/>
                <w:szCs w:val="19"/>
                <w:color w:val="auto"/>
              </w:rPr>
            </w:pPr>
          </w:p>
        </w:tc>
        <w:tc>
          <w:tcPr>
            <w:tcW w:w="11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594,653</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1.65</w:t>
            </w:r>
          </w:p>
        </w:tc>
        <w:tc>
          <w:tcPr>
            <w:tcW w:w="180" w:type="dxa"/>
            <w:vAlign w:val="bottom"/>
            <w:shd w:val="clear" w:color="auto" w:fill="E3E3E3"/>
          </w:tcPr>
          <w:p>
            <w:pPr>
              <w:spacing w:after="0"/>
              <w:rPr>
                <w:sz w:val="19"/>
                <w:szCs w:val="19"/>
                <w:color w:val="auto"/>
              </w:rPr>
            </w:pPr>
          </w:p>
        </w:tc>
        <w:tc>
          <w:tcPr>
            <w:tcW w:w="1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1,509,149</w:t>
            </w: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2.03</w:t>
            </w:r>
          </w:p>
        </w:tc>
        <w:tc>
          <w:tcPr>
            <w:tcW w:w="100" w:type="dxa"/>
            <w:vAlign w:val="bottom"/>
            <w:shd w:val="clear" w:color="auto" w:fill="E3E3E3"/>
          </w:tcPr>
          <w:p>
            <w:pPr>
              <w:spacing w:after="0"/>
              <w:rPr>
                <w:sz w:val="19"/>
                <w:szCs w:val="19"/>
                <w:color w:val="auto"/>
              </w:rPr>
            </w:pPr>
          </w:p>
        </w:tc>
      </w:tr>
      <w:tr>
        <w:trPr>
          <w:trHeight w:val="230"/>
        </w:trPr>
        <w:tc>
          <w:tcPr>
            <w:tcW w:w="3860" w:type="dxa"/>
            <w:vAlign w:val="bottom"/>
            <w:shd w:val="clear" w:color="auto" w:fill="FDFDFD"/>
          </w:tcPr>
          <w:p>
            <w:pPr>
              <w:ind w:left="100"/>
              <w:spacing w:after="0"/>
              <w:rPr>
                <w:sz w:val="20"/>
                <w:szCs w:val="20"/>
                <w:color w:val="auto"/>
              </w:rPr>
            </w:pPr>
            <w:r>
              <w:rPr>
                <w:rFonts w:ascii="Times New Roman" w:cs="Times New Roman" w:eastAsia="Times New Roman" w:hAnsi="Times New Roman"/>
                <w:sz w:val="20"/>
                <w:szCs w:val="20"/>
                <w:color w:val="auto"/>
              </w:rPr>
              <w:t>Vested</w:t>
            </w:r>
          </w:p>
        </w:tc>
        <w:tc>
          <w:tcPr>
            <w:tcW w:w="100" w:type="dxa"/>
            <w:vAlign w:val="bottom"/>
            <w:shd w:val="clear" w:color="auto" w:fill="FDFDFD"/>
          </w:tcPr>
          <w:p>
            <w:pPr>
              <w:spacing w:after="0"/>
              <w:rPr>
                <w:sz w:val="19"/>
                <w:szCs w:val="19"/>
                <w:color w:val="auto"/>
              </w:rPr>
            </w:pP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(478,010)</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18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(806,128)</w:t>
            </w:r>
          </w:p>
        </w:tc>
        <w:tc>
          <w:tcPr>
            <w:tcW w:w="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9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100" w:type="dxa"/>
            <w:vAlign w:val="bottom"/>
            <w:shd w:val="clear" w:color="auto" w:fill="FDFDFD"/>
          </w:tcPr>
          <w:p>
            <w:pPr>
              <w:spacing w:after="0"/>
              <w:rPr>
                <w:sz w:val="19"/>
                <w:szCs w:val="19"/>
                <w:color w:val="auto"/>
              </w:rPr>
            </w:pPr>
          </w:p>
        </w:tc>
      </w:tr>
      <w:tr>
        <w:trPr>
          <w:trHeight w:val="230"/>
        </w:trPr>
        <w:tc>
          <w:tcPr>
            <w:tcW w:w="3960" w:type="dxa"/>
            <w:vAlign w:val="bottom"/>
            <w:gridSpan w:val="2"/>
            <w:shd w:val="clear" w:color="auto" w:fill="E3E3E3"/>
          </w:tcPr>
          <w:p>
            <w:pPr>
              <w:ind w:left="100"/>
              <w:spacing w:after="0"/>
              <w:rPr>
                <w:sz w:val="20"/>
                <w:szCs w:val="20"/>
                <w:color w:val="auto"/>
              </w:rPr>
            </w:pPr>
            <w:r>
              <w:rPr>
                <w:rFonts w:ascii="Times New Roman" w:cs="Times New Roman" w:eastAsia="Times New Roman" w:hAnsi="Times New Roman"/>
                <w:sz w:val="20"/>
                <w:szCs w:val="20"/>
                <w:color w:val="auto"/>
              </w:rPr>
              <w:t>Forfeited</w:t>
            </w:r>
          </w:p>
        </w:tc>
        <w:tc>
          <w:tcPr>
            <w:tcW w:w="12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(53,251)</w:t>
            </w:r>
          </w:p>
        </w:tc>
        <w:tc>
          <w:tcPr>
            <w:tcW w:w="1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142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(108,368)</w:t>
            </w:r>
          </w:p>
        </w:tc>
        <w:tc>
          <w:tcPr>
            <w:tcW w:w="1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100" w:type="dxa"/>
            <w:vAlign w:val="bottom"/>
            <w:shd w:val="clear" w:color="auto" w:fill="E3E3E3"/>
          </w:tcPr>
          <w:p>
            <w:pPr>
              <w:spacing w:after="0"/>
              <w:rPr>
                <w:sz w:val="19"/>
                <w:szCs w:val="19"/>
                <w:color w:val="auto"/>
              </w:rPr>
            </w:pPr>
          </w:p>
        </w:tc>
      </w:tr>
      <w:tr>
        <w:trPr>
          <w:trHeight w:val="220"/>
        </w:trPr>
        <w:tc>
          <w:tcPr>
            <w:tcW w:w="3960" w:type="dxa"/>
            <w:vAlign w:val="bottom"/>
            <w:tcBorders>
              <w:top w:val="single" w:sz="8" w:color="FDFDFD"/>
            </w:tcBorders>
            <w:gridSpan w:val="2"/>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Unvested at end of year</w:t>
            </w:r>
          </w:p>
        </w:tc>
        <w:tc>
          <w:tcPr>
            <w:tcW w:w="114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63,392</w:t>
            </w:r>
          </w:p>
        </w:tc>
        <w:tc>
          <w:tcPr>
            <w:tcW w:w="100" w:type="dxa"/>
            <w:vAlign w:val="bottom"/>
            <w:tcBorders>
              <w:top w:val="single" w:sz="8" w:color="FDFDFD"/>
            </w:tcBorders>
            <w:shd w:val="clear" w:color="auto" w:fill="FDFDFD"/>
          </w:tcPr>
          <w:p>
            <w:pPr>
              <w:spacing w:after="0"/>
              <w:rPr>
                <w:sz w:val="19"/>
                <w:szCs w:val="19"/>
                <w:color w:val="auto"/>
              </w:rPr>
            </w:pPr>
          </w:p>
        </w:tc>
        <w:tc>
          <w:tcPr>
            <w:tcW w:w="300" w:type="dxa"/>
            <w:vAlign w:val="bottom"/>
            <w:tcBorders>
              <w:top w:val="single" w:sz="8" w:color="FDFDFD"/>
            </w:tcBorders>
            <w:gridSpan w:val="2"/>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FDFDFD"/>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1.41</w:t>
            </w:r>
          </w:p>
        </w:tc>
        <w:tc>
          <w:tcPr>
            <w:tcW w:w="180" w:type="dxa"/>
            <w:vAlign w:val="bottom"/>
            <w:tcBorders>
              <w:top w:val="single" w:sz="8" w:color="FDFDFD"/>
            </w:tcBorders>
            <w:shd w:val="clear" w:color="auto" w:fill="FDFDFD"/>
          </w:tcPr>
          <w:p>
            <w:pPr>
              <w:spacing w:after="0"/>
              <w:rPr>
                <w:sz w:val="19"/>
                <w:szCs w:val="19"/>
                <w:color w:val="auto"/>
              </w:rPr>
            </w:pPr>
          </w:p>
        </w:tc>
        <w:tc>
          <w:tcPr>
            <w:tcW w:w="116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594,653</w:t>
            </w:r>
          </w:p>
        </w:tc>
        <w:tc>
          <w:tcPr>
            <w:tcW w:w="80" w:type="dxa"/>
            <w:vAlign w:val="bottom"/>
            <w:tcBorders>
              <w:top w:val="single" w:sz="8" w:color="FDFDFD"/>
            </w:tcBorders>
            <w:shd w:val="clear" w:color="auto" w:fill="FDFDFD"/>
          </w:tcPr>
          <w:p>
            <w:pPr>
              <w:spacing w:after="0"/>
              <w:rPr>
                <w:sz w:val="19"/>
                <w:szCs w:val="19"/>
                <w:color w:val="auto"/>
              </w:rPr>
            </w:pPr>
          </w:p>
        </w:tc>
        <w:tc>
          <w:tcPr>
            <w:tcW w:w="300" w:type="dxa"/>
            <w:vAlign w:val="bottom"/>
            <w:tcBorders>
              <w:top w:val="single" w:sz="8" w:color="FDFDFD"/>
            </w:tcBorders>
            <w:gridSpan w:val="2"/>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FDFDFD"/>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1.65</w:t>
            </w:r>
          </w:p>
        </w:tc>
        <w:tc>
          <w:tcPr>
            <w:tcW w:w="100" w:type="dxa"/>
            <w:vAlign w:val="bottom"/>
            <w:tcBorders>
              <w:top w:val="single" w:sz="8" w:color="FDFDFD"/>
            </w:tcBorders>
            <w:shd w:val="clear" w:color="auto" w:fill="FDFDFD"/>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Equity-Based Compensation Expense</w:t>
      </w:r>
    </w:p>
    <w:p>
      <w:pPr>
        <w:spacing w:after="0" w:line="118"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Equity-based compensation expense is allocated to all departments in the accompanying consolidated statements of operations based on the recipients of the compensation. A summary of the expense by line item in the consolidated statements of operations for the years ended December 31, 2024, 2023 and 2022, is provided in the following table.</w:t>
      </w:r>
    </w:p>
    <w:p>
      <w:pPr>
        <w:spacing w:after="0" w:line="187"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452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Borders>
              <w:bottom w:val="single" w:sz="8" w:color="FDFDFD"/>
            </w:tcBorders>
            <w:shd w:val="clear" w:color="auto" w:fill="FDFDFD"/>
          </w:tcPr>
          <w:p>
            <w:pPr>
              <w:spacing w:after="0"/>
              <w:rPr>
                <w:sz w:val="17"/>
                <w:szCs w:val="17"/>
                <w:color w:val="auto"/>
              </w:rPr>
            </w:pPr>
          </w:p>
        </w:tc>
        <w:tc>
          <w:tcPr>
            <w:tcW w:w="300" w:type="dxa"/>
            <w:vAlign w:val="bottom"/>
            <w:tcBorders>
              <w:bottom w:val="single" w:sz="8" w:color="auto"/>
            </w:tcBorders>
            <w:shd w:val="clear" w:color="auto" w:fill="FDFDFD"/>
          </w:tcPr>
          <w:p>
            <w:pPr>
              <w:spacing w:after="0"/>
              <w:rPr>
                <w:sz w:val="17"/>
                <w:szCs w:val="17"/>
                <w:color w:val="auto"/>
              </w:rPr>
            </w:pPr>
          </w:p>
        </w:tc>
        <w:tc>
          <w:tcPr>
            <w:tcW w:w="1020" w:type="dxa"/>
            <w:vAlign w:val="bottom"/>
            <w:tcBorders>
              <w:bottom w:val="single" w:sz="8" w:color="auto"/>
            </w:tcBorders>
            <w:shd w:val="clear" w:color="auto" w:fill="FDFDFD"/>
          </w:tcPr>
          <w:p>
            <w:pPr>
              <w:spacing w:after="0"/>
              <w:rPr>
                <w:sz w:val="17"/>
                <w:szCs w:val="17"/>
                <w:color w:val="auto"/>
              </w:rPr>
            </w:pPr>
          </w:p>
        </w:tc>
        <w:tc>
          <w:tcPr>
            <w:tcW w:w="1800" w:type="dxa"/>
            <w:vAlign w:val="bottom"/>
            <w:tcBorders>
              <w:bottom w:val="single" w:sz="8" w:color="auto"/>
            </w:tcBorders>
            <w:gridSpan w:val="4"/>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00" w:type="dxa"/>
            <w:vAlign w:val="bottom"/>
            <w:tcBorders>
              <w:bottom w:val="single" w:sz="8" w:color="auto"/>
            </w:tcBorders>
            <w:shd w:val="clear" w:color="auto" w:fill="FDFDFD"/>
          </w:tcPr>
          <w:p>
            <w:pPr>
              <w:spacing w:after="0"/>
              <w:rPr>
                <w:sz w:val="17"/>
                <w:szCs w:val="17"/>
                <w:color w:val="auto"/>
              </w:rPr>
            </w:pPr>
          </w:p>
        </w:tc>
        <w:tc>
          <w:tcPr>
            <w:tcW w:w="100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520" w:type="dxa"/>
            <w:vAlign w:val="bottom"/>
            <w:tcBorders>
              <w:bottom w:val="single" w:sz="8" w:color="E3E3E3"/>
            </w:tcBorders>
            <w:vMerge w:val="continue"/>
            <w:shd w:val="clear" w:color="auto" w:fill="FDFDFD"/>
          </w:tcPr>
          <w:p>
            <w:pPr>
              <w:spacing w:after="0"/>
              <w:rPr>
                <w:sz w:val="15"/>
                <w:szCs w:val="15"/>
                <w:color w:val="auto"/>
              </w:rPr>
            </w:pPr>
          </w:p>
        </w:tc>
        <w:tc>
          <w:tcPr>
            <w:tcW w:w="160" w:type="dxa"/>
            <w:vAlign w:val="bottom"/>
            <w:tcBorders>
              <w:bottom w:val="single" w:sz="8" w:color="E3E3E3"/>
            </w:tcBorders>
            <w:shd w:val="clear" w:color="auto" w:fill="FDFDFD"/>
          </w:tcPr>
          <w:p>
            <w:pPr>
              <w:spacing w:after="0"/>
              <w:rPr>
                <w:sz w:val="15"/>
                <w:szCs w:val="15"/>
                <w:color w:val="auto"/>
              </w:rPr>
            </w:pPr>
          </w:p>
        </w:tc>
        <w:tc>
          <w:tcPr>
            <w:tcW w:w="300" w:type="dxa"/>
            <w:vAlign w:val="bottom"/>
            <w:tcBorders>
              <w:bottom w:val="single" w:sz="8" w:color="auto"/>
            </w:tcBorders>
            <w:shd w:val="clear" w:color="auto" w:fill="FDFDFD"/>
          </w:tcPr>
          <w:p>
            <w:pPr>
              <w:spacing w:after="0"/>
              <w:rPr>
                <w:sz w:val="15"/>
                <w:szCs w:val="15"/>
                <w:color w:val="auto"/>
              </w:rPr>
            </w:pPr>
          </w:p>
        </w:tc>
        <w:tc>
          <w:tcPr>
            <w:tcW w:w="1020" w:type="dxa"/>
            <w:vAlign w:val="bottom"/>
            <w:tcBorders>
              <w:bottom w:val="single" w:sz="8" w:color="auto"/>
            </w:tcBorders>
            <w:shd w:val="clear" w:color="auto" w:fill="FDFDFD"/>
          </w:tcPr>
          <w:p>
            <w:pPr>
              <w:jc w:val="right"/>
              <w:ind w:right="403"/>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3E3E3"/>
            </w:tcBorders>
            <w:shd w:val="clear" w:color="auto" w:fill="FDFDFD"/>
          </w:tcPr>
          <w:p>
            <w:pPr>
              <w:spacing w:after="0"/>
              <w:rPr>
                <w:sz w:val="15"/>
                <w:szCs w:val="15"/>
                <w:color w:val="auto"/>
              </w:rPr>
            </w:pPr>
          </w:p>
        </w:tc>
        <w:tc>
          <w:tcPr>
            <w:tcW w:w="300" w:type="dxa"/>
            <w:vAlign w:val="bottom"/>
            <w:tcBorders>
              <w:bottom w:val="single" w:sz="8" w:color="auto"/>
            </w:tcBorders>
            <w:shd w:val="clear" w:color="auto" w:fill="FDFDFD"/>
          </w:tcPr>
          <w:p>
            <w:pPr>
              <w:spacing w:after="0"/>
              <w:rPr>
                <w:sz w:val="15"/>
                <w:szCs w:val="15"/>
                <w:color w:val="auto"/>
              </w:rPr>
            </w:pPr>
          </w:p>
        </w:tc>
        <w:tc>
          <w:tcPr>
            <w:tcW w:w="1020" w:type="dxa"/>
            <w:vAlign w:val="bottom"/>
            <w:tcBorders>
              <w:bottom w:val="single" w:sz="8" w:color="auto"/>
            </w:tcBorders>
            <w:shd w:val="clear" w:color="auto" w:fill="FDFDFD"/>
          </w:tcPr>
          <w:p>
            <w:pPr>
              <w:jc w:val="right"/>
              <w:ind w:right="403"/>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E3E3E3"/>
            </w:tcBorders>
            <w:shd w:val="clear" w:color="auto" w:fill="FDFDFD"/>
          </w:tcPr>
          <w:p>
            <w:pPr>
              <w:spacing w:after="0"/>
              <w:rPr>
                <w:sz w:val="15"/>
                <w:szCs w:val="15"/>
                <w:color w:val="auto"/>
              </w:rPr>
            </w:pPr>
          </w:p>
        </w:tc>
        <w:tc>
          <w:tcPr>
            <w:tcW w:w="300" w:type="dxa"/>
            <w:vAlign w:val="bottom"/>
            <w:tcBorders>
              <w:bottom w:val="single" w:sz="8" w:color="auto"/>
            </w:tcBorders>
            <w:shd w:val="clear" w:color="auto" w:fill="FDFDFD"/>
          </w:tcPr>
          <w:p>
            <w:pPr>
              <w:spacing w:after="0"/>
              <w:rPr>
                <w:sz w:val="15"/>
                <w:szCs w:val="15"/>
                <w:color w:val="auto"/>
              </w:rPr>
            </w:pPr>
          </w:p>
        </w:tc>
        <w:tc>
          <w:tcPr>
            <w:tcW w:w="1000" w:type="dxa"/>
            <w:vAlign w:val="bottom"/>
            <w:tcBorders>
              <w:bottom w:val="single" w:sz="8" w:color="auto"/>
            </w:tcBorders>
            <w:shd w:val="clear" w:color="auto" w:fill="FDFDFD"/>
          </w:tcPr>
          <w:p>
            <w:pPr>
              <w:jc w:val="right"/>
              <w:ind w:right="383"/>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5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Cost of revenue</w:t>
            </w:r>
          </w:p>
        </w:tc>
        <w:tc>
          <w:tcPr>
            <w:tcW w:w="160" w:type="dxa"/>
            <w:vAlign w:val="bottom"/>
            <w:shd w:val="clear" w:color="auto" w:fill="E3E3E3"/>
          </w:tcPr>
          <w:p>
            <w:pPr>
              <w:spacing w:after="0"/>
              <w:rPr>
                <w:sz w:val="19"/>
                <w:szCs w:val="19"/>
                <w:color w:val="auto"/>
              </w:rPr>
            </w:pPr>
          </w:p>
        </w:tc>
        <w:tc>
          <w:tcPr>
            <w:tcW w:w="300" w:type="dxa"/>
            <w:vAlign w:val="bottom"/>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839</w:t>
            </w:r>
          </w:p>
        </w:tc>
        <w:tc>
          <w:tcPr>
            <w:tcW w:w="240" w:type="dxa"/>
            <w:vAlign w:val="bottom"/>
            <w:shd w:val="clear" w:color="auto" w:fill="E3E3E3"/>
          </w:tcPr>
          <w:p>
            <w:pPr>
              <w:spacing w:after="0"/>
              <w:rPr>
                <w:sz w:val="19"/>
                <w:szCs w:val="19"/>
                <w:color w:val="auto"/>
              </w:rPr>
            </w:pPr>
          </w:p>
        </w:tc>
        <w:tc>
          <w:tcPr>
            <w:tcW w:w="300" w:type="dxa"/>
            <w:vAlign w:val="bottom"/>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1,097</w:t>
            </w:r>
          </w:p>
        </w:tc>
        <w:tc>
          <w:tcPr>
            <w:tcW w:w="240" w:type="dxa"/>
            <w:vAlign w:val="bottom"/>
            <w:shd w:val="clear" w:color="auto" w:fill="E3E3E3"/>
          </w:tcPr>
          <w:p>
            <w:pPr>
              <w:spacing w:after="0"/>
              <w:rPr>
                <w:sz w:val="19"/>
                <w:szCs w:val="19"/>
                <w:color w:val="auto"/>
              </w:rPr>
            </w:pPr>
          </w:p>
        </w:tc>
        <w:tc>
          <w:tcPr>
            <w:tcW w:w="300" w:type="dxa"/>
            <w:vAlign w:val="bottom"/>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942</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16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6,235</w:t>
            </w:r>
          </w:p>
        </w:tc>
        <w:tc>
          <w:tcPr>
            <w:tcW w:w="24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11,407</w:t>
            </w:r>
          </w:p>
        </w:tc>
        <w:tc>
          <w:tcPr>
            <w:tcW w:w="24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13,508</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Product development</w:t>
            </w:r>
          </w:p>
        </w:tc>
        <w:tc>
          <w:tcPr>
            <w:tcW w:w="16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8,579</w:t>
            </w:r>
          </w:p>
        </w:tc>
        <w:tc>
          <w:tcPr>
            <w:tcW w:w="24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13,138</w:t>
            </w:r>
          </w:p>
        </w:tc>
        <w:tc>
          <w:tcPr>
            <w:tcW w:w="24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7,805</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60" w:type="dxa"/>
            <w:vAlign w:val="bottom"/>
            <w:tcBorders>
              <w:bottom w:val="single" w:sz="8" w:color="E3E3E3"/>
            </w:tcBorders>
            <w:shd w:val="clear" w:color="auto" w:fill="FDFDFD"/>
          </w:tcPr>
          <w:p>
            <w:pPr>
              <w:spacing w:after="0"/>
              <w:rPr>
                <w:sz w:val="19"/>
                <w:szCs w:val="19"/>
                <w:color w:val="auto"/>
              </w:rPr>
            </w:pPr>
          </w:p>
        </w:tc>
        <w:tc>
          <w:tcPr>
            <w:tcW w:w="300" w:type="dxa"/>
            <w:vAlign w:val="bottom"/>
            <w:tcBorders>
              <w:bottom w:val="single" w:sz="8" w:color="auto"/>
            </w:tcBorders>
            <w:shd w:val="clear" w:color="auto" w:fill="FDFDFD"/>
          </w:tcPr>
          <w:p>
            <w:pPr>
              <w:spacing w:after="0"/>
              <w:rPr>
                <w:sz w:val="19"/>
                <w:szCs w:val="19"/>
                <w:color w:val="auto"/>
              </w:rPr>
            </w:pPr>
          </w:p>
        </w:tc>
        <w:tc>
          <w:tcPr>
            <w:tcW w:w="102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22,432</w:t>
            </w:r>
          </w:p>
        </w:tc>
        <w:tc>
          <w:tcPr>
            <w:tcW w:w="240" w:type="dxa"/>
            <w:vAlign w:val="bottom"/>
            <w:tcBorders>
              <w:bottom w:val="single" w:sz="8" w:color="E3E3E3"/>
            </w:tcBorders>
            <w:shd w:val="clear" w:color="auto" w:fill="FDFDFD"/>
          </w:tcPr>
          <w:p>
            <w:pPr>
              <w:spacing w:after="0"/>
              <w:rPr>
                <w:sz w:val="19"/>
                <w:szCs w:val="19"/>
                <w:color w:val="auto"/>
              </w:rPr>
            </w:pPr>
          </w:p>
        </w:tc>
        <w:tc>
          <w:tcPr>
            <w:tcW w:w="300" w:type="dxa"/>
            <w:vAlign w:val="bottom"/>
            <w:tcBorders>
              <w:bottom w:val="single" w:sz="8" w:color="auto"/>
            </w:tcBorders>
            <w:shd w:val="clear" w:color="auto" w:fill="FDFDFD"/>
          </w:tcPr>
          <w:p>
            <w:pPr>
              <w:spacing w:after="0"/>
              <w:rPr>
                <w:sz w:val="19"/>
                <w:szCs w:val="19"/>
                <w:color w:val="auto"/>
              </w:rPr>
            </w:pPr>
          </w:p>
        </w:tc>
        <w:tc>
          <w:tcPr>
            <w:tcW w:w="102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23,097</w:t>
            </w:r>
          </w:p>
        </w:tc>
        <w:tc>
          <w:tcPr>
            <w:tcW w:w="240" w:type="dxa"/>
            <w:vAlign w:val="bottom"/>
            <w:tcBorders>
              <w:bottom w:val="single" w:sz="8" w:color="E3E3E3"/>
            </w:tcBorders>
            <w:shd w:val="clear" w:color="auto" w:fill="FDFDFD"/>
          </w:tcPr>
          <w:p>
            <w:pPr>
              <w:spacing w:after="0"/>
              <w:rPr>
                <w:sz w:val="19"/>
                <w:szCs w:val="19"/>
                <w:color w:val="auto"/>
              </w:rPr>
            </w:pPr>
          </w:p>
        </w:tc>
        <w:tc>
          <w:tcPr>
            <w:tcW w:w="300" w:type="dxa"/>
            <w:vAlign w:val="bottom"/>
            <w:tcBorders>
              <w:bottom w:val="single" w:sz="8" w:color="auto"/>
            </w:tcBorders>
            <w:shd w:val="clear" w:color="auto" w:fill="FDFDFD"/>
          </w:tcPr>
          <w:p>
            <w:pPr>
              <w:spacing w:after="0"/>
              <w:rPr>
                <w:sz w:val="19"/>
                <w:szCs w:val="19"/>
                <w:color w:val="auto"/>
              </w:rPr>
            </w:pPr>
          </w:p>
        </w:tc>
        <w:tc>
          <w:tcPr>
            <w:tcW w:w="10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14,179</w:t>
            </w:r>
          </w:p>
        </w:tc>
        <w:tc>
          <w:tcPr>
            <w:tcW w:w="100" w:type="dxa"/>
            <w:vAlign w:val="bottom"/>
            <w:tcBorders>
              <w:bottom w:val="single" w:sz="8" w:color="E3E3E3"/>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Total compensation expense</w:t>
            </w:r>
          </w:p>
        </w:tc>
        <w:tc>
          <w:tcPr>
            <w:tcW w:w="160" w:type="dxa"/>
            <w:vAlign w:val="bottom"/>
            <w:shd w:val="clear" w:color="auto" w:fill="E3E3E3"/>
          </w:tcPr>
          <w:p>
            <w:pPr>
              <w:spacing w:after="0"/>
              <w:rPr>
                <w:sz w:val="19"/>
                <w:szCs w:val="19"/>
                <w:color w:val="auto"/>
              </w:rPr>
            </w:pPr>
          </w:p>
        </w:tc>
        <w:tc>
          <w:tcPr>
            <w:tcW w:w="300" w:type="dxa"/>
            <w:vAlign w:val="bottom"/>
            <w:tcBorders>
              <w:bottom w:val="single" w:sz="8" w:color="auto"/>
            </w:tcBorders>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38,085</w:t>
            </w:r>
          </w:p>
        </w:tc>
        <w:tc>
          <w:tcPr>
            <w:tcW w:w="240" w:type="dxa"/>
            <w:vAlign w:val="bottom"/>
            <w:shd w:val="clear" w:color="auto" w:fill="E3E3E3"/>
          </w:tcPr>
          <w:p>
            <w:pPr>
              <w:spacing w:after="0"/>
              <w:rPr>
                <w:sz w:val="19"/>
                <w:szCs w:val="19"/>
                <w:color w:val="auto"/>
              </w:rPr>
            </w:pPr>
          </w:p>
        </w:tc>
        <w:tc>
          <w:tcPr>
            <w:tcW w:w="300" w:type="dxa"/>
            <w:vAlign w:val="bottom"/>
            <w:tcBorders>
              <w:bottom w:val="single" w:sz="8" w:color="auto"/>
            </w:tcBorders>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48,739</w:t>
            </w:r>
          </w:p>
        </w:tc>
        <w:tc>
          <w:tcPr>
            <w:tcW w:w="240" w:type="dxa"/>
            <w:vAlign w:val="bottom"/>
            <w:shd w:val="clear" w:color="auto" w:fill="E3E3E3"/>
          </w:tcPr>
          <w:p>
            <w:pPr>
              <w:spacing w:after="0"/>
              <w:rPr>
                <w:sz w:val="19"/>
                <w:szCs w:val="19"/>
                <w:color w:val="auto"/>
              </w:rPr>
            </w:pPr>
          </w:p>
        </w:tc>
        <w:tc>
          <w:tcPr>
            <w:tcW w:w="300" w:type="dxa"/>
            <w:vAlign w:val="bottom"/>
            <w:tcBorders>
              <w:bottom w:val="single" w:sz="8" w:color="auto"/>
            </w:tcBorders>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36,434</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0" w:firstLine="490"/>
        <w:spacing w:after="0" w:line="253" w:lineRule="auto"/>
        <w:rPr>
          <w:sz w:val="20"/>
          <w:szCs w:val="20"/>
          <w:color w:val="auto"/>
        </w:rPr>
      </w:pPr>
      <w:r>
        <w:rPr>
          <w:rFonts w:ascii="Times New Roman" w:cs="Times New Roman" w:eastAsia="Times New Roman" w:hAnsi="Times New Roman"/>
          <w:sz w:val="20"/>
          <w:szCs w:val="20"/>
          <w:color w:val="auto"/>
        </w:rPr>
        <w:t>The Company recognized $28.9 million, $39.4 million, and $27.0 million in stock-based compensation expense associated with RSUs in the years ended December 31, 2024, 2023, and 2022, respectively. Total unrecognized expense for these awards was estimated to be $44.7 million at December 31, 2024 and is expected to be recognized over a weighted-average period of approximately 2.5 years.</w:t>
      </w:r>
    </w:p>
    <w:p>
      <w:pPr>
        <w:spacing w:after="0" w:line="70"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The Company recognized $6.6 million, $4.6 million, and $1.7 million in stock-based compensation expense associated with PSUs in the years ended December 31, 2024, 2023, and 2022, respectively. Total unrecognized expense for these awards was estimated to be $9.8 million at December 31, 2024 and is expected to be recognized over a weighted-average period of approximately 2.3 years.</w:t>
      </w:r>
    </w:p>
    <w:p>
      <w:pPr>
        <w:spacing w:after="0" w:line="190"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The Company recorded $2.6 million, $4.7 million, and $7.7 million in stock-based compensation expense associated with Definitive OpCo units in the years ended December 31, 2024, 2023, and 2022, respectively. Total unrecognized expense for these units was estimated to be less than $0.1 million at December 31, 2024 and is expected to be recognized over a weighted-average period of approximately 0.2 years.</w:t>
      </w:r>
    </w:p>
    <w:p>
      <w:pPr>
        <w:spacing w:after="0" w:line="2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F-45</w:t>
      </w:r>
    </w:p>
    <w:p>
      <w:pPr>
        <w:sectPr>
          <w:pgSz w:w="11880" w:h="15480" w:orient="portrait"/>
          <w:cols w:equalWidth="0" w:num="1">
            <w:col w:w="10100"/>
          </w:cols>
          <w:pgMar w:left="820" w:top="808" w:right="960" w:bottom="0" w:gutter="0" w:footer="0" w:header="0"/>
        </w:sectPr>
      </w:pPr>
    </w:p>
    <w:bookmarkStart w:id="137" w:name="page138"/>
    <w:bookmarkEnd w:id="137"/>
    <w:p>
      <w:pPr>
        <w:ind w:left="500" w:hanging="492"/>
        <w:spacing w:after="0"/>
        <w:tabs>
          <w:tab w:leader="none" w:pos="50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Retirement Plan</w:t>
      </w:r>
    </w:p>
    <w:p>
      <w:pPr>
        <w:spacing w:after="0" w:line="123"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The Company has a 401(k) plan covering all employees who have met certain eligibility requirements. The Company made matching contributions in accordance with the plan documents. The Company incurred $2.9 million, $3.8 million and $3.4 million in employer matching contributions during the years ended December 31, 2024, 2023 and 2022, respectively.</w:t>
      </w:r>
    </w:p>
    <w:p>
      <w:pPr>
        <w:sectPr>
          <w:pgSz w:w="11880" w:h="15480" w:orient="portrait"/>
          <w:cols w:equalWidth="0" w:num="1">
            <w:col w:w="9900"/>
          </w:cols>
          <w:pgMar w:left="820" w:top="803" w:right="11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9"/>
          <w:szCs w:val="19"/>
          <w:color w:val="auto"/>
        </w:rPr>
        <w:t>F-46</w:t>
      </w:r>
    </w:p>
    <w:p>
      <w:pPr>
        <w:sectPr>
          <w:pgSz w:w="11880" w:h="15480" w:orient="portrait"/>
          <w:cols w:equalWidth="0" w:num="1">
            <w:col w:w="9900"/>
          </w:cols>
          <w:pgMar w:left="820" w:top="803" w:right="1160" w:bottom="8" w:gutter="0" w:footer="0" w:header="0"/>
          <w:type w:val="continuous"/>
        </w:sectPr>
      </w:pPr>
    </w:p>
    <w:bookmarkStart w:id="138" w:name="page139"/>
    <w:bookmarkEnd w:id="138"/>
    <w:p>
      <w:pPr>
        <w:ind w:left="500" w:hanging="492"/>
        <w:spacing w:after="0"/>
        <w:tabs>
          <w:tab w:leader="none" w:pos="50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U.S. and foreign components of income before income taxes were as follows:</w:t>
      </w:r>
    </w:p>
    <w:p>
      <w:pPr>
        <w:spacing w:after="0" w:line="122"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368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80" w:type="dxa"/>
            <w:vAlign w:val="bottom"/>
            <w:tcBorders>
              <w:bottom w:val="single" w:sz="8" w:color="FDFDFD"/>
            </w:tcBorders>
            <w:shd w:val="clear" w:color="auto" w:fill="FDFDFD"/>
          </w:tcPr>
          <w:p>
            <w:pPr>
              <w:spacing w:after="0"/>
              <w:rPr>
                <w:sz w:val="17"/>
                <w:szCs w:val="17"/>
                <w:color w:val="auto"/>
              </w:rPr>
            </w:pPr>
          </w:p>
        </w:tc>
        <w:tc>
          <w:tcPr>
            <w:tcW w:w="360" w:type="dxa"/>
            <w:vAlign w:val="bottom"/>
            <w:tcBorders>
              <w:bottom w:val="single" w:sz="8" w:color="auto"/>
            </w:tcBorders>
            <w:shd w:val="clear" w:color="auto" w:fill="FDFDFD"/>
          </w:tcPr>
          <w:p>
            <w:pPr>
              <w:spacing w:after="0"/>
              <w:rPr>
                <w:sz w:val="17"/>
                <w:szCs w:val="17"/>
                <w:color w:val="auto"/>
              </w:rPr>
            </w:pPr>
          </w:p>
        </w:tc>
        <w:tc>
          <w:tcPr>
            <w:tcW w:w="1220" w:type="dxa"/>
            <w:vAlign w:val="bottom"/>
            <w:tcBorders>
              <w:bottom w:val="single" w:sz="8" w:color="auto"/>
            </w:tcBorders>
            <w:shd w:val="clear" w:color="auto" w:fill="FDFDFD"/>
          </w:tcPr>
          <w:p>
            <w:pPr>
              <w:spacing w:after="0"/>
              <w:rPr>
                <w:sz w:val="17"/>
                <w:szCs w:val="17"/>
                <w:color w:val="auto"/>
              </w:rPr>
            </w:pPr>
          </w:p>
        </w:tc>
        <w:tc>
          <w:tcPr>
            <w:tcW w:w="2100" w:type="dxa"/>
            <w:vAlign w:val="bottom"/>
            <w:tcBorders>
              <w:bottom w:val="single" w:sz="8" w:color="auto"/>
            </w:tcBorders>
            <w:gridSpan w:val="5"/>
            <w:shd w:val="clear" w:color="auto" w:fill="FDFDFD"/>
          </w:tcPr>
          <w:p>
            <w:pPr>
              <w:ind w:lef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shd w:val="clear" w:color="auto" w:fill="FDFDFD"/>
          </w:tcPr>
          <w:p>
            <w:pPr>
              <w:spacing w:after="0"/>
              <w:rPr>
                <w:sz w:val="17"/>
                <w:szCs w:val="17"/>
                <w:color w:val="auto"/>
              </w:rPr>
            </w:pPr>
          </w:p>
        </w:tc>
        <w:tc>
          <w:tcPr>
            <w:tcW w:w="120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80" w:type="dxa"/>
            <w:vAlign w:val="bottom"/>
            <w:tcBorders>
              <w:bottom w:val="single" w:sz="8" w:color="E3E3E3"/>
            </w:tcBorders>
            <w:vMerge w:val="continue"/>
            <w:shd w:val="clear" w:color="auto" w:fill="FDFDFD"/>
          </w:tcPr>
          <w:p>
            <w:pPr>
              <w:spacing w:after="0"/>
              <w:rPr>
                <w:sz w:val="15"/>
                <w:szCs w:val="15"/>
                <w:color w:val="auto"/>
              </w:rPr>
            </w:pPr>
          </w:p>
        </w:tc>
        <w:tc>
          <w:tcPr>
            <w:tcW w:w="180" w:type="dxa"/>
            <w:vAlign w:val="bottom"/>
            <w:tcBorders>
              <w:bottom w:val="single" w:sz="8" w:color="E3E3E3"/>
            </w:tcBorders>
            <w:shd w:val="clear" w:color="auto" w:fill="FDFDFD"/>
          </w:tcPr>
          <w:p>
            <w:pPr>
              <w:spacing w:after="0"/>
              <w:rPr>
                <w:sz w:val="15"/>
                <w:szCs w:val="15"/>
                <w:color w:val="auto"/>
              </w:rPr>
            </w:pPr>
          </w:p>
        </w:tc>
        <w:tc>
          <w:tcPr>
            <w:tcW w:w="360" w:type="dxa"/>
            <w:vAlign w:val="bottom"/>
            <w:tcBorders>
              <w:bottom w:val="single" w:sz="8" w:color="auto"/>
            </w:tcBorders>
            <w:shd w:val="clear" w:color="auto" w:fill="FDFDFD"/>
          </w:tcPr>
          <w:p>
            <w:pPr>
              <w:spacing w:after="0"/>
              <w:rPr>
                <w:sz w:val="15"/>
                <w:szCs w:val="15"/>
                <w:color w:val="auto"/>
              </w:rPr>
            </w:pPr>
          </w:p>
        </w:tc>
        <w:tc>
          <w:tcPr>
            <w:tcW w:w="1220" w:type="dxa"/>
            <w:vAlign w:val="bottom"/>
            <w:tcBorders>
              <w:bottom w:val="single" w:sz="8" w:color="auto"/>
            </w:tcBorders>
            <w:shd w:val="clear" w:color="auto" w:fill="FDFDFD"/>
          </w:tcPr>
          <w:p>
            <w:pPr>
              <w:jc w:val="right"/>
              <w:ind w:right="525"/>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3E3E3"/>
            </w:tcBorders>
            <w:shd w:val="clear" w:color="auto" w:fill="FDFDFD"/>
          </w:tcPr>
          <w:p>
            <w:pPr>
              <w:spacing w:after="0"/>
              <w:rPr>
                <w:sz w:val="15"/>
                <w:szCs w:val="15"/>
                <w:color w:val="auto"/>
              </w:rPr>
            </w:pPr>
          </w:p>
        </w:tc>
        <w:tc>
          <w:tcPr>
            <w:tcW w:w="360" w:type="dxa"/>
            <w:vAlign w:val="bottom"/>
            <w:tcBorders>
              <w:bottom w:val="single" w:sz="8" w:color="auto"/>
            </w:tcBorders>
            <w:shd w:val="clear" w:color="auto" w:fill="FDFDFD"/>
          </w:tcPr>
          <w:p>
            <w:pPr>
              <w:spacing w:after="0"/>
              <w:rPr>
                <w:sz w:val="15"/>
                <w:szCs w:val="15"/>
                <w:color w:val="auto"/>
              </w:rPr>
            </w:pPr>
          </w:p>
        </w:tc>
        <w:tc>
          <w:tcPr>
            <w:tcW w:w="1220" w:type="dxa"/>
            <w:vAlign w:val="bottom"/>
            <w:tcBorders>
              <w:bottom w:val="single" w:sz="8" w:color="auto"/>
            </w:tcBorders>
            <w:shd w:val="clear" w:color="auto" w:fill="FDFDFD"/>
          </w:tcPr>
          <w:p>
            <w:pPr>
              <w:jc w:val="right"/>
              <w:ind w:right="545"/>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3E3E3"/>
            </w:tcBorders>
            <w:shd w:val="clear" w:color="auto" w:fill="FDFDFD"/>
          </w:tcPr>
          <w:p>
            <w:pPr>
              <w:spacing w:after="0"/>
              <w:rPr>
                <w:sz w:val="15"/>
                <w:szCs w:val="15"/>
                <w:color w:val="auto"/>
              </w:rPr>
            </w:pPr>
          </w:p>
        </w:tc>
        <w:tc>
          <w:tcPr>
            <w:tcW w:w="180" w:type="dxa"/>
            <w:vAlign w:val="bottom"/>
            <w:tcBorders>
              <w:bottom w:val="single" w:sz="8" w:color="E3E3E3"/>
            </w:tcBorders>
            <w:shd w:val="clear" w:color="auto" w:fill="FDFDFD"/>
          </w:tcPr>
          <w:p>
            <w:pPr>
              <w:spacing w:after="0"/>
              <w:rPr>
                <w:sz w:val="15"/>
                <w:szCs w:val="15"/>
                <w:color w:val="auto"/>
              </w:rPr>
            </w:pPr>
          </w:p>
        </w:tc>
        <w:tc>
          <w:tcPr>
            <w:tcW w:w="360" w:type="dxa"/>
            <w:vAlign w:val="bottom"/>
            <w:tcBorders>
              <w:bottom w:val="single" w:sz="8" w:color="auto"/>
            </w:tcBorders>
            <w:shd w:val="clear" w:color="auto" w:fill="FDFDFD"/>
          </w:tcPr>
          <w:p>
            <w:pPr>
              <w:spacing w:after="0"/>
              <w:rPr>
                <w:sz w:val="15"/>
                <w:szCs w:val="15"/>
                <w:color w:val="auto"/>
              </w:rPr>
            </w:pPr>
          </w:p>
        </w:tc>
        <w:tc>
          <w:tcPr>
            <w:tcW w:w="1200" w:type="dxa"/>
            <w:vAlign w:val="bottom"/>
            <w:tcBorders>
              <w:bottom w:val="single" w:sz="8" w:color="auto"/>
            </w:tcBorders>
            <w:shd w:val="clear" w:color="auto" w:fill="FDFDFD"/>
          </w:tcPr>
          <w:p>
            <w:pPr>
              <w:jc w:val="right"/>
              <w:ind w:right="525"/>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Domestic</w:t>
            </w:r>
          </w:p>
        </w:tc>
        <w:tc>
          <w:tcPr>
            <w:tcW w:w="180" w:type="dxa"/>
            <w:vAlign w:val="bottom"/>
            <w:shd w:val="clear" w:color="auto" w:fill="E3E3E3"/>
          </w:tcPr>
          <w:p>
            <w:pPr>
              <w:spacing w:after="0"/>
              <w:rPr>
                <w:sz w:val="19"/>
                <w:szCs w:val="19"/>
                <w:color w:val="auto"/>
              </w:rPr>
            </w:pPr>
          </w:p>
        </w:tc>
        <w:tc>
          <w:tcPr>
            <w:tcW w:w="360" w:type="dxa"/>
            <w:vAlign w:val="bottom"/>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(634,794)</w:t>
            </w:r>
          </w:p>
        </w:tc>
        <w:tc>
          <w:tcPr>
            <w:tcW w:w="260" w:type="dxa"/>
            <w:vAlign w:val="bottom"/>
            <w:shd w:val="clear" w:color="auto" w:fill="E3E3E3"/>
          </w:tcPr>
          <w:p>
            <w:pPr>
              <w:spacing w:after="0"/>
              <w:rPr>
                <w:sz w:val="19"/>
                <w:szCs w:val="19"/>
                <w:color w:val="auto"/>
              </w:rPr>
            </w:pPr>
          </w:p>
        </w:tc>
        <w:tc>
          <w:tcPr>
            <w:tcW w:w="360" w:type="dxa"/>
            <w:vAlign w:val="bottom"/>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(308,232)</w:t>
            </w:r>
          </w:p>
        </w:tc>
        <w:tc>
          <w:tcPr>
            <w:tcW w:w="8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360" w:type="dxa"/>
            <w:vAlign w:val="bottom"/>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(37,054)</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Foreign</w:t>
            </w:r>
          </w:p>
        </w:tc>
        <w:tc>
          <w:tcPr>
            <w:tcW w:w="180" w:type="dxa"/>
            <w:vAlign w:val="bottom"/>
            <w:tcBorders>
              <w:bottom w:val="single" w:sz="8" w:color="E3E3E3"/>
            </w:tcBorders>
            <w:shd w:val="clear" w:color="auto" w:fill="FDFDFD"/>
          </w:tcPr>
          <w:p>
            <w:pPr>
              <w:spacing w:after="0"/>
              <w:rPr>
                <w:sz w:val="19"/>
                <w:szCs w:val="19"/>
                <w:color w:val="auto"/>
              </w:rPr>
            </w:pPr>
          </w:p>
        </w:tc>
        <w:tc>
          <w:tcPr>
            <w:tcW w:w="360" w:type="dxa"/>
            <w:vAlign w:val="bottom"/>
            <w:tcBorders>
              <w:bottom w:val="single" w:sz="8" w:color="auto"/>
            </w:tcBorders>
            <w:shd w:val="clear" w:color="auto" w:fill="FDFDFD"/>
          </w:tcPr>
          <w:p>
            <w:pPr>
              <w:spacing w:after="0"/>
              <w:rPr>
                <w:sz w:val="19"/>
                <w:szCs w:val="19"/>
                <w:color w:val="auto"/>
              </w:rPr>
            </w:pPr>
          </w:p>
        </w:tc>
        <w:tc>
          <w:tcPr>
            <w:tcW w:w="122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1,049</w:t>
            </w:r>
          </w:p>
        </w:tc>
        <w:tc>
          <w:tcPr>
            <w:tcW w:w="260" w:type="dxa"/>
            <w:vAlign w:val="bottom"/>
            <w:tcBorders>
              <w:bottom w:val="single" w:sz="8" w:color="E3E3E3"/>
            </w:tcBorders>
            <w:shd w:val="clear" w:color="auto" w:fill="FDFDFD"/>
          </w:tcPr>
          <w:p>
            <w:pPr>
              <w:spacing w:after="0"/>
              <w:rPr>
                <w:sz w:val="19"/>
                <w:szCs w:val="19"/>
                <w:color w:val="auto"/>
              </w:rPr>
            </w:pPr>
          </w:p>
        </w:tc>
        <w:tc>
          <w:tcPr>
            <w:tcW w:w="360" w:type="dxa"/>
            <w:vAlign w:val="bottom"/>
            <w:tcBorders>
              <w:bottom w:val="single" w:sz="8" w:color="auto"/>
            </w:tcBorders>
            <w:shd w:val="clear" w:color="auto" w:fill="FDFDFD"/>
          </w:tcPr>
          <w:p>
            <w:pPr>
              <w:spacing w:after="0"/>
              <w:rPr>
                <w:sz w:val="19"/>
                <w:szCs w:val="19"/>
                <w:color w:val="auto"/>
              </w:rPr>
            </w:pPr>
          </w:p>
        </w:tc>
        <w:tc>
          <w:tcPr>
            <w:tcW w:w="122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Borders>
              <w:bottom w:val="single" w:sz="8" w:color="E3E3E3"/>
            </w:tcBorders>
            <w:shd w:val="clear" w:color="auto" w:fill="FDFDFD"/>
          </w:tcPr>
          <w:p>
            <w:pPr>
              <w:spacing w:after="0"/>
              <w:rPr>
                <w:sz w:val="19"/>
                <w:szCs w:val="19"/>
                <w:color w:val="auto"/>
              </w:rPr>
            </w:pPr>
          </w:p>
        </w:tc>
        <w:tc>
          <w:tcPr>
            <w:tcW w:w="180" w:type="dxa"/>
            <w:vAlign w:val="bottom"/>
            <w:tcBorders>
              <w:bottom w:val="single" w:sz="8" w:color="E3E3E3"/>
            </w:tcBorders>
            <w:shd w:val="clear" w:color="auto" w:fill="FDFDFD"/>
          </w:tcPr>
          <w:p>
            <w:pPr>
              <w:spacing w:after="0"/>
              <w:rPr>
                <w:sz w:val="19"/>
                <w:szCs w:val="19"/>
                <w:color w:val="auto"/>
              </w:rPr>
            </w:pPr>
          </w:p>
        </w:tc>
        <w:tc>
          <w:tcPr>
            <w:tcW w:w="360" w:type="dxa"/>
            <w:vAlign w:val="bottom"/>
            <w:tcBorders>
              <w:bottom w:val="single" w:sz="8" w:color="auto"/>
            </w:tcBorders>
            <w:shd w:val="clear" w:color="auto" w:fill="FDFDFD"/>
          </w:tcPr>
          <w:p>
            <w:pPr>
              <w:spacing w:after="0"/>
              <w:rPr>
                <w:sz w:val="19"/>
                <w:szCs w:val="19"/>
                <w:color w:val="auto"/>
              </w:rPr>
            </w:pPr>
          </w:p>
        </w:tc>
        <w:tc>
          <w:tcPr>
            <w:tcW w:w="12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(4,823)</w:t>
            </w:r>
          </w:p>
        </w:tc>
        <w:tc>
          <w:tcPr>
            <w:tcW w:w="100" w:type="dxa"/>
            <w:vAlign w:val="bottom"/>
            <w:tcBorders>
              <w:bottom w:val="single" w:sz="8" w:color="E3E3E3"/>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Loss before income taxes</w:t>
            </w:r>
          </w:p>
        </w:tc>
        <w:tc>
          <w:tcPr>
            <w:tcW w:w="180" w:type="dxa"/>
            <w:vAlign w:val="bottom"/>
            <w:shd w:val="clear" w:color="auto" w:fill="E3E3E3"/>
          </w:tcPr>
          <w:p>
            <w:pPr>
              <w:spacing w:after="0"/>
              <w:rPr>
                <w:sz w:val="19"/>
                <w:szCs w:val="19"/>
                <w:color w:val="auto"/>
              </w:rPr>
            </w:pPr>
          </w:p>
        </w:tc>
        <w:tc>
          <w:tcPr>
            <w:tcW w:w="360" w:type="dxa"/>
            <w:vAlign w:val="bottom"/>
            <w:tcBorders>
              <w:bottom w:val="single" w:sz="8" w:color="auto"/>
            </w:tcBorders>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(633,745)</w:t>
            </w:r>
          </w:p>
        </w:tc>
        <w:tc>
          <w:tcPr>
            <w:tcW w:w="260" w:type="dxa"/>
            <w:vAlign w:val="bottom"/>
            <w:shd w:val="clear" w:color="auto" w:fill="E3E3E3"/>
          </w:tcPr>
          <w:p>
            <w:pPr>
              <w:spacing w:after="0"/>
              <w:rPr>
                <w:sz w:val="19"/>
                <w:szCs w:val="19"/>
                <w:color w:val="auto"/>
              </w:rPr>
            </w:pPr>
          </w:p>
        </w:tc>
        <w:tc>
          <w:tcPr>
            <w:tcW w:w="360" w:type="dxa"/>
            <w:vAlign w:val="bottom"/>
            <w:tcBorders>
              <w:bottom w:val="single" w:sz="8" w:color="auto"/>
            </w:tcBorders>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(308,180)</w:t>
            </w:r>
          </w:p>
        </w:tc>
        <w:tc>
          <w:tcPr>
            <w:tcW w:w="8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360" w:type="dxa"/>
            <w:vAlign w:val="bottom"/>
            <w:tcBorders>
              <w:bottom w:val="single" w:sz="8" w:color="auto"/>
            </w:tcBorders>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(41,877)</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components of the provision for income taxes are as follows:</w:t>
      </w:r>
    </w:p>
    <w:p>
      <w:pPr>
        <w:spacing w:after="0" w:line="122"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368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80" w:type="dxa"/>
            <w:vAlign w:val="bottom"/>
            <w:tcBorders>
              <w:bottom w:val="single" w:sz="8" w:color="FDFDFD"/>
            </w:tcBorders>
            <w:shd w:val="clear" w:color="auto" w:fill="FDFDFD"/>
          </w:tcPr>
          <w:p>
            <w:pPr>
              <w:spacing w:after="0"/>
              <w:rPr>
                <w:sz w:val="17"/>
                <w:szCs w:val="17"/>
                <w:color w:val="auto"/>
              </w:rPr>
            </w:pPr>
          </w:p>
        </w:tc>
        <w:tc>
          <w:tcPr>
            <w:tcW w:w="360" w:type="dxa"/>
            <w:vAlign w:val="bottom"/>
            <w:tcBorders>
              <w:bottom w:val="single" w:sz="8" w:color="auto"/>
            </w:tcBorders>
            <w:shd w:val="clear" w:color="auto" w:fill="FDFDFD"/>
          </w:tcPr>
          <w:p>
            <w:pPr>
              <w:spacing w:after="0"/>
              <w:rPr>
                <w:sz w:val="17"/>
                <w:szCs w:val="17"/>
                <w:color w:val="auto"/>
              </w:rPr>
            </w:pPr>
          </w:p>
        </w:tc>
        <w:tc>
          <w:tcPr>
            <w:tcW w:w="1220" w:type="dxa"/>
            <w:vAlign w:val="bottom"/>
            <w:tcBorders>
              <w:bottom w:val="single" w:sz="8" w:color="auto"/>
            </w:tcBorders>
            <w:shd w:val="clear" w:color="auto" w:fill="FDFDFD"/>
          </w:tcPr>
          <w:p>
            <w:pPr>
              <w:spacing w:after="0"/>
              <w:rPr>
                <w:sz w:val="17"/>
                <w:szCs w:val="17"/>
                <w:color w:val="auto"/>
              </w:rPr>
            </w:pPr>
          </w:p>
        </w:tc>
        <w:tc>
          <w:tcPr>
            <w:tcW w:w="80" w:type="dxa"/>
            <w:vAlign w:val="bottom"/>
            <w:tcBorders>
              <w:bottom w:val="single" w:sz="8" w:color="auto"/>
            </w:tcBorders>
            <w:shd w:val="clear" w:color="auto" w:fill="FDFDFD"/>
          </w:tcPr>
          <w:p>
            <w:pPr>
              <w:spacing w:after="0"/>
              <w:rPr>
                <w:sz w:val="17"/>
                <w:szCs w:val="17"/>
                <w:color w:val="auto"/>
              </w:rPr>
            </w:pPr>
          </w:p>
        </w:tc>
        <w:tc>
          <w:tcPr>
            <w:tcW w:w="2020" w:type="dxa"/>
            <w:vAlign w:val="bottom"/>
            <w:tcBorders>
              <w:bottom w:val="single" w:sz="8" w:color="auto"/>
            </w:tcBorders>
            <w:gridSpan w:val="4"/>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shd w:val="clear" w:color="auto" w:fill="FDFDFD"/>
          </w:tcPr>
          <w:p>
            <w:pPr>
              <w:spacing w:after="0"/>
              <w:rPr>
                <w:sz w:val="17"/>
                <w:szCs w:val="17"/>
                <w:color w:val="auto"/>
              </w:rPr>
            </w:pPr>
          </w:p>
        </w:tc>
        <w:tc>
          <w:tcPr>
            <w:tcW w:w="120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80" w:type="dxa"/>
            <w:vAlign w:val="bottom"/>
            <w:tcBorders>
              <w:bottom w:val="single" w:sz="8" w:color="E3E3E3"/>
            </w:tcBorders>
            <w:vMerge w:val="continue"/>
            <w:shd w:val="clear" w:color="auto" w:fill="FDFDFD"/>
          </w:tcPr>
          <w:p>
            <w:pPr>
              <w:spacing w:after="0"/>
              <w:rPr>
                <w:sz w:val="15"/>
                <w:szCs w:val="15"/>
                <w:color w:val="auto"/>
              </w:rPr>
            </w:pPr>
          </w:p>
        </w:tc>
        <w:tc>
          <w:tcPr>
            <w:tcW w:w="180" w:type="dxa"/>
            <w:vAlign w:val="bottom"/>
            <w:tcBorders>
              <w:bottom w:val="single" w:sz="8" w:color="E3E3E3"/>
            </w:tcBorders>
            <w:shd w:val="clear" w:color="auto" w:fill="FDFDFD"/>
          </w:tcPr>
          <w:p>
            <w:pPr>
              <w:spacing w:after="0"/>
              <w:rPr>
                <w:sz w:val="15"/>
                <w:szCs w:val="15"/>
                <w:color w:val="auto"/>
              </w:rPr>
            </w:pPr>
          </w:p>
        </w:tc>
        <w:tc>
          <w:tcPr>
            <w:tcW w:w="360" w:type="dxa"/>
            <w:vAlign w:val="bottom"/>
            <w:tcBorders>
              <w:bottom w:val="single" w:sz="8" w:color="auto"/>
            </w:tcBorders>
            <w:shd w:val="clear" w:color="auto" w:fill="FDFDFD"/>
          </w:tcPr>
          <w:p>
            <w:pPr>
              <w:spacing w:after="0"/>
              <w:rPr>
                <w:sz w:val="15"/>
                <w:szCs w:val="15"/>
                <w:color w:val="auto"/>
              </w:rPr>
            </w:pPr>
          </w:p>
        </w:tc>
        <w:tc>
          <w:tcPr>
            <w:tcW w:w="1220" w:type="dxa"/>
            <w:vAlign w:val="bottom"/>
            <w:tcBorders>
              <w:bottom w:val="single" w:sz="8" w:color="auto"/>
            </w:tcBorders>
            <w:shd w:val="clear" w:color="auto" w:fill="FDFDFD"/>
          </w:tcPr>
          <w:p>
            <w:pPr>
              <w:jc w:val="right"/>
              <w:ind w:right="522"/>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3E3E3"/>
            </w:tcBorders>
            <w:shd w:val="clear" w:color="auto" w:fill="FDFDFD"/>
          </w:tcPr>
          <w:p>
            <w:pPr>
              <w:spacing w:after="0"/>
              <w:rPr>
                <w:sz w:val="15"/>
                <w:szCs w:val="15"/>
                <w:color w:val="auto"/>
              </w:rPr>
            </w:pPr>
          </w:p>
        </w:tc>
        <w:tc>
          <w:tcPr>
            <w:tcW w:w="180" w:type="dxa"/>
            <w:vAlign w:val="bottom"/>
            <w:tcBorders>
              <w:bottom w:val="single" w:sz="8" w:color="E3E3E3"/>
            </w:tcBorders>
            <w:shd w:val="clear" w:color="auto" w:fill="FDFDFD"/>
          </w:tcPr>
          <w:p>
            <w:pPr>
              <w:spacing w:after="0"/>
              <w:rPr>
                <w:sz w:val="15"/>
                <w:szCs w:val="15"/>
                <w:color w:val="auto"/>
              </w:rPr>
            </w:pPr>
          </w:p>
        </w:tc>
        <w:tc>
          <w:tcPr>
            <w:tcW w:w="360" w:type="dxa"/>
            <w:vAlign w:val="bottom"/>
            <w:tcBorders>
              <w:bottom w:val="single" w:sz="8" w:color="auto"/>
            </w:tcBorders>
            <w:shd w:val="clear" w:color="auto" w:fill="FDFDFD"/>
          </w:tcPr>
          <w:p>
            <w:pPr>
              <w:spacing w:after="0"/>
              <w:rPr>
                <w:sz w:val="15"/>
                <w:szCs w:val="15"/>
                <w:color w:val="auto"/>
              </w:rPr>
            </w:pPr>
          </w:p>
        </w:tc>
        <w:tc>
          <w:tcPr>
            <w:tcW w:w="1220" w:type="dxa"/>
            <w:vAlign w:val="bottom"/>
            <w:tcBorders>
              <w:bottom w:val="single" w:sz="8" w:color="auto"/>
            </w:tcBorders>
            <w:shd w:val="clear" w:color="auto" w:fill="FDFDFD"/>
          </w:tcPr>
          <w:p>
            <w:pPr>
              <w:jc w:val="right"/>
              <w:ind w:right="542"/>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E3E3E3"/>
            </w:tcBorders>
            <w:shd w:val="clear" w:color="auto" w:fill="FDFDFD"/>
          </w:tcPr>
          <w:p>
            <w:pPr>
              <w:spacing w:after="0"/>
              <w:rPr>
                <w:sz w:val="15"/>
                <w:szCs w:val="15"/>
                <w:color w:val="auto"/>
              </w:rPr>
            </w:pPr>
          </w:p>
        </w:tc>
        <w:tc>
          <w:tcPr>
            <w:tcW w:w="360" w:type="dxa"/>
            <w:vAlign w:val="bottom"/>
            <w:tcBorders>
              <w:bottom w:val="single" w:sz="8" w:color="auto"/>
            </w:tcBorders>
            <w:shd w:val="clear" w:color="auto" w:fill="FDFDFD"/>
          </w:tcPr>
          <w:p>
            <w:pPr>
              <w:spacing w:after="0"/>
              <w:rPr>
                <w:sz w:val="15"/>
                <w:szCs w:val="15"/>
                <w:color w:val="auto"/>
              </w:rPr>
            </w:pPr>
          </w:p>
        </w:tc>
        <w:tc>
          <w:tcPr>
            <w:tcW w:w="1200" w:type="dxa"/>
            <w:vAlign w:val="bottom"/>
            <w:tcBorders>
              <w:bottom w:val="single" w:sz="8" w:color="auto"/>
            </w:tcBorders>
            <w:shd w:val="clear" w:color="auto" w:fill="FDFDFD"/>
          </w:tcPr>
          <w:p>
            <w:pPr>
              <w:jc w:val="right"/>
              <w:ind w:right="522"/>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Current income taxes:</w:t>
            </w:r>
          </w:p>
        </w:tc>
        <w:tc>
          <w:tcPr>
            <w:tcW w:w="1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2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22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2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U.S. federal</w:t>
            </w:r>
          </w:p>
        </w:tc>
        <w:tc>
          <w:tcPr>
            <w:tcW w:w="180" w:type="dxa"/>
            <w:vAlign w:val="bottom"/>
            <w:shd w:val="clear" w:color="auto" w:fill="FDFDFD"/>
          </w:tcPr>
          <w:p>
            <w:pPr>
              <w:spacing w:after="0"/>
              <w:rPr>
                <w:sz w:val="19"/>
                <w:szCs w:val="19"/>
                <w:color w:val="auto"/>
              </w:rPr>
            </w:pPr>
          </w:p>
        </w:tc>
        <w:tc>
          <w:tcPr>
            <w:tcW w:w="360" w:type="dxa"/>
            <w:vAlign w:val="bottom"/>
            <w:shd w:val="clear" w:color="auto" w:fill="FDFDFD"/>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360" w:type="dxa"/>
            <w:vAlign w:val="bottom"/>
            <w:shd w:val="clear" w:color="auto" w:fill="FDFDFD"/>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260" w:type="dxa"/>
            <w:vAlign w:val="bottom"/>
            <w:shd w:val="clear" w:color="auto" w:fill="FDFDFD"/>
          </w:tcPr>
          <w:p>
            <w:pPr>
              <w:spacing w:after="0"/>
              <w:rPr>
                <w:sz w:val="19"/>
                <w:szCs w:val="19"/>
                <w:color w:val="auto"/>
              </w:rPr>
            </w:pPr>
          </w:p>
        </w:tc>
        <w:tc>
          <w:tcPr>
            <w:tcW w:w="360" w:type="dxa"/>
            <w:vAlign w:val="bottom"/>
            <w:shd w:val="clear" w:color="auto" w:fill="FDFDFD"/>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U.S. state and local</w:t>
            </w:r>
          </w:p>
        </w:tc>
        <w:tc>
          <w:tcPr>
            <w:tcW w:w="1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48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(28)</w:t>
            </w:r>
          </w:p>
        </w:tc>
        <w:tc>
          <w:tcPr>
            <w:tcW w:w="360" w:type="dxa"/>
            <w:vAlign w:val="bottom"/>
            <w:shd w:val="clear" w:color="auto" w:fill="E3E3E3"/>
          </w:tcPr>
          <w:p>
            <w:pPr>
              <w:spacing w:after="0"/>
              <w:rPr>
                <w:sz w:val="19"/>
                <w:szCs w:val="19"/>
                <w:color w:val="auto"/>
              </w:rPr>
            </w:pP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1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8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26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3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3680" w:type="dxa"/>
            <w:vAlign w:val="bottom"/>
            <w:tcBorders>
              <w:top w:val="single" w:sz="8" w:color="E3E3E3"/>
              <w:bottom w:val="single" w:sz="8" w:color="FDFDFD"/>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Total current income taxes</w:t>
            </w:r>
          </w:p>
        </w:tc>
        <w:tc>
          <w:tcPr>
            <w:tcW w:w="180" w:type="dxa"/>
            <w:vAlign w:val="bottom"/>
            <w:tcBorders>
              <w:top w:val="single" w:sz="8" w:color="E3E3E3"/>
              <w:bottom w:val="single" w:sz="8" w:color="FDFDFD"/>
            </w:tcBorders>
            <w:shd w:val="clear" w:color="auto" w:fill="E3E3E3"/>
          </w:tcPr>
          <w:p>
            <w:pPr>
              <w:spacing w:after="0"/>
              <w:rPr>
                <w:sz w:val="19"/>
                <w:szCs w:val="19"/>
                <w:color w:val="auto"/>
              </w:rPr>
            </w:pPr>
          </w:p>
        </w:tc>
        <w:tc>
          <w:tcPr>
            <w:tcW w:w="360" w:type="dxa"/>
            <w:vAlign w:val="bottom"/>
            <w:tcBorders>
              <w:top w:val="single" w:sz="8" w:color="auto"/>
              <w:bottom w:val="single" w:sz="8" w:color="auto"/>
            </w:tcBorders>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371</w:t>
            </w:r>
          </w:p>
        </w:tc>
        <w:tc>
          <w:tcPr>
            <w:tcW w:w="80" w:type="dxa"/>
            <w:vAlign w:val="bottom"/>
            <w:tcBorders>
              <w:top w:val="single" w:sz="8" w:color="E3E3E3"/>
              <w:bottom w:val="single" w:sz="8" w:color="FDFDFD"/>
            </w:tcBorders>
            <w:shd w:val="clear" w:color="auto" w:fill="E3E3E3"/>
          </w:tcPr>
          <w:p>
            <w:pPr>
              <w:spacing w:after="0"/>
              <w:rPr>
                <w:sz w:val="19"/>
                <w:szCs w:val="19"/>
                <w:color w:val="auto"/>
              </w:rPr>
            </w:pPr>
          </w:p>
        </w:tc>
        <w:tc>
          <w:tcPr>
            <w:tcW w:w="180" w:type="dxa"/>
            <w:vAlign w:val="bottom"/>
            <w:tcBorders>
              <w:top w:val="single" w:sz="8" w:color="E3E3E3"/>
              <w:bottom w:val="single" w:sz="8" w:color="FDFDFD"/>
            </w:tcBorders>
            <w:shd w:val="clear" w:color="auto" w:fill="E3E3E3"/>
          </w:tcPr>
          <w:p>
            <w:pPr>
              <w:spacing w:after="0"/>
              <w:rPr>
                <w:sz w:val="19"/>
                <w:szCs w:val="19"/>
                <w:color w:val="auto"/>
              </w:rPr>
            </w:pPr>
          </w:p>
        </w:tc>
        <w:tc>
          <w:tcPr>
            <w:tcW w:w="360" w:type="dxa"/>
            <w:vAlign w:val="bottom"/>
            <w:tcBorders>
              <w:top w:val="single" w:sz="8" w:color="auto"/>
              <w:bottom w:val="single" w:sz="8" w:color="auto"/>
            </w:tcBorders>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160</w:t>
            </w:r>
          </w:p>
        </w:tc>
        <w:tc>
          <w:tcPr>
            <w:tcW w:w="260" w:type="dxa"/>
            <w:vAlign w:val="bottom"/>
            <w:tcBorders>
              <w:top w:val="single" w:sz="8" w:color="E3E3E3"/>
              <w:bottom w:val="single" w:sz="8" w:color="FDFDFD"/>
            </w:tcBorders>
            <w:shd w:val="clear" w:color="auto" w:fill="E3E3E3"/>
          </w:tcPr>
          <w:p>
            <w:pPr>
              <w:spacing w:after="0"/>
              <w:rPr>
                <w:sz w:val="19"/>
                <w:szCs w:val="19"/>
                <w:color w:val="auto"/>
              </w:rPr>
            </w:pPr>
          </w:p>
        </w:tc>
        <w:tc>
          <w:tcPr>
            <w:tcW w:w="360" w:type="dxa"/>
            <w:vAlign w:val="bottom"/>
            <w:tcBorders>
              <w:top w:val="single" w:sz="8" w:color="auto"/>
              <w:bottom w:val="single" w:sz="8" w:color="auto"/>
            </w:tcBorders>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108</w:t>
            </w:r>
          </w:p>
        </w:tc>
        <w:tc>
          <w:tcPr>
            <w:tcW w:w="100" w:type="dxa"/>
            <w:vAlign w:val="bottom"/>
            <w:tcBorders>
              <w:top w:val="single" w:sz="8" w:color="E3E3E3"/>
              <w:bottom w:val="single" w:sz="8" w:color="FDFDFD"/>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Deferred income taxes:</w:t>
            </w:r>
          </w:p>
        </w:tc>
        <w:tc>
          <w:tcPr>
            <w:tcW w:w="1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2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22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2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U.S. federal</w:t>
            </w:r>
          </w:p>
        </w:tc>
        <w:tc>
          <w:tcPr>
            <w:tcW w:w="180" w:type="dxa"/>
            <w:vAlign w:val="bottom"/>
            <w:shd w:val="clear" w:color="auto" w:fill="E3E3E3"/>
          </w:tcPr>
          <w:p>
            <w:pPr>
              <w:spacing w:after="0"/>
              <w:rPr>
                <w:sz w:val="19"/>
                <w:szCs w:val="19"/>
                <w:color w:val="auto"/>
              </w:rPr>
            </w:pPr>
          </w:p>
        </w:tc>
        <w:tc>
          <w:tcPr>
            <w:tcW w:w="360" w:type="dxa"/>
            <w:vAlign w:val="bottom"/>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(21,323)</w:t>
            </w:r>
          </w:p>
        </w:tc>
        <w:tc>
          <w:tcPr>
            <w:tcW w:w="8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360" w:type="dxa"/>
            <w:vAlign w:val="bottom"/>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(11,225)</w:t>
            </w:r>
          </w:p>
        </w:tc>
        <w:tc>
          <w:tcPr>
            <w:tcW w:w="260" w:type="dxa"/>
            <w:vAlign w:val="bottom"/>
            <w:shd w:val="clear" w:color="auto" w:fill="E3E3E3"/>
          </w:tcPr>
          <w:p>
            <w:pPr>
              <w:spacing w:after="0"/>
              <w:rPr>
                <w:sz w:val="19"/>
                <w:szCs w:val="19"/>
                <w:color w:val="auto"/>
              </w:rPr>
            </w:pPr>
          </w:p>
        </w:tc>
        <w:tc>
          <w:tcPr>
            <w:tcW w:w="360" w:type="dxa"/>
            <w:vAlign w:val="bottom"/>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(1,160)</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U.S. state and local</w:t>
            </w:r>
          </w:p>
        </w:tc>
        <w:tc>
          <w:tcPr>
            <w:tcW w:w="1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300" w:type="dxa"/>
            <w:vAlign w:val="bottom"/>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(21,191)</w:t>
            </w:r>
          </w:p>
        </w:tc>
        <w:tc>
          <w:tcPr>
            <w:tcW w:w="18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480" w:type="dxa"/>
            <w:vAlign w:val="bottom"/>
            <w:gridSpan w:val="2"/>
            <w:shd w:val="clear" w:color="auto" w:fill="FDFDFD"/>
          </w:tcPr>
          <w:p>
            <w:pPr>
              <w:jc w:val="right"/>
              <w:ind w:right="200"/>
              <w:spacing w:after="0"/>
              <w:rPr>
                <w:sz w:val="20"/>
                <w:szCs w:val="20"/>
                <w:color w:val="auto"/>
              </w:rPr>
            </w:pPr>
            <w:r>
              <w:rPr>
                <w:rFonts w:ascii="Times New Roman" w:cs="Times New Roman" w:eastAsia="Times New Roman" w:hAnsi="Times New Roman"/>
                <w:sz w:val="20"/>
                <w:szCs w:val="20"/>
                <w:color w:val="auto"/>
              </w:rPr>
              <w:t>(7,208)</w:t>
            </w:r>
          </w:p>
        </w:tc>
        <w:tc>
          <w:tcPr>
            <w:tcW w:w="360" w:type="dxa"/>
            <w:vAlign w:val="bottom"/>
            <w:shd w:val="clear" w:color="auto" w:fill="FDFDFD"/>
          </w:tcPr>
          <w:p>
            <w:pPr>
              <w:spacing w:after="0"/>
              <w:rPr>
                <w:sz w:val="19"/>
                <w:szCs w:val="19"/>
                <w:color w:val="auto"/>
              </w:rPr>
            </w:pPr>
          </w:p>
        </w:tc>
        <w:tc>
          <w:tcPr>
            <w:tcW w:w="1300" w:type="dxa"/>
            <w:vAlign w:val="bottom"/>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(15,904)</w:t>
            </w:r>
          </w:p>
        </w:tc>
        <w:tc>
          <w:tcPr>
            <w:tcW w:w="0" w:type="dxa"/>
            <w:vAlign w:val="bottom"/>
          </w:tcPr>
          <w:p>
            <w:pPr>
              <w:spacing w:after="0"/>
              <w:rPr>
                <w:sz w:val="1"/>
                <w:szCs w:val="1"/>
                <w:color w:val="auto"/>
              </w:rPr>
            </w:pPr>
          </w:p>
        </w:tc>
      </w:tr>
      <w:tr>
        <w:trPr>
          <w:trHeight w:val="230"/>
        </w:trPr>
        <w:tc>
          <w:tcPr>
            <w:tcW w:w="36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1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3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(156)</w:t>
            </w:r>
          </w:p>
        </w:tc>
        <w:tc>
          <w:tcPr>
            <w:tcW w:w="18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48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(280)</w:t>
            </w:r>
          </w:p>
        </w:tc>
        <w:tc>
          <w:tcPr>
            <w:tcW w:w="360" w:type="dxa"/>
            <w:vAlign w:val="bottom"/>
            <w:shd w:val="clear" w:color="auto" w:fill="E3E3E3"/>
          </w:tcPr>
          <w:p>
            <w:pPr>
              <w:spacing w:after="0"/>
              <w:rPr>
                <w:sz w:val="19"/>
                <w:szCs w:val="19"/>
                <w:color w:val="auto"/>
              </w:rPr>
            </w:pPr>
          </w:p>
        </w:tc>
        <w:tc>
          <w:tcPr>
            <w:tcW w:w="13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(742)</w:t>
            </w:r>
          </w:p>
        </w:tc>
        <w:tc>
          <w:tcPr>
            <w:tcW w:w="0" w:type="dxa"/>
            <w:vAlign w:val="bottom"/>
          </w:tcPr>
          <w:p>
            <w:pPr>
              <w:spacing w:after="0"/>
              <w:rPr>
                <w:sz w:val="1"/>
                <w:szCs w:val="1"/>
                <w:color w:val="auto"/>
              </w:rPr>
            </w:pPr>
          </w:p>
        </w:tc>
      </w:tr>
      <w:tr>
        <w:trPr>
          <w:trHeight w:val="220"/>
        </w:trPr>
        <w:tc>
          <w:tcPr>
            <w:tcW w:w="3680" w:type="dxa"/>
            <w:vAlign w:val="bottom"/>
            <w:tcBorders>
              <w:top w:val="single" w:sz="8" w:color="FDFDFD"/>
              <w:bottom w:val="single" w:sz="8" w:color="E3E3E3"/>
            </w:tcBorders>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Total deferred income taxes</w:t>
            </w:r>
          </w:p>
        </w:tc>
        <w:tc>
          <w:tcPr>
            <w:tcW w:w="180" w:type="dxa"/>
            <w:vAlign w:val="bottom"/>
            <w:tcBorders>
              <w:top w:val="single" w:sz="8" w:color="FDFDFD"/>
              <w:bottom w:val="single" w:sz="8" w:color="E3E3E3"/>
            </w:tcBorders>
            <w:shd w:val="clear" w:color="auto" w:fill="FDFDFD"/>
          </w:tcPr>
          <w:p>
            <w:pPr>
              <w:spacing w:after="0"/>
              <w:rPr>
                <w:sz w:val="19"/>
                <w:szCs w:val="19"/>
                <w:color w:val="auto"/>
              </w:rPr>
            </w:pPr>
          </w:p>
        </w:tc>
        <w:tc>
          <w:tcPr>
            <w:tcW w:w="360" w:type="dxa"/>
            <w:vAlign w:val="bottom"/>
            <w:tcBorders>
              <w:top w:val="single" w:sz="8" w:color="auto"/>
              <w:bottom w:val="single" w:sz="8" w:color="auto"/>
            </w:tcBorders>
            <w:shd w:val="clear" w:color="auto" w:fill="FDFDFD"/>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(42,670)</w:t>
            </w:r>
          </w:p>
        </w:tc>
        <w:tc>
          <w:tcPr>
            <w:tcW w:w="80" w:type="dxa"/>
            <w:vAlign w:val="bottom"/>
            <w:tcBorders>
              <w:top w:val="single" w:sz="8" w:color="FDFDFD"/>
              <w:bottom w:val="single" w:sz="8" w:color="E3E3E3"/>
            </w:tcBorders>
            <w:shd w:val="clear" w:color="auto" w:fill="FDFDFD"/>
          </w:tcPr>
          <w:p>
            <w:pPr>
              <w:spacing w:after="0"/>
              <w:rPr>
                <w:sz w:val="19"/>
                <w:szCs w:val="19"/>
                <w:color w:val="auto"/>
              </w:rPr>
            </w:pPr>
          </w:p>
        </w:tc>
        <w:tc>
          <w:tcPr>
            <w:tcW w:w="180" w:type="dxa"/>
            <w:vAlign w:val="bottom"/>
            <w:tcBorders>
              <w:top w:val="single" w:sz="8" w:color="FDFDFD"/>
              <w:bottom w:val="single" w:sz="8" w:color="E3E3E3"/>
            </w:tcBorders>
            <w:shd w:val="clear" w:color="auto" w:fill="FDFDFD"/>
          </w:tcPr>
          <w:p>
            <w:pPr>
              <w:spacing w:after="0"/>
              <w:rPr>
                <w:sz w:val="19"/>
                <w:szCs w:val="19"/>
                <w:color w:val="auto"/>
              </w:rPr>
            </w:pPr>
          </w:p>
        </w:tc>
        <w:tc>
          <w:tcPr>
            <w:tcW w:w="360" w:type="dxa"/>
            <w:vAlign w:val="bottom"/>
            <w:tcBorders>
              <w:top w:val="single" w:sz="8" w:color="auto"/>
              <w:bottom w:val="single" w:sz="8" w:color="auto"/>
            </w:tcBorders>
            <w:shd w:val="clear" w:color="auto" w:fill="FDFDFD"/>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(18,713)</w:t>
            </w:r>
          </w:p>
        </w:tc>
        <w:tc>
          <w:tcPr>
            <w:tcW w:w="260" w:type="dxa"/>
            <w:vAlign w:val="bottom"/>
            <w:tcBorders>
              <w:top w:val="single" w:sz="8" w:color="FDFDFD"/>
              <w:bottom w:val="single" w:sz="8" w:color="E3E3E3"/>
            </w:tcBorders>
            <w:shd w:val="clear" w:color="auto" w:fill="FDFDFD"/>
          </w:tcPr>
          <w:p>
            <w:pPr>
              <w:spacing w:after="0"/>
              <w:rPr>
                <w:sz w:val="19"/>
                <w:szCs w:val="19"/>
                <w:color w:val="auto"/>
              </w:rPr>
            </w:pPr>
          </w:p>
        </w:tc>
        <w:tc>
          <w:tcPr>
            <w:tcW w:w="360" w:type="dxa"/>
            <w:vAlign w:val="bottom"/>
            <w:tcBorders>
              <w:top w:val="single" w:sz="8" w:color="auto"/>
              <w:bottom w:val="single" w:sz="8" w:color="auto"/>
            </w:tcBorders>
            <w:shd w:val="clear" w:color="auto" w:fill="FDFDFD"/>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(17,806)</w:t>
            </w:r>
          </w:p>
        </w:tc>
        <w:tc>
          <w:tcPr>
            <w:tcW w:w="100" w:type="dxa"/>
            <w:vAlign w:val="bottom"/>
            <w:tcBorders>
              <w:top w:val="single" w:sz="8" w:color="FDFDFD"/>
              <w:bottom w:val="single" w:sz="8" w:color="E3E3E3"/>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Income tax benefit</w:t>
            </w:r>
          </w:p>
        </w:tc>
        <w:tc>
          <w:tcPr>
            <w:tcW w:w="180" w:type="dxa"/>
            <w:vAlign w:val="bottom"/>
            <w:shd w:val="clear" w:color="auto" w:fill="E3E3E3"/>
          </w:tcPr>
          <w:p>
            <w:pPr>
              <w:spacing w:after="0"/>
              <w:rPr>
                <w:sz w:val="19"/>
                <w:szCs w:val="19"/>
                <w:color w:val="auto"/>
              </w:rPr>
            </w:pPr>
          </w:p>
        </w:tc>
        <w:tc>
          <w:tcPr>
            <w:tcW w:w="360" w:type="dxa"/>
            <w:vAlign w:val="bottom"/>
            <w:tcBorders>
              <w:bottom w:val="single" w:sz="8" w:color="auto"/>
            </w:tcBorders>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(42,299)</w:t>
            </w:r>
          </w:p>
        </w:tc>
        <w:tc>
          <w:tcPr>
            <w:tcW w:w="8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360" w:type="dxa"/>
            <w:vAlign w:val="bottom"/>
            <w:tcBorders>
              <w:bottom w:val="single" w:sz="8" w:color="auto"/>
            </w:tcBorders>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(18,553)</w:t>
            </w:r>
          </w:p>
        </w:tc>
        <w:tc>
          <w:tcPr>
            <w:tcW w:w="260" w:type="dxa"/>
            <w:vAlign w:val="bottom"/>
            <w:shd w:val="clear" w:color="auto" w:fill="E3E3E3"/>
          </w:tcPr>
          <w:p>
            <w:pPr>
              <w:spacing w:after="0"/>
              <w:rPr>
                <w:sz w:val="19"/>
                <w:szCs w:val="19"/>
                <w:color w:val="auto"/>
              </w:rPr>
            </w:pPr>
          </w:p>
        </w:tc>
        <w:tc>
          <w:tcPr>
            <w:tcW w:w="360" w:type="dxa"/>
            <w:vAlign w:val="bottom"/>
            <w:tcBorders>
              <w:bottom w:val="single" w:sz="8" w:color="auto"/>
            </w:tcBorders>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(17,698)</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Effective Income Tax Rate</w:t>
      </w:r>
    </w:p>
    <w:p>
      <w:pPr>
        <w:spacing w:after="0" w:line="118" w:lineRule="exact"/>
        <w:rPr>
          <w:sz w:val="20"/>
          <w:szCs w:val="20"/>
          <w:color w:val="auto"/>
        </w:rPr>
      </w:pPr>
    </w:p>
    <w:p>
      <w:pPr>
        <w:ind w:right="220" w:firstLine="490"/>
        <w:spacing w:after="0" w:line="279" w:lineRule="auto"/>
        <w:rPr>
          <w:sz w:val="20"/>
          <w:szCs w:val="20"/>
          <w:color w:val="auto"/>
        </w:rPr>
      </w:pPr>
      <w:r>
        <w:rPr>
          <w:rFonts w:ascii="Times New Roman" w:cs="Times New Roman" w:eastAsia="Times New Roman" w:hAnsi="Times New Roman"/>
          <w:sz w:val="20"/>
          <w:szCs w:val="20"/>
          <w:color w:val="auto"/>
        </w:rPr>
        <w:t>The items accounting for the difference between income taxes computed at the U.S. federal statutory rate and our effective rate were as follows: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464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Borders>
              <w:bottom w:val="single" w:sz="8" w:color="FDFDFD"/>
            </w:tcBorders>
            <w:shd w:val="clear" w:color="auto" w:fill="FDFDFD"/>
          </w:tcPr>
          <w:p>
            <w:pPr>
              <w:spacing w:after="0"/>
              <w:rPr>
                <w:sz w:val="17"/>
                <w:szCs w:val="17"/>
                <w:color w:val="auto"/>
              </w:rPr>
            </w:pPr>
          </w:p>
        </w:tc>
        <w:tc>
          <w:tcPr>
            <w:tcW w:w="1160" w:type="dxa"/>
            <w:vAlign w:val="bottom"/>
            <w:tcBorders>
              <w:bottom w:val="single" w:sz="8" w:color="auto"/>
            </w:tcBorders>
            <w:shd w:val="clear" w:color="auto" w:fill="FDFDFD"/>
          </w:tcPr>
          <w:p>
            <w:pPr>
              <w:spacing w:after="0"/>
              <w:rPr>
                <w:sz w:val="17"/>
                <w:szCs w:val="17"/>
                <w:color w:val="auto"/>
              </w:rPr>
            </w:pPr>
          </w:p>
        </w:tc>
        <w:tc>
          <w:tcPr>
            <w:tcW w:w="80" w:type="dxa"/>
            <w:vAlign w:val="bottom"/>
            <w:tcBorders>
              <w:bottom w:val="single" w:sz="8" w:color="auto"/>
            </w:tcBorders>
            <w:shd w:val="clear" w:color="auto" w:fill="FDFDFD"/>
          </w:tcPr>
          <w:p>
            <w:pPr>
              <w:spacing w:after="0"/>
              <w:rPr>
                <w:sz w:val="17"/>
                <w:szCs w:val="17"/>
                <w:color w:val="auto"/>
              </w:rPr>
            </w:pPr>
          </w:p>
        </w:tc>
        <w:tc>
          <w:tcPr>
            <w:tcW w:w="2120" w:type="dxa"/>
            <w:vAlign w:val="bottom"/>
            <w:tcBorders>
              <w:bottom w:val="single" w:sz="8" w:color="auto"/>
            </w:tcBorders>
            <w:gridSpan w:val="5"/>
            <w:shd w:val="clear" w:color="auto" w:fill="FDFDFD"/>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200" w:type="dxa"/>
            <w:vAlign w:val="bottom"/>
            <w:tcBorders>
              <w:bottom w:val="single" w:sz="8" w:color="auto"/>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40" w:type="dxa"/>
            <w:vAlign w:val="bottom"/>
            <w:tcBorders>
              <w:bottom w:val="single" w:sz="8" w:color="E3E3E3"/>
            </w:tcBorders>
            <w:vMerge w:val="continue"/>
            <w:shd w:val="clear" w:color="auto" w:fill="FDFDFD"/>
          </w:tcPr>
          <w:p>
            <w:pPr>
              <w:spacing w:after="0"/>
              <w:rPr>
                <w:sz w:val="16"/>
                <w:szCs w:val="16"/>
                <w:color w:val="auto"/>
              </w:rPr>
            </w:pPr>
          </w:p>
        </w:tc>
        <w:tc>
          <w:tcPr>
            <w:tcW w:w="120" w:type="dxa"/>
            <w:vAlign w:val="bottom"/>
            <w:tcBorders>
              <w:bottom w:val="single" w:sz="8" w:color="E3E3E3"/>
            </w:tcBorders>
            <w:shd w:val="clear" w:color="auto" w:fill="FDFDFD"/>
          </w:tcPr>
          <w:p>
            <w:pPr>
              <w:spacing w:after="0"/>
              <w:rPr>
                <w:sz w:val="16"/>
                <w:szCs w:val="16"/>
                <w:color w:val="auto"/>
              </w:rPr>
            </w:pPr>
          </w:p>
        </w:tc>
        <w:tc>
          <w:tcPr>
            <w:tcW w:w="1160" w:type="dxa"/>
            <w:vAlign w:val="bottom"/>
            <w:tcBorders>
              <w:bottom w:val="single" w:sz="8" w:color="auto"/>
            </w:tcBorders>
            <w:shd w:val="clear" w:color="auto" w:fill="FDFDFD"/>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3E3E3"/>
            </w:tcBorders>
            <w:shd w:val="clear" w:color="auto" w:fill="FDFDFD"/>
          </w:tcPr>
          <w:p>
            <w:pPr>
              <w:spacing w:after="0"/>
              <w:rPr>
                <w:sz w:val="16"/>
                <w:szCs w:val="16"/>
                <w:color w:val="auto"/>
              </w:rPr>
            </w:pPr>
          </w:p>
        </w:tc>
        <w:tc>
          <w:tcPr>
            <w:tcW w:w="320" w:type="dxa"/>
            <w:vAlign w:val="bottom"/>
            <w:tcBorders>
              <w:bottom w:val="single" w:sz="8" w:color="E3E3E3"/>
            </w:tcBorders>
            <w:shd w:val="clear" w:color="auto" w:fill="FDFDFD"/>
          </w:tcPr>
          <w:p>
            <w:pPr>
              <w:spacing w:after="0"/>
              <w:rPr>
                <w:sz w:val="16"/>
                <w:szCs w:val="16"/>
                <w:color w:val="auto"/>
              </w:rPr>
            </w:pPr>
          </w:p>
        </w:tc>
        <w:tc>
          <w:tcPr>
            <w:tcW w:w="1160" w:type="dxa"/>
            <w:vAlign w:val="bottom"/>
            <w:tcBorders>
              <w:bottom w:val="single" w:sz="8" w:color="auto"/>
            </w:tcBorders>
            <w:shd w:val="clear" w:color="auto" w:fill="FDFDFD"/>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3E3E3"/>
            </w:tcBorders>
            <w:shd w:val="clear" w:color="auto" w:fill="FDFDFD"/>
          </w:tcPr>
          <w:p>
            <w:pPr>
              <w:spacing w:after="0"/>
              <w:rPr>
                <w:sz w:val="16"/>
                <w:szCs w:val="16"/>
                <w:color w:val="auto"/>
              </w:rPr>
            </w:pPr>
          </w:p>
        </w:tc>
        <w:tc>
          <w:tcPr>
            <w:tcW w:w="320" w:type="dxa"/>
            <w:vAlign w:val="bottom"/>
            <w:tcBorders>
              <w:bottom w:val="single" w:sz="8" w:color="E3E3E3"/>
            </w:tcBorders>
            <w:shd w:val="clear" w:color="auto" w:fill="FDFDFD"/>
          </w:tcPr>
          <w:p>
            <w:pPr>
              <w:spacing w:after="0"/>
              <w:rPr>
                <w:sz w:val="16"/>
                <w:szCs w:val="16"/>
                <w:color w:val="auto"/>
              </w:rPr>
            </w:pPr>
          </w:p>
        </w:tc>
        <w:tc>
          <w:tcPr>
            <w:tcW w:w="240" w:type="dxa"/>
            <w:vAlign w:val="bottom"/>
            <w:tcBorders>
              <w:bottom w:val="single" w:sz="8" w:color="auto"/>
            </w:tcBorders>
            <w:shd w:val="clear" w:color="auto" w:fill="FDFDFD"/>
          </w:tcPr>
          <w:p>
            <w:pPr>
              <w:spacing w:after="0"/>
              <w:rPr>
                <w:sz w:val="16"/>
                <w:szCs w:val="16"/>
                <w:color w:val="auto"/>
              </w:rPr>
            </w:pPr>
          </w:p>
        </w:tc>
        <w:tc>
          <w:tcPr>
            <w:tcW w:w="900" w:type="dxa"/>
            <w:vAlign w:val="bottom"/>
            <w:tcBorders>
              <w:bottom w:val="single" w:sz="8" w:color="auto"/>
            </w:tcBorders>
            <w:shd w:val="clear" w:color="auto" w:fill="FDFDFD"/>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3E3E3"/>
            </w:tcBorders>
            <w:shd w:val="clear" w:color="auto" w:fill="FDFDFD"/>
          </w:tcPr>
          <w:p>
            <w:pPr>
              <w:spacing w:after="0"/>
              <w:rPr>
                <w:sz w:val="16"/>
                <w:szCs w:val="16"/>
                <w:color w:val="auto"/>
              </w:rPr>
            </w:pPr>
          </w:p>
        </w:tc>
        <w:tc>
          <w:tcPr>
            <w:tcW w:w="200" w:type="dxa"/>
            <w:vAlign w:val="bottom"/>
            <w:tcBorders>
              <w:bottom w:val="single" w:sz="8" w:color="E3E3E3"/>
            </w:tcBorders>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Expected U.S. federal income taxes at statutory rate</w:t>
            </w:r>
          </w:p>
        </w:tc>
        <w:tc>
          <w:tcPr>
            <w:tcW w:w="120" w:type="dxa"/>
            <w:vAlign w:val="bottom"/>
            <w:shd w:val="clear" w:color="auto" w:fill="E3E3E3"/>
          </w:tcPr>
          <w:p>
            <w:pPr>
              <w:spacing w:after="0"/>
              <w:rPr>
                <w:sz w:val="19"/>
                <w:szCs w:val="19"/>
                <w:color w:val="auto"/>
              </w:rPr>
            </w:pPr>
          </w:p>
        </w:tc>
        <w:tc>
          <w:tcPr>
            <w:tcW w:w="1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21.00</w:t>
            </w:r>
          </w:p>
        </w:tc>
        <w:tc>
          <w:tcPr>
            <w:tcW w:w="80" w:type="dxa"/>
            <w:vAlign w:val="bottom"/>
            <w:shd w:val="clear" w:color="auto" w:fill="E3E3E3"/>
          </w:tcPr>
          <w:p>
            <w:pPr>
              <w:spacing w:after="0"/>
              <w:rPr>
                <w:sz w:val="19"/>
                <w:szCs w:val="19"/>
                <w:color w:val="auto"/>
              </w:rPr>
            </w:pPr>
          </w:p>
        </w:tc>
        <w:tc>
          <w:tcPr>
            <w:tcW w:w="320" w:type="dxa"/>
            <w:vAlign w:val="bottom"/>
            <w:shd w:val="clear" w:color="auto" w:fill="E3E3E3"/>
          </w:tcPr>
          <w:p>
            <w:pPr>
              <w:jc w:val="right"/>
              <w:ind w:right="47"/>
              <w:spacing w:after="0" w:line="220" w:lineRule="exact"/>
              <w:rPr>
                <w:sz w:val="20"/>
                <w:szCs w:val="20"/>
                <w:color w:val="auto"/>
              </w:rPr>
            </w:pPr>
            <w:r>
              <w:rPr>
                <w:rFonts w:ascii="Times New Roman" w:cs="Times New Roman" w:eastAsia="Times New Roman" w:hAnsi="Times New Roman"/>
                <w:sz w:val="20"/>
                <w:szCs w:val="20"/>
                <w:color w:val="auto"/>
                <w:w w:val="95"/>
              </w:rPr>
              <w:t>%</w:t>
            </w:r>
          </w:p>
        </w:tc>
        <w:tc>
          <w:tcPr>
            <w:tcW w:w="1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21.00</w:t>
            </w:r>
          </w:p>
        </w:tc>
        <w:tc>
          <w:tcPr>
            <w:tcW w:w="80" w:type="dxa"/>
            <w:vAlign w:val="bottom"/>
            <w:shd w:val="clear" w:color="auto" w:fill="E3E3E3"/>
          </w:tcPr>
          <w:p>
            <w:pPr>
              <w:spacing w:after="0"/>
              <w:rPr>
                <w:sz w:val="19"/>
                <w:szCs w:val="19"/>
                <w:color w:val="auto"/>
              </w:rPr>
            </w:pPr>
          </w:p>
        </w:tc>
        <w:tc>
          <w:tcPr>
            <w:tcW w:w="320" w:type="dxa"/>
            <w:vAlign w:val="bottom"/>
            <w:shd w:val="clear" w:color="auto" w:fill="E3E3E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83"/>
              </w:rPr>
              <w:t>%</w:t>
            </w:r>
          </w:p>
        </w:tc>
        <w:tc>
          <w:tcPr>
            <w:tcW w:w="240" w:type="dxa"/>
            <w:vAlign w:val="bottom"/>
            <w:shd w:val="clear" w:color="auto" w:fill="E3E3E3"/>
          </w:tcPr>
          <w:p>
            <w:pPr>
              <w:spacing w:after="0"/>
              <w:rPr>
                <w:sz w:val="19"/>
                <w:szCs w:val="19"/>
                <w:color w:val="auto"/>
              </w:rPr>
            </w:pPr>
          </w:p>
        </w:tc>
        <w:tc>
          <w:tcPr>
            <w:tcW w:w="9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21.00</w:t>
            </w:r>
          </w:p>
        </w:tc>
        <w:tc>
          <w:tcPr>
            <w:tcW w:w="100" w:type="dxa"/>
            <w:vAlign w:val="bottom"/>
            <w:shd w:val="clear" w:color="auto" w:fill="E3E3E3"/>
          </w:tcPr>
          <w:p>
            <w:pPr>
              <w:spacing w:after="0"/>
              <w:rPr>
                <w:sz w:val="19"/>
                <w:szCs w:val="19"/>
                <w:color w:val="auto"/>
              </w:rPr>
            </w:pPr>
          </w:p>
        </w:tc>
        <w:tc>
          <w:tcPr>
            <w:tcW w:w="2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30"/>
        </w:trPr>
        <w:tc>
          <w:tcPr>
            <w:tcW w:w="464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2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(13.35)</w:t>
            </w:r>
          </w:p>
        </w:tc>
        <w:tc>
          <w:tcPr>
            <w:tcW w:w="80" w:type="dxa"/>
            <w:vAlign w:val="bottom"/>
            <w:shd w:val="clear" w:color="auto" w:fill="FDFDFD"/>
          </w:tcPr>
          <w:p>
            <w:pPr>
              <w:spacing w:after="0"/>
              <w:rPr>
                <w:sz w:val="19"/>
                <w:szCs w:val="19"/>
                <w:color w:val="auto"/>
              </w:rPr>
            </w:pPr>
          </w:p>
        </w:tc>
        <w:tc>
          <w:tcPr>
            <w:tcW w:w="32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(13.78)</w:t>
            </w:r>
          </w:p>
        </w:tc>
        <w:tc>
          <w:tcPr>
            <w:tcW w:w="80" w:type="dxa"/>
            <w:vAlign w:val="bottom"/>
            <w:shd w:val="clear" w:color="auto" w:fill="FDFDFD"/>
          </w:tcPr>
          <w:p>
            <w:pPr>
              <w:spacing w:after="0"/>
              <w:rPr>
                <w:sz w:val="19"/>
                <w:szCs w:val="19"/>
                <w:color w:val="auto"/>
              </w:rPr>
            </w:pPr>
          </w:p>
        </w:tc>
        <w:tc>
          <w:tcPr>
            <w:tcW w:w="32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(35.31)</w:t>
            </w:r>
          </w:p>
        </w:tc>
        <w:tc>
          <w:tcPr>
            <w:tcW w:w="10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State and local income taxes, net of federal benefit</w:t>
            </w:r>
          </w:p>
        </w:tc>
        <w:tc>
          <w:tcPr>
            <w:tcW w:w="1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80" w:type="dxa"/>
            <w:vAlign w:val="bottom"/>
            <w:shd w:val="clear" w:color="auto" w:fill="E3E3E3"/>
          </w:tcPr>
          <w:p>
            <w:pPr>
              <w:spacing w:after="0"/>
              <w:rPr>
                <w:sz w:val="19"/>
                <w:szCs w:val="19"/>
                <w:color w:val="auto"/>
              </w:rPr>
            </w:pPr>
          </w:p>
        </w:tc>
        <w:tc>
          <w:tcPr>
            <w:tcW w:w="320" w:type="dxa"/>
            <w:vAlign w:val="bottom"/>
            <w:shd w:val="clear" w:color="auto" w:fill="E3E3E3"/>
          </w:tcPr>
          <w:p>
            <w:pPr>
              <w:spacing w:after="0"/>
              <w:rPr>
                <w:sz w:val="19"/>
                <w:szCs w:val="19"/>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80" w:type="dxa"/>
            <w:vAlign w:val="bottom"/>
            <w:shd w:val="clear" w:color="auto" w:fill="E3E3E3"/>
          </w:tcPr>
          <w:p>
            <w:pPr>
              <w:spacing w:after="0"/>
              <w:rPr>
                <w:sz w:val="19"/>
                <w:szCs w:val="19"/>
                <w:color w:val="auto"/>
              </w:rPr>
            </w:pPr>
          </w:p>
        </w:tc>
        <w:tc>
          <w:tcPr>
            <w:tcW w:w="3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37.87</w:t>
            </w:r>
          </w:p>
        </w:tc>
        <w:tc>
          <w:tcPr>
            <w:tcW w:w="1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Outside basis adjustment</w:t>
            </w:r>
          </w:p>
        </w:tc>
        <w:tc>
          <w:tcPr>
            <w:tcW w:w="12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80" w:type="dxa"/>
            <w:vAlign w:val="bottom"/>
            <w:shd w:val="clear" w:color="auto" w:fill="FDFDFD"/>
          </w:tcPr>
          <w:p>
            <w:pPr>
              <w:spacing w:after="0"/>
              <w:rPr>
                <w:sz w:val="19"/>
                <w:szCs w:val="19"/>
                <w:color w:val="auto"/>
              </w:rPr>
            </w:pPr>
          </w:p>
        </w:tc>
        <w:tc>
          <w:tcPr>
            <w:tcW w:w="32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80" w:type="dxa"/>
            <w:vAlign w:val="bottom"/>
            <w:shd w:val="clear" w:color="auto" w:fill="FDFDFD"/>
          </w:tcPr>
          <w:p>
            <w:pPr>
              <w:spacing w:after="0"/>
              <w:rPr>
                <w:sz w:val="19"/>
                <w:szCs w:val="19"/>
                <w:color w:val="auto"/>
              </w:rPr>
            </w:pPr>
          </w:p>
        </w:tc>
        <w:tc>
          <w:tcPr>
            <w:tcW w:w="32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17.82</w:t>
            </w:r>
          </w:p>
        </w:tc>
        <w:tc>
          <w:tcPr>
            <w:tcW w:w="10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Partnership income, not subject to taxation</w:t>
            </w:r>
          </w:p>
        </w:tc>
        <w:tc>
          <w:tcPr>
            <w:tcW w:w="136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(6.09)</w:t>
            </w:r>
          </w:p>
        </w:tc>
        <w:tc>
          <w:tcPr>
            <w:tcW w:w="320" w:type="dxa"/>
            <w:vAlign w:val="bottom"/>
            <w:shd w:val="clear" w:color="auto" w:fill="E3E3E3"/>
          </w:tcPr>
          <w:p>
            <w:pPr>
              <w:spacing w:after="0"/>
              <w:rPr>
                <w:sz w:val="19"/>
                <w:szCs w:val="19"/>
                <w:color w:val="auto"/>
              </w:rPr>
            </w:pPr>
          </w:p>
        </w:tc>
        <w:tc>
          <w:tcPr>
            <w:tcW w:w="12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(5.57)</w:t>
            </w:r>
          </w:p>
        </w:tc>
        <w:tc>
          <w:tcPr>
            <w:tcW w:w="3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0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(8.50)</w:t>
            </w:r>
          </w:p>
        </w:tc>
        <w:tc>
          <w:tcPr>
            <w:tcW w:w="2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Return to provision</w:t>
            </w:r>
          </w:p>
        </w:tc>
        <w:tc>
          <w:tcPr>
            <w:tcW w:w="12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80" w:type="dxa"/>
            <w:vAlign w:val="bottom"/>
            <w:shd w:val="clear" w:color="auto" w:fill="FDFDFD"/>
          </w:tcPr>
          <w:p>
            <w:pPr>
              <w:spacing w:after="0"/>
              <w:rPr>
                <w:sz w:val="19"/>
                <w:szCs w:val="19"/>
                <w:color w:val="auto"/>
              </w:rPr>
            </w:pPr>
          </w:p>
        </w:tc>
        <w:tc>
          <w:tcPr>
            <w:tcW w:w="32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80" w:type="dxa"/>
            <w:vAlign w:val="bottom"/>
            <w:shd w:val="clear" w:color="auto" w:fill="FDFDFD"/>
          </w:tcPr>
          <w:p>
            <w:pPr>
              <w:spacing w:after="0"/>
              <w:rPr>
                <w:sz w:val="19"/>
                <w:szCs w:val="19"/>
                <w:color w:val="auto"/>
              </w:rPr>
            </w:pPr>
          </w:p>
        </w:tc>
        <w:tc>
          <w:tcPr>
            <w:tcW w:w="32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10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TRA remeasurement</w:t>
            </w:r>
          </w:p>
        </w:tc>
        <w:tc>
          <w:tcPr>
            <w:tcW w:w="1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2.55</w:t>
            </w:r>
          </w:p>
        </w:tc>
        <w:tc>
          <w:tcPr>
            <w:tcW w:w="80" w:type="dxa"/>
            <w:vAlign w:val="bottom"/>
            <w:shd w:val="clear" w:color="auto" w:fill="E3E3E3"/>
          </w:tcPr>
          <w:p>
            <w:pPr>
              <w:spacing w:after="0"/>
              <w:rPr>
                <w:sz w:val="19"/>
                <w:szCs w:val="19"/>
                <w:color w:val="auto"/>
              </w:rPr>
            </w:pPr>
          </w:p>
        </w:tc>
        <w:tc>
          <w:tcPr>
            <w:tcW w:w="320" w:type="dxa"/>
            <w:vAlign w:val="bottom"/>
            <w:shd w:val="clear" w:color="auto" w:fill="E3E3E3"/>
          </w:tcPr>
          <w:p>
            <w:pPr>
              <w:spacing w:after="0"/>
              <w:rPr>
                <w:sz w:val="19"/>
                <w:szCs w:val="19"/>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80" w:type="dxa"/>
            <w:vAlign w:val="bottom"/>
            <w:shd w:val="clear" w:color="auto" w:fill="E3E3E3"/>
          </w:tcPr>
          <w:p>
            <w:pPr>
              <w:spacing w:after="0"/>
              <w:rPr>
                <w:sz w:val="19"/>
                <w:szCs w:val="19"/>
                <w:color w:val="auto"/>
              </w:rPr>
            </w:pPr>
          </w:p>
        </w:tc>
        <w:tc>
          <w:tcPr>
            <w:tcW w:w="3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1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12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80" w:type="dxa"/>
            <w:vAlign w:val="bottom"/>
            <w:shd w:val="clear" w:color="auto" w:fill="FDFDFD"/>
          </w:tcPr>
          <w:p>
            <w:pPr>
              <w:spacing w:after="0"/>
              <w:rPr>
                <w:sz w:val="19"/>
                <w:szCs w:val="19"/>
                <w:color w:val="auto"/>
              </w:rPr>
            </w:pPr>
          </w:p>
        </w:tc>
        <w:tc>
          <w:tcPr>
            <w:tcW w:w="32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80" w:type="dxa"/>
            <w:vAlign w:val="bottom"/>
            <w:shd w:val="clear" w:color="auto" w:fill="FDFDFD"/>
          </w:tcPr>
          <w:p>
            <w:pPr>
              <w:spacing w:after="0"/>
              <w:rPr>
                <w:sz w:val="19"/>
                <w:szCs w:val="19"/>
                <w:color w:val="auto"/>
              </w:rPr>
            </w:pPr>
          </w:p>
        </w:tc>
        <w:tc>
          <w:tcPr>
            <w:tcW w:w="32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0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Foreign rate differential</w:t>
            </w:r>
          </w:p>
        </w:tc>
        <w:tc>
          <w:tcPr>
            <w:tcW w:w="120" w:type="dxa"/>
            <w:vAlign w:val="bottom"/>
            <w:shd w:val="clear" w:color="auto" w:fill="E3E3E3"/>
          </w:tcPr>
          <w:p>
            <w:pPr>
              <w:spacing w:after="0"/>
              <w:rPr>
                <w:sz w:val="19"/>
                <w:szCs w:val="19"/>
                <w:color w:val="auto"/>
              </w:rPr>
            </w:pPr>
          </w:p>
        </w:tc>
        <w:tc>
          <w:tcPr>
            <w:tcW w:w="124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E3E3E3"/>
          </w:tcPr>
          <w:p>
            <w:pPr>
              <w:spacing w:after="0"/>
              <w:rPr>
                <w:sz w:val="19"/>
                <w:szCs w:val="19"/>
                <w:color w:val="auto"/>
              </w:rPr>
            </w:pPr>
          </w:p>
        </w:tc>
        <w:tc>
          <w:tcPr>
            <w:tcW w:w="12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(0.03)</w:t>
            </w:r>
          </w:p>
        </w:tc>
        <w:tc>
          <w:tcPr>
            <w:tcW w:w="3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1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Stock compensation</w:t>
            </w:r>
          </w:p>
        </w:tc>
        <w:tc>
          <w:tcPr>
            <w:tcW w:w="120" w:type="dxa"/>
            <w:vAlign w:val="bottom"/>
            <w:shd w:val="clear" w:color="auto" w:fill="FDFDFD"/>
          </w:tcPr>
          <w:p>
            <w:pPr>
              <w:spacing w:after="0"/>
              <w:rPr>
                <w:sz w:val="19"/>
                <w:szCs w:val="19"/>
                <w:color w:val="auto"/>
              </w:rPr>
            </w:pPr>
          </w:p>
        </w:tc>
        <w:tc>
          <w:tcPr>
            <w:tcW w:w="1240" w:type="dxa"/>
            <w:vAlign w:val="bottom"/>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FDFDFD"/>
          </w:tcPr>
          <w:p>
            <w:pPr>
              <w:spacing w:after="0"/>
              <w:rPr>
                <w:sz w:val="19"/>
                <w:szCs w:val="19"/>
                <w:color w:val="auto"/>
              </w:rPr>
            </w:pPr>
          </w:p>
        </w:tc>
        <w:tc>
          <w:tcPr>
            <w:tcW w:w="1240" w:type="dxa"/>
            <w:vAlign w:val="bottom"/>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000" w:type="dxa"/>
            <w:vAlign w:val="bottom"/>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(1.16)</w:t>
            </w:r>
          </w:p>
        </w:tc>
        <w:tc>
          <w:tcPr>
            <w:tcW w:w="2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136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(1.03)</w:t>
            </w:r>
          </w:p>
        </w:tc>
        <w:tc>
          <w:tcPr>
            <w:tcW w:w="320" w:type="dxa"/>
            <w:vAlign w:val="bottom"/>
            <w:shd w:val="clear" w:color="auto" w:fill="E3E3E3"/>
          </w:tcPr>
          <w:p>
            <w:pPr>
              <w:spacing w:after="0"/>
              <w:rPr>
                <w:sz w:val="19"/>
                <w:szCs w:val="19"/>
                <w:color w:val="auto"/>
              </w:rPr>
            </w:pPr>
          </w:p>
        </w:tc>
        <w:tc>
          <w:tcPr>
            <w:tcW w:w="12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(0.14)</w:t>
            </w:r>
          </w:p>
        </w:tc>
        <w:tc>
          <w:tcPr>
            <w:tcW w:w="3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0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(0.67)</w:t>
            </w:r>
          </w:p>
        </w:tc>
        <w:tc>
          <w:tcPr>
            <w:tcW w:w="2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tcBorders>
              <w:top w:val="single" w:sz="8" w:color="FDFDFD"/>
            </w:tcBorders>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Effective income tax rate</w:t>
            </w:r>
          </w:p>
        </w:tc>
        <w:tc>
          <w:tcPr>
            <w:tcW w:w="120" w:type="dxa"/>
            <w:vAlign w:val="bottom"/>
            <w:tcBorders>
              <w:top w:val="single" w:sz="8" w:color="FDFDFD"/>
            </w:tcBorders>
            <w:shd w:val="clear" w:color="auto" w:fill="FDFDFD"/>
          </w:tcPr>
          <w:p>
            <w:pPr>
              <w:spacing w:after="0"/>
              <w:rPr>
                <w:sz w:val="19"/>
                <w:szCs w:val="19"/>
                <w:color w:val="auto"/>
              </w:rPr>
            </w:pPr>
          </w:p>
        </w:tc>
        <w:tc>
          <w:tcPr>
            <w:tcW w:w="116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6.67</w:t>
            </w:r>
          </w:p>
        </w:tc>
        <w:tc>
          <w:tcPr>
            <w:tcW w:w="80" w:type="dxa"/>
            <w:vAlign w:val="bottom"/>
            <w:tcBorders>
              <w:top w:val="single" w:sz="8" w:color="FDFDFD"/>
            </w:tcBorders>
            <w:shd w:val="clear" w:color="auto" w:fill="FDFDFD"/>
          </w:tcPr>
          <w:p>
            <w:pPr>
              <w:spacing w:after="0"/>
              <w:rPr>
                <w:sz w:val="19"/>
                <w:szCs w:val="19"/>
                <w:color w:val="auto"/>
              </w:rPr>
            </w:pPr>
          </w:p>
        </w:tc>
        <w:tc>
          <w:tcPr>
            <w:tcW w:w="320" w:type="dxa"/>
            <w:vAlign w:val="bottom"/>
            <w:tcBorders>
              <w:top w:val="single" w:sz="8" w:color="FDFDFD"/>
            </w:tcBorders>
            <w:shd w:val="clear" w:color="auto" w:fill="FDFDFD"/>
          </w:tcPr>
          <w:p>
            <w:pPr>
              <w:jc w:val="right"/>
              <w:ind w:right="47"/>
              <w:spacing w:after="0" w:line="220" w:lineRule="exact"/>
              <w:rPr>
                <w:sz w:val="20"/>
                <w:szCs w:val="20"/>
                <w:color w:val="auto"/>
              </w:rPr>
            </w:pPr>
            <w:r>
              <w:rPr>
                <w:rFonts w:ascii="Times New Roman" w:cs="Times New Roman" w:eastAsia="Times New Roman" w:hAnsi="Times New Roman"/>
                <w:sz w:val="20"/>
                <w:szCs w:val="20"/>
                <w:color w:val="auto"/>
                <w:w w:val="95"/>
              </w:rPr>
              <w:t>%</w:t>
            </w:r>
          </w:p>
        </w:tc>
        <w:tc>
          <w:tcPr>
            <w:tcW w:w="116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6.02</w:t>
            </w:r>
          </w:p>
        </w:tc>
        <w:tc>
          <w:tcPr>
            <w:tcW w:w="80" w:type="dxa"/>
            <w:vAlign w:val="bottom"/>
            <w:tcBorders>
              <w:top w:val="single" w:sz="8" w:color="FDFDFD"/>
            </w:tcBorders>
            <w:shd w:val="clear" w:color="auto" w:fill="FDFDFD"/>
          </w:tcPr>
          <w:p>
            <w:pPr>
              <w:spacing w:after="0"/>
              <w:rPr>
                <w:sz w:val="19"/>
                <w:szCs w:val="19"/>
                <w:color w:val="auto"/>
              </w:rPr>
            </w:pPr>
          </w:p>
        </w:tc>
        <w:tc>
          <w:tcPr>
            <w:tcW w:w="320" w:type="dxa"/>
            <w:vAlign w:val="bottom"/>
            <w:tcBorders>
              <w:top w:val="single" w:sz="8" w:color="FDFDFD"/>
            </w:tcBorders>
            <w:shd w:val="clear" w:color="auto" w:fill="FDFDFD"/>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83"/>
              </w:rPr>
              <w:t>%</w:t>
            </w:r>
          </w:p>
        </w:tc>
        <w:tc>
          <w:tcPr>
            <w:tcW w:w="240" w:type="dxa"/>
            <w:vAlign w:val="bottom"/>
            <w:tcBorders>
              <w:top w:val="single" w:sz="8" w:color="auto"/>
              <w:bottom w:val="single" w:sz="8" w:color="auto"/>
            </w:tcBorders>
            <w:shd w:val="clear" w:color="auto" w:fill="FDFDFD"/>
          </w:tcPr>
          <w:p>
            <w:pPr>
              <w:spacing w:after="0"/>
              <w:rPr>
                <w:sz w:val="19"/>
                <w:szCs w:val="19"/>
                <w:color w:val="auto"/>
              </w:rPr>
            </w:pPr>
          </w:p>
        </w:tc>
        <w:tc>
          <w:tcPr>
            <w:tcW w:w="90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42.26</w:t>
            </w:r>
          </w:p>
        </w:tc>
        <w:tc>
          <w:tcPr>
            <w:tcW w:w="100" w:type="dxa"/>
            <w:vAlign w:val="bottom"/>
            <w:tcBorders>
              <w:top w:val="single" w:sz="8" w:color="FDFDFD"/>
            </w:tcBorders>
            <w:shd w:val="clear" w:color="auto" w:fill="FDFDFD"/>
          </w:tcPr>
          <w:p>
            <w:pPr>
              <w:spacing w:after="0"/>
              <w:rPr>
                <w:sz w:val="19"/>
                <w:szCs w:val="19"/>
                <w:color w:val="auto"/>
              </w:rPr>
            </w:pPr>
          </w:p>
        </w:tc>
        <w:tc>
          <w:tcPr>
            <w:tcW w:w="200" w:type="dxa"/>
            <w:vAlign w:val="bottom"/>
            <w:tcBorders>
              <w:top w:val="single" w:sz="8" w:color="FDFDFD"/>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80"/>
          </w:cols>
          <w:pgMar w:left="820" w:top="803" w:right="12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9"/>
          <w:szCs w:val="19"/>
          <w:color w:val="auto"/>
        </w:rPr>
        <w:t>F-47</w:t>
      </w:r>
    </w:p>
    <w:p>
      <w:pPr>
        <w:sectPr>
          <w:pgSz w:w="11880" w:h="15480" w:orient="portrait"/>
          <w:cols w:equalWidth="0" w:num="1">
            <w:col w:w="9780"/>
          </w:cols>
          <w:pgMar w:left="820" w:top="803" w:right="1280" w:bottom="8"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color w:val="auto"/>
        </w:rPr>
        <w:t>Deferred Tax Assets and Liabilities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components of deferred tax assets and liabilities were as follows:</w:t>
      </w:r>
    </w:p>
    <w:p>
      <w:pPr>
        <w:spacing w:after="0" w:line="351" w:lineRule="exact"/>
        <w:rPr>
          <w:sz w:val="20"/>
          <w:szCs w:val="20"/>
          <w:color w:val="auto"/>
        </w:rPr>
      </w:pPr>
    </w:p>
    <w:tbl>
      <w:tblPr>
        <w:tblLayout w:type="fixed"/>
        <w:tblInd w:w="460" w:type="dxa"/>
        <w:tblCellMar>
          <w:top w:w="0" w:type="dxa"/>
          <w:left w:w="0" w:type="dxa"/>
          <w:bottom w:w="0" w:type="dxa"/>
          <w:right w:w="0" w:type="dxa"/>
        </w:tblCellMar>
      </w:tblPr>
      <w:tr>
        <w:trPr>
          <w:trHeight w:val="279"/>
        </w:trPr>
        <w:tc>
          <w:tcPr>
            <w:tcW w:w="6240" w:type="dxa"/>
            <w:vAlign w:val="bottom"/>
            <w:tcBorders>
              <w:top w:val="single" w:sz="8" w:color="FDFDFD"/>
              <w:bottom w:val="single" w:sz="8" w:color="FDFDFD"/>
            </w:tcBorders>
            <w:shd w:val="clear" w:color="auto" w:fill="FDFDFD"/>
          </w:tcPr>
          <w:p>
            <w:pPr>
              <w:spacing w:after="0"/>
              <w:rPr>
                <w:sz w:val="24"/>
                <w:szCs w:val="24"/>
                <w:color w:val="auto"/>
              </w:rPr>
            </w:pPr>
          </w:p>
        </w:tc>
        <w:tc>
          <w:tcPr>
            <w:tcW w:w="140" w:type="dxa"/>
            <w:vAlign w:val="bottom"/>
            <w:tcBorders>
              <w:top w:val="single" w:sz="8" w:color="FDFDFD"/>
              <w:bottom w:val="single" w:sz="8" w:color="FDFDFD"/>
            </w:tcBorders>
            <w:shd w:val="clear" w:color="auto" w:fill="FDFDFD"/>
          </w:tcPr>
          <w:p>
            <w:pPr>
              <w:spacing w:after="0"/>
              <w:rPr>
                <w:sz w:val="24"/>
                <w:szCs w:val="24"/>
                <w:color w:val="auto"/>
              </w:rPr>
            </w:pPr>
          </w:p>
        </w:tc>
        <w:tc>
          <w:tcPr>
            <w:tcW w:w="20" w:type="dxa"/>
            <w:vAlign w:val="bottom"/>
            <w:tcBorders>
              <w:top w:val="single" w:sz="8" w:color="FDFDFD"/>
              <w:bottom w:val="single" w:sz="8" w:color="FDFDFD"/>
            </w:tcBorders>
            <w:shd w:val="clear" w:color="auto" w:fill="FDFDFD"/>
          </w:tcPr>
          <w:p>
            <w:pPr>
              <w:spacing w:after="0"/>
              <w:rPr>
                <w:sz w:val="24"/>
                <w:szCs w:val="24"/>
                <w:color w:val="auto"/>
              </w:rPr>
            </w:pPr>
          </w:p>
        </w:tc>
        <w:tc>
          <w:tcPr>
            <w:tcW w:w="280" w:type="dxa"/>
            <w:vAlign w:val="bottom"/>
            <w:tcBorders>
              <w:top w:val="single" w:sz="8" w:color="auto"/>
              <w:bottom w:val="single" w:sz="8" w:color="auto"/>
            </w:tcBorders>
            <w:shd w:val="clear" w:color="auto" w:fill="FDFDFD"/>
          </w:tcPr>
          <w:p>
            <w:pPr>
              <w:spacing w:after="0"/>
              <w:rPr>
                <w:sz w:val="24"/>
                <w:szCs w:val="24"/>
                <w:color w:val="auto"/>
              </w:rPr>
            </w:pPr>
          </w:p>
        </w:tc>
        <w:tc>
          <w:tcPr>
            <w:tcW w:w="2540" w:type="dxa"/>
            <w:vAlign w:val="bottom"/>
            <w:tcBorders>
              <w:top w:val="single" w:sz="8" w:color="auto"/>
              <w:bottom w:val="single" w:sz="8" w:color="auto"/>
            </w:tcBorders>
            <w:gridSpan w:val="6"/>
            <w:shd w:val="clear" w:color="auto" w:fill="FDFDFD"/>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top w:val="single" w:sz="8" w:color="FDFDFD"/>
              <w:bottom w:val="single" w:sz="8" w:color="FDFDFD"/>
            </w:tcBorders>
            <w:shd w:val="clear" w:color="auto" w:fill="FDFDFD"/>
          </w:tcPr>
          <w:p>
            <w:pPr>
              <w:spacing w:after="0"/>
              <w:rPr>
                <w:sz w:val="24"/>
                <w:szCs w:val="24"/>
                <w:color w:val="auto"/>
              </w:rPr>
            </w:pPr>
          </w:p>
        </w:tc>
        <w:tc>
          <w:tcPr>
            <w:tcW w:w="80" w:type="dxa"/>
            <w:vAlign w:val="bottom"/>
            <w:tcBorders>
              <w:top w:val="single" w:sz="8" w:color="FDFDFD"/>
              <w:bottom w:val="single" w:sz="8" w:color="FDFDFD"/>
            </w:tcBorders>
            <w:shd w:val="clear" w:color="auto" w:fill="FDFDFD"/>
          </w:tcPr>
          <w:p>
            <w:pPr>
              <w:spacing w:after="0"/>
              <w:rPr>
                <w:sz w:val="24"/>
                <w:szCs w:val="24"/>
                <w:color w:val="auto"/>
              </w:rPr>
            </w:pPr>
          </w:p>
        </w:tc>
      </w:tr>
      <w:tr>
        <w:trPr>
          <w:trHeight w:val="259"/>
        </w:trPr>
        <w:tc>
          <w:tcPr>
            <w:tcW w:w="624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E3E3E3"/>
            </w:tcBorders>
            <w:shd w:val="clear" w:color="auto" w:fill="FDFDFD"/>
          </w:tcPr>
          <w:p>
            <w:pPr>
              <w:spacing w:after="0"/>
              <w:rPr>
                <w:sz w:val="22"/>
                <w:szCs w:val="22"/>
                <w:color w:val="auto"/>
              </w:rPr>
            </w:pPr>
          </w:p>
        </w:tc>
        <w:tc>
          <w:tcPr>
            <w:tcW w:w="20" w:type="dxa"/>
            <w:vAlign w:val="bottom"/>
            <w:tcBorders>
              <w:bottom w:val="single" w:sz="8" w:color="E3E3E3"/>
            </w:tcBorders>
            <w:shd w:val="clear" w:color="auto" w:fill="FDFDFD"/>
          </w:tcPr>
          <w:p>
            <w:pPr>
              <w:spacing w:after="0"/>
              <w:rPr>
                <w:sz w:val="22"/>
                <w:szCs w:val="22"/>
                <w:color w:val="auto"/>
              </w:rPr>
            </w:pPr>
          </w:p>
        </w:tc>
        <w:tc>
          <w:tcPr>
            <w:tcW w:w="280" w:type="dxa"/>
            <w:vAlign w:val="bottom"/>
            <w:tcBorders>
              <w:bottom w:val="single" w:sz="8" w:color="auto"/>
            </w:tcBorders>
            <w:shd w:val="clear" w:color="auto" w:fill="FDFDFD"/>
          </w:tcPr>
          <w:p>
            <w:pPr>
              <w:spacing w:after="0"/>
              <w:rPr>
                <w:sz w:val="22"/>
                <w:szCs w:val="22"/>
                <w:color w:val="auto"/>
              </w:rPr>
            </w:pPr>
          </w:p>
        </w:tc>
        <w:tc>
          <w:tcPr>
            <w:tcW w:w="1000" w:type="dxa"/>
            <w:vAlign w:val="bottom"/>
            <w:tcBorders>
              <w:bottom w:val="single" w:sz="8" w:color="auto"/>
            </w:tcBorders>
            <w:shd w:val="clear" w:color="auto" w:fill="FDFDFD"/>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E3E3E3"/>
            </w:tcBorders>
            <w:shd w:val="clear" w:color="auto" w:fill="FDFDFD"/>
          </w:tcPr>
          <w:p>
            <w:pPr>
              <w:spacing w:after="0"/>
              <w:rPr>
                <w:sz w:val="22"/>
                <w:szCs w:val="22"/>
                <w:color w:val="auto"/>
              </w:rPr>
            </w:pPr>
          </w:p>
        </w:tc>
        <w:tc>
          <w:tcPr>
            <w:tcW w:w="80" w:type="dxa"/>
            <w:vAlign w:val="bottom"/>
            <w:tcBorders>
              <w:bottom w:val="single" w:sz="8" w:color="E3E3E3"/>
            </w:tcBorders>
            <w:shd w:val="clear" w:color="auto" w:fill="FDFDFD"/>
          </w:tcPr>
          <w:p>
            <w:pPr>
              <w:spacing w:after="0"/>
              <w:rPr>
                <w:sz w:val="22"/>
                <w:szCs w:val="22"/>
                <w:color w:val="auto"/>
              </w:rPr>
            </w:pPr>
          </w:p>
        </w:tc>
        <w:tc>
          <w:tcPr>
            <w:tcW w:w="140" w:type="dxa"/>
            <w:vAlign w:val="bottom"/>
            <w:tcBorders>
              <w:bottom w:val="single" w:sz="8" w:color="E3E3E3"/>
            </w:tcBorders>
            <w:shd w:val="clear" w:color="auto" w:fill="FDFDFD"/>
          </w:tcPr>
          <w:p>
            <w:pPr>
              <w:spacing w:after="0"/>
              <w:rPr>
                <w:sz w:val="22"/>
                <w:szCs w:val="22"/>
                <w:color w:val="auto"/>
              </w:rPr>
            </w:pPr>
          </w:p>
        </w:tc>
        <w:tc>
          <w:tcPr>
            <w:tcW w:w="300" w:type="dxa"/>
            <w:vAlign w:val="bottom"/>
            <w:tcBorders>
              <w:bottom w:val="single" w:sz="8" w:color="auto"/>
            </w:tcBorders>
            <w:shd w:val="clear" w:color="auto" w:fill="FDFDFD"/>
          </w:tcPr>
          <w:p>
            <w:pPr>
              <w:spacing w:after="0"/>
              <w:rPr>
                <w:sz w:val="22"/>
                <w:szCs w:val="22"/>
                <w:color w:val="auto"/>
              </w:rPr>
            </w:pPr>
          </w:p>
        </w:tc>
        <w:tc>
          <w:tcPr>
            <w:tcW w:w="1000" w:type="dxa"/>
            <w:vAlign w:val="bottom"/>
            <w:tcBorders>
              <w:bottom w:val="single" w:sz="8" w:color="auto"/>
            </w:tcBorders>
            <w:shd w:val="clear" w:color="auto" w:fill="FDFDFD"/>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E3E3E3"/>
            </w:tcBorders>
            <w:shd w:val="clear" w:color="auto" w:fill="FDFDFD"/>
          </w:tcPr>
          <w:p>
            <w:pPr>
              <w:spacing w:after="0"/>
              <w:rPr>
                <w:sz w:val="22"/>
                <w:szCs w:val="22"/>
                <w:color w:val="auto"/>
              </w:rPr>
            </w:pPr>
          </w:p>
        </w:tc>
        <w:tc>
          <w:tcPr>
            <w:tcW w:w="80" w:type="dxa"/>
            <w:vAlign w:val="bottom"/>
            <w:tcBorders>
              <w:bottom w:val="single" w:sz="8" w:color="E3E3E3"/>
            </w:tcBorders>
            <w:shd w:val="clear" w:color="auto" w:fill="FDFDFD"/>
          </w:tcPr>
          <w:p>
            <w:pPr>
              <w:spacing w:after="0"/>
              <w:rPr>
                <w:sz w:val="22"/>
                <w:szCs w:val="22"/>
                <w:color w:val="auto"/>
              </w:rPr>
            </w:pPr>
          </w:p>
        </w:tc>
      </w:tr>
      <w:tr>
        <w:trPr>
          <w:trHeight w:val="220"/>
        </w:trPr>
        <w:tc>
          <w:tcPr>
            <w:tcW w:w="624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Deferred income tax assets:</w:t>
            </w:r>
          </w:p>
        </w:tc>
        <w:tc>
          <w:tcPr>
            <w:tcW w:w="14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r>
      <w:tr>
        <w:trPr>
          <w:trHeight w:val="230"/>
        </w:trPr>
        <w:tc>
          <w:tcPr>
            <w:tcW w:w="624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Net operating loss carry forwards</w:t>
            </w:r>
          </w:p>
        </w:tc>
        <w:tc>
          <w:tcPr>
            <w:tcW w:w="1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280" w:type="dxa"/>
            <w:vAlign w:val="bottom"/>
            <w:shd w:val="clear" w:color="auto" w:fill="FDFDFD"/>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64,462</w:t>
            </w: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300" w:type="dxa"/>
            <w:vAlign w:val="bottom"/>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58,015</w:t>
            </w: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r>
      <w:tr>
        <w:trPr>
          <w:trHeight w:val="230"/>
        </w:trPr>
        <w:tc>
          <w:tcPr>
            <w:tcW w:w="62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Outside partnership basis difference</w:t>
            </w:r>
          </w:p>
        </w:tc>
        <w:tc>
          <w:tcPr>
            <w:tcW w:w="14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232,788</w:t>
            </w:r>
          </w:p>
        </w:tc>
        <w:tc>
          <w:tcPr>
            <w:tcW w:w="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114,815</w:t>
            </w:r>
          </w:p>
        </w:tc>
        <w:tc>
          <w:tcPr>
            <w:tcW w:w="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r>
      <w:tr>
        <w:trPr>
          <w:trHeight w:val="230"/>
        </w:trPr>
        <w:tc>
          <w:tcPr>
            <w:tcW w:w="624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Tax receivable agreement</w:t>
            </w:r>
          </w:p>
        </w:tc>
        <w:tc>
          <w:tcPr>
            <w:tcW w:w="1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5,821</w:t>
            </w: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11,801</w:t>
            </w: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r>
      <w:tr>
        <w:trPr>
          <w:trHeight w:val="230"/>
        </w:trPr>
        <w:tc>
          <w:tcPr>
            <w:tcW w:w="62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Stock compensation</w:t>
            </w:r>
          </w:p>
        </w:tc>
        <w:tc>
          <w:tcPr>
            <w:tcW w:w="14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14,375</w:t>
            </w:r>
          </w:p>
        </w:tc>
        <w:tc>
          <w:tcPr>
            <w:tcW w:w="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7,892</w:t>
            </w:r>
          </w:p>
        </w:tc>
        <w:tc>
          <w:tcPr>
            <w:tcW w:w="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r>
      <w:tr>
        <w:trPr>
          <w:trHeight w:val="230"/>
        </w:trPr>
        <w:tc>
          <w:tcPr>
            <w:tcW w:w="6240" w:type="dxa"/>
            <w:vAlign w:val="bottom"/>
            <w:tcBorders>
              <w:bottom w:val="single" w:sz="8" w:color="E3E3E3"/>
            </w:tcBorders>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140" w:type="dxa"/>
            <w:vAlign w:val="bottom"/>
            <w:tcBorders>
              <w:bottom w:val="single" w:sz="8" w:color="E3E3E3"/>
            </w:tcBorders>
            <w:shd w:val="clear" w:color="auto" w:fill="FDFDFD"/>
          </w:tcPr>
          <w:p>
            <w:pPr>
              <w:spacing w:after="0"/>
              <w:rPr>
                <w:sz w:val="19"/>
                <w:szCs w:val="19"/>
                <w:color w:val="auto"/>
              </w:rPr>
            </w:pPr>
          </w:p>
        </w:tc>
        <w:tc>
          <w:tcPr>
            <w:tcW w:w="20" w:type="dxa"/>
            <w:vAlign w:val="bottom"/>
            <w:tcBorders>
              <w:bottom w:val="single" w:sz="8" w:color="E3E3E3"/>
            </w:tcBorders>
            <w:shd w:val="clear" w:color="auto" w:fill="FDFDFD"/>
          </w:tcPr>
          <w:p>
            <w:pPr>
              <w:spacing w:after="0"/>
              <w:rPr>
                <w:sz w:val="19"/>
                <w:szCs w:val="19"/>
                <w:color w:val="auto"/>
              </w:rPr>
            </w:pPr>
          </w:p>
        </w:tc>
        <w:tc>
          <w:tcPr>
            <w:tcW w:w="280" w:type="dxa"/>
            <w:vAlign w:val="bottom"/>
            <w:tcBorders>
              <w:bottom w:val="single" w:sz="8" w:color="auto"/>
            </w:tcBorders>
            <w:shd w:val="clear" w:color="auto" w:fill="FDFDFD"/>
          </w:tcPr>
          <w:p>
            <w:pPr>
              <w:spacing w:after="0"/>
              <w:rPr>
                <w:sz w:val="19"/>
                <w:szCs w:val="19"/>
                <w:color w:val="auto"/>
              </w:rPr>
            </w:pPr>
          </w:p>
        </w:tc>
        <w:tc>
          <w:tcPr>
            <w:tcW w:w="10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4,504</w:t>
            </w:r>
          </w:p>
        </w:tc>
        <w:tc>
          <w:tcPr>
            <w:tcW w:w="20" w:type="dxa"/>
            <w:vAlign w:val="bottom"/>
            <w:tcBorders>
              <w:bottom w:val="single" w:sz="8" w:color="E3E3E3"/>
            </w:tcBorders>
            <w:shd w:val="clear" w:color="auto" w:fill="FDFDFD"/>
          </w:tcPr>
          <w:p>
            <w:pPr>
              <w:spacing w:after="0"/>
              <w:rPr>
                <w:sz w:val="19"/>
                <w:szCs w:val="19"/>
                <w:color w:val="auto"/>
              </w:rPr>
            </w:pPr>
          </w:p>
        </w:tc>
        <w:tc>
          <w:tcPr>
            <w:tcW w:w="80" w:type="dxa"/>
            <w:vAlign w:val="bottom"/>
            <w:tcBorders>
              <w:bottom w:val="single" w:sz="8" w:color="E3E3E3"/>
            </w:tcBorders>
            <w:shd w:val="clear" w:color="auto" w:fill="FDFDFD"/>
          </w:tcPr>
          <w:p>
            <w:pPr>
              <w:spacing w:after="0"/>
              <w:rPr>
                <w:sz w:val="19"/>
                <w:szCs w:val="19"/>
                <w:color w:val="auto"/>
              </w:rPr>
            </w:pPr>
          </w:p>
        </w:tc>
        <w:tc>
          <w:tcPr>
            <w:tcW w:w="140" w:type="dxa"/>
            <w:vAlign w:val="bottom"/>
            <w:tcBorders>
              <w:bottom w:val="single" w:sz="8" w:color="E3E3E3"/>
            </w:tcBorders>
            <w:shd w:val="clear" w:color="auto" w:fill="FDFDFD"/>
          </w:tcPr>
          <w:p>
            <w:pPr>
              <w:spacing w:after="0"/>
              <w:rPr>
                <w:sz w:val="19"/>
                <w:szCs w:val="19"/>
                <w:color w:val="auto"/>
              </w:rPr>
            </w:pPr>
          </w:p>
        </w:tc>
        <w:tc>
          <w:tcPr>
            <w:tcW w:w="300" w:type="dxa"/>
            <w:vAlign w:val="bottom"/>
            <w:tcBorders>
              <w:bottom w:val="single" w:sz="8" w:color="auto"/>
            </w:tcBorders>
            <w:shd w:val="clear" w:color="auto" w:fill="FDFDFD"/>
          </w:tcPr>
          <w:p>
            <w:pPr>
              <w:spacing w:after="0"/>
              <w:rPr>
                <w:sz w:val="19"/>
                <w:szCs w:val="19"/>
                <w:color w:val="auto"/>
              </w:rPr>
            </w:pPr>
          </w:p>
        </w:tc>
        <w:tc>
          <w:tcPr>
            <w:tcW w:w="10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6,553</w:t>
            </w:r>
          </w:p>
        </w:tc>
        <w:tc>
          <w:tcPr>
            <w:tcW w:w="20" w:type="dxa"/>
            <w:vAlign w:val="bottom"/>
            <w:tcBorders>
              <w:bottom w:val="single" w:sz="8" w:color="E3E3E3"/>
            </w:tcBorders>
            <w:shd w:val="clear" w:color="auto" w:fill="FDFDFD"/>
          </w:tcPr>
          <w:p>
            <w:pPr>
              <w:spacing w:after="0"/>
              <w:rPr>
                <w:sz w:val="19"/>
                <w:szCs w:val="19"/>
                <w:color w:val="auto"/>
              </w:rPr>
            </w:pPr>
          </w:p>
        </w:tc>
        <w:tc>
          <w:tcPr>
            <w:tcW w:w="80" w:type="dxa"/>
            <w:vAlign w:val="bottom"/>
            <w:tcBorders>
              <w:bottom w:val="single" w:sz="8" w:color="E3E3E3"/>
            </w:tcBorders>
            <w:shd w:val="clear" w:color="auto" w:fill="FDFDFD"/>
          </w:tcPr>
          <w:p>
            <w:pPr>
              <w:spacing w:after="0"/>
              <w:rPr>
                <w:sz w:val="19"/>
                <w:szCs w:val="19"/>
                <w:color w:val="auto"/>
              </w:rPr>
            </w:pPr>
          </w:p>
        </w:tc>
      </w:tr>
      <w:tr>
        <w:trPr>
          <w:trHeight w:val="220"/>
        </w:trPr>
        <w:tc>
          <w:tcPr>
            <w:tcW w:w="624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Deferred income tax assets</w:t>
            </w:r>
          </w:p>
        </w:tc>
        <w:tc>
          <w:tcPr>
            <w:tcW w:w="14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321,950</w:t>
            </w:r>
          </w:p>
        </w:tc>
        <w:tc>
          <w:tcPr>
            <w:tcW w:w="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0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199,076</w:t>
            </w:r>
          </w:p>
        </w:tc>
        <w:tc>
          <w:tcPr>
            <w:tcW w:w="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r>
      <w:tr>
        <w:trPr>
          <w:trHeight w:val="230"/>
        </w:trPr>
        <w:tc>
          <w:tcPr>
            <w:tcW w:w="624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140" w:type="dxa"/>
            <w:vAlign w:val="bottom"/>
            <w:tcBorders>
              <w:bottom w:val="single" w:sz="8" w:color="E3E3E3"/>
            </w:tcBorders>
            <w:shd w:val="clear" w:color="auto" w:fill="FDFDFD"/>
          </w:tcPr>
          <w:p>
            <w:pPr>
              <w:spacing w:after="0"/>
              <w:rPr>
                <w:sz w:val="19"/>
                <w:szCs w:val="19"/>
                <w:color w:val="auto"/>
              </w:rPr>
            </w:pPr>
          </w:p>
        </w:tc>
        <w:tc>
          <w:tcPr>
            <w:tcW w:w="20" w:type="dxa"/>
            <w:vAlign w:val="bottom"/>
            <w:tcBorders>
              <w:bottom w:val="single" w:sz="8" w:color="E3E3E3"/>
            </w:tcBorders>
            <w:shd w:val="clear" w:color="auto" w:fill="FDFDFD"/>
          </w:tcPr>
          <w:p>
            <w:pPr>
              <w:spacing w:after="0"/>
              <w:rPr>
                <w:sz w:val="19"/>
                <w:szCs w:val="19"/>
                <w:color w:val="auto"/>
              </w:rPr>
            </w:pPr>
          </w:p>
        </w:tc>
        <w:tc>
          <w:tcPr>
            <w:tcW w:w="280" w:type="dxa"/>
            <w:vAlign w:val="bottom"/>
            <w:tcBorders>
              <w:bottom w:val="single" w:sz="8" w:color="auto"/>
            </w:tcBorders>
            <w:shd w:val="clear" w:color="auto" w:fill="FDFDFD"/>
          </w:tcPr>
          <w:p>
            <w:pPr>
              <w:spacing w:after="0"/>
              <w:rPr>
                <w:sz w:val="19"/>
                <w:szCs w:val="19"/>
                <w:color w:val="auto"/>
              </w:rPr>
            </w:pPr>
          </w:p>
        </w:tc>
        <w:tc>
          <w:tcPr>
            <w:tcW w:w="10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(326,419)</w:t>
            </w:r>
          </w:p>
        </w:tc>
        <w:tc>
          <w:tcPr>
            <w:tcW w:w="20" w:type="dxa"/>
            <w:vAlign w:val="bottom"/>
            <w:tcBorders>
              <w:bottom w:val="single" w:sz="8" w:color="E3E3E3"/>
            </w:tcBorders>
            <w:shd w:val="clear" w:color="auto" w:fill="FDFDFD"/>
          </w:tcPr>
          <w:p>
            <w:pPr>
              <w:spacing w:after="0"/>
              <w:rPr>
                <w:sz w:val="19"/>
                <w:szCs w:val="19"/>
                <w:color w:val="auto"/>
              </w:rPr>
            </w:pPr>
          </w:p>
        </w:tc>
        <w:tc>
          <w:tcPr>
            <w:tcW w:w="80" w:type="dxa"/>
            <w:vAlign w:val="bottom"/>
            <w:tcBorders>
              <w:bottom w:val="single" w:sz="8" w:color="E3E3E3"/>
            </w:tcBorders>
            <w:shd w:val="clear" w:color="auto" w:fill="FDFDFD"/>
          </w:tcPr>
          <w:p>
            <w:pPr>
              <w:spacing w:after="0"/>
              <w:rPr>
                <w:sz w:val="19"/>
                <w:szCs w:val="19"/>
                <w:color w:val="auto"/>
              </w:rPr>
            </w:pPr>
          </w:p>
        </w:tc>
        <w:tc>
          <w:tcPr>
            <w:tcW w:w="140" w:type="dxa"/>
            <w:vAlign w:val="bottom"/>
            <w:tcBorders>
              <w:bottom w:val="single" w:sz="8" w:color="E3E3E3"/>
            </w:tcBorders>
            <w:shd w:val="clear" w:color="auto" w:fill="FDFDFD"/>
          </w:tcPr>
          <w:p>
            <w:pPr>
              <w:spacing w:after="0"/>
              <w:rPr>
                <w:sz w:val="19"/>
                <w:szCs w:val="19"/>
                <w:color w:val="auto"/>
              </w:rPr>
            </w:pPr>
          </w:p>
        </w:tc>
        <w:tc>
          <w:tcPr>
            <w:tcW w:w="300" w:type="dxa"/>
            <w:vAlign w:val="bottom"/>
            <w:tcBorders>
              <w:bottom w:val="single" w:sz="8" w:color="auto"/>
            </w:tcBorders>
            <w:shd w:val="clear" w:color="auto" w:fill="FDFDFD"/>
          </w:tcPr>
          <w:p>
            <w:pPr>
              <w:spacing w:after="0"/>
              <w:rPr>
                <w:sz w:val="19"/>
                <w:szCs w:val="19"/>
                <w:color w:val="auto"/>
              </w:rPr>
            </w:pPr>
          </w:p>
        </w:tc>
        <w:tc>
          <w:tcPr>
            <w:tcW w:w="100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(244,082)</w:t>
            </w:r>
          </w:p>
        </w:tc>
        <w:tc>
          <w:tcPr>
            <w:tcW w:w="20" w:type="dxa"/>
            <w:vAlign w:val="bottom"/>
            <w:tcBorders>
              <w:bottom w:val="single" w:sz="8" w:color="E3E3E3"/>
            </w:tcBorders>
            <w:shd w:val="clear" w:color="auto" w:fill="FDFDFD"/>
          </w:tcPr>
          <w:p>
            <w:pPr>
              <w:spacing w:after="0"/>
              <w:rPr>
                <w:sz w:val="19"/>
                <w:szCs w:val="19"/>
                <w:color w:val="auto"/>
              </w:rPr>
            </w:pPr>
          </w:p>
        </w:tc>
        <w:tc>
          <w:tcPr>
            <w:tcW w:w="80" w:type="dxa"/>
            <w:vAlign w:val="bottom"/>
            <w:tcBorders>
              <w:bottom w:val="single" w:sz="8" w:color="E3E3E3"/>
            </w:tcBorders>
            <w:shd w:val="clear" w:color="auto" w:fill="FDFDFD"/>
          </w:tcPr>
          <w:p>
            <w:pPr>
              <w:spacing w:after="0"/>
              <w:rPr>
                <w:sz w:val="19"/>
                <w:szCs w:val="19"/>
                <w:color w:val="auto"/>
              </w:rPr>
            </w:pPr>
          </w:p>
        </w:tc>
      </w:tr>
      <w:tr>
        <w:trPr>
          <w:trHeight w:val="220"/>
        </w:trPr>
        <w:tc>
          <w:tcPr>
            <w:tcW w:w="6240" w:type="dxa"/>
            <w:vAlign w:val="bottom"/>
            <w:tcBorders>
              <w:bottom w:val="single" w:sz="8" w:color="FDFDFD"/>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Deferred income tax assets, net of valuation allowance</w:t>
            </w:r>
          </w:p>
        </w:tc>
        <w:tc>
          <w:tcPr>
            <w:tcW w:w="140" w:type="dxa"/>
            <w:vAlign w:val="bottom"/>
            <w:tcBorders>
              <w:bottom w:val="single" w:sz="8" w:color="FDFDFD"/>
            </w:tcBorders>
            <w:shd w:val="clear" w:color="auto" w:fill="E3E3E3"/>
          </w:tcPr>
          <w:p>
            <w:pPr>
              <w:spacing w:after="0"/>
              <w:rPr>
                <w:sz w:val="19"/>
                <w:szCs w:val="19"/>
                <w:color w:val="auto"/>
              </w:rPr>
            </w:pPr>
          </w:p>
        </w:tc>
        <w:tc>
          <w:tcPr>
            <w:tcW w:w="20" w:type="dxa"/>
            <w:vAlign w:val="bottom"/>
            <w:tcBorders>
              <w:bottom w:val="single" w:sz="8" w:color="FDFDFD"/>
            </w:tcBorders>
            <w:shd w:val="clear" w:color="auto" w:fill="E3E3E3"/>
          </w:tcPr>
          <w:p>
            <w:pPr>
              <w:spacing w:after="0"/>
              <w:rPr>
                <w:sz w:val="19"/>
                <w:szCs w:val="19"/>
                <w:color w:val="auto"/>
              </w:rPr>
            </w:pPr>
          </w:p>
        </w:tc>
        <w:tc>
          <w:tcPr>
            <w:tcW w:w="280" w:type="dxa"/>
            <w:vAlign w:val="bottom"/>
            <w:tcBorders>
              <w:bottom w:val="single" w:sz="8" w:color="auto"/>
            </w:tcBorders>
            <w:shd w:val="clear" w:color="auto" w:fill="E3E3E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(4,469)</w:t>
            </w:r>
          </w:p>
        </w:tc>
        <w:tc>
          <w:tcPr>
            <w:tcW w:w="20" w:type="dxa"/>
            <w:vAlign w:val="bottom"/>
            <w:tcBorders>
              <w:bottom w:val="single" w:sz="8" w:color="FDFDFD"/>
            </w:tcBorders>
            <w:shd w:val="clear" w:color="auto" w:fill="E3E3E3"/>
          </w:tcPr>
          <w:p>
            <w:pPr>
              <w:spacing w:after="0"/>
              <w:rPr>
                <w:sz w:val="19"/>
                <w:szCs w:val="19"/>
                <w:color w:val="auto"/>
              </w:rPr>
            </w:pPr>
          </w:p>
        </w:tc>
        <w:tc>
          <w:tcPr>
            <w:tcW w:w="80" w:type="dxa"/>
            <w:vAlign w:val="bottom"/>
            <w:tcBorders>
              <w:bottom w:val="single" w:sz="8" w:color="FDFDFD"/>
            </w:tcBorders>
            <w:shd w:val="clear" w:color="auto" w:fill="E3E3E3"/>
          </w:tcPr>
          <w:p>
            <w:pPr>
              <w:spacing w:after="0"/>
              <w:rPr>
                <w:sz w:val="19"/>
                <w:szCs w:val="19"/>
                <w:color w:val="auto"/>
              </w:rPr>
            </w:pPr>
          </w:p>
        </w:tc>
        <w:tc>
          <w:tcPr>
            <w:tcW w:w="140" w:type="dxa"/>
            <w:vAlign w:val="bottom"/>
            <w:tcBorders>
              <w:bottom w:val="single" w:sz="8" w:color="FDFDFD"/>
            </w:tcBorders>
            <w:shd w:val="clear" w:color="auto" w:fill="E3E3E3"/>
          </w:tcPr>
          <w:p>
            <w:pPr>
              <w:spacing w:after="0"/>
              <w:rPr>
                <w:sz w:val="19"/>
                <w:szCs w:val="19"/>
                <w:color w:val="auto"/>
              </w:rPr>
            </w:pPr>
          </w:p>
        </w:tc>
        <w:tc>
          <w:tcPr>
            <w:tcW w:w="300" w:type="dxa"/>
            <w:vAlign w:val="bottom"/>
            <w:tcBorders>
              <w:bottom w:val="single" w:sz="8" w:color="auto"/>
            </w:tcBorders>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(45,006)</w:t>
            </w:r>
          </w:p>
        </w:tc>
        <w:tc>
          <w:tcPr>
            <w:tcW w:w="20" w:type="dxa"/>
            <w:vAlign w:val="bottom"/>
            <w:tcBorders>
              <w:bottom w:val="single" w:sz="8" w:color="FDFDFD"/>
            </w:tcBorders>
            <w:shd w:val="clear" w:color="auto" w:fill="E3E3E3"/>
          </w:tcPr>
          <w:p>
            <w:pPr>
              <w:spacing w:after="0"/>
              <w:rPr>
                <w:sz w:val="19"/>
                <w:szCs w:val="19"/>
                <w:color w:val="auto"/>
              </w:rPr>
            </w:pPr>
          </w:p>
        </w:tc>
        <w:tc>
          <w:tcPr>
            <w:tcW w:w="80" w:type="dxa"/>
            <w:vAlign w:val="bottom"/>
            <w:tcBorders>
              <w:bottom w:val="single" w:sz="8" w:color="FDFDFD"/>
            </w:tcBorders>
            <w:shd w:val="clear" w:color="auto" w:fill="E3E3E3"/>
          </w:tcPr>
          <w:p>
            <w:pPr>
              <w:spacing w:after="0"/>
              <w:rPr>
                <w:sz w:val="19"/>
                <w:szCs w:val="19"/>
                <w:color w:val="auto"/>
              </w:rPr>
            </w:pPr>
          </w:p>
        </w:tc>
      </w:tr>
      <w:tr>
        <w:trPr>
          <w:trHeight w:val="220"/>
        </w:trPr>
        <w:tc>
          <w:tcPr>
            <w:tcW w:w="6240" w:type="dxa"/>
            <w:vAlign w:val="bottom"/>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Deferred income tax liabilities:</w:t>
            </w:r>
          </w:p>
        </w:tc>
        <w:tc>
          <w:tcPr>
            <w:tcW w:w="1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00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00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r>
      <w:tr>
        <w:trPr>
          <w:trHeight w:val="230"/>
        </w:trPr>
        <w:tc>
          <w:tcPr>
            <w:tcW w:w="62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Goodwill and intangibles</w:t>
            </w:r>
          </w:p>
        </w:tc>
        <w:tc>
          <w:tcPr>
            <w:tcW w:w="14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80" w:type="dxa"/>
            <w:vAlign w:val="bottom"/>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(19,567)</w:t>
            </w:r>
          </w:p>
        </w:tc>
        <w:tc>
          <w:tcPr>
            <w:tcW w:w="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300" w:type="dxa"/>
            <w:vAlign w:val="bottom"/>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(21,616)</w:t>
            </w:r>
          </w:p>
        </w:tc>
        <w:tc>
          <w:tcPr>
            <w:tcW w:w="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r>
      <w:tr>
        <w:trPr>
          <w:trHeight w:val="230"/>
        </w:trPr>
        <w:tc>
          <w:tcPr>
            <w:tcW w:w="624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Deferred revenue and advances</w:t>
            </w:r>
          </w:p>
        </w:tc>
        <w:tc>
          <w:tcPr>
            <w:tcW w:w="1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1100" w:type="dxa"/>
            <w:vAlign w:val="bottom"/>
            <w:gridSpan w:val="3"/>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(488)</w:t>
            </w:r>
          </w:p>
        </w:tc>
        <w:tc>
          <w:tcPr>
            <w:tcW w:w="14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100" w:type="dxa"/>
            <w:vAlign w:val="bottom"/>
            <w:gridSpan w:val="3"/>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(541)</w:t>
            </w:r>
          </w:p>
        </w:tc>
      </w:tr>
      <w:tr>
        <w:trPr>
          <w:trHeight w:val="245"/>
        </w:trPr>
        <w:tc>
          <w:tcPr>
            <w:tcW w:w="6240" w:type="dxa"/>
            <w:vAlign w:val="bottom"/>
            <w:tcBorders>
              <w:top w:val="single" w:sz="8" w:color="E3E3E3"/>
              <w:bottom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Deferred income tax liabilities</w:t>
            </w:r>
          </w:p>
        </w:tc>
        <w:tc>
          <w:tcPr>
            <w:tcW w:w="140" w:type="dxa"/>
            <w:vAlign w:val="bottom"/>
            <w:tcBorders>
              <w:top w:val="single" w:sz="8" w:color="E3E3E3"/>
              <w:bottom w:val="single" w:sz="8" w:color="E3E3E3"/>
            </w:tcBorders>
            <w:shd w:val="clear" w:color="auto" w:fill="E3E3E3"/>
          </w:tcPr>
          <w:p>
            <w:pPr>
              <w:spacing w:after="0"/>
              <w:rPr>
                <w:sz w:val="20"/>
                <w:szCs w:val="20"/>
                <w:color w:val="auto"/>
              </w:rPr>
            </w:pPr>
          </w:p>
        </w:tc>
        <w:tc>
          <w:tcPr>
            <w:tcW w:w="20" w:type="dxa"/>
            <w:vAlign w:val="bottom"/>
            <w:tcBorders>
              <w:top w:val="single" w:sz="8" w:color="E3E3E3"/>
              <w:bottom w:val="single" w:sz="8" w:color="E3E3E3"/>
            </w:tcBorders>
            <w:shd w:val="clear" w:color="auto" w:fill="E3E3E3"/>
          </w:tcPr>
          <w:p>
            <w:pPr>
              <w:spacing w:after="0"/>
              <w:rPr>
                <w:sz w:val="20"/>
                <w:szCs w:val="20"/>
                <w:color w:val="auto"/>
              </w:rPr>
            </w:pPr>
          </w:p>
        </w:tc>
        <w:tc>
          <w:tcPr>
            <w:tcW w:w="280" w:type="dxa"/>
            <w:vAlign w:val="bottom"/>
            <w:tcBorders>
              <w:top w:val="single" w:sz="8" w:color="auto"/>
              <w:bottom w:val="single" w:sz="8" w:color="auto"/>
            </w:tcBorders>
            <w:shd w:val="clear" w:color="auto" w:fill="E3E3E3"/>
          </w:tcPr>
          <w:p>
            <w:pPr>
              <w:spacing w:after="0"/>
              <w:rPr>
                <w:sz w:val="20"/>
                <w:szCs w:val="20"/>
                <w:color w:val="auto"/>
              </w:rPr>
            </w:pPr>
          </w:p>
        </w:tc>
        <w:tc>
          <w:tcPr>
            <w:tcW w:w="100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(20,055)</w:t>
            </w:r>
          </w:p>
        </w:tc>
        <w:tc>
          <w:tcPr>
            <w:tcW w:w="20" w:type="dxa"/>
            <w:vAlign w:val="bottom"/>
            <w:tcBorders>
              <w:top w:val="single" w:sz="8" w:color="E3E3E3"/>
              <w:bottom w:val="single" w:sz="8" w:color="E3E3E3"/>
            </w:tcBorders>
            <w:shd w:val="clear" w:color="auto" w:fill="E3E3E3"/>
          </w:tcPr>
          <w:p>
            <w:pPr>
              <w:spacing w:after="0"/>
              <w:rPr>
                <w:sz w:val="20"/>
                <w:szCs w:val="20"/>
                <w:color w:val="auto"/>
              </w:rPr>
            </w:pPr>
          </w:p>
        </w:tc>
        <w:tc>
          <w:tcPr>
            <w:tcW w:w="80" w:type="dxa"/>
            <w:vAlign w:val="bottom"/>
            <w:tcBorders>
              <w:top w:val="single" w:sz="8" w:color="E3E3E3"/>
              <w:bottom w:val="single" w:sz="8" w:color="E3E3E3"/>
            </w:tcBorders>
            <w:shd w:val="clear" w:color="auto" w:fill="E3E3E3"/>
          </w:tcPr>
          <w:p>
            <w:pPr>
              <w:spacing w:after="0"/>
              <w:rPr>
                <w:sz w:val="20"/>
                <w:szCs w:val="20"/>
                <w:color w:val="auto"/>
              </w:rPr>
            </w:pPr>
          </w:p>
        </w:tc>
        <w:tc>
          <w:tcPr>
            <w:tcW w:w="140" w:type="dxa"/>
            <w:vAlign w:val="bottom"/>
            <w:tcBorders>
              <w:top w:val="single" w:sz="8" w:color="E3E3E3"/>
              <w:bottom w:val="single" w:sz="8" w:color="E3E3E3"/>
            </w:tcBorders>
            <w:shd w:val="clear" w:color="auto" w:fill="E3E3E3"/>
          </w:tcPr>
          <w:p>
            <w:pPr>
              <w:spacing w:after="0"/>
              <w:rPr>
                <w:sz w:val="20"/>
                <w:szCs w:val="20"/>
                <w:color w:val="auto"/>
              </w:rPr>
            </w:pPr>
          </w:p>
        </w:tc>
        <w:tc>
          <w:tcPr>
            <w:tcW w:w="300" w:type="dxa"/>
            <w:vAlign w:val="bottom"/>
            <w:tcBorders>
              <w:top w:val="single" w:sz="8" w:color="auto"/>
              <w:bottom w:val="single" w:sz="8" w:color="auto"/>
            </w:tcBorders>
            <w:shd w:val="clear" w:color="auto" w:fill="E3E3E3"/>
          </w:tcPr>
          <w:p>
            <w:pPr>
              <w:spacing w:after="0"/>
              <w:rPr>
                <w:sz w:val="20"/>
                <w:szCs w:val="20"/>
                <w:color w:val="auto"/>
              </w:rPr>
            </w:pPr>
          </w:p>
        </w:tc>
        <w:tc>
          <w:tcPr>
            <w:tcW w:w="1000" w:type="dxa"/>
            <w:vAlign w:val="bottom"/>
            <w:tcBorders>
              <w:top w:val="single" w:sz="8" w:color="auto"/>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(22,157)</w:t>
            </w:r>
          </w:p>
        </w:tc>
        <w:tc>
          <w:tcPr>
            <w:tcW w:w="20" w:type="dxa"/>
            <w:vAlign w:val="bottom"/>
            <w:tcBorders>
              <w:top w:val="single" w:sz="8" w:color="E3E3E3"/>
              <w:bottom w:val="single" w:sz="8" w:color="E3E3E3"/>
            </w:tcBorders>
            <w:shd w:val="clear" w:color="auto" w:fill="E3E3E3"/>
          </w:tcPr>
          <w:p>
            <w:pPr>
              <w:spacing w:after="0"/>
              <w:rPr>
                <w:sz w:val="20"/>
                <w:szCs w:val="20"/>
                <w:color w:val="auto"/>
              </w:rPr>
            </w:pPr>
          </w:p>
        </w:tc>
        <w:tc>
          <w:tcPr>
            <w:tcW w:w="80" w:type="dxa"/>
            <w:vAlign w:val="bottom"/>
            <w:tcBorders>
              <w:top w:val="single" w:sz="8" w:color="E3E3E3"/>
              <w:bottom w:val="single" w:sz="8" w:color="E3E3E3"/>
            </w:tcBorders>
            <w:shd w:val="clear" w:color="auto" w:fill="E3E3E3"/>
          </w:tcPr>
          <w:p>
            <w:pPr>
              <w:spacing w:after="0"/>
              <w:rPr>
                <w:sz w:val="20"/>
                <w:szCs w:val="20"/>
                <w:color w:val="auto"/>
              </w:rPr>
            </w:pPr>
          </w:p>
        </w:tc>
      </w:tr>
      <w:tr>
        <w:trPr>
          <w:trHeight w:val="220"/>
        </w:trPr>
        <w:tc>
          <w:tcPr>
            <w:tcW w:w="6240" w:type="dxa"/>
            <w:vAlign w:val="bottom"/>
            <w:tcBorders>
              <w:top w:val="single" w:sz="8" w:color="FDFDFD"/>
              <w:bottom w:val="single" w:sz="8" w:color="FDFDFD"/>
            </w:tcBorders>
            <w:shd w:val="clear" w:color="auto" w:fill="FDFDFD"/>
          </w:tcPr>
          <w:p>
            <w:pPr>
              <w:spacing w:after="0" w:line="200" w:lineRule="exact"/>
              <w:rPr>
                <w:sz w:val="20"/>
                <w:szCs w:val="20"/>
                <w:color w:val="auto"/>
              </w:rPr>
            </w:pPr>
            <w:r>
              <w:rPr>
                <w:rFonts w:ascii="Times New Roman" w:cs="Times New Roman" w:eastAsia="Times New Roman" w:hAnsi="Times New Roman"/>
                <w:sz w:val="20"/>
                <w:szCs w:val="20"/>
                <w:color w:val="auto"/>
              </w:rPr>
              <w:t>Net deferred tax liabilities</w:t>
            </w:r>
          </w:p>
        </w:tc>
        <w:tc>
          <w:tcPr>
            <w:tcW w:w="140" w:type="dxa"/>
            <w:vAlign w:val="bottom"/>
            <w:tcBorders>
              <w:top w:val="single" w:sz="8" w:color="FDFDFD"/>
              <w:bottom w:val="single" w:sz="8" w:color="FDFDFD"/>
            </w:tcBorders>
            <w:shd w:val="clear" w:color="auto" w:fill="FDFDFD"/>
          </w:tcPr>
          <w:p>
            <w:pPr>
              <w:spacing w:after="0"/>
              <w:rPr>
                <w:sz w:val="19"/>
                <w:szCs w:val="19"/>
                <w:color w:val="auto"/>
              </w:rPr>
            </w:pPr>
          </w:p>
        </w:tc>
        <w:tc>
          <w:tcPr>
            <w:tcW w:w="20" w:type="dxa"/>
            <w:vAlign w:val="bottom"/>
            <w:tcBorders>
              <w:top w:val="single" w:sz="8" w:color="FDFDFD"/>
              <w:bottom w:val="single" w:sz="8" w:color="FDFDFD"/>
            </w:tcBorders>
            <w:shd w:val="clear" w:color="auto" w:fill="FDFDFD"/>
          </w:tcPr>
          <w:p>
            <w:pPr>
              <w:spacing w:after="0"/>
              <w:rPr>
                <w:sz w:val="19"/>
                <w:szCs w:val="19"/>
                <w:color w:val="auto"/>
              </w:rPr>
            </w:pPr>
          </w:p>
        </w:tc>
        <w:tc>
          <w:tcPr>
            <w:tcW w:w="280" w:type="dxa"/>
            <w:vAlign w:val="bottom"/>
            <w:tcBorders>
              <w:top w:val="single" w:sz="8" w:color="auto"/>
              <w:bottom w:val="single" w:sz="8" w:color="auto"/>
            </w:tcBorders>
            <w:shd w:val="clear" w:color="auto" w:fill="FDFDFD"/>
          </w:tcPr>
          <w:p>
            <w:pPr>
              <w:jc w:val="right"/>
              <w:ind w:right="8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auto"/>
              </w:rPr>
              <w:t>(24,524)</w:t>
            </w:r>
          </w:p>
        </w:tc>
        <w:tc>
          <w:tcPr>
            <w:tcW w:w="20" w:type="dxa"/>
            <w:vAlign w:val="bottom"/>
            <w:tcBorders>
              <w:top w:val="single" w:sz="8" w:color="FDFDFD"/>
              <w:bottom w:val="single" w:sz="8" w:color="FDFDFD"/>
            </w:tcBorders>
            <w:shd w:val="clear" w:color="auto" w:fill="FDFDFD"/>
          </w:tcPr>
          <w:p>
            <w:pPr>
              <w:spacing w:after="0"/>
              <w:rPr>
                <w:sz w:val="19"/>
                <w:szCs w:val="19"/>
                <w:color w:val="auto"/>
              </w:rPr>
            </w:pPr>
          </w:p>
        </w:tc>
        <w:tc>
          <w:tcPr>
            <w:tcW w:w="80" w:type="dxa"/>
            <w:vAlign w:val="bottom"/>
            <w:tcBorders>
              <w:top w:val="single" w:sz="8" w:color="FDFDFD"/>
              <w:bottom w:val="single" w:sz="8" w:color="FDFDFD"/>
            </w:tcBorders>
            <w:shd w:val="clear" w:color="auto" w:fill="FDFDFD"/>
          </w:tcPr>
          <w:p>
            <w:pPr>
              <w:spacing w:after="0"/>
              <w:rPr>
                <w:sz w:val="19"/>
                <w:szCs w:val="19"/>
                <w:color w:val="auto"/>
              </w:rPr>
            </w:pPr>
          </w:p>
        </w:tc>
        <w:tc>
          <w:tcPr>
            <w:tcW w:w="140" w:type="dxa"/>
            <w:vAlign w:val="bottom"/>
            <w:tcBorders>
              <w:top w:val="single" w:sz="8" w:color="FDFDFD"/>
              <w:bottom w:val="single" w:sz="8" w:color="FDFDFD"/>
            </w:tcBorders>
            <w:shd w:val="clear" w:color="auto" w:fill="FDFDFD"/>
          </w:tcPr>
          <w:p>
            <w:pPr>
              <w:spacing w:after="0"/>
              <w:rPr>
                <w:sz w:val="19"/>
                <w:szCs w:val="19"/>
                <w:color w:val="auto"/>
              </w:rPr>
            </w:pPr>
          </w:p>
        </w:tc>
        <w:tc>
          <w:tcPr>
            <w:tcW w:w="300" w:type="dxa"/>
            <w:vAlign w:val="bottom"/>
            <w:tcBorders>
              <w:top w:val="single" w:sz="8" w:color="auto"/>
              <w:bottom w:val="single" w:sz="8" w:color="auto"/>
            </w:tcBorders>
            <w:shd w:val="clear" w:color="auto" w:fill="FDFDFD"/>
          </w:tcPr>
          <w:p>
            <w:pPr>
              <w:jc w:val="right"/>
              <w:ind w:right="10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auto"/>
              </w:rPr>
              <w:t>(67,163)</w:t>
            </w:r>
          </w:p>
        </w:tc>
        <w:tc>
          <w:tcPr>
            <w:tcW w:w="20" w:type="dxa"/>
            <w:vAlign w:val="bottom"/>
            <w:tcBorders>
              <w:top w:val="single" w:sz="8" w:color="FDFDFD"/>
              <w:bottom w:val="single" w:sz="8" w:color="FDFDFD"/>
            </w:tcBorders>
            <w:shd w:val="clear" w:color="auto" w:fill="FDFDFD"/>
          </w:tcPr>
          <w:p>
            <w:pPr>
              <w:spacing w:after="0"/>
              <w:rPr>
                <w:sz w:val="19"/>
                <w:szCs w:val="19"/>
                <w:color w:val="auto"/>
              </w:rPr>
            </w:pPr>
          </w:p>
        </w:tc>
        <w:tc>
          <w:tcPr>
            <w:tcW w:w="80" w:type="dxa"/>
            <w:vAlign w:val="bottom"/>
            <w:tcBorders>
              <w:top w:val="single" w:sz="8" w:color="FDFDFD"/>
              <w:bottom w:val="single" w:sz="8" w:color="FDFDFD"/>
            </w:tcBorders>
            <w:shd w:val="clear" w:color="auto" w:fill="FDFDFD"/>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5"/>
        </w:trPr>
        <w:tc>
          <w:tcPr>
            <w:tcW w:w="6240" w:type="dxa"/>
            <w:vAlign w:val="bottom"/>
            <w:tcBorders>
              <w:bottom w:val="single" w:sz="8" w:color="FDFDFD"/>
            </w:tcBorders>
          </w:tcPr>
          <w:p>
            <w:pPr>
              <w:spacing w:after="0"/>
              <w:rPr>
                <w:sz w:val="16"/>
                <w:szCs w:val="16"/>
                <w:color w:val="auto"/>
              </w:rPr>
            </w:pPr>
          </w:p>
        </w:tc>
        <w:tc>
          <w:tcPr>
            <w:tcW w:w="140" w:type="dxa"/>
            <w:vAlign w:val="bottom"/>
            <w:tcBorders>
              <w:bottom w:val="single" w:sz="8" w:color="FDFDFD"/>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spacing w:after="0"/>
              <w:rPr>
                <w:sz w:val="16"/>
                <w:szCs w:val="16"/>
                <w:color w:val="auto"/>
              </w:rPr>
            </w:pPr>
          </w:p>
        </w:tc>
        <w:tc>
          <w:tcPr>
            <w:tcW w:w="80" w:type="dxa"/>
            <w:vAlign w:val="bottom"/>
            <w:tcBorders>
              <w:bottom w:val="single" w:sz="8" w:color="FDFDFD"/>
            </w:tcBorders>
          </w:tcPr>
          <w:p>
            <w:pPr>
              <w:spacing w:after="0"/>
              <w:rPr>
                <w:sz w:val="16"/>
                <w:szCs w:val="16"/>
                <w:color w:val="auto"/>
              </w:rPr>
            </w:pPr>
          </w:p>
        </w:tc>
      </w:tr>
      <w:tr>
        <w:trPr>
          <w:trHeight w:val="273"/>
        </w:trPr>
        <w:tc>
          <w:tcPr>
            <w:tcW w:w="6240" w:type="dxa"/>
            <w:vAlign w:val="bottom"/>
            <w:tcBorders>
              <w:bottom w:val="single" w:sz="8" w:color="FDFDFD"/>
            </w:tcBorders>
            <w:shd w:val="clear" w:color="auto" w:fill="FDFDFD"/>
          </w:tcPr>
          <w:p>
            <w:pPr>
              <w:spacing w:after="0"/>
              <w:rPr>
                <w:sz w:val="23"/>
                <w:szCs w:val="23"/>
                <w:color w:val="auto"/>
              </w:rPr>
            </w:pPr>
          </w:p>
        </w:tc>
        <w:tc>
          <w:tcPr>
            <w:tcW w:w="140" w:type="dxa"/>
            <w:vAlign w:val="bottom"/>
            <w:tcBorders>
              <w:bottom w:val="single" w:sz="8" w:color="FDFDFD"/>
            </w:tcBorders>
            <w:shd w:val="clear" w:color="auto" w:fill="FDFDFD"/>
          </w:tcPr>
          <w:p>
            <w:pPr>
              <w:spacing w:after="0"/>
              <w:rPr>
                <w:sz w:val="23"/>
                <w:szCs w:val="23"/>
                <w:color w:val="auto"/>
              </w:rPr>
            </w:pPr>
          </w:p>
        </w:tc>
        <w:tc>
          <w:tcPr>
            <w:tcW w:w="20" w:type="dxa"/>
            <w:vAlign w:val="bottom"/>
            <w:tcBorders>
              <w:bottom w:val="single" w:sz="8" w:color="auto"/>
            </w:tcBorders>
            <w:shd w:val="clear" w:color="auto" w:fill="FDFDFD"/>
          </w:tcPr>
          <w:p>
            <w:pPr>
              <w:spacing w:after="0"/>
              <w:rPr>
                <w:sz w:val="23"/>
                <w:szCs w:val="23"/>
                <w:color w:val="auto"/>
              </w:rPr>
            </w:pPr>
          </w:p>
        </w:tc>
        <w:tc>
          <w:tcPr>
            <w:tcW w:w="280" w:type="dxa"/>
            <w:vAlign w:val="bottom"/>
            <w:tcBorders>
              <w:bottom w:val="single" w:sz="8" w:color="auto"/>
            </w:tcBorders>
            <w:shd w:val="clear" w:color="auto" w:fill="FDFDFD"/>
          </w:tcPr>
          <w:p>
            <w:pPr>
              <w:spacing w:after="0"/>
              <w:rPr>
                <w:sz w:val="23"/>
                <w:szCs w:val="23"/>
                <w:color w:val="auto"/>
              </w:rPr>
            </w:pPr>
          </w:p>
        </w:tc>
        <w:tc>
          <w:tcPr>
            <w:tcW w:w="2560" w:type="dxa"/>
            <w:vAlign w:val="bottom"/>
            <w:tcBorders>
              <w:bottom w:val="single" w:sz="8" w:color="auto"/>
            </w:tcBorders>
            <w:gridSpan w:val="7"/>
            <w:shd w:val="clear" w:color="auto" w:fill="FDFDFD"/>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FDFDFD"/>
            </w:tcBorders>
            <w:shd w:val="clear" w:color="auto" w:fill="FDFDFD"/>
          </w:tcPr>
          <w:p>
            <w:pPr>
              <w:spacing w:after="0"/>
              <w:rPr>
                <w:sz w:val="23"/>
                <w:szCs w:val="23"/>
                <w:color w:val="auto"/>
              </w:rPr>
            </w:pPr>
          </w:p>
        </w:tc>
      </w:tr>
      <w:tr>
        <w:trPr>
          <w:trHeight w:val="273"/>
        </w:trPr>
        <w:tc>
          <w:tcPr>
            <w:tcW w:w="624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E3E3E3"/>
            </w:tcBorders>
            <w:shd w:val="clear" w:color="auto" w:fill="FDFDFD"/>
          </w:tcPr>
          <w:p>
            <w:pPr>
              <w:spacing w:after="0"/>
              <w:rPr>
                <w:sz w:val="23"/>
                <w:szCs w:val="23"/>
                <w:color w:val="auto"/>
              </w:rPr>
            </w:pPr>
          </w:p>
        </w:tc>
        <w:tc>
          <w:tcPr>
            <w:tcW w:w="20" w:type="dxa"/>
            <w:vAlign w:val="bottom"/>
            <w:tcBorders>
              <w:bottom w:val="single" w:sz="8" w:color="auto"/>
            </w:tcBorders>
            <w:shd w:val="clear" w:color="auto" w:fill="FDFDFD"/>
          </w:tcPr>
          <w:p>
            <w:pPr>
              <w:spacing w:after="0"/>
              <w:rPr>
                <w:sz w:val="23"/>
                <w:szCs w:val="23"/>
                <w:color w:val="auto"/>
              </w:rPr>
            </w:pPr>
          </w:p>
        </w:tc>
        <w:tc>
          <w:tcPr>
            <w:tcW w:w="280" w:type="dxa"/>
            <w:vAlign w:val="bottom"/>
            <w:tcBorders>
              <w:bottom w:val="single" w:sz="8" w:color="auto"/>
            </w:tcBorders>
            <w:shd w:val="clear" w:color="auto" w:fill="FDFDFD"/>
          </w:tcPr>
          <w:p>
            <w:pPr>
              <w:spacing w:after="0"/>
              <w:rPr>
                <w:sz w:val="23"/>
                <w:szCs w:val="23"/>
                <w:color w:val="auto"/>
              </w:rPr>
            </w:pPr>
          </w:p>
        </w:tc>
        <w:tc>
          <w:tcPr>
            <w:tcW w:w="1000" w:type="dxa"/>
            <w:vAlign w:val="bottom"/>
            <w:tcBorders>
              <w:bottom w:val="single" w:sz="8" w:color="auto"/>
            </w:tcBorders>
            <w:shd w:val="clear" w:color="auto" w:fill="FDFDFD"/>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shd w:val="clear" w:color="auto" w:fill="FDFDFD"/>
          </w:tcPr>
          <w:p>
            <w:pPr>
              <w:spacing w:after="0"/>
              <w:rPr>
                <w:sz w:val="23"/>
                <w:szCs w:val="23"/>
                <w:color w:val="auto"/>
              </w:rPr>
            </w:pPr>
          </w:p>
        </w:tc>
        <w:tc>
          <w:tcPr>
            <w:tcW w:w="80" w:type="dxa"/>
            <w:vAlign w:val="bottom"/>
            <w:tcBorders>
              <w:bottom w:val="single" w:sz="8" w:color="E3E3E3"/>
            </w:tcBorders>
            <w:shd w:val="clear" w:color="auto" w:fill="FDFDFD"/>
          </w:tcPr>
          <w:p>
            <w:pPr>
              <w:spacing w:after="0"/>
              <w:rPr>
                <w:sz w:val="23"/>
                <w:szCs w:val="23"/>
                <w:color w:val="auto"/>
              </w:rPr>
            </w:pPr>
          </w:p>
        </w:tc>
        <w:tc>
          <w:tcPr>
            <w:tcW w:w="140" w:type="dxa"/>
            <w:vAlign w:val="bottom"/>
            <w:tcBorders>
              <w:bottom w:val="single" w:sz="8" w:color="E3E3E3"/>
            </w:tcBorders>
            <w:shd w:val="clear" w:color="auto" w:fill="FDFDFD"/>
          </w:tcPr>
          <w:p>
            <w:pPr>
              <w:spacing w:after="0"/>
              <w:rPr>
                <w:sz w:val="23"/>
                <w:szCs w:val="23"/>
                <w:color w:val="auto"/>
              </w:rPr>
            </w:pPr>
          </w:p>
        </w:tc>
        <w:tc>
          <w:tcPr>
            <w:tcW w:w="300" w:type="dxa"/>
            <w:vAlign w:val="bottom"/>
            <w:tcBorders>
              <w:bottom w:val="single" w:sz="8" w:color="auto"/>
            </w:tcBorders>
            <w:shd w:val="clear" w:color="auto" w:fill="FDFDFD"/>
          </w:tcPr>
          <w:p>
            <w:pPr>
              <w:spacing w:after="0"/>
              <w:rPr>
                <w:sz w:val="23"/>
                <w:szCs w:val="23"/>
                <w:color w:val="auto"/>
              </w:rPr>
            </w:pPr>
          </w:p>
        </w:tc>
        <w:tc>
          <w:tcPr>
            <w:tcW w:w="1000" w:type="dxa"/>
            <w:vAlign w:val="bottom"/>
            <w:tcBorders>
              <w:bottom w:val="single" w:sz="8" w:color="auto"/>
            </w:tcBorders>
            <w:shd w:val="clear" w:color="auto" w:fill="FDFDFD"/>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shd w:val="clear" w:color="auto" w:fill="FDFDFD"/>
          </w:tcPr>
          <w:p>
            <w:pPr>
              <w:spacing w:after="0"/>
              <w:rPr>
                <w:sz w:val="23"/>
                <w:szCs w:val="23"/>
                <w:color w:val="auto"/>
              </w:rPr>
            </w:pPr>
          </w:p>
        </w:tc>
        <w:tc>
          <w:tcPr>
            <w:tcW w:w="80" w:type="dxa"/>
            <w:vAlign w:val="bottom"/>
            <w:tcBorders>
              <w:bottom w:val="single" w:sz="8" w:color="E3E3E3"/>
            </w:tcBorders>
            <w:shd w:val="clear" w:color="auto" w:fill="FDFDFD"/>
          </w:tcPr>
          <w:p>
            <w:pPr>
              <w:spacing w:after="0"/>
              <w:rPr>
                <w:sz w:val="23"/>
                <w:szCs w:val="23"/>
                <w:color w:val="auto"/>
              </w:rPr>
            </w:pPr>
          </w:p>
        </w:tc>
      </w:tr>
      <w:tr>
        <w:trPr>
          <w:trHeight w:val="234"/>
        </w:trPr>
        <w:tc>
          <w:tcPr>
            <w:tcW w:w="62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Reported as:</w:t>
            </w:r>
          </w:p>
        </w:tc>
        <w:tc>
          <w:tcPr>
            <w:tcW w:w="14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80" w:type="dxa"/>
            <w:vAlign w:val="bottom"/>
            <w:shd w:val="clear" w:color="auto" w:fill="E3E3E3"/>
          </w:tcPr>
          <w:p>
            <w:pPr>
              <w:spacing w:after="0"/>
              <w:rPr>
                <w:sz w:val="20"/>
                <w:szCs w:val="20"/>
                <w:color w:val="auto"/>
              </w:rPr>
            </w:pPr>
          </w:p>
        </w:tc>
        <w:tc>
          <w:tcPr>
            <w:tcW w:w="10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300" w:type="dxa"/>
            <w:vAlign w:val="bottom"/>
            <w:shd w:val="clear" w:color="auto" w:fill="E3E3E3"/>
          </w:tcPr>
          <w:p>
            <w:pPr>
              <w:spacing w:after="0"/>
              <w:rPr>
                <w:sz w:val="20"/>
                <w:szCs w:val="20"/>
                <w:color w:val="auto"/>
              </w:rPr>
            </w:pPr>
          </w:p>
        </w:tc>
        <w:tc>
          <w:tcPr>
            <w:tcW w:w="10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r>
      <w:tr>
        <w:trPr>
          <w:trHeight w:val="244"/>
        </w:trPr>
        <w:tc>
          <w:tcPr>
            <w:tcW w:w="624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auto"/>
              </w:rPr>
              <w:t>Non-current deferred tax assets (included within other assets)</w:t>
            </w:r>
          </w:p>
        </w:tc>
        <w:tc>
          <w:tcPr>
            <w:tcW w:w="140" w:type="dxa"/>
            <w:vAlign w:val="bottom"/>
            <w:shd w:val="clear" w:color="auto" w:fill="FDFDFD"/>
          </w:tcPr>
          <w:p>
            <w:pPr>
              <w:spacing w:after="0"/>
              <w:rPr>
                <w:sz w:val="21"/>
                <w:szCs w:val="21"/>
                <w:color w:val="auto"/>
              </w:rPr>
            </w:pPr>
          </w:p>
        </w:tc>
        <w:tc>
          <w:tcPr>
            <w:tcW w:w="3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564</w:t>
            </w:r>
          </w:p>
        </w:tc>
        <w:tc>
          <w:tcPr>
            <w:tcW w:w="20" w:type="dxa"/>
            <w:vAlign w:val="bottom"/>
            <w:shd w:val="clear" w:color="auto" w:fill="FDFDFD"/>
          </w:tcPr>
          <w:p>
            <w:pPr>
              <w:spacing w:after="0"/>
              <w:rPr>
                <w:sz w:val="21"/>
                <w:szCs w:val="21"/>
                <w:color w:val="auto"/>
              </w:rPr>
            </w:pPr>
          </w:p>
        </w:tc>
        <w:tc>
          <w:tcPr>
            <w:tcW w:w="8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300" w:type="dxa"/>
            <w:vAlign w:val="bottom"/>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FDFDFD"/>
          </w:tcPr>
          <w:p>
            <w:pPr>
              <w:spacing w:after="0"/>
              <w:rPr>
                <w:sz w:val="21"/>
                <w:szCs w:val="21"/>
                <w:color w:val="auto"/>
              </w:rPr>
            </w:pPr>
          </w:p>
        </w:tc>
      </w:tr>
      <w:tr>
        <w:trPr>
          <w:trHeight w:val="244"/>
        </w:trPr>
        <w:tc>
          <w:tcPr>
            <w:tcW w:w="62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Non-current deferred tax liabilities</w:t>
            </w:r>
          </w:p>
        </w:tc>
        <w:tc>
          <w:tcPr>
            <w:tcW w:w="14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110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(25,088)</w:t>
            </w:r>
          </w:p>
        </w:tc>
        <w:tc>
          <w:tcPr>
            <w:tcW w:w="140" w:type="dxa"/>
            <w:vAlign w:val="bottom"/>
            <w:shd w:val="clear" w:color="auto" w:fill="E3E3E3"/>
          </w:tcPr>
          <w:p>
            <w:pPr>
              <w:spacing w:after="0"/>
              <w:rPr>
                <w:sz w:val="21"/>
                <w:szCs w:val="21"/>
                <w:color w:val="auto"/>
              </w:rPr>
            </w:pPr>
          </w:p>
        </w:tc>
        <w:tc>
          <w:tcPr>
            <w:tcW w:w="300" w:type="dxa"/>
            <w:vAlign w:val="bottom"/>
            <w:shd w:val="clear" w:color="auto" w:fill="E3E3E3"/>
          </w:tcPr>
          <w:p>
            <w:pPr>
              <w:spacing w:after="0"/>
              <w:rPr>
                <w:sz w:val="21"/>
                <w:szCs w:val="21"/>
                <w:color w:val="auto"/>
              </w:rPr>
            </w:pPr>
          </w:p>
        </w:tc>
        <w:tc>
          <w:tcPr>
            <w:tcW w:w="110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(67,163)</w:t>
            </w:r>
          </w:p>
        </w:tc>
      </w:tr>
      <w:tr>
        <w:trPr>
          <w:trHeight w:val="234"/>
        </w:trPr>
        <w:tc>
          <w:tcPr>
            <w:tcW w:w="6240" w:type="dxa"/>
            <w:vAlign w:val="bottom"/>
            <w:tcBorders>
              <w:top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Net deferred tax liabilities</w:t>
            </w:r>
          </w:p>
        </w:tc>
        <w:tc>
          <w:tcPr>
            <w:tcW w:w="140" w:type="dxa"/>
            <w:vAlign w:val="bottom"/>
            <w:tcBorders>
              <w:top w:val="single" w:sz="8" w:color="FDFDFD"/>
            </w:tcBorders>
            <w:shd w:val="clear" w:color="auto" w:fill="FDFDFD"/>
          </w:tcPr>
          <w:p>
            <w:pPr>
              <w:spacing w:after="0"/>
              <w:rPr>
                <w:sz w:val="20"/>
                <w:szCs w:val="20"/>
                <w:color w:val="auto"/>
              </w:rPr>
            </w:pPr>
          </w:p>
        </w:tc>
        <w:tc>
          <w:tcPr>
            <w:tcW w:w="300" w:type="dxa"/>
            <w:vAlign w:val="bottom"/>
            <w:tcBorders>
              <w:top w:val="single" w:sz="8" w:color="auto"/>
              <w:bottom w:val="single" w:sz="8" w:color="auto"/>
            </w:tcBorders>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(24,524)</w:t>
            </w:r>
          </w:p>
        </w:tc>
        <w:tc>
          <w:tcPr>
            <w:tcW w:w="80" w:type="dxa"/>
            <w:vAlign w:val="bottom"/>
            <w:tcBorders>
              <w:top w:val="single" w:sz="8" w:color="FDFDFD"/>
            </w:tcBorders>
            <w:shd w:val="clear" w:color="auto" w:fill="FDFDFD"/>
          </w:tcPr>
          <w:p>
            <w:pPr>
              <w:spacing w:after="0"/>
              <w:rPr>
                <w:sz w:val="20"/>
                <w:szCs w:val="20"/>
                <w:color w:val="auto"/>
              </w:rPr>
            </w:pPr>
          </w:p>
        </w:tc>
        <w:tc>
          <w:tcPr>
            <w:tcW w:w="140" w:type="dxa"/>
            <w:vAlign w:val="bottom"/>
            <w:tcBorders>
              <w:top w:val="single" w:sz="8" w:color="FDFDFD"/>
            </w:tcBorders>
            <w:shd w:val="clear" w:color="auto" w:fill="FDFDFD"/>
          </w:tcPr>
          <w:p>
            <w:pPr>
              <w:spacing w:after="0"/>
              <w:rPr>
                <w:sz w:val="20"/>
                <w:szCs w:val="20"/>
                <w:color w:val="auto"/>
              </w:rPr>
            </w:pPr>
          </w:p>
        </w:tc>
        <w:tc>
          <w:tcPr>
            <w:tcW w:w="300" w:type="dxa"/>
            <w:vAlign w:val="bottom"/>
            <w:tcBorders>
              <w:top w:val="single" w:sz="8" w:color="auto"/>
              <w:bottom w:val="single" w:sz="8" w:color="auto"/>
            </w:tcBorders>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(67,163)</w:t>
            </w:r>
          </w:p>
        </w:tc>
        <w:tc>
          <w:tcPr>
            <w:tcW w:w="80" w:type="dxa"/>
            <w:vAlign w:val="bottom"/>
            <w:tcBorders>
              <w:top w:val="single" w:sz="8" w:color="FDFDFD"/>
            </w:tcBorders>
            <w:shd w:val="clear" w:color="auto" w:fill="FDFDFD"/>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9" w:lineRule="exact"/>
        <w:rPr>
          <w:sz w:val="20"/>
          <w:szCs w:val="20"/>
          <w:color w:val="auto"/>
        </w:rPr>
      </w:pPr>
    </w:p>
    <w:p>
      <w:pPr>
        <w:ind w:right="260" w:firstLine="490"/>
        <w:spacing w:after="0" w:line="279" w:lineRule="auto"/>
        <w:rPr>
          <w:sz w:val="20"/>
          <w:szCs w:val="20"/>
          <w:color w:val="auto"/>
        </w:rPr>
      </w:pPr>
      <w:r>
        <w:rPr>
          <w:rFonts w:ascii="Times New Roman" w:cs="Times New Roman" w:eastAsia="Times New Roman" w:hAnsi="Times New Roman"/>
          <w:sz w:val="20"/>
          <w:szCs w:val="20"/>
          <w:color w:val="auto"/>
        </w:rPr>
        <w:t>Deferred income tax balances reflect the effects of temporary differences between the carrying amounts of assets and liabilities and their tax bases and are stated at enacted tax rates expected to be in effect when the taxes are paid or recovered.</w:t>
      </w:r>
    </w:p>
    <w:p>
      <w:pPr>
        <w:spacing w:after="0" w:line="45"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federal tax loss carryforward of $241.9 million has an unlimited carryforward period. The federal research and development tax credit carryforwards of $1.7 million expire in the years 2041 through 2044. The state tax loss carryforwards of $183.9 million expire at various times in years 2024 through indefinite. The state tax credit carryforwards of $0.3 million expire in the years 2038 through indefinite. The foreign tax loss carryforwards of $10.3 million expire in the years 2030 through indefinite.</w:t>
      </w:r>
    </w:p>
    <w:p>
      <w:pPr>
        <w:spacing w:after="0" w:line="7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Management has assessed the realizability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for all years on its net operating loss carryforwards, R&amp;D credit carryforwards and other net deferred tax assets that remain after all sources of taxable income are exhausted, not supportable by the “naked credit” deferred tax liability sourced income as of December 31, 2024.</w:t>
      </w:r>
    </w:p>
    <w:p>
      <w:pPr>
        <w:spacing w:after="0" w:line="80" w:lineRule="exact"/>
        <w:rPr>
          <w:sz w:val="20"/>
          <w:szCs w:val="20"/>
          <w:color w:val="auto"/>
        </w:rPr>
      </w:pPr>
    </w:p>
    <w:p>
      <w:pPr>
        <w:ind w:right="320" w:firstLine="490"/>
        <w:spacing w:after="0" w:line="253" w:lineRule="auto"/>
        <w:rPr>
          <w:sz w:val="20"/>
          <w:szCs w:val="20"/>
          <w:color w:val="auto"/>
        </w:rPr>
      </w:pPr>
      <w:r>
        <w:rPr>
          <w:rFonts w:ascii="Times New Roman" w:cs="Times New Roman" w:eastAsia="Times New Roman" w:hAnsi="Times New Roman"/>
          <w:sz w:val="20"/>
          <w:szCs w:val="20"/>
          <w:color w:val="auto"/>
        </w:rPr>
        <w:t>The Company is subject to taxation in the United States and various states and foreign jurisdictions. The Company remains subject to U.S. federal income tax examination for 2021 and subsequent years. For the majority of U.S. states, with few exceptions and generally for the foreign tax jurisdictions, the Company remains subject to examination for 2020 and subsequent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Uncertain Tax Positions</w:t>
      </w:r>
    </w:p>
    <w:p>
      <w:pPr>
        <w:spacing w:after="0" w:line="123" w:lineRule="exact"/>
        <w:rPr>
          <w:sz w:val="20"/>
          <w:szCs w:val="20"/>
          <w:color w:val="auto"/>
        </w:rPr>
      </w:pPr>
    </w:p>
    <w:p>
      <w:pPr>
        <w:ind w:right="240" w:firstLine="490"/>
        <w:spacing w:after="0" w:line="253" w:lineRule="auto"/>
        <w:rPr>
          <w:sz w:val="20"/>
          <w:szCs w:val="20"/>
          <w:color w:val="auto"/>
        </w:rPr>
      </w:pPr>
      <w:r>
        <w:rPr>
          <w:rFonts w:ascii="Times New Roman" w:cs="Times New Roman" w:eastAsia="Times New Roman" w:hAnsi="Times New Roman"/>
          <w:sz w:val="20"/>
          <w:szCs w:val="20"/>
          <w:color w:val="auto"/>
        </w:rPr>
        <w:t>The Company recognizes uncertain income tax positions when it is more-likely-than-not the position will be sustained upon examination. As of December 31, 2024 and 2023, has not identified any uncertain tax positions and has not recognized any related reserves. Accordingly, the company has not recorded any interest or penalties associated with uncertain tax positions.</w:t>
      </w: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F-48</w:t>
      </w:r>
    </w:p>
    <w:p>
      <w:pPr>
        <w:sectPr>
          <w:pgSz w:w="11880" w:h="15480" w:orient="portrait"/>
          <w:cols w:equalWidth="0" w:num="1">
            <w:col w:w="10220"/>
          </w:cols>
          <w:pgMar w:left="820" w:top="803" w:right="840" w:bottom="8"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auto"/>
        </w:rPr>
        <w:t>Tax Receivable Agreement (“TRA”)</w:t>
      </w:r>
    </w:p>
    <w:p>
      <w:pPr>
        <w:spacing w:after="0" w:line="123"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Pursuant to Definitive OpCo's election under Section 754 of the Internal Revenue Code (the “Code”), the Company expects to obtain an increase in its share of the tax basis in the net assets of Definitive OpCo when LLC Units are redeemed or exchanged by other members. The Company is required to adjust the basis of partnership assets under Section 743(b) of the Code for each taxable year in which a redemption or exchange of LLC Units occurs. These increases in tax basis may reduce the amounts that would otherwise be paid by the Company in the future to various tax authorities. They may also decrease gains (or increase losses) on future dispositions of certain capital assets to the extent tax basis is allocated to those capital assets.</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Under the TRA, the Company generally will be required to pay to Unitholders 85% of the amount of cash savings, if any, in U.S. federal, state, or local tax that the Company actually realizes directly or indirectly (or are deemed to realize in certain circumstances) as a result of (i) certain tax attributes acquired by the Company from the Blocker Companies in the Reorganization Transactions, (ii) certain tax basis adjustments resulting from (a) acquisitions by the Company of LLC Units from pre-IPO holders in connection with the IPO and (b) subsequent redemptions or exchanges of LLC Units by holders for Class A Common Stock or other consideration,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spacing w:after="0" w:line="8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Amounts payable under the TRA are contingent upon, among other things, (i) generation of future taxable income over the term of the TRA and (ii) future changes in tax laws. If the Company does not generate sufficient taxable income in the aggregate over the term of the TRA to utilize the tax benefits, then the Company would not be required to make the related TRA Payments. Therefore, the Company only recognizes a liability for TRA Payments if it determines that it is probable that the Company will generate sufficient future taxable income over the term of the TRA to utilize the related tax benefits. Estimating future taxable income is inherently uncertain and requires judgment. The realizability of the deferred tax assets is evaluated based on all positive and negative evidence, including future reversals of existing taxable temporary differences, projected future taxable income, tax planning strategies and recent results of operations. Based on current projections, the Company anticipates having sufficient taxable income to partially realize some of these benefits and has recorded a TRA liability of $63.2 million as of December 31, 2024. The TRA liability decreased by $84.0 million during the year ended December 31 2024, decreasing $0.1 million with an offsetting adjustment to accumulated paid-in capital for current year exchange transactions and redemptions while concurrently decreasing by $76.9 million for remeasurement of the liability based on future realizability of tax attributes with an offsetting adjustment to statement of operations and $7.0 million of payments to TRA Parties. To the extent that the Company determines that it is able to realize the tax benefits associated with the basis adjustments and net operating losses, the Company would record an additional liability of $225.5 million, for a total liability of $288.7 million. Should the Company anticipate a reduction in future taxable income, it would record a reduction in the TRA liability that would result in a benefit recorded within the consolidated statements of operations.</w:t>
      </w: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F-49</w:t>
      </w:r>
    </w:p>
    <w:p>
      <w:pPr>
        <w:sectPr>
          <w:pgSz w:w="11880" w:h="15480" w:orient="portrait"/>
          <w:cols w:equalWidth="0" w:num="1">
            <w:col w:w="10220"/>
          </w:cols>
          <w:pgMar w:left="820" w:top="803" w:right="840" w:bottom="8" w:gutter="0" w:footer="0" w:header="0"/>
          <w:type w:val="continuous"/>
        </w:sectPr>
      </w:pPr>
    </w:p>
    <w:bookmarkStart w:id="141" w:name="page142"/>
    <w:bookmarkEnd w:id="141"/>
    <w:p>
      <w:pPr>
        <w:ind w:left="500" w:hanging="492"/>
        <w:spacing w:after="0"/>
        <w:tabs>
          <w:tab w:leader="none" w:pos="50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Loss Per Share</w:t>
      </w:r>
    </w:p>
    <w:p>
      <w:pPr>
        <w:spacing w:after="0" w:line="123"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Basic net loss per share of Class A Common Stock is computed by dividing net loss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77" w:lineRule="exact"/>
        <w:rPr>
          <w:sz w:val="20"/>
          <w:szCs w:val="20"/>
          <w:color w:val="auto"/>
        </w:rPr>
      </w:pPr>
    </w:p>
    <w:p>
      <w:pPr>
        <w:ind w:right="200" w:firstLine="490"/>
        <w:spacing w:after="0" w:line="279" w:lineRule="auto"/>
        <w:rPr>
          <w:sz w:val="20"/>
          <w:szCs w:val="20"/>
          <w:color w:val="auto"/>
        </w:rPr>
      </w:pPr>
      <w:r>
        <w:rPr>
          <w:rFonts w:ascii="Times New Roman" w:cs="Times New Roman" w:eastAsia="Times New Roman" w:hAnsi="Times New Roman"/>
          <w:sz w:val="20"/>
          <w:szCs w:val="20"/>
          <w:color w:val="auto"/>
        </w:rPr>
        <w:t>The following table sets forth reconciliation of the numerators and denominators used to compute basic and diluted net loss per share of Class A Common Stock for the years ended December 31, 2024, 2023, and 2022.</w:t>
      </w:r>
    </w:p>
    <w:p>
      <w:pPr>
        <w:spacing w:after="0" w:line="171"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5580" w:type="dxa"/>
            <w:vAlign w:val="bottom"/>
            <w:tcBorders>
              <w:bottom w:val="single" w:sz="8" w:color="FDFDFD"/>
            </w:tcBorders>
            <w:shd w:val="clear" w:color="auto" w:fill="FDFDFD"/>
          </w:tcPr>
          <w:p>
            <w:pPr>
              <w:spacing w:after="0"/>
              <w:rPr>
                <w:sz w:val="17"/>
                <w:szCs w:val="17"/>
                <w:color w:val="auto"/>
              </w:rPr>
            </w:pPr>
          </w:p>
        </w:tc>
        <w:tc>
          <w:tcPr>
            <w:tcW w:w="140" w:type="dxa"/>
            <w:vAlign w:val="bottom"/>
            <w:tcBorders>
              <w:bottom w:val="single" w:sz="8" w:color="FDFDFD"/>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1040" w:type="dxa"/>
            <w:vAlign w:val="bottom"/>
            <w:tcBorders>
              <w:bottom w:val="single" w:sz="8" w:color="auto"/>
            </w:tcBorders>
            <w:shd w:val="clear" w:color="auto" w:fill="FDFDFD"/>
          </w:tcPr>
          <w:p>
            <w:pPr>
              <w:spacing w:after="0"/>
              <w:rPr>
                <w:sz w:val="17"/>
                <w:szCs w:val="17"/>
                <w:color w:val="auto"/>
              </w:rPr>
            </w:pPr>
          </w:p>
        </w:tc>
        <w:tc>
          <w:tcPr>
            <w:tcW w:w="24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1280" w:type="dxa"/>
            <w:vAlign w:val="bottom"/>
            <w:tcBorders>
              <w:bottom w:val="single" w:sz="8" w:color="auto"/>
            </w:tcBorders>
            <w:gridSpan w:val="2"/>
            <w:shd w:val="clear" w:color="auto" w:fill="FDFDFD"/>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0" w:type="dxa"/>
            <w:vAlign w:val="bottom"/>
            <w:tcBorders>
              <w:bottom w:val="single" w:sz="8" w:color="auto"/>
            </w:tcBorders>
            <w:shd w:val="clear" w:color="auto" w:fill="FDFDFD"/>
          </w:tcPr>
          <w:p>
            <w:pPr>
              <w:spacing w:after="0"/>
              <w:rPr>
                <w:sz w:val="17"/>
                <w:szCs w:val="17"/>
                <w:color w:val="auto"/>
              </w:rPr>
            </w:pPr>
          </w:p>
        </w:tc>
        <w:tc>
          <w:tcPr>
            <w:tcW w:w="104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68"/>
        </w:trPr>
        <w:tc>
          <w:tcPr>
            <w:tcW w:w="5580" w:type="dxa"/>
            <w:vAlign w:val="bottom"/>
            <w:shd w:val="clear" w:color="auto" w:fill="FDFDFD"/>
          </w:tcPr>
          <w:p>
            <w:pPr>
              <w:spacing w:after="0"/>
              <w:rPr>
                <w:sz w:val="14"/>
                <w:szCs w:val="14"/>
                <w:color w:val="auto"/>
              </w:rPr>
            </w:pPr>
          </w:p>
        </w:tc>
        <w:tc>
          <w:tcPr>
            <w:tcW w:w="14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040" w:type="dxa"/>
            <w:vAlign w:val="bottom"/>
            <w:shd w:val="clear" w:color="auto" w:fill="FDFDFD"/>
          </w:tcPr>
          <w:p>
            <w:pPr>
              <w:jc w:val="center"/>
              <w:ind w:right="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040" w:type="dxa"/>
            <w:vAlign w:val="bottom"/>
            <w:shd w:val="clear" w:color="auto" w:fill="FDFDFD"/>
          </w:tcPr>
          <w:p>
            <w:pPr>
              <w:jc w:val="center"/>
              <w:ind w:right="3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4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040" w:type="dxa"/>
            <w:vAlign w:val="bottom"/>
            <w:shd w:val="clear" w:color="auto" w:fill="FDFDFD"/>
          </w:tcPr>
          <w:p>
            <w:pPr>
              <w:jc w:val="right"/>
              <w:ind w:right="28"/>
              <w:spacing w:after="0" w:line="168"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shd w:val="clear" w:color="auto" w:fill="FDFDFD"/>
          </w:tcPr>
          <w:p>
            <w:pPr>
              <w:spacing w:after="0"/>
              <w:rPr>
                <w:sz w:val="14"/>
                <w:szCs w:val="14"/>
                <w:color w:val="auto"/>
              </w:rPr>
            </w:pPr>
          </w:p>
        </w:tc>
      </w:tr>
      <w:tr>
        <w:trPr>
          <w:trHeight w:val="204"/>
        </w:trPr>
        <w:tc>
          <w:tcPr>
            <w:tcW w:w="558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Borders>
              <w:bottom w:val="single" w:sz="8" w:color="E3E3E3"/>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1040" w:type="dxa"/>
            <w:vAlign w:val="bottom"/>
            <w:tcBorders>
              <w:bottom w:val="single" w:sz="8" w:color="auto"/>
            </w:tcBorders>
            <w:shd w:val="clear" w:color="auto" w:fill="FDFDFD"/>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E3E3E3"/>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1040" w:type="dxa"/>
            <w:vAlign w:val="bottom"/>
            <w:tcBorders>
              <w:bottom w:val="single" w:sz="8" w:color="auto"/>
            </w:tcBorders>
            <w:shd w:val="clear" w:color="auto" w:fill="FDFDFD"/>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Borders>
              <w:bottom w:val="single" w:sz="8" w:color="E3E3E3"/>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1040" w:type="dxa"/>
            <w:vAlign w:val="bottom"/>
            <w:tcBorders>
              <w:bottom w:val="single" w:sz="8" w:color="auto"/>
            </w:tcBorders>
            <w:shd w:val="clear" w:color="auto" w:fill="FDFDFD"/>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34"/>
        </w:trPr>
        <w:tc>
          <w:tcPr>
            <w:tcW w:w="55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Numerator:</w:t>
            </w:r>
          </w:p>
        </w:tc>
        <w:tc>
          <w:tcPr>
            <w:tcW w:w="14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4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4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4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r>
      <w:tr>
        <w:trPr>
          <w:trHeight w:val="244"/>
        </w:trPr>
        <w:tc>
          <w:tcPr>
            <w:tcW w:w="55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Net loss</w:t>
            </w:r>
          </w:p>
        </w:tc>
        <w:tc>
          <w:tcPr>
            <w:tcW w:w="140" w:type="dxa"/>
            <w:vAlign w:val="bottom"/>
            <w:shd w:val="clear" w:color="auto" w:fill="FDFDFD"/>
          </w:tcPr>
          <w:p>
            <w:pPr>
              <w:spacing w:after="0"/>
              <w:rPr>
                <w:sz w:val="21"/>
                <w:szCs w:val="21"/>
                <w:color w:val="auto"/>
              </w:rPr>
            </w:pP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FDFDFD"/>
          </w:tcPr>
          <w:p>
            <w:pPr>
              <w:ind w:left="320"/>
              <w:spacing w:after="0"/>
              <w:rPr>
                <w:sz w:val="20"/>
                <w:szCs w:val="20"/>
                <w:color w:val="auto"/>
              </w:rPr>
            </w:pPr>
            <w:r>
              <w:rPr>
                <w:rFonts w:ascii="Times New Roman" w:cs="Times New Roman" w:eastAsia="Times New Roman" w:hAnsi="Times New Roman"/>
                <w:sz w:val="20"/>
                <w:szCs w:val="20"/>
                <w:color w:val="auto"/>
                <w:w w:val="89"/>
              </w:rPr>
              <w:t>(591,446)</w:t>
            </w:r>
          </w:p>
        </w:tc>
        <w:tc>
          <w:tcPr>
            <w:tcW w:w="240" w:type="dxa"/>
            <w:vAlign w:val="bottom"/>
            <w:shd w:val="clear" w:color="auto" w:fill="FDFDFD"/>
          </w:tcPr>
          <w:p>
            <w:pPr>
              <w:spacing w:after="0"/>
              <w:rPr>
                <w:sz w:val="21"/>
                <w:szCs w:val="21"/>
                <w:color w:val="auto"/>
              </w:rPr>
            </w:pP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(289,627)</w:t>
            </w:r>
          </w:p>
        </w:tc>
        <w:tc>
          <w:tcPr>
            <w:tcW w:w="240" w:type="dxa"/>
            <w:vAlign w:val="bottom"/>
            <w:shd w:val="clear" w:color="auto" w:fill="FDFDFD"/>
          </w:tcPr>
          <w:p>
            <w:pPr>
              <w:spacing w:after="0"/>
              <w:rPr>
                <w:sz w:val="21"/>
                <w:szCs w:val="21"/>
                <w:color w:val="auto"/>
              </w:rPr>
            </w:pP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(24,179)</w:t>
            </w:r>
          </w:p>
        </w:tc>
        <w:tc>
          <w:tcPr>
            <w:tcW w:w="100" w:type="dxa"/>
            <w:vAlign w:val="bottom"/>
            <w:shd w:val="clear" w:color="auto" w:fill="FDFDFD"/>
          </w:tcPr>
          <w:p>
            <w:pPr>
              <w:spacing w:after="0"/>
              <w:rPr>
                <w:sz w:val="21"/>
                <w:szCs w:val="21"/>
                <w:color w:val="auto"/>
              </w:rPr>
            </w:pPr>
          </w:p>
        </w:tc>
      </w:tr>
      <w:tr>
        <w:trPr>
          <w:trHeight w:val="244"/>
        </w:trPr>
        <w:tc>
          <w:tcPr>
            <w:tcW w:w="558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20"/>
                <w:szCs w:val="20"/>
                <w:color w:val="auto"/>
              </w:rPr>
              <w:t>Less: Net loss attributable to noncontrolling interests</w:t>
            </w:r>
          </w:p>
        </w:tc>
        <w:tc>
          <w:tcPr>
            <w:tcW w:w="1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80" w:type="dxa"/>
            <w:vAlign w:val="bottom"/>
            <w:gridSpan w:val="2"/>
            <w:shd w:val="clear" w:color="auto" w:fill="E3E3E3"/>
          </w:tcPr>
          <w:p>
            <w:pPr>
              <w:ind w:left="320"/>
              <w:spacing w:after="0"/>
              <w:rPr>
                <w:sz w:val="20"/>
                <w:szCs w:val="20"/>
                <w:color w:val="auto"/>
              </w:rPr>
            </w:pPr>
            <w:r>
              <w:rPr>
                <w:rFonts w:ascii="Times New Roman" w:cs="Times New Roman" w:eastAsia="Times New Roman" w:hAnsi="Times New Roman"/>
                <w:sz w:val="20"/>
                <w:szCs w:val="20"/>
                <w:color w:val="auto"/>
              </w:rPr>
              <w:t>(178,322)</w:t>
            </w:r>
          </w:p>
        </w:tc>
        <w:tc>
          <w:tcPr>
            <w:tcW w:w="100" w:type="dxa"/>
            <w:vAlign w:val="bottom"/>
            <w:shd w:val="clear" w:color="auto" w:fill="E3E3E3"/>
          </w:tcPr>
          <w:p>
            <w:pPr>
              <w:spacing w:after="0"/>
              <w:rPr>
                <w:sz w:val="21"/>
                <w:szCs w:val="21"/>
                <w:color w:val="auto"/>
              </w:rPr>
            </w:pPr>
          </w:p>
        </w:tc>
        <w:tc>
          <w:tcPr>
            <w:tcW w:w="128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20"/>
                <w:szCs w:val="20"/>
                <w:color w:val="auto"/>
              </w:rPr>
              <w:t>(87,239)</w:t>
            </w:r>
          </w:p>
        </w:tc>
        <w:tc>
          <w:tcPr>
            <w:tcW w:w="100" w:type="dxa"/>
            <w:vAlign w:val="bottom"/>
            <w:shd w:val="clear" w:color="auto" w:fill="E3E3E3"/>
          </w:tcPr>
          <w:p>
            <w:pPr>
              <w:spacing w:after="0"/>
              <w:rPr>
                <w:sz w:val="21"/>
                <w:szCs w:val="21"/>
                <w:color w:val="auto"/>
              </w:rPr>
            </w:pPr>
          </w:p>
        </w:tc>
        <w:tc>
          <w:tcPr>
            <w:tcW w:w="11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(16,957)</w:t>
            </w:r>
          </w:p>
        </w:tc>
      </w:tr>
      <w:tr>
        <w:trPr>
          <w:trHeight w:val="234"/>
        </w:trPr>
        <w:tc>
          <w:tcPr>
            <w:tcW w:w="5580" w:type="dxa"/>
            <w:vAlign w:val="bottom"/>
            <w:tcBorders>
              <w:top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Net loss attributable to Definitive Healthcare Corp.</w:t>
            </w:r>
          </w:p>
        </w:tc>
        <w:tc>
          <w:tcPr>
            <w:tcW w:w="140" w:type="dxa"/>
            <w:vAlign w:val="bottom"/>
            <w:tcBorders>
              <w:top w:val="single" w:sz="8" w:color="FDFDFD"/>
            </w:tcBorders>
            <w:shd w:val="clear" w:color="auto" w:fill="FDFDFD"/>
          </w:tcPr>
          <w:p>
            <w:pPr>
              <w:spacing w:after="0"/>
              <w:rPr>
                <w:sz w:val="20"/>
                <w:szCs w:val="20"/>
                <w:color w:val="auto"/>
              </w:rPr>
            </w:pPr>
          </w:p>
        </w:tc>
        <w:tc>
          <w:tcPr>
            <w:tcW w:w="10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040" w:type="dxa"/>
            <w:vAlign w:val="bottom"/>
            <w:tcBorders>
              <w:top w:val="single" w:sz="8" w:color="auto"/>
              <w:bottom w:val="single" w:sz="8" w:color="auto"/>
            </w:tcBorders>
            <w:shd w:val="clear" w:color="auto" w:fill="FDFDFD"/>
          </w:tcPr>
          <w:p>
            <w:pPr>
              <w:ind w:left="320"/>
              <w:spacing w:after="0"/>
              <w:rPr>
                <w:sz w:val="20"/>
                <w:szCs w:val="20"/>
                <w:color w:val="auto"/>
              </w:rPr>
            </w:pPr>
            <w:r>
              <w:rPr>
                <w:rFonts w:ascii="Times New Roman" w:cs="Times New Roman" w:eastAsia="Times New Roman" w:hAnsi="Times New Roman"/>
                <w:sz w:val="20"/>
                <w:szCs w:val="20"/>
                <w:color w:val="auto"/>
                <w:highlight w:val="white"/>
                <w:w w:val="97"/>
              </w:rPr>
              <w:t>(413,124</w:t>
            </w:r>
          </w:p>
        </w:tc>
        <w:tc>
          <w:tcPr>
            <w:tcW w:w="240" w:type="dxa"/>
            <w:vAlign w:val="bottom"/>
            <w:tcBorders>
              <w:top w:val="single" w:sz="8" w:color="FDFDFD"/>
            </w:tcBorders>
            <w:shd w:val="clear" w:color="auto" w:fill="FDFDFD"/>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04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highlight w:val="white"/>
              </w:rPr>
              <w:t>(202,388</w:t>
            </w:r>
          </w:p>
        </w:tc>
        <w:tc>
          <w:tcPr>
            <w:tcW w:w="240" w:type="dxa"/>
            <w:vAlign w:val="bottom"/>
            <w:tcBorders>
              <w:top w:val="single" w:sz="8" w:color="FDFDFD"/>
            </w:tcBorders>
            <w:shd w:val="clear" w:color="auto" w:fill="FDFDFD"/>
          </w:tcPr>
          <w:p>
            <w:pPr>
              <w:jc w:val="right"/>
              <w:ind w:right="6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(7,222)</w:t>
            </w:r>
          </w:p>
        </w:tc>
        <w:tc>
          <w:tcPr>
            <w:tcW w:w="100" w:type="dxa"/>
            <w:vAlign w:val="bottom"/>
            <w:tcBorders>
              <w:top w:val="single" w:sz="8" w:color="FDFDFD"/>
            </w:tcBorders>
            <w:shd w:val="clear" w:color="auto" w:fill="FDFDFD"/>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sets forth the computation of basic and diluted net loss per share of Class A Common Stock:</w:t>
      </w:r>
    </w:p>
    <w:p>
      <w:pPr>
        <w:spacing w:after="0" w:line="232"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5120" w:type="dxa"/>
            <w:vAlign w:val="bottom"/>
            <w:tcBorders>
              <w:bottom w:val="single" w:sz="8" w:color="FDFDFD"/>
            </w:tcBorders>
            <w:shd w:val="clear" w:color="auto" w:fill="FDFDFD"/>
          </w:tcPr>
          <w:p>
            <w:pPr>
              <w:spacing w:after="0"/>
              <w:rPr>
                <w:sz w:val="17"/>
                <w:szCs w:val="17"/>
                <w:color w:val="auto"/>
              </w:rPr>
            </w:pPr>
          </w:p>
        </w:tc>
        <w:tc>
          <w:tcPr>
            <w:tcW w:w="140" w:type="dxa"/>
            <w:vAlign w:val="bottom"/>
            <w:tcBorders>
              <w:bottom w:val="single" w:sz="8" w:color="FDFDFD"/>
            </w:tcBorders>
            <w:shd w:val="clear" w:color="auto" w:fill="FDFDFD"/>
          </w:tcPr>
          <w:p>
            <w:pPr>
              <w:spacing w:after="0"/>
              <w:rPr>
                <w:sz w:val="17"/>
                <w:szCs w:val="17"/>
                <w:color w:val="auto"/>
              </w:rPr>
            </w:pPr>
          </w:p>
        </w:tc>
        <w:tc>
          <w:tcPr>
            <w:tcW w:w="140" w:type="dxa"/>
            <w:vAlign w:val="bottom"/>
            <w:tcBorders>
              <w:bottom w:val="single" w:sz="8" w:color="auto"/>
            </w:tcBorders>
            <w:shd w:val="clear" w:color="auto" w:fill="FDFDFD"/>
          </w:tcPr>
          <w:p>
            <w:pPr>
              <w:spacing w:after="0"/>
              <w:rPr>
                <w:sz w:val="17"/>
                <w:szCs w:val="17"/>
                <w:color w:val="auto"/>
              </w:rPr>
            </w:pPr>
          </w:p>
        </w:tc>
        <w:tc>
          <w:tcPr>
            <w:tcW w:w="116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auto"/>
            </w:tcBorders>
            <w:shd w:val="clear" w:color="auto" w:fill="FDFDFD"/>
          </w:tcPr>
          <w:p>
            <w:pPr>
              <w:spacing w:after="0"/>
              <w:rPr>
                <w:sz w:val="17"/>
                <w:szCs w:val="17"/>
                <w:color w:val="auto"/>
              </w:rPr>
            </w:pPr>
          </w:p>
        </w:tc>
        <w:tc>
          <w:tcPr>
            <w:tcW w:w="140" w:type="dxa"/>
            <w:vAlign w:val="bottom"/>
            <w:tcBorders>
              <w:bottom w:val="single" w:sz="8" w:color="auto"/>
            </w:tcBorders>
            <w:shd w:val="clear" w:color="auto" w:fill="FDFDFD"/>
          </w:tcPr>
          <w:p>
            <w:pPr>
              <w:spacing w:after="0"/>
              <w:rPr>
                <w:sz w:val="17"/>
                <w:szCs w:val="17"/>
                <w:color w:val="auto"/>
              </w:rPr>
            </w:pPr>
          </w:p>
        </w:tc>
        <w:tc>
          <w:tcPr>
            <w:tcW w:w="140" w:type="dxa"/>
            <w:vAlign w:val="bottom"/>
            <w:tcBorders>
              <w:bottom w:val="single" w:sz="8" w:color="auto"/>
            </w:tcBorders>
            <w:shd w:val="clear" w:color="auto" w:fill="FDFDFD"/>
          </w:tcPr>
          <w:p>
            <w:pPr>
              <w:spacing w:after="0"/>
              <w:rPr>
                <w:sz w:val="17"/>
                <w:szCs w:val="17"/>
                <w:color w:val="auto"/>
              </w:rPr>
            </w:pPr>
          </w:p>
        </w:tc>
        <w:tc>
          <w:tcPr>
            <w:tcW w:w="1240" w:type="dxa"/>
            <w:vAlign w:val="bottom"/>
            <w:tcBorders>
              <w:bottom w:val="single" w:sz="8" w:color="auto"/>
            </w:tcBorders>
            <w:gridSpan w:val="2"/>
            <w:shd w:val="clear" w:color="auto" w:fill="FDFDFD"/>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60" w:type="dxa"/>
            <w:vAlign w:val="bottom"/>
            <w:tcBorders>
              <w:bottom w:val="single" w:sz="8" w:color="auto"/>
            </w:tcBorders>
            <w:shd w:val="clear" w:color="auto" w:fill="FDFDFD"/>
          </w:tcPr>
          <w:p>
            <w:pPr>
              <w:spacing w:after="0"/>
              <w:rPr>
                <w:sz w:val="17"/>
                <w:szCs w:val="17"/>
                <w:color w:val="auto"/>
              </w:rPr>
            </w:pPr>
          </w:p>
        </w:tc>
        <w:tc>
          <w:tcPr>
            <w:tcW w:w="140" w:type="dxa"/>
            <w:vAlign w:val="bottom"/>
            <w:tcBorders>
              <w:bottom w:val="single" w:sz="8" w:color="auto"/>
            </w:tcBorders>
            <w:shd w:val="clear" w:color="auto" w:fill="FDFDFD"/>
          </w:tcPr>
          <w:p>
            <w:pPr>
              <w:spacing w:after="0"/>
              <w:rPr>
                <w:sz w:val="17"/>
                <w:szCs w:val="17"/>
                <w:color w:val="auto"/>
              </w:rPr>
            </w:pPr>
          </w:p>
        </w:tc>
        <w:tc>
          <w:tcPr>
            <w:tcW w:w="114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54"/>
        </w:trPr>
        <w:tc>
          <w:tcPr>
            <w:tcW w:w="512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160" w:type="dxa"/>
            <w:vAlign w:val="bottom"/>
            <w:shd w:val="clear" w:color="auto" w:fill="FDFDFD"/>
          </w:tcPr>
          <w:p>
            <w:pPr>
              <w:jc w:val="right"/>
              <w:ind w:right="88"/>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140" w:type="dxa"/>
            <w:vAlign w:val="bottom"/>
            <w:shd w:val="clear" w:color="auto" w:fill="FDFDFD"/>
          </w:tcPr>
          <w:p>
            <w:pPr>
              <w:jc w:val="center"/>
              <w:ind w:right="3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140" w:type="dxa"/>
            <w:vAlign w:val="bottom"/>
            <w:shd w:val="clear" w:color="auto" w:fill="FDFDFD"/>
          </w:tcPr>
          <w:p>
            <w:pPr>
              <w:spacing w:after="0"/>
              <w:rPr>
                <w:sz w:val="13"/>
                <w:szCs w:val="13"/>
                <w:color w:val="auto"/>
              </w:rPr>
            </w:pPr>
          </w:p>
        </w:tc>
        <w:tc>
          <w:tcPr>
            <w:tcW w:w="1140" w:type="dxa"/>
            <w:vAlign w:val="bottom"/>
            <w:shd w:val="clear" w:color="auto" w:fill="FDFDFD"/>
          </w:tcPr>
          <w:p>
            <w:pPr>
              <w:jc w:val="right"/>
              <w:ind w:right="88"/>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shd w:val="clear" w:color="auto" w:fill="FDFDFD"/>
          </w:tcPr>
          <w:p>
            <w:pPr>
              <w:spacing w:after="0"/>
              <w:rPr>
                <w:sz w:val="13"/>
                <w:szCs w:val="13"/>
                <w:color w:val="auto"/>
              </w:rPr>
            </w:pPr>
          </w:p>
        </w:tc>
      </w:tr>
      <w:tr>
        <w:trPr>
          <w:trHeight w:val="194"/>
        </w:trPr>
        <w:tc>
          <w:tcPr>
            <w:tcW w:w="512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number of shares and per share amounts)</w:t>
            </w:r>
          </w:p>
        </w:tc>
        <w:tc>
          <w:tcPr>
            <w:tcW w:w="140" w:type="dxa"/>
            <w:vAlign w:val="bottom"/>
            <w:tcBorders>
              <w:bottom w:val="single" w:sz="8" w:color="FDFDFD"/>
            </w:tcBorders>
            <w:shd w:val="clear" w:color="auto" w:fill="FDFDFD"/>
          </w:tcPr>
          <w:p>
            <w:pPr>
              <w:spacing w:after="0"/>
              <w:rPr>
                <w:sz w:val="16"/>
                <w:szCs w:val="16"/>
                <w:color w:val="auto"/>
              </w:rPr>
            </w:pPr>
          </w:p>
        </w:tc>
        <w:tc>
          <w:tcPr>
            <w:tcW w:w="140" w:type="dxa"/>
            <w:vAlign w:val="bottom"/>
            <w:tcBorders>
              <w:bottom w:val="single" w:sz="8" w:color="auto"/>
            </w:tcBorders>
            <w:shd w:val="clear" w:color="auto" w:fill="FDFDFD"/>
          </w:tcPr>
          <w:p>
            <w:pPr>
              <w:spacing w:after="0"/>
              <w:rPr>
                <w:sz w:val="16"/>
                <w:szCs w:val="16"/>
                <w:color w:val="auto"/>
              </w:rPr>
            </w:pPr>
          </w:p>
        </w:tc>
        <w:tc>
          <w:tcPr>
            <w:tcW w:w="1160" w:type="dxa"/>
            <w:vAlign w:val="bottom"/>
            <w:tcBorders>
              <w:bottom w:val="single" w:sz="8" w:color="auto"/>
            </w:tcBorders>
            <w:shd w:val="clear" w:color="auto" w:fill="FDFDFD"/>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FDFDFD"/>
            </w:tcBorders>
            <w:shd w:val="clear" w:color="auto" w:fill="FDFDFD"/>
          </w:tcPr>
          <w:p>
            <w:pPr>
              <w:spacing w:after="0"/>
              <w:rPr>
                <w:sz w:val="16"/>
                <w:szCs w:val="16"/>
                <w:color w:val="auto"/>
              </w:rPr>
            </w:pPr>
          </w:p>
        </w:tc>
        <w:tc>
          <w:tcPr>
            <w:tcW w:w="140" w:type="dxa"/>
            <w:vAlign w:val="bottom"/>
            <w:tcBorders>
              <w:bottom w:val="single" w:sz="8" w:color="FDFDFD"/>
            </w:tcBorders>
            <w:shd w:val="clear" w:color="auto" w:fill="FDFDFD"/>
          </w:tcPr>
          <w:p>
            <w:pPr>
              <w:spacing w:after="0"/>
              <w:rPr>
                <w:sz w:val="16"/>
                <w:szCs w:val="16"/>
                <w:color w:val="auto"/>
              </w:rPr>
            </w:pPr>
          </w:p>
        </w:tc>
        <w:tc>
          <w:tcPr>
            <w:tcW w:w="140" w:type="dxa"/>
            <w:vAlign w:val="bottom"/>
            <w:tcBorders>
              <w:bottom w:val="single" w:sz="8" w:color="auto"/>
            </w:tcBorders>
            <w:shd w:val="clear" w:color="auto" w:fill="FDFDFD"/>
          </w:tcPr>
          <w:p>
            <w:pPr>
              <w:spacing w:after="0"/>
              <w:rPr>
                <w:sz w:val="16"/>
                <w:szCs w:val="16"/>
                <w:color w:val="auto"/>
              </w:rPr>
            </w:pPr>
          </w:p>
        </w:tc>
        <w:tc>
          <w:tcPr>
            <w:tcW w:w="1140" w:type="dxa"/>
            <w:vAlign w:val="bottom"/>
            <w:tcBorders>
              <w:bottom w:val="single" w:sz="8" w:color="auto"/>
            </w:tcBorders>
            <w:shd w:val="clear" w:color="auto" w:fill="FDFDFD"/>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FDFDFD"/>
            </w:tcBorders>
            <w:shd w:val="clear" w:color="auto" w:fill="FDFDFD"/>
          </w:tcPr>
          <w:p>
            <w:pPr>
              <w:spacing w:after="0"/>
              <w:rPr>
                <w:sz w:val="16"/>
                <w:szCs w:val="16"/>
                <w:color w:val="auto"/>
              </w:rPr>
            </w:pPr>
          </w:p>
        </w:tc>
        <w:tc>
          <w:tcPr>
            <w:tcW w:w="160" w:type="dxa"/>
            <w:vAlign w:val="bottom"/>
            <w:tcBorders>
              <w:bottom w:val="single" w:sz="8" w:color="FDFDFD"/>
            </w:tcBorders>
            <w:shd w:val="clear" w:color="auto" w:fill="FDFDFD"/>
          </w:tcPr>
          <w:p>
            <w:pPr>
              <w:spacing w:after="0"/>
              <w:rPr>
                <w:sz w:val="16"/>
                <w:szCs w:val="16"/>
                <w:color w:val="auto"/>
              </w:rPr>
            </w:pPr>
          </w:p>
        </w:tc>
        <w:tc>
          <w:tcPr>
            <w:tcW w:w="140" w:type="dxa"/>
            <w:vAlign w:val="bottom"/>
            <w:tcBorders>
              <w:bottom w:val="single" w:sz="8" w:color="auto"/>
            </w:tcBorders>
            <w:shd w:val="clear" w:color="auto" w:fill="FDFDFD"/>
          </w:tcPr>
          <w:p>
            <w:pPr>
              <w:spacing w:after="0"/>
              <w:rPr>
                <w:sz w:val="16"/>
                <w:szCs w:val="16"/>
                <w:color w:val="auto"/>
              </w:rPr>
            </w:pPr>
          </w:p>
        </w:tc>
        <w:tc>
          <w:tcPr>
            <w:tcW w:w="1140" w:type="dxa"/>
            <w:vAlign w:val="bottom"/>
            <w:tcBorders>
              <w:bottom w:val="single" w:sz="8" w:color="auto"/>
            </w:tcBorders>
            <w:shd w:val="clear" w:color="auto" w:fill="FDFDFD"/>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FDFDFD"/>
            </w:tcBorders>
            <w:shd w:val="clear" w:color="auto" w:fill="FDFDFD"/>
          </w:tcPr>
          <w:p>
            <w:pPr>
              <w:spacing w:after="0"/>
              <w:rPr>
                <w:sz w:val="16"/>
                <w:szCs w:val="16"/>
                <w:color w:val="auto"/>
              </w:rPr>
            </w:pPr>
          </w:p>
        </w:tc>
      </w:tr>
      <w:tr>
        <w:trPr>
          <w:trHeight w:val="206"/>
        </w:trPr>
        <w:tc>
          <w:tcPr>
            <w:tcW w:w="5120" w:type="dxa"/>
            <w:vAlign w:val="bottom"/>
            <w:shd w:val="clear" w:color="auto" w:fill="FDFDFD"/>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Basic net loss per share attributable to common</w:t>
            </w:r>
          </w:p>
        </w:tc>
        <w:tc>
          <w:tcPr>
            <w:tcW w:w="14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16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1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14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r>
      <w:tr>
        <w:trPr>
          <w:trHeight w:val="254"/>
        </w:trPr>
        <w:tc>
          <w:tcPr>
            <w:tcW w:w="51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auto"/>
              </w:rPr>
              <w:t>stockholders</w:t>
            </w:r>
          </w:p>
        </w:tc>
        <w:tc>
          <w:tcPr>
            <w:tcW w:w="140" w:type="dxa"/>
            <w:vAlign w:val="bottom"/>
            <w:shd w:val="clear" w:color="auto" w:fill="FDFDFD"/>
          </w:tcPr>
          <w:p>
            <w:pPr>
              <w:spacing w:after="0"/>
              <w:rPr>
                <w:sz w:val="22"/>
                <w:szCs w:val="22"/>
                <w:color w:val="auto"/>
              </w:rPr>
            </w:pPr>
          </w:p>
        </w:tc>
        <w:tc>
          <w:tcPr>
            <w:tcW w:w="140" w:type="dxa"/>
            <w:vAlign w:val="bottom"/>
            <w:shd w:val="clear" w:color="auto" w:fill="FDFDFD"/>
          </w:tcPr>
          <w:p>
            <w:pPr>
              <w:spacing w:after="0"/>
              <w:rPr>
                <w:sz w:val="22"/>
                <w:szCs w:val="22"/>
                <w:color w:val="auto"/>
              </w:rPr>
            </w:pPr>
          </w:p>
        </w:tc>
        <w:tc>
          <w:tcPr>
            <w:tcW w:w="116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140" w:type="dxa"/>
            <w:vAlign w:val="bottom"/>
            <w:shd w:val="clear" w:color="auto" w:fill="FDFDFD"/>
          </w:tcPr>
          <w:p>
            <w:pPr>
              <w:spacing w:after="0"/>
              <w:rPr>
                <w:sz w:val="22"/>
                <w:szCs w:val="22"/>
                <w:color w:val="auto"/>
              </w:rPr>
            </w:pPr>
          </w:p>
        </w:tc>
        <w:tc>
          <w:tcPr>
            <w:tcW w:w="140" w:type="dxa"/>
            <w:vAlign w:val="bottom"/>
            <w:shd w:val="clear" w:color="auto" w:fill="FDFDFD"/>
          </w:tcPr>
          <w:p>
            <w:pPr>
              <w:spacing w:after="0"/>
              <w:rPr>
                <w:sz w:val="22"/>
                <w:szCs w:val="22"/>
                <w:color w:val="auto"/>
              </w:rPr>
            </w:pPr>
          </w:p>
        </w:tc>
        <w:tc>
          <w:tcPr>
            <w:tcW w:w="114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160" w:type="dxa"/>
            <w:vAlign w:val="bottom"/>
            <w:shd w:val="clear" w:color="auto" w:fill="FDFDFD"/>
          </w:tcPr>
          <w:p>
            <w:pPr>
              <w:spacing w:after="0"/>
              <w:rPr>
                <w:sz w:val="22"/>
                <w:szCs w:val="22"/>
                <w:color w:val="auto"/>
              </w:rPr>
            </w:pPr>
          </w:p>
        </w:tc>
        <w:tc>
          <w:tcPr>
            <w:tcW w:w="140" w:type="dxa"/>
            <w:vAlign w:val="bottom"/>
            <w:shd w:val="clear" w:color="auto" w:fill="FDFDFD"/>
          </w:tcPr>
          <w:p>
            <w:pPr>
              <w:spacing w:after="0"/>
              <w:rPr>
                <w:sz w:val="22"/>
                <w:szCs w:val="22"/>
                <w:color w:val="auto"/>
              </w:rPr>
            </w:pPr>
          </w:p>
        </w:tc>
        <w:tc>
          <w:tcPr>
            <w:tcW w:w="114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r>
      <w:tr>
        <w:trPr>
          <w:trHeight w:val="230"/>
        </w:trPr>
        <w:tc>
          <w:tcPr>
            <w:tcW w:w="51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14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1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1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1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09"/>
        </w:trPr>
        <w:tc>
          <w:tcPr>
            <w:tcW w:w="5120" w:type="dxa"/>
            <w:vAlign w:val="bottom"/>
            <w:shd w:val="clear" w:color="auto" w:fill="FDFDFD"/>
          </w:tcPr>
          <w:p>
            <w:pPr>
              <w:spacing w:after="0" w:line="208" w:lineRule="exact"/>
              <w:rPr>
                <w:sz w:val="20"/>
                <w:szCs w:val="20"/>
                <w:color w:val="auto"/>
              </w:rPr>
            </w:pPr>
            <w:r>
              <w:rPr>
                <w:rFonts w:ascii="Times New Roman" w:cs="Times New Roman" w:eastAsia="Times New Roman" w:hAnsi="Times New Roman"/>
                <w:sz w:val="20"/>
                <w:szCs w:val="20"/>
                <w:color w:val="auto"/>
              </w:rPr>
              <w:t>Allocation of net loss attributable to Definitive Healthcare</w:t>
            </w:r>
          </w:p>
        </w:tc>
        <w:tc>
          <w:tcPr>
            <w:tcW w:w="14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116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114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6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114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r>
      <w:tr>
        <w:trPr>
          <w:trHeight w:val="251"/>
        </w:trPr>
        <w:tc>
          <w:tcPr>
            <w:tcW w:w="51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Corp.</w:t>
            </w:r>
          </w:p>
        </w:tc>
        <w:tc>
          <w:tcPr>
            <w:tcW w:w="2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(413,124)</w:t>
            </w:r>
          </w:p>
        </w:tc>
        <w:tc>
          <w:tcPr>
            <w:tcW w:w="2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auto"/>
              </w:rPr>
              <w:t>(202,388)</w:t>
            </w:r>
          </w:p>
        </w:tc>
        <w:tc>
          <w:tcPr>
            <w:tcW w:w="3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auto"/>
              </w:rPr>
              <w:t>(7,222)</w:t>
            </w:r>
          </w:p>
        </w:tc>
      </w:tr>
      <w:tr>
        <w:trPr>
          <w:trHeight w:val="230"/>
        </w:trPr>
        <w:tc>
          <w:tcPr>
            <w:tcW w:w="51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Weighted average number of shares of Class A outstanding</w:t>
            </w:r>
          </w:p>
        </w:tc>
        <w:tc>
          <w:tcPr>
            <w:tcW w:w="14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2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116,640,183</w:t>
            </w:r>
          </w:p>
        </w:tc>
        <w:tc>
          <w:tcPr>
            <w:tcW w:w="14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2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auto"/>
              </w:rPr>
              <w:t>112,764,537</w:t>
            </w:r>
          </w:p>
        </w:tc>
        <w:tc>
          <w:tcPr>
            <w:tcW w:w="16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101,114,105</w:t>
            </w:r>
          </w:p>
        </w:tc>
        <w:tc>
          <w:tcPr>
            <w:tcW w:w="100" w:type="dxa"/>
            <w:vAlign w:val="bottom"/>
            <w:shd w:val="clear" w:color="auto" w:fill="E3E3E3"/>
          </w:tcPr>
          <w:p>
            <w:pPr>
              <w:spacing w:after="0"/>
              <w:rPr>
                <w:sz w:val="19"/>
                <w:szCs w:val="19"/>
                <w:color w:val="auto"/>
              </w:rPr>
            </w:pPr>
          </w:p>
        </w:tc>
      </w:tr>
      <w:tr>
        <w:trPr>
          <w:trHeight w:val="220"/>
        </w:trPr>
        <w:tc>
          <w:tcPr>
            <w:tcW w:w="5120" w:type="dxa"/>
            <w:vAlign w:val="bottom"/>
            <w:tcBorders>
              <w:top w:val="single" w:sz="8" w:color="FDFDFD"/>
            </w:tcBorders>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auto"/>
              </w:rPr>
              <w:t>Net loss per share, basic and diluted</w:t>
            </w:r>
          </w:p>
        </w:tc>
        <w:tc>
          <w:tcPr>
            <w:tcW w:w="140" w:type="dxa"/>
            <w:vAlign w:val="bottom"/>
            <w:tcBorders>
              <w:top w:val="single" w:sz="8" w:color="FDFDFD"/>
            </w:tcBorders>
            <w:shd w:val="clear" w:color="auto" w:fill="FDFDFD"/>
          </w:tcPr>
          <w:p>
            <w:pPr>
              <w:spacing w:after="0"/>
              <w:rPr>
                <w:sz w:val="19"/>
                <w:szCs w:val="19"/>
                <w:color w:val="auto"/>
              </w:rPr>
            </w:pPr>
          </w:p>
        </w:tc>
        <w:tc>
          <w:tcPr>
            <w:tcW w:w="14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(3.54)</w:t>
            </w:r>
          </w:p>
        </w:tc>
        <w:tc>
          <w:tcPr>
            <w:tcW w:w="100" w:type="dxa"/>
            <w:vAlign w:val="bottom"/>
            <w:tcBorders>
              <w:top w:val="single" w:sz="8" w:color="FDFDFD"/>
            </w:tcBorders>
            <w:shd w:val="clear" w:color="auto" w:fill="FDFDFD"/>
          </w:tcPr>
          <w:p>
            <w:pPr>
              <w:spacing w:after="0"/>
              <w:rPr>
                <w:sz w:val="19"/>
                <w:szCs w:val="19"/>
                <w:color w:val="auto"/>
              </w:rPr>
            </w:pPr>
          </w:p>
        </w:tc>
        <w:tc>
          <w:tcPr>
            <w:tcW w:w="140" w:type="dxa"/>
            <w:vAlign w:val="bottom"/>
            <w:tcBorders>
              <w:top w:val="single" w:sz="8" w:color="FDFDFD"/>
            </w:tcBorders>
            <w:shd w:val="clear" w:color="auto" w:fill="FDFDFD"/>
          </w:tcPr>
          <w:p>
            <w:pPr>
              <w:spacing w:after="0"/>
              <w:rPr>
                <w:sz w:val="19"/>
                <w:szCs w:val="19"/>
                <w:color w:val="auto"/>
              </w:rPr>
            </w:pPr>
          </w:p>
        </w:tc>
        <w:tc>
          <w:tcPr>
            <w:tcW w:w="14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(1.79)</w:t>
            </w:r>
          </w:p>
        </w:tc>
        <w:tc>
          <w:tcPr>
            <w:tcW w:w="100" w:type="dxa"/>
            <w:vAlign w:val="bottom"/>
            <w:tcBorders>
              <w:top w:val="single" w:sz="8" w:color="FDFDFD"/>
            </w:tcBorders>
            <w:shd w:val="clear" w:color="auto" w:fill="FDFDFD"/>
          </w:tcPr>
          <w:p>
            <w:pPr>
              <w:spacing w:after="0"/>
              <w:rPr>
                <w:sz w:val="19"/>
                <w:szCs w:val="19"/>
                <w:color w:val="auto"/>
              </w:rPr>
            </w:pPr>
          </w:p>
        </w:tc>
        <w:tc>
          <w:tcPr>
            <w:tcW w:w="160" w:type="dxa"/>
            <w:vAlign w:val="bottom"/>
            <w:tcBorders>
              <w:top w:val="single" w:sz="8" w:color="FDFDFD"/>
            </w:tcBorders>
            <w:shd w:val="clear" w:color="auto" w:fill="FDFDFD"/>
          </w:tcPr>
          <w:p>
            <w:pPr>
              <w:spacing w:after="0"/>
              <w:rPr>
                <w:sz w:val="19"/>
                <w:szCs w:val="19"/>
                <w:color w:val="auto"/>
              </w:rPr>
            </w:pPr>
          </w:p>
        </w:tc>
        <w:tc>
          <w:tcPr>
            <w:tcW w:w="14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auto"/>
              </w:rPr>
              <w:t>(0.07)</w:t>
            </w:r>
          </w:p>
        </w:tc>
        <w:tc>
          <w:tcPr>
            <w:tcW w:w="100" w:type="dxa"/>
            <w:vAlign w:val="bottom"/>
            <w:tcBorders>
              <w:top w:val="single" w:sz="8" w:color="FDFDFD"/>
            </w:tcBorders>
            <w:shd w:val="clear" w:color="auto" w:fill="FDFDFD"/>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ind w:right="320" w:firstLine="490"/>
        <w:spacing w:after="0" w:line="259" w:lineRule="auto"/>
        <w:rPr>
          <w:sz w:val="20"/>
          <w:szCs w:val="20"/>
          <w:color w:val="auto"/>
        </w:rPr>
      </w:pPr>
      <w:r>
        <w:rPr>
          <w:rFonts w:ascii="Times New Roman" w:cs="Times New Roman" w:eastAsia="Times New Roman" w:hAnsi="Times New Roman"/>
          <w:sz w:val="20"/>
          <w:szCs w:val="20"/>
          <w:color w:val="auto"/>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65" w:lineRule="exact"/>
        <w:rPr>
          <w:sz w:val="20"/>
          <w:szCs w:val="20"/>
          <w:color w:val="auto"/>
        </w:rPr>
      </w:pPr>
    </w:p>
    <w:p>
      <w:pPr>
        <w:ind w:right="60" w:firstLine="490"/>
        <w:spacing w:after="0" w:line="279" w:lineRule="auto"/>
        <w:rPr>
          <w:sz w:val="20"/>
          <w:szCs w:val="20"/>
          <w:color w:val="auto"/>
        </w:rPr>
      </w:pPr>
      <w:r>
        <w:rPr>
          <w:rFonts w:ascii="Times New Roman" w:cs="Times New Roman" w:eastAsia="Times New Roman" w:hAnsi="Times New Roman"/>
          <w:sz w:val="20"/>
          <w:szCs w:val="20"/>
          <w:color w:val="auto"/>
        </w:rPr>
        <w:t>The following table presents potentially dilutive securities which were excluded from the computation of diluted net loss per share for the periods presented because their effects on net loss per share would have been anti-dilutive:</w:t>
      </w:r>
    </w:p>
    <w:p>
      <w:pPr>
        <w:spacing w:after="0" w:line="177"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5120" w:type="dxa"/>
            <w:vAlign w:val="bottom"/>
            <w:tcBorders>
              <w:bottom w:val="single" w:sz="8" w:color="FDFDFD"/>
            </w:tcBorders>
            <w:shd w:val="clear" w:color="auto" w:fill="FDFDFD"/>
          </w:tcPr>
          <w:p>
            <w:pPr>
              <w:spacing w:after="0"/>
              <w:rPr>
                <w:sz w:val="19"/>
                <w:szCs w:val="19"/>
                <w:color w:val="auto"/>
              </w:rPr>
            </w:pPr>
          </w:p>
        </w:tc>
        <w:tc>
          <w:tcPr>
            <w:tcW w:w="100" w:type="dxa"/>
            <w:vAlign w:val="bottom"/>
            <w:tcBorders>
              <w:bottom w:val="single" w:sz="8" w:color="FDFDFD"/>
            </w:tcBorders>
            <w:shd w:val="clear" w:color="auto" w:fill="FDFDFD"/>
          </w:tcPr>
          <w:p>
            <w:pPr>
              <w:spacing w:after="0"/>
              <w:rPr>
                <w:sz w:val="19"/>
                <w:szCs w:val="19"/>
                <w:color w:val="auto"/>
              </w:rPr>
            </w:pPr>
          </w:p>
        </w:tc>
        <w:tc>
          <w:tcPr>
            <w:tcW w:w="1340" w:type="dxa"/>
            <w:vAlign w:val="bottom"/>
            <w:tcBorders>
              <w:bottom w:val="single" w:sz="8" w:color="auto"/>
            </w:tcBorders>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spacing w:after="0"/>
              <w:rPr>
                <w:sz w:val="19"/>
                <w:szCs w:val="19"/>
                <w:color w:val="auto"/>
              </w:rPr>
            </w:pPr>
          </w:p>
        </w:tc>
        <w:tc>
          <w:tcPr>
            <w:tcW w:w="1420" w:type="dxa"/>
            <w:vAlign w:val="bottom"/>
            <w:tcBorders>
              <w:bottom w:val="single" w:sz="8" w:color="auto"/>
            </w:tcBorders>
            <w:gridSpan w:val="2"/>
            <w:shd w:val="clear" w:color="auto" w:fill="FDFDFD"/>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Borders>
              <w:bottom w:val="single" w:sz="8" w:color="auto"/>
            </w:tcBorders>
            <w:shd w:val="clear" w:color="auto" w:fill="FDFDFD"/>
          </w:tcPr>
          <w:p>
            <w:pPr>
              <w:spacing w:after="0"/>
              <w:rPr>
                <w:sz w:val="19"/>
                <w:szCs w:val="19"/>
                <w:color w:val="auto"/>
              </w:rPr>
            </w:pPr>
          </w:p>
        </w:tc>
        <w:tc>
          <w:tcPr>
            <w:tcW w:w="1340" w:type="dxa"/>
            <w:vAlign w:val="bottom"/>
            <w:tcBorders>
              <w:bottom w:val="single" w:sz="8" w:color="auto"/>
            </w:tcBorders>
            <w:shd w:val="clear" w:color="auto" w:fill="FDFDFD"/>
          </w:tcPr>
          <w:p>
            <w:pPr>
              <w:spacing w:after="0"/>
              <w:rPr>
                <w:sz w:val="19"/>
                <w:szCs w:val="19"/>
                <w:color w:val="auto"/>
              </w:rPr>
            </w:pPr>
          </w:p>
        </w:tc>
        <w:tc>
          <w:tcPr>
            <w:tcW w:w="100" w:type="dxa"/>
            <w:vAlign w:val="bottom"/>
            <w:tcBorders>
              <w:bottom w:val="single" w:sz="8" w:color="FDFDFD"/>
            </w:tcBorders>
            <w:shd w:val="clear" w:color="auto" w:fill="FDFDFD"/>
          </w:tcPr>
          <w:p>
            <w:pPr>
              <w:spacing w:after="0"/>
              <w:rPr>
                <w:sz w:val="19"/>
                <w:szCs w:val="19"/>
                <w:color w:val="auto"/>
              </w:rPr>
            </w:pPr>
          </w:p>
        </w:tc>
      </w:tr>
      <w:tr>
        <w:trPr>
          <w:trHeight w:val="220"/>
        </w:trPr>
        <w:tc>
          <w:tcPr>
            <w:tcW w:w="5120" w:type="dxa"/>
            <w:vAlign w:val="bottom"/>
            <w:tcBorders>
              <w:bottom w:val="single" w:sz="8" w:color="E3E3E3"/>
            </w:tcBorders>
            <w:shd w:val="clear" w:color="auto" w:fill="FDFDFD"/>
          </w:tcPr>
          <w:p>
            <w:pPr>
              <w:spacing w:after="0"/>
              <w:rPr>
                <w:sz w:val="19"/>
                <w:szCs w:val="19"/>
                <w:color w:val="auto"/>
              </w:rPr>
            </w:pPr>
          </w:p>
        </w:tc>
        <w:tc>
          <w:tcPr>
            <w:tcW w:w="100" w:type="dxa"/>
            <w:vAlign w:val="bottom"/>
            <w:tcBorders>
              <w:bottom w:val="single" w:sz="8" w:color="E3E3E3"/>
            </w:tcBorders>
            <w:shd w:val="clear" w:color="auto" w:fill="FDFDFD"/>
          </w:tcPr>
          <w:p>
            <w:pPr>
              <w:spacing w:after="0"/>
              <w:rPr>
                <w:sz w:val="19"/>
                <w:szCs w:val="19"/>
                <w:color w:val="auto"/>
              </w:rPr>
            </w:pPr>
          </w:p>
        </w:tc>
        <w:tc>
          <w:tcPr>
            <w:tcW w:w="134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highlight w:val="white"/>
              </w:rPr>
              <w:t>December 31, 2024</w:t>
            </w:r>
          </w:p>
        </w:tc>
        <w:tc>
          <w:tcPr>
            <w:tcW w:w="100" w:type="dxa"/>
            <w:vAlign w:val="bottom"/>
            <w:tcBorders>
              <w:bottom w:val="single" w:sz="8" w:color="E3E3E3"/>
            </w:tcBorders>
            <w:shd w:val="clear" w:color="auto" w:fill="FDFDFD"/>
          </w:tcPr>
          <w:p>
            <w:pPr>
              <w:spacing w:after="0"/>
              <w:rPr>
                <w:sz w:val="19"/>
                <w:szCs w:val="19"/>
                <w:color w:val="auto"/>
              </w:rPr>
            </w:pPr>
          </w:p>
        </w:tc>
        <w:tc>
          <w:tcPr>
            <w:tcW w:w="100" w:type="dxa"/>
            <w:vAlign w:val="bottom"/>
            <w:tcBorders>
              <w:bottom w:val="single" w:sz="8" w:color="E3E3E3"/>
            </w:tcBorders>
            <w:shd w:val="clear" w:color="auto" w:fill="FDFDFD"/>
          </w:tcPr>
          <w:p>
            <w:pPr>
              <w:spacing w:after="0"/>
              <w:rPr>
                <w:sz w:val="19"/>
                <w:szCs w:val="19"/>
                <w:color w:val="auto"/>
              </w:rPr>
            </w:pPr>
          </w:p>
        </w:tc>
        <w:tc>
          <w:tcPr>
            <w:tcW w:w="132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100" w:type="dxa"/>
            <w:vAlign w:val="bottom"/>
            <w:tcBorders>
              <w:bottom w:val="single" w:sz="8" w:color="E3E3E3"/>
            </w:tcBorders>
            <w:shd w:val="clear" w:color="auto" w:fill="FDFDFD"/>
          </w:tcPr>
          <w:p>
            <w:pPr>
              <w:spacing w:after="0"/>
              <w:rPr>
                <w:sz w:val="19"/>
                <w:szCs w:val="19"/>
                <w:color w:val="auto"/>
              </w:rPr>
            </w:pPr>
          </w:p>
        </w:tc>
        <w:tc>
          <w:tcPr>
            <w:tcW w:w="100" w:type="dxa"/>
            <w:vAlign w:val="bottom"/>
            <w:tcBorders>
              <w:bottom w:val="single" w:sz="8" w:color="E3E3E3"/>
            </w:tcBorders>
            <w:shd w:val="clear" w:color="auto" w:fill="FDFDFD"/>
          </w:tcPr>
          <w:p>
            <w:pPr>
              <w:spacing w:after="0"/>
              <w:rPr>
                <w:sz w:val="19"/>
                <w:szCs w:val="19"/>
                <w:color w:val="auto"/>
              </w:rPr>
            </w:pPr>
          </w:p>
        </w:tc>
        <w:tc>
          <w:tcPr>
            <w:tcW w:w="134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51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Definitive OpCo units (vested and unvested)</w:t>
            </w:r>
          </w:p>
        </w:tc>
        <w:tc>
          <w:tcPr>
            <w:tcW w:w="100" w:type="dxa"/>
            <w:vAlign w:val="bottom"/>
            <w:shd w:val="clear" w:color="auto" w:fill="E3E3E3"/>
          </w:tcPr>
          <w:p>
            <w:pPr>
              <w:spacing w:after="0"/>
              <w:rPr>
                <w:sz w:val="19"/>
                <w:szCs w:val="19"/>
                <w:color w:val="auto"/>
              </w:rPr>
            </w:pPr>
          </w:p>
        </w:tc>
        <w:tc>
          <w:tcPr>
            <w:tcW w:w="13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39,439,198</w:t>
            </w: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39,762,700</w:t>
            </w: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50,433,101</w:t>
            </w:r>
          </w:p>
        </w:tc>
        <w:tc>
          <w:tcPr>
            <w:tcW w:w="100" w:type="dxa"/>
            <w:vAlign w:val="bottom"/>
            <w:shd w:val="clear" w:color="auto" w:fill="E3E3E3"/>
          </w:tcPr>
          <w:p>
            <w:pPr>
              <w:spacing w:after="0"/>
              <w:rPr>
                <w:sz w:val="19"/>
                <w:szCs w:val="19"/>
                <w:color w:val="auto"/>
              </w:rPr>
            </w:pPr>
          </w:p>
        </w:tc>
      </w:tr>
      <w:tr>
        <w:trPr>
          <w:trHeight w:val="230"/>
        </w:trPr>
        <w:tc>
          <w:tcPr>
            <w:tcW w:w="51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00" w:type="dxa"/>
            <w:vAlign w:val="bottom"/>
            <w:shd w:val="clear" w:color="auto" w:fill="FDFDFD"/>
          </w:tcPr>
          <w:p>
            <w:pPr>
              <w:spacing w:after="0"/>
              <w:rPr>
                <w:sz w:val="19"/>
                <w:szCs w:val="19"/>
                <w:color w:val="auto"/>
              </w:rPr>
            </w:pPr>
          </w:p>
        </w:tc>
        <w:tc>
          <w:tcPr>
            <w:tcW w:w="13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9,105,791</w:t>
            </w: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6,828,490</w:t>
            </w: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3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3,563,387</w:t>
            </w:r>
          </w:p>
        </w:tc>
        <w:tc>
          <w:tcPr>
            <w:tcW w:w="100" w:type="dxa"/>
            <w:vAlign w:val="bottom"/>
            <w:shd w:val="clear" w:color="auto" w:fill="FDFDFD"/>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F-50</w:t>
      </w:r>
    </w:p>
    <w:p>
      <w:pPr>
        <w:sectPr>
          <w:pgSz w:w="11880" w:h="15480" w:orient="portrait"/>
          <w:cols w:equalWidth="0" w:num="1">
            <w:col w:w="10220"/>
          </w:cols>
          <w:pgMar w:left="820" w:top="803" w:right="840" w:bottom="8" w:gutter="0" w:footer="0" w:header="0"/>
          <w:type w:val="continuous"/>
        </w:sectPr>
      </w:pPr>
    </w:p>
    <w:bookmarkStart w:id="142" w:name="page143"/>
    <w:bookmarkEnd w:id="142"/>
    <w:p>
      <w:pPr>
        <w:ind w:left="500" w:hanging="492"/>
        <w:spacing w:after="0"/>
        <w:tabs>
          <w:tab w:leader="none" w:pos="5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and Geographic Data</w:t>
      </w:r>
    </w:p>
    <w:p>
      <w:pPr>
        <w:spacing w:after="0" w:line="123" w:lineRule="exact"/>
        <w:rPr>
          <w:sz w:val="20"/>
          <w:szCs w:val="20"/>
          <w:color w:val="auto"/>
        </w:rPr>
      </w:pPr>
    </w:p>
    <w:p>
      <w:pPr>
        <w:ind w:right="140" w:firstLine="490"/>
        <w:spacing w:after="0" w:line="243" w:lineRule="auto"/>
        <w:rPr>
          <w:sz w:val="20"/>
          <w:szCs w:val="20"/>
          <w:color w:val="auto"/>
        </w:rPr>
      </w:pPr>
      <w:r>
        <w:rPr>
          <w:rFonts w:ascii="Times New Roman" w:cs="Times New Roman" w:eastAsia="Times New Roman" w:hAnsi="Times New Roman"/>
          <w:sz w:val="20"/>
          <w:szCs w:val="20"/>
          <w:color w:val="auto"/>
        </w:rPr>
        <w:t xml:space="preserve">Operating segments are defined as components of an enterprise about which separate financial information is available that is evaluated regularly by the chief operating decision-maker (“CODM”) in deciding how to allocate resources and assess performance. The Company derives substantially all of its revenue from the sale of subscription fees for access to its platform and stand-ready support - a product designed to provide accurate and comprehensive information on healthcare providers and their activities helping its customers optimize everything from product development to go-to-market planning and sales and marketing execution. To assess performance, the Company’s CODM, the Chief Executive Officer, reviews financial information on a consolidated basis. Therefore, the Company determined it has one operating segment and one reportable segment. The accounting policies of the Company’s operating segment are the same as those described in Note 2. </w:t>
      </w:r>
      <w:r>
        <w:rPr>
          <w:rFonts w:ascii="Times New Roman" w:cs="Times New Roman" w:eastAsia="Times New Roman" w:hAnsi="Times New Roman"/>
          <w:sz w:val="20"/>
          <w:szCs w:val="20"/>
          <w:i w:val="1"/>
          <w:iCs w:val="1"/>
          <w:color w:val="auto"/>
        </w:rPr>
        <w:t>Summary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Significant Accounting Policies</w:t>
      </w:r>
      <w:r>
        <w:rPr>
          <w:rFonts w:ascii="Times New Roman" w:cs="Times New Roman" w:eastAsia="Times New Roman" w:hAnsi="Times New Roman"/>
          <w:sz w:val="20"/>
          <w:szCs w:val="20"/>
          <w:color w:val="auto"/>
        </w:rPr>
        <w:t>. The CODM uses consolidated net loss to set budgets, evaluate margins, review actual results,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to make decisions whether to reinvest profits into the business, pursue acquisitions and partnerships, repurchase shares, and/or engage in other capital management transactions.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4700" w:type="dxa"/>
            <w:vAlign w:val="bottom"/>
            <w:tcBorders>
              <w:top w:val="single" w:sz="8" w:color="FDFDFD"/>
              <w:bottom w:val="single" w:sz="8" w:color="FDFDFD"/>
            </w:tcBorders>
            <w:shd w:val="clear" w:color="auto" w:fill="FDFDFD"/>
          </w:tcPr>
          <w:p>
            <w:pPr>
              <w:spacing w:after="0"/>
              <w:rPr>
                <w:sz w:val="24"/>
                <w:szCs w:val="24"/>
                <w:color w:val="auto"/>
              </w:rPr>
            </w:pPr>
          </w:p>
        </w:tc>
        <w:tc>
          <w:tcPr>
            <w:tcW w:w="180" w:type="dxa"/>
            <w:vAlign w:val="bottom"/>
            <w:tcBorders>
              <w:top w:val="single" w:sz="8" w:color="FDFDFD"/>
              <w:bottom w:val="single" w:sz="8" w:color="FDFDFD"/>
            </w:tcBorders>
            <w:shd w:val="clear" w:color="auto" w:fill="FDFDFD"/>
          </w:tcPr>
          <w:p>
            <w:pPr>
              <w:spacing w:after="0"/>
              <w:rPr>
                <w:sz w:val="24"/>
                <w:szCs w:val="24"/>
                <w:color w:val="auto"/>
              </w:rPr>
            </w:pPr>
          </w:p>
        </w:tc>
        <w:tc>
          <w:tcPr>
            <w:tcW w:w="380" w:type="dxa"/>
            <w:vAlign w:val="bottom"/>
            <w:tcBorders>
              <w:top w:val="single" w:sz="8" w:color="auto"/>
              <w:bottom w:val="single" w:sz="8" w:color="auto"/>
            </w:tcBorders>
            <w:shd w:val="clear" w:color="auto" w:fill="FDFDFD"/>
          </w:tcPr>
          <w:p>
            <w:pPr>
              <w:spacing w:after="0"/>
              <w:rPr>
                <w:sz w:val="24"/>
                <w:szCs w:val="24"/>
                <w:color w:val="auto"/>
              </w:rPr>
            </w:pPr>
          </w:p>
        </w:tc>
        <w:tc>
          <w:tcPr>
            <w:tcW w:w="1240" w:type="dxa"/>
            <w:vAlign w:val="bottom"/>
            <w:tcBorders>
              <w:top w:val="single" w:sz="8" w:color="auto"/>
              <w:bottom w:val="single" w:sz="8" w:color="auto"/>
            </w:tcBorders>
            <w:shd w:val="clear" w:color="auto" w:fill="FDFDFD"/>
          </w:tcPr>
          <w:p>
            <w:pPr>
              <w:spacing w:after="0"/>
              <w:rPr>
                <w:sz w:val="24"/>
                <w:szCs w:val="24"/>
                <w:color w:val="auto"/>
              </w:rPr>
            </w:pPr>
          </w:p>
        </w:tc>
        <w:tc>
          <w:tcPr>
            <w:tcW w:w="100" w:type="dxa"/>
            <w:vAlign w:val="bottom"/>
            <w:tcBorders>
              <w:top w:val="single" w:sz="8" w:color="auto"/>
              <w:bottom w:val="single" w:sz="8" w:color="auto"/>
            </w:tcBorders>
            <w:shd w:val="clear" w:color="auto" w:fill="FDFDFD"/>
          </w:tcPr>
          <w:p>
            <w:pPr>
              <w:spacing w:after="0"/>
              <w:rPr>
                <w:sz w:val="24"/>
                <w:szCs w:val="24"/>
                <w:color w:val="auto"/>
              </w:rPr>
            </w:pPr>
          </w:p>
        </w:tc>
        <w:tc>
          <w:tcPr>
            <w:tcW w:w="1900" w:type="dxa"/>
            <w:vAlign w:val="bottom"/>
            <w:tcBorders>
              <w:top w:val="single" w:sz="8" w:color="auto"/>
              <w:bottom w:val="single" w:sz="8" w:color="auto"/>
            </w:tcBorders>
            <w:gridSpan w:val="5"/>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top w:val="single" w:sz="8" w:color="auto"/>
              <w:bottom w:val="single" w:sz="8" w:color="auto"/>
            </w:tcBorders>
            <w:shd w:val="clear" w:color="auto" w:fill="FDFDFD"/>
          </w:tcPr>
          <w:p>
            <w:pPr>
              <w:spacing w:after="0"/>
              <w:rPr>
                <w:sz w:val="24"/>
                <w:szCs w:val="24"/>
                <w:color w:val="auto"/>
              </w:rPr>
            </w:pPr>
          </w:p>
        </w:tc>
        <w:tc>
          <w:tcPr>
            <w:tcW w:w="1260" w:type="dxa"/>
            <w:vAlign w:val="bottom"/>
            <w:tcBorders>
              <w:top w:val="single" w:sz="8" w:color="auto"/>
              <w:bottom w:val="single" w:sz="8" w:color="auto"/>
            </w:tcBorders>
            <w:shd w:val="clear" w:color="auto" w:fill="FDFDFD"/>
          </w:tcPr>
          <w:p>
            <w:pPr>
              <w:spacing w:after="0"/>
              <w:rPr>
                <w:sz w:val="24"/>
                <w:szCs w:val="24"/>
                <w:color w:val="auto"/>
              </w:rPr>
            </w:pPr>
          </w:p>
        </w:tc>
        <w:tc>
          <w:tcPr>
            <w:tcW w:w="100" w:type="dxa"/>
            <w:vAlign w:val="bottom"/>
            <w:tcBorders>
              <w:top w:val="single" w:sz="8" w:color="FDFDFD"/>
              <w:bottom w:val="single" w:sz="8" w:color="FDFDFD"/>
            </w:tcBorders>
            <w:shd w:val="clear" w:color="auto" w:fill="FDFDFD"/>
          </w:tcPr>
          <w:p>
            <w:pPr>
              <w:spacing w:after="0"/>
              <w:rPr>
                <w:sz w:val="24"/>
                <w:szCs w:val="24"/>
                <w:color w:val="auto"/>
              </w:rPr>
            </w:pPr>
          </w:p>
        </w:tc>
      </w:tr>
      <w:tr>
        <w:trPr>
          <w:trHeight w:val="273"/>
        </w:trPr>
        <w:tc>
          <w:tcPr>
            <w:tcW w:w="470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80" w:type="dxa"/>
            <w:vAlign w:val="bottom"/>
            <w:tcBorders>
              <w:bottom w:val="single" w:sz="8" w:color="E3E3E3"/>
            </w:tcBorders>
            <w:shd w:val="clear" w:color="auto" w:fill="FDFDFD"/>
          </w:tcPr>
          <w:p>
            <w:pPr>
              <w:spacing w:after="0"/>
              <w:rPr>
                <w:sz w:val="23"/>
                <w:szCs w:val="23"/>
                <w:color w:val="auto"/>
              </w:rPr>
            </w:pPr>
          </w:p>
        </w:tc>
        <w:tc>
          <w:tcPr>
            <w:tcW w:w="380" w:type="dxa"/>
            <w:vAlign w:val="bottom"/>
            <w:tcBorders>
              <w:bottom w:val="single" w:sz="8" w:color="auto"/>
            </w:tcBorders>
            <w:shd w:val="clear" w:color="auto" w:fill="FDFDFD"/>
          </w:tcPr>
          <w:p>
            <w:pPr>
              <w:spacing w:after="0"/>
              <w:rPr>
                <w:sz w:val="23"/>
                <w:szCs w:val="23"/>
                <w:color w:val="auto"/>
              </w:rPr>
            </w:pPr>
          </w:p>
        </w:tc>
        <w:tc>
          <w:tcPr>
            <w:tcW w:w="1240" w:type="dxa"/>
            <w:vAlign w:val="bottom"/>
            <w:tcBorders>
              <w:bottom w:val="single" w:sz="8" w:color="auto"/>
            </w:tcBorders>
            <w:shd w:val="clear" w:color="auto" w:fill="FDFDFD"/>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3E3E3"/>
            </w:tcBorders>
            <w:shd w:val="clear" w:color="auto" w:fill="FDFDFD"/>
          </w:tcPr>
          <w:p>
            <w:pPr>
              <w:spacing w:after="0"/>
              <w:rPr>
                <w:sz w:val="23"/>
                <w:szCs w:val="23"/>
                <w:color w:val="auto"/>
              </w:rPr>
            </w:pPr>
          </w:p>
        </w:tc>
        <w:tc>
          <w:tcPr>
            <w:tcW w:w="100" w:type="dxa"/>
            <w:vAlign w:val="bottom"/>
            <w:tcBorders>
              <w:bottom w:val="single" w:sz="8" w:color="E3E3E3"/>
            </w:tcBorders>
            <w:shd w:val="clear" w:color="auto" w:fill="FDFDFD"/>
          </w:tcPr>
          <w:p>
            <w:pPr>
              <w:spacing w:after="0"/>
              <w:rPr>
                <w:sz w:val="23"/>
                <w:szCs w:val="23"/>
                <w:color w:val="auto"/>
              </w:rPr>
            </w:pPr>
          </w:p>
        </w:tc>
        <w:tc>
          <w:tcPr>
            <w:tcW w:w="360" w:type="dxa"/>
            <w:vAlign w:val="bottom"/>
            <w:tcBorders>
              <w:bottom w:val="single" w:sz="8" w:color="auto"/>
            </w:tcBorders>
            <w:shd w:val="clear" w:color="auto" w:fill="FDFDFD"/>
          </w:tcPr>
          <w:p>
            <w:pPr>
              <w:spacing w:after="0"/>
              <w:rPr>
                <w:sz w:val="23"/>
                <w:szCs w:val="23"/>
                <w:color w:val="auto"/>
              </w:rPr>
            </w:pPr>
          </w:p>
        </w:tc>
        <w:tc>
          <w:tcPr>
            <w:tcW w:w="1240" w:type="dxa"/>
            <w:vAlign w:val="bottom"/>
            <w:tcBorders>
              <w:bottom w:val="single" w:sz="8" w:color="auto"/>
            </w:tcBorders>
            <w:shd w:val="clear" w:color="auto" w:fill="FDFDFD"/>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3E3E3"/>
            </w:tcBorders>
            <w:shd w:val="clear" w:color="auto" w:fill="FDFDFD"/>
          </w:tcPr>
          <w:p>
            <w:pPr>
              <w:spacing w:after="0"/>
              <w:rPr>
                <w:sz w:val="23"/>
                <w:szCs w:val="23"/>
                <w:color w:val="auto"/>
              </w:rPr>
            </w:pPr>
          </w:p>
        </w:tc>
        <w:tc>
          <w:tcPr>
            <w:tcW w:w="100" w:type="dxa"/>
            <w:vAlign w:val="bottom"/>
            <w:tcBorders>
              <w:bottom w:val="single" w:sz="8" w:color="E3E3E3"/>
            </w:tcBorders>
            <w:shd w:val="clear" w:color="auto" w:fill="FDFDFD"/>
          </w:tcPr>
          <w:p>
            <w:pPr>
              <w:spacing w:after="0"/>
              <w:rPr>
                <w:sz w:val="23"/>
                <w:szCs w:val="23"/>
                <w:color w:val="auto"/>
              </w:rPr>
            </w:pPr>
          </w:p>
        </w:tc>
        <w:tc>
          <w:tcPr>
            <w:tcW w:w="380" w:type="dxa"/>
            <w:vAlign w:val="bottom"/>
            <w:tcBorders>
              <w:bottom w:val="single" w:sz="8" w:color="auto"/>
            </w:tcBorders>
            <w:shd w:val="clear" w:color="auto" w:fill="FDFDFD"/>
          </w:tcPr>
          <w:p>
            <w:pPr>
              <w:spacing w:after="0"/>
              <w:rPr>
                <w:sz w:val="23"/>
                <w:szCs w:val="23"/>
                <w:color w:val="auto"/>
              </w:rPr>
            </w:pPr>
          </w:p>
        </w:tc>
        <w:tc>
          <w:tcPr>
            <w:tcW w:w="1260" w:type="dxa"/>
            <w:vAlign w:val="bottom"/>
            <w:tcBorders>
              <w:bottom w:val="single" w:sz="8" w:color="auto"/>
            </w:tcBorders>
            <w:shd w:val="clear" w:color="auto" w:fill="FDFDFD"/>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3E3E3"/>
            </w:tcBorders>
            <w:shd w:val="clear" w:color="auto" w:fill="FDFDFD"/>
          </w:tcPr>
          <w:p>
            <w:pPr>
              <w:spacing w:after="0"/>
              <w:rPr>
                <w:sz w:val="23"/>
                <w:szCs w:val="23"/>
                <w:color w:val="auto"/>
              </w:rPr>
            </w:pPr>
          </w:p>
        </w:tc>
      </w:tr>
      <w:tr>
        <w:trPr>
          <w:trHeight w:val="234"/>
        </w:trPr>
        <w:tc>
          <w:tcPr>
            <w:tcW w:w="47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Revenue</w:t>
            </w:r>
          </w:p>
        </w:tc>
        <w:tc>
          <w:tcPr>
            <w:tcW w:w="180" w:type="dxa"/>
            <w:vAlign w:val="bottom"/>
            <w:shd w:val="clear" w:color="auto" w:fill="E3E3E3"/>
          </w:tcPr>
          <w:p>
            <w:pPr>
              <w:spacing w:after="0"/>
              <w:rPr>
                <w:sz w:val="20"/>
                <w:szCs w:val="20"/>
                <w:color w:val="auto"/>
              </w:rPr>
            </w:pPr>
          </w:p>
        </w:tc>
        <w:tc>
          <w:tcPr>
            <w:tcW w:w="380" w:type="dxa"/>
            <w:vAlign w:val="bottom"/>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252,202</w:t>
            </w: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360" w:type="dxa"/>
            <w:vAlign w:val="bottom"/>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251,415</w:t>
            </w: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380" w:type="dxa"/>
            <w:vAlign w:val="bottom"/>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222,653</w:t>
            </w:r>
          </w:p>
        </w:tc>
        <w:tc>
          <w:tcPr>
            <w:tcW w:w="100" w:type="dxa"/>
            <w:vAlign w:val="bottom"/>
            <w:shd w:val="clear" w:color="auto" w:fill="E3E3E3"/>
          </w:tcPr>
          <w:p>
            <w:pPr>
              <w:spacing w:after="0"/>
              <w:rPr>
                <w:sz w:val="20"/>
                <w:szCs w:val="20"/>
                <w:color w:val="auto"/>
              </w:rPr>
            </w:pPr>
          </w:p>
        </w:tc>
      </w:tr>
      <w:tr>
        <w:trPr>
          <w:trHeight w:val="244"/>
        </w:trPr>
        <w:tc>
          <w:tcPr>
            <w:tcW w:w="47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auto"/>
              </w:rPr>
              <w:t>Total cost of revenue</w:t>
            </w:r>
          </w:p>
        </w:tc>
        <w:tc>
          <w:tcPr>
            <w:tcW w:w="180" w:type="dxa"/>
            <w:vAlign w:val="bottom"/>
            <w:shd w:val="clear" w:color="auto" w:fill="FDFDFD"/>
          </w:tcPr>
          <w:p>
            <w:pPr>
              <w:spacing w:after="0"/>
              <w:rPr>
                <w:sz w:val="21"/>
                <w:szCs w:val="21"/>
                <w:color w:val="auto"/>
              </w:rPr>
            </w:pPr>
          </w:p>
        </w:tc>
        <w:tc>
          <w:tcPr>
            <w:tcW w:w="380" w:type="dxa"/>
            <w:vAlign w:val="bottom"/>
            <w:shd w:val="clear" w:color="auto" w:fill="FDFDFD"/>
          </w:tcPr>
          <w:p>
            <w:pPr>
              <w:spacing w:after="0"/>
              <w:rPr>
                <w:sz w:val="21"/>
                <w:szCs w:val="21"/>
                <w:color w:val="auto"/>
              </w:rPr>
            </w:pP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54,733</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360" w:type="dxa"/>
            <w:vAlign w:val="bottom"/>
            <w:shd w:val="clear" w:color="auto" w:fill="FDFDFD"/>
          </w:tcPr>
          <w:p>
            <w:pPr>
              <w:spacing w:after="0"/>
              <w:rPr>
                <w:sz w:val="21"/>
                <w:szCs w:val="21"/>
                <w:color w:val="auto"/>
              </w:rPr>
            </w:pP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47,482</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380" w:type="dxa"/>
            <w:vAlign w:val="bottom"/>
            <w:shd w:val="clear" w:color="auto" w:fill="FDFDFD"/>
          </w:tcPr>
          <w:p>
            <w:pPr>
              <w:spacing w:after="0"/>
              <w:rPr>
                <w:sz w:val="21"/>
                <w:szCs w:val="21"/>
                <w:color w:val="auto"/>
              </w:rPr>
            </w:pP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42,625</w:t>
            </w:r>
          </w:p>
        </w:tc>
        <w:tc>
          <w:tcPr>
            <w:tcW w:w="100" w:type="dxa"/>
            <w:vAlign w:val="bottom"/>
            <w:shd w:val="clear" w:color="auto" w:fill="FDFDFD"/>
          </w:tcPr>
          <w:p>
            <w:pPr>
              <w:spacing w:after="0"/>
              <w:rPr>
                <w:sz w:val="21"/>
                <w:szCs w:val="21"/>
                <w:color w:val="auto"/>
              </w:rPr>
            </w:pPr>
          </w:p>
        </w:tc>
      </w:tr>
      <w:tr>
        <w:trPr>
          <w:trHeight w:val="244"/>
        </w:trPr>
        <w:tc>
          <w:tcPr>
            <w:tcW w:w="48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380" w:type="dxa"/>
            <w:vAlign w:val="bottom"/>
            <w:shd w:val="clear" w:color="auto" w:fill="E3E3E3"/>
          </w:tcPr>
          <w:p>
            <w:pPr>
              <w:spacing w:after="0"/>
              <w:rPr>
                <w:sz w:val="21"/>
                <w:szCs w:val="21"/>
                <w:color w:val="auto"/>
              </w:rPr>
            </w:pP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83,807</w:t>
            </w: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60" w:type="dxa"/>
            <w:vAlign w:val="bottom"/>
            <w:shd w:val="clear" w:color="auto" w:fill="E3E3E3"/>
          </w:tcPr>
          <w:p>
            <w:pPr>
              <w:spacing w:after="0"/>
              <w:rPr>
                <w:sz w:val="21"/>
                <w:szCs w:val="21"/>
                <w:color w:val="auto"/>
              </w:rPr>
            </w:pP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94,534</w:t>
            </w: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89,585</w:t>
            </w:r>
          </w:p>
        </w:tc>
        <w:tc>
          <w:tcPr>
            <w:tcW w:w="100" w:type="dxa"/>
            <w:vAlign w:val="bottom"/>
            <w:shd w:val="clear" w:color="auto" w:fill="E3E3E3"/>
          </w:tcPr>
          <w:p>
            <w:pPr>
              <w:spacing w:after="0"/>
              <w:rPr>
                <w:sz w:val="21"/>
                <w:szCs w:val="21"/>
                <w:color w:val="auto"/>
              </w:rPr>
            </w:pPr>
          </w:p>
        </w:tc>
      </w:tr>
      <w:tr>
        <w:trPr>
          <w:trHeight w:val="244"/>
        </w:trPr>
        <w:tc>
          <w:tcPr>
            <w:tcW w:w="48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auto"/>
              </w:rPr>
              <w:t>Product development</w:t>
            </w:r>
          </w:p>
        </w:tc>
        <w:tc>
          <w:tcPr>
            <w:tcW w:w="380" w:type="dxa"/>
            <w:vAlign w:val="bottom"/>
            <w:shd w:val="clear" w:color="auto" w:fill="FDFDFD"/>
          </w:tcPr>
          <w:p>
            <w:pPr>
              <w:spacing w:after="0"/>
              <w:rPr>
                <w:sz w:val="21"/>
                <w:szCs w:val="21"/>
                <w:color w:val="auto"/>
              </w:rPr>
            </w:pP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36,518</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360" w:type="dxa"/>
            <w:vAlign w:val="bottom"/>
            <w:shd w:val="clear" w:color="auto" w:fill="FDFDFD"/>
          </w:tcPr>
          <w:p>
            <w:pPr>
              <w:spacing w:after="0"/>
              <w:rPr>
                <w:sz w:val="21"/>
                <w:szCs w:val="21"/>
                <w:color w:val="auto"/>
              </w:rPr>
            </w:pP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42,441</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380" w:type="dxa"/>
            <w:vAlign w:val="bottom"/>
            <w:shd w:val="clear" w:color="auto" w:fill="FDFDFD"/>
          </w:tcPr>
          <w:p>
            <w:pPr>
              <w:spacing w:after="0"/>
              <w:rPr>
                <w:sz w:val="21"/>
                <w:szCs w:val="21"/>
                <w:color w:val="auto"/>
              </w:rPr>
            </w:pP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34,890</w:t>
            </w:r>
          </w:p>
        </w:tc>
        <w:tc>
          <w:tcPr>
            <w:tcW w:w="100" w:type="dxa"/>
            <w:vAlign w:val="bottom"/>
            <w:shd w:val="clear" w:color="auto" w:fill="FDFDFD"/>
          </w:tcPr>
          <w:p>
            <w:pPr>
              <w:spacing w:after="0"/>
              <w:rPr>
                <w:sz w:val="21"/>
                <w:szCs w:val="21"/>
                <w:color w:val="auto"/>
              </w:rPr>
            </w:pPr>
          </w:p>
        </w:tc>
      </w:tr>
      <w:tr>
        <w:trPr>
          <w:trHeight w:val="244"/>
        </w:trPr>
        <w:tc>
          <w:tcPr>
            <w:tcW w:w="48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80" w:type="dxa"/>
            <w:vAlign w:val="bottom"/>
            <w:shd w:val="clear" w:color="auto" w:fill="E3E3E3"/>
          </w:tcPr>
          <w:p>
            <w:pPr>
              <w:spacing w:after="0"/>
              <w:rPr>
                <w:sz w:val="21"/>
                <w:szCs w:val="21"/>
                <w:color w:val="auto"/>
              </w:rPr>
            </w:pP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49,267</w:t>
            </w: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60" w:type="dxa"/>
            <w:vAlign w:val="bottom"/>
            <w:shd w:val="clear" w:color="auto" w:fill="E3E3E3"/>
          </w:tcPr>
          <w:p>
            <w:pPr>
              <w:spacing w:after="0"/>
              <w:rPr>
                <w:sz w:val="21"/>
                <w:szCs w:val="21"/>
                <w:color w:val="auto"/>
              </w:rPr>
            </w:pP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58,861</w:t>
            </w: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51,561</w:t>
            </w:r>
          </w:p>
        </w:tc>
        <w:tc>
          <w:tcPr>
            <w:tcW w:w="100" w:type="dxa"/>
            <w:vAlign w:val="bottom"/>
            <w:shd w:val="clear" w:color="auto" w:fill="E3E3E3"/>
          </w:tcPr>
          <w:p>
            <w:pPr>
              <w:spacing w:after="0"/>
              <w:rPr>
                <w:sz w:val="21"/>
                <w:szCs w:val="21"/>
                <w:color w:val="auto"/>
              </w:rPr>
            </w:pPr>
          </w:p>
        </w:tc>
      </w:tr>
      <w:tr>
        <w:trPr>
          <w:trHeight w:val="244"/>
        </w:trPr>
        <w:tc>
          <w:tcPr>
            <w:tcW w:w="488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auto"/>
              </w:rPr>
              <w:t xml:space="preserve">Other segment items, net </w:t>
            </w:r>
            <w:r>
              <w:rPr>
                <w:rFonts w:ascii="Times New Roman" w:cs="Times New Roman" w:eastAsia="Times New Roman" w:hAnsi="Times New Roman"/>
                <w:sz w:val="13"/>
                <w:szCs w:val="13"/>
                <w:color w:val="auto"/>
              </w:rPr>
              <w:t>(1)</w:t>
            </w:r>
          </w:p>
        </w:tc>
        <w:tc>
          <w:tcPr>
            <w:tcW w:w="380" w:type="dxa"/>
            <w:vAlign w:val="bottom"/>
            <w:shd w:val="clear" w:color="auto" w:fill="FDFDFD"/>
          </w:tcPr>
          <w:p>
            <w:pPr>
              <w:spacing w:after="0"/>
              <w:rPr>
                <w:sz w:val="21"/>
                <w:szCs w:val="21"/>
                <w:color w:val="auto"/>
              </w:rPr>
            </w:pP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661,622</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360" w:type="dxa"/>
            <w:vAlign w:val="bottom"/>
            <w:shd w:val="clear" w:color="auto" w:fill="FDFDFD"/>
          </w:tcPr>
          <w:p>
            <w:pPr>
              <w:spacing w:after="0"/>
              <w:rPr>
                <w:sz w:val="21"/>
                <w:szCs w:val="21"/>
                <w:color w:val="auto"/>
              </w:rPr>
            </w:pP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316,277</w:t>
            </w:r>
          </w:p>
        </w:tc>
        <w:tc>
          <w:tcPr>
            <w:tcW w:w="10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380" w:type="dxa"/>
            <w:vAlign w:val="bottom"/>
            <w:shd w:val="clear" w:color="auto" w:fill="FDFDFD"/>
          </w:tcPr>
          <w:p>
            <w:pPr>
              <w:spacing w:after="0"/>
              <w:rPr>
                <w:sz w:val="21"/>
                <w:szCs w:val="21"/>
                <w:color w:val="auto"/>
              </w:rPr>
            </w:pPr>
          </w:p>
        </w:tc>
        <w:tc>
          <w:tcPr>
            <w:tcW w:w="12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45,869</w:t>
            </w:r>
          </w:p>
        </w:tc>
        <w:tc>
          <w:tcPr>
            <w:tcW w:w="100" w:type="dxa"/>
            <w:vAlign w:val="bottom"/>
            <w:shd w:val="clear" w:color="auto" w:fill="FDFDFD"/>
          </w:tcPr>
          <w:p>
            <w:pPr>
              <w:spacing w:after="0"/>
              <w:rPr>
                <w:sz w:val="21"/>
                <w:szCs w:val="21"/>
                <w:color w:val="auto"/>
              </w:rPr>
            </w:pPr>
          </w:p>
        </w:tc>
      </w:tr>
      <w:tr>
        <w:trPr>
          <w:trHeight w:val="269"/>
        </w:trPr>
        <w:tc>
          <w:tcPr>
            <w:tcW w:w="4880" w:type="dxa"/>
            <w:vAlign w:val="bottom"/>
            <w:tcBorders>
              <w:bottom w:val="single" w:sz="8" w:color="E3E3E3"/>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Benefit from income taxes</w:t>
            </w:r>
          </w:p>
        </w:tc>
        <w:tc>
          <w:tcPr>
            <w:tcW w:w="380" w:type="dxa"/>
            <w:vAlign w:val="bottom"/>
            <w:tcBorders>
              <w:bottom w:val="single" w:sz="8" w:color="auto"/>
            </w:tcBorders>
            <w:shd w:val="clear" w:color="auto" w:fill="E3E3E3"/>
          </w:tcPr>
          <w:p>
            <w:pPr>
              <w:spacing w:after="0"/>
              <w:rPr>
                <w:sz w:val="22"/>
                <w:szCs w:val="22"/>
                <w:color w:val="auto"/>
              </w:rPr>
            </w:pPr>
          </w:p>
        </w:tc>
        <w:tc>
          <w:tcPr>
            <w:tcW w:w="12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42,299</w:t>
            </w:r>
          </w:p>
        </w:tc>
        <w:tc>
          <w:tcPr>
            <w:tcW w:w="100" w:type="dxa"/>
            <w:vAlign w:val="bottom"/>
            <w:tcBorders>
              <w:bottom w:val="single" w:sz="8" w:color="E3E3E3"/>
            </w:tcBorders>
            <w:shd w:val="clear" w:color="auto" w:fill="E3E3E3"/>
          </w:tcPr>
          <w:p>
            <w:pPr>
              <w:spacing w:after="0"/>
              <w:rPr>
                <w:sz w:val="22"/>
                <w:szCs w:val="22"/>
                <w:color w:val="auto"/>
              </w:rPr>
            </w:pPr>
          </w:p>
        </w:tc>
        <w:tc>
          <w:tcPr>
            <w:tcW w:w="100" w:type="dxa"/>
            <w:vAlign w:val="bottom"/>
            <w:tcBorders>
              <w:bottom w:val="single" w:sz="8" w:color="E3E3E3"/>
            </w:tcBorders>
            <w:shd w:val="clear" w:color="auto" w:fill="E3E3E3"/>
          </w:tcPr>
          <w:p>
            <w:pPr>
              <w:spacing w:after="0"/>
              <w:rPr>
                <w:sz w:val="22"/>
                <w:szCs w:val="22"/>
                <w:color w:val="auto"/>
              </w:rPr>
            </w:pPr>
          </w:p>
        </w:tc>
        <w:tc>
          <w:tcPr>
            <w:tcW w:w="360" w:type="dxa"/>
            <w:vAlign w:val="bottom"/>
            <w:tcBorders>
              <w:bottom w:val="single" w:sz="8" w:color="auto"/>
            </w:tcBorders>
            <w:shd w:val="clear" w:color="auto" w:fill="E3E3E3"/>
          </w:tcPr>
          <w:p>
            <w:pPr>
              <w:spacing w:after="0"/>
              <w:rPr>
                <w:sz w:val="22"/>
                <w:szCs w:val="22"/>
                <w:color w:val="auto"/>
              </w:rPr>
            </w:pPr>
          </w:p>
        </w:tc>
        <w:tc>
          <w:tcPr>
            <w:tcW w:w="12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18,553</w:t>
            </w:r>
          </w:p>
        </w:tc>
        <w:tc>
          <w:tcPr>
            <w:tcW w:w="100" w:type="dxa"/>
            <w:vAlign w:val="bottom"/>
            <w:tcBorders>
              <w:bottom w:val="single" w:sz="8" w:color="E3E3E3"/>
            </w:tcBorders>
            <w:shd w:val="clear" w:color="auto" w:fill="E3E3E3"/>
          </w:tcPr>
          <w:p>
            <w:pPr>
              <w:spacing w:after="0"/>
              <w:rPr>
                <w:sz w:val="22"/>
                <w:szCs w:val="22"/>
                <w:color w:val="auto"/>
              </w:rPr>
            </w:pPr>
          </w:p>
        </w:tc>
        <w:tc>
          <w:tcPr>
            <w:tcW w:w="100" w:type="dxa"/>
            <w:vAlign w:val="bottom"/>
            <w:tcBorders>
              <w:bottom w:val="single" w:sz="8" w:color="E3E3E3"/>
            </w:tcBorders>
            <w:shd w:val="clear" w:color="auto" w:fill="E3E3E3"/>
          </w:tcPr>
          <w:p>
            <w:pPr>
              <w:spacing w:after="0"/>
              <w:rPr>
                <w:sz w:val="22"/>
                <w:szCs w:val="22"/>
                <w:color w:val="auto"/>
              </w:rPr>
            </w:pPr>
          </w:p>
        </w:tc>
        <w:tc>
          <w:tcPr>
            <w:tcW w:w="380" w:type="dxa"/>
            <w:vAlign w:val="bottom"/>
            <w:tcBorders>
              <w:bottom w:val="single" w:sz="8" w:color="auto"/>
            </w:tcBorders>
            <w:shd w:val="clear" w:color="auto" w:fill="E3E3E3"/>
          </w:tcPr>
          <w:p>
            <w:pPr>
              <w:spacing w:after="0"/>
              <w:rPr>
                <w:sz w:val="22"/>
                <w:szCs w:val="22"/>
                <w:color w:val="auto"/>
              </w:rPr>
            </w:pPr>
          </w:p>
        </w:tc>
        <w:tc>
          <w:tcPr>
            <w:tcW w:w="12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17,698</w:t>
            </w:r>
          </w:p>
        </w:tc>
        <w:tc>
          <w:tcPr>
            <w:tcW w:w="100" w:type="dxa"/>
            <w:vAlign w:val="bottom"/>
            <w:tcBorders>
              <w:bottom w:val="single" w:sz="8" w:color="E3E3E3"/>
            </w:tcBorders>
            <w:shd w:val="clear" w:color="auto" w:fill="E3E3E3"/>
          </w:tcPr>
          <w:p>
            <w:pPr>
              <w:spacing w:after="0"/>
              <w:rPr>
                <w:sz w:val="22"/>
                <w:szCs w:val="22"/>
                <w:color w:val="auto"/>
              </w:rPr>
            </w:pPr>
          </w:p>
        </w:tc>
      </w:tr>
      <w:tr>
        <w:trPr>
          <w:trHeight w:val="214"/>
        </w:trPr>
        <w:tc>
          <w:tcPr>
            <w:tcW w:w="4880" w:type="dxa"/>
            <w:vAlign w:val="bottom"/>
            <w:tcBorders>
              <w:top w:val="single" w:sz="8" w:color="FDFDFD"/>
            </w:tcBorders>
            <w:gridSpan w:val="2"/>
            <w:shd w:val="clear" w:color="auto" w:fill="FDFDFD"/>
          </w:tcPr>
          <w:p>
            <w:pPr>
              <w:ind w:left="200"/>
              <w:spacing w:after="0" w:line="214" w:lineRule="exact"/>
              <w:rPr>
                <w:sz w:val="20"/>
                <w:szCs w:val="20"/>
                <w:color w:val="auto"/>
              </w:rPr>
            </w:pPr>
            <w:r>
              <w:rPr>
                <w:rFonts w:ascii="Times New Roman" w:cs="Times New Roman" w:eastAsia="Times New Roman" w:hAnsi="Times New Roman"/>
                <w:sz w:val="20"/>
                <w:szCs w:val="20"/>
                <w:color w:val="auto"/>
              </w:rPr>
              <w:t>Net loss</w:t>
            </w:r>
          </w:p>
        </w:tc>
        <w:tc>
          <w:tcPr>
            <w:tcW w:w="380" w:type="dxa"/>
            <w:vAlign w:val="bottom"/>
            <w:tcBorders>
              <w:top w:val="single" w:sz="8" w:color="auto"/>
              <w:bottom w:val="single" w:sz="8" w:color="auto"/>
            </w:tcBorders>
            <w:shd w:val="clear" w:color="auto" w:fill="FDFDFD"/>
          </w:tcPr>
          <w:p>
            <w:pPr>
              <w:jc w:val="right"/>
              <w:ind w:right="18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shd w:val="clear" w:color="auto" w:fill="FDFDFD"/>
          </w:tcPr>
          <w:p>
            <w:pPr>
              <w:jc w:val="right"/>
              <w:spacing w:after="0" w:line="214" w:lineRule="exact"/>
              <w:rPr>
                <w:sz w:val="20"/>
                <w:szCs w:val="20"/>
                <w:color w:val="auto"/>
              </w:rPr>
            </w:pPr>
            <w:r>
              <w:rPr>
                <w:rFonts w:ascii="Times New Roman" w:cs="Times New Roman" w:eastAsia="Times New Roman" w:hAnsi="Times New Roman"/>
                <w:sz w:val="20"/>
                <w:szCs w:val="20"/>
                <w:color w:val="auto"/>
              </w:rPr>
              <w:t>(591,446)</w:t>
            </w:r>
          </w:p>
        </w:tc>
        <w:tc>
          <w:tcPr>
            <w:tcW w:w="100" w:type="dxa"/>
            <w:vAlign w:val="bottom"/>
            <w:tcBorders>
              <w:top w:val="single" w:sz="8" w:color="FDFDFD"/>
            </w:tcBorders>
            <w:shd w:val="clear" w:color="auto" w:fill="FDFDFD"/>
          </w:tcPr>
          <w:p>
            <w:pPr>
              <w:spacing w:after="0"/>
              <w:rPr>
                <w:sz w:val="18"/>
                <w:szCs w:val="18"/>
                <w:color w:val="auto"/>
              </w:rPr>
            </w:pPr>
          </w:p>
        </w:tc>
        <w:tc>
          <w:tcPr>
            <w:tcW w:w="100" w:type="dxa"/>
            <w:vAlign w:val="bottom"/>
            <w:tcBorders>
              <w:top w:val="single" w:sz="8" w:color="FDFDFD"/>
            </w:tcBorders>
            <w:shd w:val="clear" w:color="auto" w:fill="FDFDFD"/>
          </w:tcPr>
          <w:p>
            <w:pPr>
              <w:spacing w:after="0"/>
              <w:rPr>
                <w:sz w:val="18"/>
                <w:szCs w:val="18"/>
                <w:color w:val="auto"/>
              </w:rPr>
            </w:pPr>
          </w:p>
        </w:tc>
        <w:tc>
          <w:tcPr>
            <w:tcW w:w="360" w:type="dxa"/>
            <w:vAlign w:val="bottom"/>
            <w:tcBorders>
              <w:top w:val="single" w:sz="8" w:color="auto"/>
              <w:bottom w:val="single" w:sz="8" w:color="auto"/>
            </w:tcBorders>
            <w:shd w:val="clear" w:color="auto" w:fill="FDFDFD"/>
          </w:tcPr>
          <w:p>
            <w:pPr>
              <w:jc w:val="right"/>
              <w:ind w:right="16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shd w:val="clear" w:color="auto" w:fill="FDFDFD"/>
          </w:tcPr>
          <w:p>
            <w:pPr>
              <w:jc w:val="right"/>
              <w:spacing w:after="0" w:line="214" w:lineRule="exact"/>
              <w:rPr>
                <w:sz w:val="20"/>
                <w:szCs w:val="20"/>
                <w:color w:val="auto"/>
              </w:rPr>
            </w:pPr>
            <w:r>
              <w:rPr>
                <w:rFonts w:ascii="Times New Roman" w:cs="Times New Roman" w:eastAsia="Times New Roman" w:hAnsi="Times New Roman"/>
                <w:sz w:val="20"/>
                <w:szCs w:val="20"/>
                <w:color w:val="auto"/>
              </w:rPr>
              <w:t>(289,627)</w:t>
            </w:r>
          </w:p>
        </w:tc>
        <w:tc>
          <w:tcPr>
            <w:tcW w:w="100" w:type="dxa"/>
            <w:vAlign w:val="bottom"/>
            <w:tcBorders>
              <w:top w:val="single" w:sz="8" w:color="FDFDFD"/>
            </w:tcBorders>
            <w:shd w:val="clear" w:color="auto" w:fill="FDFDFD"/>
          </w:tcPr>
          <w:p>
            <w:pPr>
              <w:spacing w:after="0"/>
              <w:rPr>
                <w:sz w:val="18"/>
                <w:szCs w:val="18"/>
                <w:color w:val="auto"/>
              </w:rPr>
            </w:pPr>
          </w:p>
        </w:tc>
        <w:tc>
          <w:tcPr>
            <w:tcW w:w="100" w:type="dxa"/>
            <w:vAlign w:val="bottom"/>
            <w:tcBorders>
              <w:top w:val="single" w:sz="8" w:color="FDFDFD"/>
            </w:tcBorders>
            <w:shd w:val="clear" w:color="auto" w:fill="FDFDFD"/>
          </w:tcPr>
          <w:p>
            <w:pPr>
              <w:spacing w:after="0"/>
              <w:rPr>
                <w:sz w:val="18"/>
                <w:szCs w:val="18"/>
                <w:color w:val="auto"/>
              </w:rPr>
            </w:pPr>
          </w:p>
        </w:tc>
        <w:tc>
          <w:tcPr>
            <w:tcW w:w="380" w:type="dxa"/>
            <w:vAlign w:val="bottom"/>
            <w:tcBorders>
              <w:top w:val="single" w:sz="8" w:color="auto"/>
              <w:bottom w:val="single" w:sz="8" w:color="auto"/>
            </w:tcBorders>
            <w:shd w:val="clear" w:color="auto" w:fill="FDFDFD"/>
          </w:tcPr>
          <w:p>
            <w:pPr>
              <w:jc w:val="right"/>
              <w:ind w:right="18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shd w:val="clear" w:color="auto" w:fill="FDFDFD"/>
          </w:tcPr>
          <w:p>
            <w:pPr>
              <w:jc w:val="right"/>
              <w:spacing w:after="0" w:line="214" w:lineRule="exact"/>
              <w:rPr>
                <w:sz w:val="20"/>
                <w:szCs w:val="20"/>
                <w:color w:val="auto"/>
              </w:rPr>
            </w:pPr>
            <w:r>
              <w:rPr>
                <w:rFonts w:ascii="Times New Roman" w:cs="Times New Roman" w:eastAsia="Times New Roman" w:hAnsi="Times New Roman"/>
                <w:sz w:val="20"/>
                <w:szCs w:val="20"/>
                <w:color w:val="auto"/>
              </w:rPr>
              <w:t>(24,179)</w:t>
            </w:r>
          </w:p>
        </w:tc>
        <w:tc>
          <w:tcPr>
            <w:tcW w:w="100" w:type="dxa"/>
            <w:vAlign w:val="bottom"/>
            <w:tcBorders>
              <w:top w:val="single" w:sz="8" w:color="FDFDFD"/>
            </w:tcBorders>
            <w:shd w:val="clear" w:color="auto" w:fill="FDFDFD"/>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left="980" w:right="180" w:hanging="483"/>
        <w:spacing w:after="0" w:line="259" w:lineRule="auto"/>
        <w:tabs>
          <w:tab w:leader="none" w:pos="9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depreciation and amortization expense, transaction integration, and restructuring expenses, goodwill impairment charges, interest income, interest expense, tax receivable agreement remeasurement gain, and foreign currency transaction gain (loss).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Revenues by geographic area presented based upon the location of the customer are as follows: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494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Borders>
              <w:bottom w:val="single" w:sz="8" w:color="FDFDFD"/>
            </w:tcBorders>
            <w:shd w:val="clear" w:color="auto" w:fill="FDFDFD"/>
          </w:tcPr>
          <w:p>
            <w:pPr>
              <w:spacing w:after="0"/>
              <w:rPr>
                <w:sz w:val="17"/>
                <w:szCs w:val="17"/>
                <w:color w:val="auto"/>
              </w:rPr>
            </w:pPr>
          </w:p>
        </w:tc>
        <w:tc>
          <w:tcPr>
            <w:tcW w:w="280" w:type="dxa"/>
            <w:vAlign w:val="bottom"/>
            <w:tcBorders>
              <w:bottom w:val="single" w:sz="8" w:color="auto"/>
            </w:tcBorders>
            <w:shd w:val="clear" w:color="auto" w:fill="FDFDFD"/>
          </w:tcPr>
          <w:p>
            <w:pPr>
              <w:spacing w:after="0"/>
              <w:rPr>
                <w:sz w:val="17"/>
                <w:szCs w:val="17"/>
                <w:color w:val="auto"/>
              </w:rPr>
            </w:pPr>
          </w:p>
        </w:tc>
        <w:tc>
          <w:tcPr>
            <w:tcW w:w="3040" w:type="dxa"/>
            <w:vAlign w:val="bottom"/>
            <w:tcBorders>
              <w:bottom w:val="single" w:sz="8" w:color="auto"/>
            </w:tcBorders>
            <w:gridSpan w:val="8"/>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840" w:type="dxa"/>
            <w:vAlign w:val="bottom"/>
            <w:tcBorders>
              <w:bottom w:val="single" w:sz="8" w:color="auto"/>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940" w:type="dxa"/>
            <w:vAlign w:val="bottom"/>
            <w:tcBorders>
              <w:bottom w:val="single" w:sz="8" w:color="E3E3E3"/>
            </w:tcBorders>
            <w:vMerge w:val="continue"/>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280" w:type="dxa"/>
            <w:vAlign w:val="bottom"/>
            <w:tcBorders>
              <w:bottom w:val="single" w:sz="8" w:color="auto"/>
            </w:tcBorders>
            <w:shd w:val="clear" w:color="auto" w:fill="FDFDFD"/>
          </w:tcPr>
          <w:p>
            <w:pPr>
              <w:spacing w:after="0"/>
              <w:rPr>
                <w:sz w:val="15"/>
                <w:szCs w:val="15"/>
                <w:color w:val="auto"/>
              </w:rPr>
            </w:pPr>
          </w:p>
        </w:tc>
        <w:tc>
          <w:tcPr>
            <w:tcW w:w="960" w:type="dxa"/>
            <w:vAlign w:val="bottom"/>
            <w:tcBorders>
              <w:bottom w:val="single" w:sz="8" w:color="auto"/>
            </w:tcBorders>
            <w:shd w:val="clear" w:color="auto" w:fill="FDFDFD"/>
          </w:tcPr>
          <w:p>
            <w:pPr>
              <w:jc w:val="right"/>
              <w:ind w:right="368"/>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280" w:type="dxa"/>
            <w:vAlign w:val="bottom"/>
            <w:tcBorders>
              <w:bottom w:val="single" w:sz="8" w:color="auto"/>
            </w:tcBorders>
            <w:shd w:val="clear" w:color="auto" w:fill="FDFDFD"/>
          </w:tcPr>
          <w:p>
            <w:pPr>
              <w:spacing w:after="0"/>
              <w:rPr>
                <w:sz w:val="15"/>
                <w:szCs w:val="15"/>
                <w:color w:val="auto"/>
              </w:rPr>
            </w:pPr>
          </w:p>
        </w:tc>
        <w:tc>
          <w:tcPr>
            <w:tcW w:w="960" w:type="dxa"/>
            <w:vAlign w:val="bottom"/>
            <w:tcBorders>
              <w:bottom w:val="single" w:sz="8" w:color="auto"/>
            </w:tcBorders>
            <w:shd w:val="clear" w:color="auto" w:fill="FDFDFD"/>
          </w:tcPr>
          <w:p>
            <w:pPr>
              <w:jc w:val="right"/>
              <w:ind w:right="365"/>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400" w:type="dxa"/>
            <w:vAlign w:val="bottom"/>
            <w:tcBorders>
              <w:bottom w:val="single" w:sz="8" w:color="auto"/>
            </w:tcBorders>
            <w:shd w:val="clear" w:color="auto" w:fill="FDFDFD"/>
          </w:tcPr>
          <w:p>
            <w:pPr>
              <w:spacing w:after="0"/>
              <w:rPr>
                <w:sz w:val="15"/>
                <w:szCs w:val="15"/>
                <w:color w:val="auto"/>
              </w:rPr>
            </w:pPr>
          </w:p>
        </w:tc>
        <w:tc>
          <w:tcPr>
            <w:tcW w:w="840" w:type="dxa"/>
            <w:vAlign w:val="bottom"/>
            <w:tcBorders>
              <w:bottom w:val="single" w:sz="8" w:color="auto"/>
            </w:tcBorders>
            <w:shd w:val="clear" w:color="auto" w:fill="FDFDFD"/>
          </w:tcPr>
          <w:p>
            <w:pPr>
              <w:jc w:val="right"/>
              <w:ind w:right="365"/>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United States</w:t>
            </w:r>
          </w:p>
        </w:tc>
        <w:tc>
          <w:tcPr>
            <w:tcW w:w="120" w:type="dxa"/>
            <w:vAlign w:val="bottom"/>
            <w:shd w:val="clear" w:color="auto" w:fill="E3E3E3"/>
          </w:tcPr>
          <w:p>
            <w:pPr>
              <w:spacing w:after="0"/>
              <w:rPr>
                <w:sz w:val="19"/>
                <w:szCs w:val="19"/>
                <w:color w:val="auto"/>
              </w:rPr>
            </w:pPr>
          </w:p>
        </w:tc>
        <w:tc>
          <w:tcPr>
            <w:tcW w:w="280" w:type="dxa"/>
            <w:vAlign w:val="bottom"/>
            <w:shd w:val="clear" w:color="auto" w:fill="E3E3E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241,805</w:t>
            </w: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80" w:type="dxa"/>
            <w:vAlign w:val="bottom"/>
            <w:shd w:val="clear" w:color="auto" w:fill="E3E3E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239,457</w:t>
            </w: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400" w:type="dxa"/>
            <w:vAlign w:val="bottom"/>
            <w:shd w:val="clear" w:color="auto" w:fill="E3E3E3"/>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211,727</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Rest of world</w:t>
            </w:r>
          </w:p>
        </w:tc>
        <w:tc>
          <w:tcPr>
            <w:tcW w:w="120" w:type="dxa"/>
            <w:vAlign w:val="bottom"/>
            <w:tcBorders>
              <w:bottom w:val="single" w:sz="8" w:color="E3E3E3"/>
            </w:tcBorders>
            <w:shd w:val="clear" w:color="auto" w:fill="FDFDFD"/>
          </w:tcPr>
          <w:p>
            <w:pPr>
              <w:spacing w:after="0"/>
              <w:rPr>
                <w:sz w:val="19"/>
                <w:szCs w:val="19"/>
                <w:color w:val="auto"/>
              </w:rPr>
            </w:pPr>
          </w:p>
        </w:tc>
        <w:tc>
          <w:tcPr>
            <w:tcW w:w="280" w:type="dxa"/>
            <w:vAlign w:val="bottom"/>
            <w:tcBorders>
              <w:bottom w:val="single" w:sz="8" w:color="auto"/>
            </w:tcBorders>
            <w:shd w:val="clear" w:color="auto" w:fill="FDFDFD"/>
          </w:tcPr>
          <w:p>
            <w:pPr>
              <w:spacing w:after="0"/>
              <w:rPr>
                <w:sz w:val="19"/>
                <w:szCs w:val="19"/>
                <w:color w:val="auto"/>
              </w:rPr>
            </w:pPr>
          </w:p>
        </w:tc>
        <w:tc>
          <w:tcPr>
            <w:tcW w:w="9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10,397</w:t>
            </w:r>
          </w:p>
        </w:tc>
        <w:tc>
          <w:tcPr>
            <w:tcW w:w="10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280" w:type="dxa"/>
            <w:vAlign w:val="bottom"/>
            <w:tcBorders>
              <w:bottom w:val="single" w:sz="8" w:color="auto"/>
            </w:tcBorders>
            <w:shd w:val="clear" w:color="auto" w:fill="FDFDFD"/>
          </w:tcPr>
          <w:p>
            <w:pPr>
              <w:spacing w:after="0"/>
              <w:rPr>
                <w:sz w:val="19"/>
                <w:szCs w:val="19"/>
                <w:color w:val="auto"/>
              </w:rPr>
            </w:pPr>
          </w:p>
        </w:tc>
        <w:tc>
          <w:tcPr>
            <w:tcW w:w="9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11,958</w:t>
            </w:r>
          </w:p>
        </w:tc>
        <w:tc>
          <w:tcPr>
            <w:tcW w:w="100" w:type="dxa"/>
            <w:vAlign w:val="bottom"/>
            <w:tcBorders>
              <w:bottom w:val="single" w:sz="8" w:color="E3E3E3"/>
            </w:tcBorders>
            <w:shd w:val="clear" w:color="auto" w:fill="FDFDFD"/>
          </w:tcPr>
          <w:p>
            <w:pPr>
              <w:spacing w:after="0"/>
              <w:rPr>
                <w:sz w:val="19"/>
                <w:szCs w:val="19"/>
                <w:color w:val="auto"/>
              </w:rPr>
            </w:pPr>
          </w:p>
        </w:tc>
        <w:tc>
          <w:tcPr>
            <w:tcW w:w="120" w:type="dxa"/>
            <w:vAlign w:val="bottom"/>
            <w:tcBorders>
              <w:bottom w:val="single" w:sz="8" w:color="E3E3E3"/>
            </w:tcBorders>
            <w:shd w:val="clear" w:color="auto" w:fill="FDFDFD"/>
          </w:tcPr>
          <w:p>
            <w:pPr>
              <w:spacing w:after="0"/>
              <w:rPr>
                <w:sz w:val="19"/>
                <w:szCs w:val="19"/>
                <w:color w:val="auto"/>
              </w:rPr>
            </w:pPr>
          </w:p>
        </w:tc>
        <w:tc>
          <w:tcPr>
            <w:tcW w:w="400" w:type="dxa"/>
            <w:vAlign w:val="bottom"/>
            <w:tcBorders>
              <w:bottom w:val="single" w:sz="8" w:color="auto"/>
            </w:tcBorders>
            <w:shd w:val="clear" w:color="auto" w:fill="FDFDFD"/>
          </w:tcPr>
          <w:p>
            <w:pPr>
              <w:spacing w:after="0"/>
              <w:rPr>
                <w:sz w:val="19"/>
                <w:szCs w:val="19"/>
                <w:color w:val="auto"/>
              </w:rPr>
            </w:pPr>
          </w:p>
        </w:tc>
        <w:tc>
          <w:tcPr>
            <w:tcW w:w="84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10,926</w:t>
            </w:r>
          </w:p>
        </w:tc>
        <w:tc>
          <w:tcPr>
            <w:tcW w:w="100" w:type="dxa"/>
            <w:vAlign w:val="bottom"/>
            <w:tcBorders>
              <w:bottom w:val="single" w:sz="8" w:color="E3E3E3"/>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E3E3E3"/>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revenues</w:t>
            </w:r>
          </w:p>
        </w:tc>
        <w:tc>
          <w:tcPr>
            <w:tcW w:w="120" w:type="dxa"/>
            <w:vAlign w:val="bottom"/>
            <w:shd w:val="clear" w:color="auto" w:fill="E3E3E3"/>
          </w:tcPr>
          <w:p>
            <w:pPr>
              <w:spacing w:after="0"/>
              <w:rPr>
                <w:sz w:val="19"/>
                <w:szCs w:val="19"/>
                <w:color w:val="auto"/>
              </w:rPr>
            </w:pPr>
          </w:p>
        </w:tc>
        <w:tc>
          <w:tcPr>
            <w:tcW w:w="280" w:type="dxa"/>
            <w:vAlign w:val="bottom"/>
            <w:tcBorders>
              <w:bottom w:val="single" w:sz="8" w:color="auto"/>
            </w:tcBorders>
            <w:shd w:val="clear" w:color="auto" w:fill="E3E3E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252,202</w:t>
            </w:r>
          </w:p>
        </w:tc>
        <w:tc>
          <w:tcPr>
            <w:tcW w:w="220" w:type="dxa"/>
            <w:vAlign w:val="bottom"/>
            <w:gridSpan w:val="2"/>
            <w:shd w:val="clear" w:color="auto" w:fill="E3E3E3"/>
          </w:tcPr>
          <w:p>
            <w:pPr>
              <w:spacing w:after="0"/>
              <w:rPr>
                <w:sz w:val="19"/>
                <w:szCs w:val="19"/>
                <w:color w:val="auto"/>
              </w:rPr>
            </w:pPr>
          </w:p>
        </w:tc>
        <w:tc>
          <w:tcPr>
            <w:tcW w:w="280" w:type="dxa"/>
            <w:vAlign w:val="bottom"/>
            <w:tcBorders>
              <w:bottom w:val="single" w:sz="8" w:color="auto"/>
            </w:tcBorders>
            <w:shd w:val="clear" w:color="auto" w:fill="E3E3E3"/>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251,415</w:t>
            </w:r>
          </w:p>
        </w:tc>
        <w:tc>
          <w:tcPr>
            <w:tcW w:w="220" w:type="dxa"/>
            <w:vAlign w:val="bottom"/>
            <w:gridSpan w:val="2"/>
            <w:shd w:val="clear" w:color="auto" w:fill="E3E3E3"/>
          </w:tcPr>
          <w:p>
            <w:pPr>
              <w:spacing w:after="0"/>
              <w:rPr>
                <w:sz w:val="19"/>
                <w:szCs w:val="19"/>
                <w:color w:val="auto"/>
              </w:rPr>
            </w:pPr>
          </w:p>
        </w:tc>
        <w:tc>
          <w:tcPr>
            <w:tcW w:w="400" w:type="dxa"/>
            <w:vAlign w:val="bottom"/>
            <w:tcBorders>
              <w:bottom w:val="single" w:sz="8" w:color="auto"/>
            </w:tcBorders>
            <w:shd w:val="clear" w:color="auto" w:fill="E3E3E3"/>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222,653</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 xml:space="preserve">For a summary of our revenue disaggregated by service, refer to Note 4. </w:t>
      </w:r>
      <w:r>
        <w:rPr>
          <w:rFonts w:ascii="Times New Roman" w:cs="Times New Roman" w:eastAsia="Times New Roman" w:hAnsi="Times New Roman"/>
          <w:sz w:val="20"/>
          <w:szCs w:val="20"/>
          <w:i w:val="1"/>
          <w:iCs w:val="1"/>
          <w:color w:val="auto"/>
        </w:rPr>
        <w:t>Revenue</w:t>
      </w:r>
      <w:r>
        <w:rPr>
          <w:rFonts w:ascii="Times New Roman" w:cs="Times New Roman" w:eastAsia="Times New Roman" w:hAnsi="Times New Roman"/>
          <w:sz w:val="20"/>
          <w:szCs w:val="20"/>
          <w:color w:val="auto"/>
        </w:rPr>
        <w:t>.</w:t>
      </w:r>
    </w:p>
    <w:p>
      <w:pPr>
        <w:spacing w:after="0" w:line="120" w:lineRule="exact"/>
        <w:rPr>
          <w:sz w:val="20"/>
          <w:szCs w:val="20"/>
          <w:color w:val="auto"/>
        </w:rPr>
      </w:pPr>
    </w:p>
    <w:p>
      <w:pPr>
        <w:ind w:right="320" w:firstLine="490"/>
        <w:spacing w:after="0" w:line="279" w:lineRule="auto"/>
        <w:rPr>
          <w:sz w:val="20"/>
          <w:szCs w:val="20"/>
          <w:color w:val="auto"/>
        </w:rPr>
      </w:pPr>
      <w:r>
        <w:rPr>
          <w:rFonts w:ascii="Times New Roman" w:cs="Times New Roman" w:eastAsia="Times New Roman" w:hAnsi="Times New Roman"/>
          <w:sz w:val="20"/>
          <w:szCs w:val="20"/>
          <w:color w:val="auto"/>
        </w:rPr>
        <w:t>Long-lived assets by geographical region are based on the location of the legal entity that owns the assets. Long-lived assets by geographic area presented based upon the location of the assets are as follows:</w:t>
      </w:r>
    </w:p>
    <w:p>
      <w:pPr>
        <w:spacing w:after="0" w:line="167"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378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260" w:type="dxa"/>
            <w:vAlign w:val="bottom"/>
            <w:shd w:val="clear" w:color="auto" w:fill="FDFDFD"/>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1360" w:type="dxa"/>
            <w:vAlign w:val="bottom"/>
            <w:gridSpan w:val="2"/>
            <w:shd w:val="clear" w:color="auto" w:fill="FDFDFD"/>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378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Borders>
              <w:bottom w:val="single" w:sz="8" w:color="E3E3E3"/>
            </w:tcBorders>
            <w:shd w:val="clear" w:color="auto" w:fill="FDFDFD"/>
          </w:tcPr>
          <w:p>
            <w:pPr>
              <w:spacing w:after="0"/>
              <w:rPr>
                <w:sz w:val="17"/>
                <w:szCs w:val="17"/>
                <w:color w:val="auto"/>
              </w:rPr>
            </w:pPr>
          </w:p>
        </w:tc>
        <w:tc>
          <w:tcPr>
            <w:tcW w:w="160" w:type="dxa"/>
            <w:vAlign w:val="bottom"/>
            <w:tcBorders>
              <w:bottom w:val="single" w:sz="8" w:color="auto"/>
            </w:tcBorders>
            <w:shd w:val="clear" w:color="auto" w:fill="FDFDFD"/>
          </w:tcPr>
          <w:p>
            <w:pPr>
              <w:spacing w:after="0"/>
              <w:rPr>
                <w:sz w:val="17"/>
                <w:szCs w:val="17"/>
                <w:color w:val="auto"/>
              </w:rPr>
            </w:pPr>
          </w:p>
        </w:tc>
        <w:tc>
          <w:tcPr>
            <w:tcW w:w="1260" w:type="dxa"/>
            <w:vAlign w:val="bottom"/>
            <w:tcBorders>
              <w:bottom w:val="single" w:sz="8" w:color="auto"/>
            </w:tcBorders>
            <w:shd w:val="clear" w:color="auto" w:fill="FDFDFD"/>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3E3E3"/>
            </w:tcBorders>
            <w:shd w:val="clear" w:color="auto" w:fill="FDFDFD"/>
          </w:tcPr>
          <w:p>
            <w:pPr>
              <w:spacing w:after="0"/>
              <w:rPr>
                <w:sz w:val="17"/>
                <w:szCs w:val="17"/>
                <w:color w:val="auto"/>
              </w:rPr>
            </w:pPr>
          </w:p>
        </w:tc>
        <w:tc>
          <w:tcPr>
            <w:tcW w:w="180" w:type="dxa"/>
            <w:vAlign w:val="bottom"/>
            <w:tcBorders>
              <w:bottom w:val="single" w:sz="8" w:color="auto"/>
            </w:tcBorders>
            <w:shd w:val="clear" w:color="auto" w:fill="FDFDFD"/>
          </w:tcPr>
          <w:p>
            <w:pPr>
              <w:spacing w:after="0"/>
              <w:rPr>
                <w:sz w:val="17"/>
                <w:szCs w:val="17"/>
                <w:color w:val="auto"/>
              </w:rPr>
            </w:pPr>
          </w:p>
        </w:tc>
        <w:tc>
          <w:tcPr>
            <w:tcW w:w="1260" w:type="dxa"/>
            <w:vAlign w:val="bottom"/>
            <w:tcBorders>
              <w:bottom w:val="single" w:sz="8" w:color="auto"/>
            </w:tcBorders>
            <w:shd w:val="clear" w:color="auto" w:fill="FDFDFD"/>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37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auto"/>
              </w:rPr>
              <w:t>United States</w:t>
            </w:r>
          </w:p>
        </w:tc>
        <w:tc>
          <w:tcPr>
            <w:tcW w:w="160" w:type="dxa"/>
            <w:vAlign w:val="bottom"/>
            <w:shd w:val="clear" w:color="auto" w:fill="E3E3E3"/>
          </w:tcPr>
          <w:p>
            <w:pPr>
              <w:spacing w:after="0"/>
              <w:rPr>
                <w:sz w:val="19"/>
                <w:szCs w:val="19"/>
                <w:color w:val="auto"/>
              </w:rPr>
            </w:pPr>
          </w:p>
        </w:tc>
        <w:tc>
          <w:tcPr>
            <w:tcW w:w="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2,940</w:t>
            </w:r>
          </w:p>
        </w:tc>
        <w:tc>
          <w:tcPr>
            <w:tcW w:w="260" w:type="dxa"/>
            <w:vAlign w:val="bottom"/>
            <w:shd w:val="clear" w:color="auto" w:fill="E3E3E3"/>
          </w:tcPr>
          <w:p>
            <w:pPr>
              <w:spacing w:after="0"/>
              <w:rPr>
                <w:sz w:val="19"/>
                <w:szCs w:val="19"/>
                <w:color w:val="auto"/>
              </w:rPr>
            </w:pPr>
          </w:p>
        </w:tc>
        <w:tc>
          <w:tcPr>
            <w:tcW w:w="1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3,685</w:t>
            </w:r>
          </w:p>
        </w:tc>
        <w:tc>
          <w:tcPr>
            <w:tcW w:w="100" w:type="dxa"/>
            <w:vAlign w:val="bottom"/>
            <w:shd w:val="clear" w:color="auto" w:fill="E3E3E3"/>
          </w:tcPr>
          <w:p>
            <w:pPr>
              <w:spacing w:after="0"/>
              <w:rPr>
                <w:sz w:val="19"/>
                <w:szCs w:val="19"/>
                <w:color w:val="auto"/>
              </w:rPr>
            </w:pPr>
          </w:p>
        </w:tc>
      </w:tr>
      <w:tr>
        <w:trPr>
          <w:trHeight w:val="230"/>
        </w:trPr>
        <w:tc>
          <w:tcPr>
            <w:tcW w:w="378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auto"/>
              </w:rPr>
              <w:t>Rest of world</w:t>
            </w:r>
          </w:p>
        </w:tc>
        <w:tc>
          <w:tcPr>
            <w:tcW w:w="160" w:type="dxa"/>
            <w:vAlign w:val="bottom"/>
            <w:tcBorders>
              <w:bottom w:val="single" w:sz="8" w:color="E3E3E3"/>
            </w:tcBorders>
            <w:shd w:val="clear" w:color="auto" w:fill="FDFDFD"/>
          </w:tcPr>
          <w:p>
            <w:pPr>
              <w:spacing w:after="0"/>
              <w:rPr>
                <w:sz w:val="19"/>
                <w:szCs w:val="19"/>
                <w:color w:val="auto"/>
              </w:rPr>
            </w:pPr>
          </w:p>
        </w:tc>
        <w:tc>
          <w:tcPr>
            <w:tcW w:w="160" w:type="dxa"/>
            <w:vAlign w:val="bottom"/>
            <w:tcBorders>
              <w:bottom w:val="single" w:sz="8" w:color="auto"/>
            </w:tcBorders>
            <w:shd w:val="clear" w:color="auto" w:fill="FDFDFD"/>
          </w:tcPr>
          <w:p>
            <w:pPr>
              <w:spacing w:after="0"/>
              <w:rPr>
                <w:sz w:val="19"/>
                <w:szCs w:val="19"/>
                <w:color w:val="auto"/>
              </w:rPr>
            </w:pPr>
          </w:p>
        </w:tc>
        <w:tc>
          <w:tcPr>
            <w:tcW w:w="12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851</w:t>
            </w:r>
          </w:p>
        </w:tc>
        <w:tc>
          <w:tcPr>
            <w:tcW w:w="260" w:type="dxa"/>
            <w:vAlign w:val="bottom"/>
            <w:tcBorders>
              <w:bottom w:val="single" w:sz="8" w:color="E3E3E3"/>
            </w:tcBorders>
            <w:shd w:val="clear" w:color="auto" w:fill="FDFDFD"/>
          </w:tcPr>
          <w:p>
            <w:pPr>
              <w:spacing w:after="0"/>
              <w:rPr>
                <w:sz w:val="19"/>
                <w:szCs w:val="19"/>
                <w:color w:val="auto"/>
              </w:rPr>
            </w:pPr>
          </w:p>
        </w:tc>
        <w:tc>
          <w:tcPr>
            <w:tcW w:w="180" w:type="dxa"/>
            <w:vAlign w:val="bottom"/>
            <w:tcBorders>
              <w:bottom w:val="single" w:sz="8" w:color="auto"/>
            </w:tcBorders>
            <w:shd w:val="clear" w:color="auto" w:fill="FDFDFD"/>
          </w:tcPr>
          <w:p>
            <w:pPr>
              <w:spacing w:after="0"/>
              <w:rPr>
                <w:sz w:val="19"/>
                <w:szCs w:val="19"/>
                <w:color w:val="auto"/>
              </w:rPr>
            </w:pPr>
          </w:p>
        </w:tc>
        <w:tc>
          <w:tcPr>
            <w:tcW w:w="1260" w:type="dxa"/>
            <w:vAlign w:val="bottom"/>
            <w:tcBorders>
              <w:bottom w:val="single" w:sz="8" w:color="auto"/>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auto"/>
              </w:rPr>
              <w:t>786</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3780" w:type="dxa"/>
            <w:vAlign w:val="bottom"/>
            <w:shd w:val="clear" w:color="auto" w:fill="E3E3E3"/>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long-lived assets</w:t>
            </w:r>
          </w:p>
        </w:tc>
        <w:tc>
          <w:tcPr>
            <w:tcW w:w="160" w:type="dxa"/>
            <w:vAlign w:val="bottom"/>
            <w:shd w:val="clear" w:color="auto" w:fill="E3E3E3"/>
          </w:tcPr>
          <w:p>
            <w:pPr>
              <w:spacing w:after="0"/>
              <w:rPr>
                <w:sz w:val="19"/>
                <w:szCs w:val="19"/>
                <w:color w:val="auto"/>
              </w:rPr>
            </w:pPr>
          </w:p>
        </w:tc>
        <w:tc>
          <w:tcPr>
            <w:tcW w:w="1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3,791</w:t>
            </w:r>
          </w:p>
        </w:tc>
        <w:tc>
          <w:tcPr>
            <w:tcW w:w="260" w:type="dxa"/>
            <w:vAlign w:val="bottom"/>
            <w:shd w:val="clear" w:color="auto" w:fill="E3E3E3"/>
          </w:tcPr>
          <w:p>
            <w:pPr>
              <w:spacing w:after="0"/>
              <w:rPr>
                <w:sz w:val="19"/>
                <w:szCs w:val="19"/>
                <w:color w:val="auto"/>
              </w:rPr>
            </w:pPr>
          </w:p>
        </w:tc>
        <w:tc>
          <w:tcPr>
            <w:tcW w:w="18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auto"/>
              </w:rPr>
              <w:t>4,471</w:t>
            </w:r>
          </w:p>
        </w:tc>
        <w:tc>
          <w:tcPr>
            <w:tcW w:w="100" w:type="dxa"/>
            <w:vAlign w:val="bottom"/>
            <w:shd w:val="clear" w:color="auto" w:fill="E3E3E3"/>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803" w:right="8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F-51</w:t>
      </w:r>
    </w:p>
    <w:p>
      <w:pPr>
        <w:sectPr>
          <w:pgSz w:w="11880" w:h="15480" w:orient="portrait"/>
          <w:cols w:equalWidth="0" w:num="1">
            <w:col w:w="10240"/>
          </w:cols>
          <w:pgMar w:left="820" w:top="803" w:right="820" w:bottom="8" w:gutter="0" w:footer="0" w:header="0"/>
          <w:type w:val="continuous"/>
        </w:sectPr>
      </w:pPr>
    </w:p>
    <w:bookmarkStart w:id="143" w:name="page144"/>
    <w:bookmarkEnd w:id="143"/>
    <w:p>
      <w:pPr>
        <w:ind w:left="500" w:hanging="492"/>
        <w:spacing w:after="0"/>
        <w:tabs>
          <w:tab w:leader="none" w:pos="50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Parties</w:t>
      </w:r>
    </w:p>
    <w:p>
      <w:pPr>
        <w:spacing w:after="0" w:line="123"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Company has engaged in revenue transactions within the ordinary course of business with entities affiliated with its Sponsors and with members of the Company’s board of directors. During each of the years ended December 31, 2024, 2023, and 2022, the Company recorded revenue from related parties of $0.9 million, $1.4 million and $1.5 million, respectively. The associated receivables for the revenue transactions amounted to $0.2 million, $0.9 million, and $0.8 million at December 31, 2024, 2023, and 2022, respectively.</w:t>
      </w:r>
    </w:p>
    <w:p>
      <w:pPr>
        <w:sectPr>
          <w:pgSz w:w="11880" w:h="15480" w:orient="portrait"/>
          <w:cols w:equalWidth="0" w:num="1">
            <w:col w:w="10140"/>
          </w:cols>
          <w:pgMar w:left="820" w:top="803" w:right="9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F-52</w:t>
      </w:r>
    </w:p>
    <w:p>
      <w:pPr>
        <w:sectPr>
          <w:pgSz w:w="11880" w:h="15480" w:orient="portrait"/>
          <w:cols w:equalWidth="0" w:num="1">
            <w:col w:w="10140"/>
          </w:cols>
          <w:pgMar w:left="820" w:top="803" w:right="920" w:bottom="8" w:gutter="0" w:footer="0" w:header="0"/>
          <w:type w:val="continuous"/>
        </w:sectPr>
      </w:pPr>
    </w:p>
    <w:bookmarkStart w:id="144" w:name="page145"/>
    <w:bookmarkEnd w:id="144"/>
    <w:p>
      <w:pPr>
        <w:ind w:left="500" w:hanging="492"/>
        <w:spacing w:after="0"/>
        <w:tabs>
          <w:tab w:leader="none" w:pos="50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123"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On January 16, 2025 (the “Closing Date”), DH Holdings entered into an amendment to the credit agreement (the “DH Holdings Credit Agreement Amendment”), dated as of September 17, 2021 (as amended by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w:t>
      </w:r>
    </w:p>
    <w:p>
      <w:pPr>
        <w:spacing w:after="0" w:line="80"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The DH Holdings Credit Agreement Amendment provides for (i) a $175.0 million term loan facility (the “Term Facility”) and (ii) a $50.0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w:t>
      </w:r>
    </w:p>
    <w:p>
      <w:pPr>
        <w:spacing w:after="0" w:line="7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The loans under the Term Facility and the Revolving Credit Facility mature on January 16, 2030. The Facilities are guaranteed, subject to customary exceptions, by all of DH Holdings’s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w:t>
      </w:r>
    </w:p>
    <w:p>
      <w:pPr>
        <w:spacing w:after="0" w:line="77" w:lineRule="exact"/>
        <w:rPr>
          <w:sz w:val="20"/>
          <w:szCs w:val="20"/>
          <w:color w:val="auto"/>
        </w:rPr>
      </w:pPr>
    </w:p>
    <w:p>
      <w:pPr>
        <w:ind w:right="180" w:firstLine="490"/>
        <w:spacing w:after="0" w:line="253" w:lineRule="auto"/>
        <w:rPr>
          <w:sz w:val="20"/>
          <w:szCs w:val="20"/>
          <w:color w:val="auto"/>
        </w:rPr>
      </w:pPr>
      <w:r>
        <w:rPr>
          <w:rFonts w:ascii="Times New Roman" w:cs="Times New Roman" w:eastAsia="Times New Roman" w:hAnsi="Times New Roman"/>
          <w:sz w:val="20"/>
          <w:szCs w:val="20"/>
          <w:color w:val="auto"/>
        </w:rPr>
        <w:t>The Term Facility is subject to amortization of principal, payable in quarterly installments on the last day of each fiscal quarter, commencing on the last day of the first full fiscal quarter after the Closing Date (the “Initial Amortization Date”), equal to 5.0% of the original principal amount of the term loans for each of the five years after the Initial Amortization Date. The remaining initial aggregate advances under the Term Facility are payable at the maturity of the Term Facility.</w:t>
      </w:r>
    </w:p>
    <w:p>
      <w:pPr>
        <w:spacing w:after="0" w:line="7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Term Facility and the Revolving Credit Facility bear interest at a rate per annum equal to (a) ABR (as defined in the DH Holdings Credit Agreement) or (b) Term SOFR (as defined in the DH Holdings Credit Agreement) for the interest period in effect for the applicable borrowing, in each case, plus an applicable margin based on a grid ranging from 1.00% to 1.50% for ABR borrowings and 2.00% to 2.50% for Term SOFR borrowings. The interest rates are subject to two step-ups of 0.25% based on the total net leverage ratio of DH Holdings and its restricted subsidiaries on a consolidated basis (the “Total Net Leverage Ratio”). In addition, DH Holdings will pay an unused commitment fee of between 0.25% and 0.30% on the undrawn commitments under the Revolving Credit Facility, also depending on the Total Net Leverage Ratio.</w:t>
      </w:r>
    </w:p>
    <w:p>
      <w:pPr>
        <w:spacing w:after="0" w:line="80" w:lineRule="exact"/>
        <w:rPr>
          <w:sz w:val="20"/>
          <w:szCs w:val="20"/>
          <w:color w:val="auto"/>
        </w:rPr>
      </w:pPr>
    </w:p>
    <w:p>
      <w:pPr>
        <w:ind w:right="260" w:firstLine="490"/>
        <w:spacing w:after="0" w:line="259" w:lineRule="auto"/>
        <w:rPr>
          <w:sz w:val="20"/>
          <w:szCs w:val="20"/>
          <w:color w:val="auto"/>
        </w:rPr>
      </w:pPr>
      <w:r>
        <w:rPr>
          <w:rFonts w:ascii="Times New Roman" w:cs="Times New Roman" w:eastAsia="Times New Roman" w:hAnsi="Times New Roman"/>
          <w:sz w:val="20"/>
          <w:szCs w:val="20"/>
          <w:color w:val="auto"/>
        </w:rPr>
        <w:t>Under the DH Holdings Credit Agreement, DH Holdings (and in certain circumstances, Holdings) and its restricted subsidiaries are subject to customary affirmative, negative and financial covenants, and events of default for facilities of this type (with customary grace periods, as applicable, and lender remedies).</w:t>
      </w: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F-53</w:t>
      </w:r>
    </w:p>
    <w:p>
      <w:pPr>
        <w:sectPr>
          <w:pgSz w:w="11880" w:h="15480" w:orient="portrait"/>
          <w:cols w:equalWidth="0" w:num="1">
            <w:col w:w="10220"/>
          </w:cols>
          <w:pgMar w:left="820" w:top="803" w:right="840" w:bottom="8" w:gutter="0" w:footer="0" w:header="0"/>
          <w:type w:val="continuous"/>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20"/>
          <w:szCs w:val="20"/>
          <w:color w:val="1E1E1E"/>
        </w:rPr>
        <w:t>[THIS PAGE INTENTIONALLY LEFT BLANK]</w:t>
      </w:r>
    </w:p>
    <w:p>
      <w:pPr>
        <w:sectPr>
          <w:pgSz w:w="11880" w:h="15480" w:orient="portrait"/>
          <w:cols w:equalWidth="0" w:num="1">
            <w:col w:w="9000"/>
          </w:cols>
          <w:pgMar w:left="1440" w:top="1440" w:right="1440" w:bottom="1440" w:gutter="0" w:footer="0" w:header="0"/>
        </w:sectPr>
      </w:pPr>
    </w:p>
    <w:bookmarkStart w:id="146" w:name="page147"/>
    <w:bookmarkEnd w:id="146"/>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47" w:name="page148"/>
    <w:bookmarkEnd w:id="147"/>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lowerLetter"/>
      <w:start w:val="4"/>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2"/>
    </w:lvl>
  </w:abstractNum>
  <w:abstractNum w:abstractNumId="25">
    <w:nsid w:val="153EA438"/>
    <w:multiLevelType w:val="hybridMultilevel"/>
    <w:lvl w:ilvl="0">
      <w:lvlJc w:val="left"/>
      <w:lvlText w:val="(%1)"/>
      <w:numFmt w:val="decimal"/>
      <w:start w:val="3"/>
    </w:lvl>
  </w:abstractNum>
  <w:abstractNum w:abstractNumId="26">
    <w:nsid w:val="3855585C"/>
    <w:multiLevelType w:val="hybridMultilevel"/>
    <w:lvl w:ilvl="0">
      <w:lvlJc w:val="left"/>
      <w:lvlText w:val="%1"/>
      <w:numFmt w:val="decimal"/>
      <w:start w:val="104"/>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lowerRoman"/>
      <w:start w:val="3"/>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2"/>
    </w:lvl>
  </w:abstractNum>
  <w:abstractNum w:abstractNumId="33">
    <w:nsid w:val="57E4CCAF"/>
    <w:multiLevelType w:val="hybridMultilevel"/>
    <w:lvl w:ilvl="0">
      <w:lvlJc w:val="left"/>
      <w:lvlText w:val="%1."/>
      <w:numFmt w:val="decimal"/>
      <w:start w:val="3"/>
    </w:lvl>
  </w:abstractNum>
  <w:abstractNum w:abstractNumId="34">
    <w:nsid w:val="7A6D8D3C"/>
    <w:multiLevelType w:val="hybridMultilevel"/>
    <w:lvl w:ilvl="0">
      <w:lvlJc w:val="left"/>
      <w:lvlText w:val="%1."/>
      <w:numFmt w:val="decimal"/>
      <w:start w:val="4"/>
    </w:lvl>
  </w:abstractNum>
  <w:abstractNum w:abstractNumId="35">
    <w:nsid w:val="4B588F54"/>
    <w:multiLevelType w:val="hybridMultilevel"/>
    <w:lvl w:ilvl="0">
      <w:lvlJc w:val="left"/>
      <w:lvlText w:val="%1."/>
      <w:numFmt w:val="decimal"/>
      <w:start w:val="5"/>
    </w:lvl>
  </w:abstractNum>
  <w:abstractNum w:abstractNumId="36">
    <w:nsid w:val="542289EC"/>
    <w:multiLevelType w:val="hybridMultilevel"/>
    <w:lvl w:ilvl="0">
      <w:lvlJc w:val="left"/>
      <w:lvlText w:val="%1."/>
      <w:numFmt w:val="decimal"/>
      <w:start w:val="6"/>
    </w:lvl>
  </w:abstractNum>
  <w:abstractNum w:abstractNumId="37">
    <w:nsid w:val="6DE91B18"/>
    <w:multiLevelType w:val="hybridMultilevel"/>
    <w:lvl w:ilvl="0">
      <w:lvlJc w:val="left"/>
      <w:lvlText w:val="%1."/>
      <w:numFmt w:val="decimal"/>
      <w:start w:val="7"/>
    </w:lvl>
  </w:abstractNum>
  <w:abstractNum w:abstractNumId="38">
    <w:nsid w:val="38437FDB"/>
    <w:multiLevelType w:val="hybridMultilevel"/>
    <w:lvl w:ilvl="0">
      <w:lvlJc w:val="left"/>
      <w:lvlText w:val="%1."/>
      <w:numFmt w:val="decimal"/>
      <w:start w:val="8"/>
    </w:lvl>
  </w:abstractNum>
  <w:abstractNum w:abstractNumId="39">
    <w:nsid w:val="7644A45C"/>
    <w:multiLevelType w:val="hybridMultilevel"/>
    <w:lvl w:ilvl="0">
      <w:lvlJc w:val="left"/>
      <w:lvlText w:val="%1."/>
      <w:numFmt w:val="decimal"/>
      <w:start w:val="9"/>
    </w:lvl>
  </w:abstractNum>
  <w:abstractNum w:abstractNumId="40">
    <w:nsid w:val="32FFF902"/>
    <w:multiLevelType w:val="hybridMultilevel"/>
    <w:lvl w:ilvl="0">
      <w:lvlJc w:val="left"/>
      <w:lvlText w:val="%1."/>
      <w:numFmt w:val="decimal"/>
      <w:start w:val="10"/>
    </w:lvl>
  </w:abstractNum>
  <w:abstractNum w:abstractNumId="41">
    <w:nsid w:val="684A481A"/>
    <w:multiLevelType w:val="hybridMultilevel"/>
    <w:lvl w:ilvl="0">
      <w:lvlJc w:val="left"/>
      <w:lvlText w:val="%1."/>
      <w:numFmt w:val="decimal"/>
      <w:start w:val="11"/>
    </w:lvl>
  </w:abstractNum>
  <w:abstractNum w:abstractNumId="42">
    <w:nsid w:val="579478FE"/>
    <w:multiLevelType w:val="hybridMultilevel"/>
    <w:lvl w:ilvl="0">
      <w:lvlJc w:val="left"/>
      <w:lvlText w:val="%1."/>
      <w:numFmt w:val="decimal"/>
      <w:start w:val="12"/>
    </w:lvl>
  </w:abstractNum>
  <w:abstractNum w:abstractNumId="43">
    <w:nsid w:val="749ABB43"/>
    <w:multiLevelType w:val="hybridMultilevel"/>
    <w:lvl w:ilvl="0">
      <w:lvlJc w:val="left"/>
      <w:lvlText w:val="%1."/>
      <w:numFmt w:val="decimal"/>
      <w:start w:val="13"/>
    </w:lvl>
  </w:abstractNum>
  <w:abstractNum w:abstractNumId="44">
    <w:nsid w:val="3DC240FB"/>
    <w:multiLevelType w:val="hybridMultilevel"/>
    <w:lvl w:ilvl="0">
      <w:lvlJc w:val="left"/>
      <w:lvlText w:val="%1."/>
      <w:numFmt w:val="decimal"/>
      <w:start w:val="14"/>
    </w:lvl>
  </w:abstractNum>
  <w:abstractNum w:abstractNumId="45">
    <w:nsid w:val="1BA026FA"/>
    <w:multiLevelType w:val="hybridMultilevel"/>
    <w:lvl w:ilvl="0">
      <w:lvlJc w:val="left"/>
      <w:lvlText w:val="%1."/>
      <w:numFmt w:val="decimal"/>
      <w:start w:val="15"/>
    </w:lvl>
  </w:abstractNum>
  <w:abstractNum w:abstractNumId="46">
    <w:nsid w:val="79A1DEAA"/>
    <w:multiLevelType w:val="hybridMultilevel"/>
    <w:lvl w:ilvl="0">
      <w:lvlJc w:val="left"/>
      <w:lvlText w:val="%1."/>
      <w:numFmt w:val="decimal"/>
      <w:start w:val="16"/>
    </w:lvl>
  </w:abstractNum>
  <w:abstractNum w:abstractNumId="47">
    <w:nsid w:val="75C6C33A"/>
    <w:multiLevelType w:val="hybridMultilevel"/>
    <w:lvl w:ilvl="0">
      <w:lvlJc w:val="left"/>
      <w:lvlText w:val="%1."/>
      <w:numFmt w:val="decimal"/>
      <w:start w:val="17"/>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8"/>
    </w:lvl>
  </w:abstractNum>
  <w:abstractNum w:abstractNumId="50">
    <w:nsid w:val="520EEDD1"/>
    <w:multiLevelType w:val="hybridMultilevel"/>
    <w:lvl w:ilvl="0">
      <w:lvlJc w:val="left"/>
      <w:lvlText w:val="%1."/>
      <w:numFmt w:val="decimal"/>
      <w:start w:val="19"/>
    </w:lvl>
  </w:abstractNum>
  <w:abstractNum w:abstractNumId="51">
    <w:nsid w:val="374A3FE6"/>
    <w:multiLevelType w:val="hybridMultilevel"/>
    <w:lvl w:ilvl="0">
      <w:lvlJc w:val="left"/>
      <w:lvlText w:val="%1."/>
      <w:numFmt w:val="decimal"/>
      <w:start w:val="20"/>
    </w:lvl>
  </w:abstractNum>
  <w:abstractNum w:abstractNumId="52">
    <w:nsid w:val="4F4EF005"/>
    <w:multiLevelType w:val="hybridMultilevel"/>
    <w:lvl w:ilvl="0">
      <w:lvlJc w:val="left"/>
      <w:lvlText w:val="%1."/>
      <w:numFmt w:val="decimal"/>
      <w:start w:val="21"/>
    </w:lvl>
  </w:abstractNum>
  <w:abstractNum w:abstractNumId="53">
    <w:nsid w:val="23F9C13C"/>
    <w:multiLevelType w:val="hybridMultilevel"/>
    <w:lvl w:ilvl="0">
      <w:lvlJc w:val="left"/>
      <w:lvlText w:val="(%1)"/>
      <w:numFmt w:val="decimal"/>
      <w:start w:val="3"/>
    </w:lvl>
  </w:abstractNum>
  <w:abstractNum w:abstractNumId="54">
    <w:nsid w:val="649BB77C"/>
    <w:multiLevelType w:val="hybridMultilevel"/>
    <w:lvl w:ilvl="0">
      <w:lvlJc w:val="left"/>
      <w:lvlText w:val="%1."/>
      <w:numFmt w:val="decimal"/>
      <w:start w:val="22"/>
    </w:lvl>
  </w:abstractNum>
  <w:abstractNum w:abstractNumId="55">
    <w:nsid w:val="275AC794"/>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2025-04-23T15:33:44Z</dcterms:created>
  <dcterms:modified xsi:type="dcterms:W3CDTF">2025-04-23T15:33:44Z</dcterms:modified>
</cp:coreProperties>
</file>