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162024_040221.xml.htm"/>
      <w:bookmarkStart w:id="1" w:name="ksform402162024_0402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Booth Richard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047"/>
        <w:gridCol w:w="436"/>
        <w:gridCol w:w="598"/>
        <w:gridCol w:w="1434"/>
        <w:gridCol w:w="97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232,911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514,410.173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$0.001. The RSUs vest over a four-year period, with 25% of the RSUs vesting on February 1, 2025, followed by quarterly vesting of 6.25% every three months thereafter over the subsequent three years, in each case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1054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3494</Characters>
  <CharactersWithSpaces>4072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