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12024_081011.xml.htm"/>
      <w:bookmarkStart w:id="1" w:name="ksform410012024_08101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Shamsuddin Kate Marie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DEFINITIVE HEALTHCARE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492 OLD CONNECTICUT PATH, SUITE 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FRAMINGHAM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Definitive Healthcare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1059"/>
        <w:gridCol w:w="454"/>
        <w:gridCol w:w="616"/>
        <w:gridCol w:w="1163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113,379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431,065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("RSUs"), each representing a contingent right to receive one share of the Issuer's Class A Common Stock, par value $0.001, with 50% of the RSUs vesting on October 1, 2025, and the remaining 50% of the RSUs vesting on October 1, 2026, in each case subject to the Reporting Person's continued service with the Issuer through each such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Ruderman,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8756" TargetMode="External"/><Relationship Id="rId5" Type="http://schemas.openxmlformats.org/officeDocument/2006/relationships/hyperlink" Target="http://www.sec.gov/cgi-bin/browse-edgar?action=getcompany&amp;CIK=00018617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633</Words>
  <Characters>3433</Characters>
  <CharactersWithSpaces>4007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