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Shamsuddin Kate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06/14/2023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3"/>
        <w:gridCol w:w="905"/>
        <w:gridCol w:w="774"/>
        <w:gridCol w:w="601"/>
        <w:gridCol w:w="351"/>
        <w:gridCol w:w="854"/>
        <w:gridCol w:w="461"/>
        <w:gridCol w:w="759"/>
        <w:gridCol w:w="1174"/>
        <w:gridCol w:w="1006"/>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06/14/2023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10.59</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186,194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represents the withholding of shares by the issuer to satisfy the reporting person's tax withholding obligations in connection with the vesting and settlement of previously reported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8756"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3309</Characters>
  <CharactersWithSpaces>3847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