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6" w:right="479" w:bottom="84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Krantz Jason Ronald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842"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00"/>
              <w:spacing w:after="0"/>
              <w:rPr>
                <w:sz w:val="20"/>
                <w:szCs w:val="20"/>
                <w:color w:val="auto"/>
              </w:rPr>
            </w:pPr>
            <w:r>
              <w:rPr>
                <w:rFonts w:ascii="Arial" w:cs="Arial" w:eastAsia="Arial" w:hAnsi="Arial"/>
                <w:sz w:val="20"/>
                <w:szCs w:val="20"/>
                <w:color w:val="0000FF"/>
              </w:rPr>
              <w:t>144,444</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820"/>
              <w:spacing w:after="0"/>
              <w:rPr>
                <w:sz w:val="20"/>
                <w:szCs w:val="20"/>
                <w:color w:val="auto"/>
              </w:rPr>
            </w:pPr>
            <w:r>
              <w:rPr>
                <w:rFonts w:ascii="Arial" w:cs="Arial" w:eastAsia="Arial" w:hAnsi="Arial"/>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5"/>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7"/>
              </w:rPr>
              <w:t>LLC Units of AIDH Topco, LLC</w:t>
            </w:r>
          </w:p>
        </w:tc>
        <w:tc>
          <w:tcPr>
            <w:tcW w:w="11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right"/>
              <w:ind w:right="117"/>
              <w:spacing w:after="0"/>
              <w:rPr>
                <w:sz w:val="20"/>
                <w:szCs w:val="20"/>
                <w:color w:val="auto"/>
              </w:rPr>
            </w:pPr>
            <w:r>
              <w:rPr>
                <w:rFonts w:ascii="Arial" w:cs="Arial" w:eastAsia="Arial" w:hAnsi="Arial"/>
                <w:sz w:val="20"/>
                <w:szCs w:val="20"/>
                <w:color w:val="0000FF"/>
              </w:rPr>
              <w:t>855,089</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8000"/>
                <w:w w:val="87"/>
              </w:rPr>
              <w:t>(2)</w:t>
            </w:r>
          </w:p>
        </w:tc>
        <w:tc>
          <w:tcPr>
            <w:tcW w:w="40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7"/>
              </w:rPr>
              <w:t>LLC Units of AIDH Topco, LLC</w:t>
            </w:r>
          </w:p>
        </w:tc>
        <w:tc>
          <w:tcPr>
            <w:tcW w:w="11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0000FF"/>
                <w:w w:val="87"/>
              </w:rPr>
              <w:t>21,139,192</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8000"/>
                <w:w w:val="87"/>
              </w:rPr>
              <w:t>(2)</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rPr>
              <w:t>By trust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9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Represents restricted stock units subject to time-based vesting, 25% of which vest on the first anniversary of the date of grant, and the remaining 75% of which vest in substantially equal installments at the end of each three-month period measured from the first anniversary of the date of grant for a period of 36 months, subject to the Reporting Person's continued service with the Issuer and the terms of the applicable award agreement.</w:t>
      </w:r>
    </w:p>
    <w:p>
      <w:pPr>
        <w:spacing w:after="0" w:line="35" w:lineRule="exact"/>
        <w:rPr>
          <w:rFonts w:ascii="Arial" w:cs="Arial" w:eastAsia="Arial" w:hAnsi="Arial"/>
          <w:sz w:val="15"/>
          <w:szCs w:val="15"/>
          <w:color w:val="008000"/>
        </w:rPr>
      </w:pPr>
    </w:p>
    <w:p>
      <w:pPr>
        <w:ind w:left="40" w:right="100" w:firstLine="5"/>
        <w:spacing w:after="0" w:line="256"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By: /s/ David Samuels, as</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842"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Jason Krantz</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Jason Krantz</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9507"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2021-09-15T19:34:00Z</dcterms:created>
  <dcterms:modified xsi:type="dcterms:W3CDTF">2021-09-15T19:34:00Z</dcterms:modified>
</cp:coreProperties>
</file>