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Heller Casey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DEFINITIVE HEALTHCARE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492 OLD CONNECTICUT PATH, SUITE 401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FRAMINGHAM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Definitive Healthcare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17"/>
        <w:gridCol w:w="900"/>
        <w:gridCol w:w="771"/>
        <w:gridCol w:w="598"/>
        <w:gridCol w:w="342"/>
        <w:gridCol w:w="958"/>
        <w:gridCol w:w="438"/>
        <w:gridCol w:w="834"/>
        <w:gridCol w:w="1257"/>
        <w:gridCol w:w="977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3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5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5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41,093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0.9023</w:t>
            </w:r>
          </w:p>
        </w:tc>
        <w:tc>
          <w:tcPr>
            <w:tcW w:w="12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1,798,502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reported represents the withholding of shares by the issuer to satisfy the reporting person's tax withholding obligations in connection with the vesting and settlement of previously reported RSUs.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Paris,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2043" TargetMode="External"/><Relationship Id="rId5" Type="http://schemas.openxmlformats.org/officeDocument/2006/relationships/hyperlink" Target="http://www.sec.gov/cgi-bin/browse-edgar?action=getcompany&amp;CIK=00018617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601</Words>
  <Characters>3314</Characters>
  <CharactersWithSpaces>3847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