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Young Lauren</w:t>
              </w:r>
            </w:hyperlink>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780" w:type="dxa"/>
            <w:vAlign w:val="bottom"/>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20"/>
                <w:szCs w:val="20"/>
                <w:color w:val="0000FF"/>
                <w:w w:val="95"/>
              </w:rPr>
              <w:t>PRUDENTIAL TOWER</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800 BOYLSTON STREET,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02199</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3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24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58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1. See Exhibit 99.1 for text of footnote (1).</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2. See Exhibit 99.1 for text of footnote (2).</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3. See Exhibit 99.1 for text of footnote (3).</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4. See Exhibit 99.1 for text of footnote (4).</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5"/>
                <w:szCs w:val="15"/>
                <w:color w:val="008000"/>
                <w:w w:val="96"/>
              </w:rPr>
              <w:t>Exhibit 99.1 (Footnotes to Form 3) is incorporated by reference.</w:t>
            </w: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Lauren Young</w:t>
            </w: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09/15/2021</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40" w:hanging="360"/>
        <w:spacing w:after="0" w:line="259" w:lineRule="auto"/>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hanging="360"/>
        <w:spacing w:after="0" w:line="281"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w:t>
      </w:r>
    </w:p>
    <w:p>
      <w:pPr>
        <w:spacing w:after="0" w:line="209" w:lineRule="exact"/>
        <w:rPr>
          <w:rFonts w:ascii="Arial" w:cs="Arial" w:eastAsia="Arial" w:hAnsi="Arial"/>
          <w:sz w:val="18"/>
          <w:szCs w:val="18"/>
          <w:color w:val="auto"/>
        </w:rPr>
      </w:pPr>
    </w:p>
    <w:p>
      <w:pPr>
        <w:jc w:val="both"/>
        <w:ind w:left="360" w:right="120"/>
        <w:spacing w:after="0" w:line="278" w:lineRule="auto"/>
        <w:tabs>
          <w:tab w:leader="none" w:pos="899" w:val="left"/>
        </w:tabs>
        <w:numPr>
          <w:ilvl w:val="1"/>
          <w:numId w:val="2"/>
        </w:numPr>
        <w:rPr>
          <w:rFonts w:ascii="Arial" w:cs="Arial" w:eastAsia="Arial" w:hAnsi="Arial"/>
          <w:sz w:val="18"/>
          <w:szCs w:val="18"/>
          <w:color w:val="auto"/>
        </w:rPr>
      </w:pPr>
      <w:r>
        <w:rPr>
          <w:rFonts w:ascii="Arial" w:cs="Arial" w:eastAsia="Arial" w:hAnsi="Arial"/>
          <w:sz w:val="18"/>
          <w:szCs w:val="18"/>
          <w:color w:val="auto"/>
        </w:rPr>
        <w:t>363,158 shares are held directly by Advent Partners AGT Cayman Limited Partnership (“AGT Cayman LP”), (xxv) 32,347 shares are held directly by Advent Global Technology Strategic Investors Limited Partnership (“AGT Strategic Investors LP”) and</w:t>
      </w:r>
    </w:p>
    <w:p>
      <w:pPr>
        <w:ind w:left="900" w:hanging="540"/>
        <w:spacing w:after="0"/>
        <w:tabs>
          <w:tab w:leader="none" w:pos="900" w:val="left"/>
        </w:tabs>
        <w:numPr>
          <w:ilvl w:val="1"/>
          <w:numId w:val="3"/>
        </w:numPr>
        <w:rPr>
          <w:rFonts w:ascii="Arial" w:cs="Arial" w:eastAsia="Arial" w:hAnsi="Arial"/>
          <w:sz w:val="19"/>
          <w:szCs w:val="19"/>
          <w:color w:val="auto"/>
        </w:rPr>
      </w:pPr>
      <w:r>
        <w:rPr>
          <w:rFonts w:ascii="Arial" w:cs="Arial" w:eastAsia="Arial" w:hAnsi="Arial"/>
          <w:sz w:val="19"/>
          <w:szCs w:val="19"/>
          <w:color w:val="auto"/>
        </w:rPr>
        <w:t>3,745,725 shares are held directly by Sunley House Capital Master Limited Partnership (“Sunley House Master Fund”).</w:t>
      </w:r>
    </w:p>
    <w:p>
      <w:pPr>
        <w:spacing w:after="0" w:line="275" w:lineRule="exact"/>
        <w:rPr>
          <w:rFonts w:ascii="Arial" w:cs="Arial" w:eastAsia="Arial" w:hAnsi="Arial"/>
          <w:sz w:val="19"/>
          <w:szCs w:val="19"/>
          <w:color w:val="auto"/>
        </w:rPr>
      </w:pPr>
    </w:p>
    <w:p>
      <w:pPr>
        <w:ind w:left="360" w:hanging="360"/>
        <w:spacing w:after="0" w:line="28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96" w:right="479" w:bottom="1440" w:gutter="0" w:footer="0" w:header="0"/>
        </w:sectPr>
      </w:pPr>
    </w:p>
    <w:bookmarkStart w:id="2" w:name="page3"/>
    <w:bookmarkEnd w:id="2"/>
    <w:p>
      <w:pPr>
        <w:ind w:left="360" w:hanging="360"/>
        <w:spacing w:after="0" w:line="277"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Reporting Person is a Managing Director of Advent and may have limited partner or other interests in one or more of the entities described herein. The Reporting Person disclaims Section 16 beneficial ownership of the shares reported herein except to the extent of her pecuniary interest therein, if any, and the inclusion of these shares in this report shall not be deemed an admission of beneficial ownership of all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800"/>
      </w:cols>
      <w:pgMar w:left="480" w:top="12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lvl w:ilvl="1">
      <w:lvlJc w:val="left"/>
      <w:lvlText w:val="(%2)"/>
      <w:numFmt w:val="lowerRoman"/>
      <w:start w:val="24"/>
    </w:lvl>
  </w:abstractNum>
  <w:abstractNum w:abstractNumId="2">
    <w:nsid w:val="625558EC"/>
    <w:multiLevelType w:val="hybridMultilevel"/>
    <w:lvl w:ilvl="0">
      <w:lvlJc w:val="left"/>
      <w:lvlText w:val="%1"/>
      <w:numFmt w:val="decimal"/>
      <w:start w:val="1"/>
    </w:lvl>
    <w:lvl w:ilvl="1">
      <w:lvlJc w:val="left"/>
      <w:lvlText w:val="(%2)"/>
      <w:numFmt w:val="lowerRoman"/>
      <w:start w:val="26"/>
    </w:lvl>
  </w:abstractNum>
  <w:abstractNum w:abstractNumId="3">
    <w:nsid w:val="238E1F29"/>
    <w:multiLevelType w:val="hybridMultilevel"/>
    <w:lvl w:ilvl="0">
      <w:lvlJc w:val="left"/>
      <w:lvlText w:val="(%1)"/>
      <w:numFmt w:val="decimal"/>
      <w:start w:val="3"/>
    </w:lvl>
    <w:lvl w:ilvl="1">
      <w:lvlJc w:val="left"/>
      <w:lvlText w:val="%2"/>
      <w:numFmt w:val="lowerRoman"/>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76216"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2021-09-15T19:55:08Z</dcterms:created>
  <dcterms:modified xsi:type="dcterms:W3CDTF">2021-09-15T19:55:08Z</dcterms:modified>
</cp:coreProperties>
</file>