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4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ADVENT INTERNATIONAL</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CORP/MA</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Definitive Healthcare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PRUDENTIAL TOWER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4"/>
          </w:tcPr>
          <w:p>
            <w:pPr>
              <w:ind w:left="420"/>
              <w:spacing w:after="0" w:line="134"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8"/>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4"/>
            <w:vMerge w:val="restart"/>
          </w:tcPr>
          <w:p>
            <w:pPr>
              <w:ind w:left="600"/>
              <w:spacing w:after="0"/>
              <w:rPr>
                <w:sz w:val="20"/>
                <w:szCs w:val="20"/>
                <w:color w:val="auto"/>
              </w:rPr>
            </w:pPr>
            <w:r>
              <w:rPr>
                <w:rFonts w:ascii="Arial" w:cs="Arial" w:eastAsia="Arial" w:hAnsi="Arial"/>
                <w:sz w:val="17"/>
                <w:szCs w:val="17"/>
                <w:color w:val="0000FF"/>
                <w:w w:val="93"/>
              </w:rPr>
              <w:t>11/22/2021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500" w:type="dxa"/>
            <w:vAlign w:val="bottom"/>
          </w:tcPr>
          <w:p>
            <w:pPr>
              <w:spacing w:after="0"/>
              <w:rPr>
                <w:sz w:val="22"/>
                <w:szCs w:val="22"/>
                <w:color w:val="auto"/>
              </w:rPr>
            </w:pPr>
          </w:p>
        </w:tc>
        <w:tc>
          <w:tcPr>
            <w:tcW w:w="980" w:type="dxa"/>
            <w:vAlign w:val="bottom"/>
            <w:vMerge w:val="restart"/>
          </w:tcPr>
          <w:p>
            <w:pPr>
              <w:ind w:left="80"/>
              <w:spacing w:after="0"/>
              <w:rPr>
                <w:sz w:val="20"/>
                <w:szCs w:val="20"/>
                <w:color w:val="auto"/>
              </w:rPr>
            </w:pPr>
            <w:r>
              <w:rPr>
                <w:rFonts w:ascii="Arial" w:cs="Arial" w:eastAsia="Arial" w:hAnsi="Arial"/>
                <w:sz w:val="17"/>
                <w:szCs w:val="17"/>
                <w:color w:val="0000FF"/>
                <w:w w:val="94"/>
              </w:rPr>
              <w:t>2,102,873</w:t>
            </w:r>
            <w:r>
              <w:rPr>
                <w:rFonts w:ascii="Arial" w:cs="Arial" w:eastAsia="Arial" w:hAnsi="Arial"/>
                <w:sz w:val="22"/>
                <w:szCs w:val="22"/>
                <w:color w:val="008000"/>
                <w:w w:val="94"/>
                <w:vertAlign w:val="superscript"/>
              </w:rPr>
              <w:t>(1)</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34.74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w w:val="87"/>
              </w:rPr>
              <w:t>62,493,676</w:t>
            </w:r>
            <w:r>
              <w:rPr>
                <w:rFonts w:ascii="Arial" w:cs="Arial" w:eastAsia="Arial" w:hAnsi="Arial"/>
                <w:sz w:val="22"/>
                <w:szCs w:val="22"/>
                <w:color w:val="008000"/>
                <w:w w:val="87"/>
                <w:vertAlign w:val="superscript"/>
              </w:rPr>
              <w:t>(2)</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6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ADVENT INTERNATIONAL CORP/MA</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Advent Global Technology-A SCSp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Advent Partners AGT Limited Partnership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7"/>
          <w:szCs w:val="17"/>
          <w:color w:val="0000FF"/>
        </w:rPr>
        <w:t>PRUDENTIAL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Advent Partners AGT-A Limited Partnership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Advent Partners AGT Cayman Limited</w:t>
        </w:r>
      </w:hyperlink>
    </w:p>
    <w:p>
      <w:pPr>
        <w:ind w:left="4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Advent Global Technology Strategic Investors</w:t>
        </w:r>
      </w:hyperlink>
    </w:p>
    <w:p>
      <w:pPr>
        <w:spacing w:after="0" w:line="10" w:lineRule="exact"/>
        <w:rPr>
          <w:sz w:val="20"/>
          <w:szCs w:val="20"/>
          <w:color w:val="auto"/>
        </w:rPr>
      </w:pPr>
    </w:p>
    <w:p>
      <w:pPr>
        <w:ind w:left="4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Limited 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Advent Global Technology GP Limited</w:t>
        </w:r>
      </w:hyperlink>
    </w:p>
    <w:p>
      <w:pPr>
        <w:ind w:left="4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Advent Global Technology GP S.a.r.l.</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34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20" w:type="dxa"/>
            <w:vAlign w:val="bottom"/>
          </w:tcPr>
          <w:p>
            <w:pPr>
              <w:ind w:left="340"/>
              <w:spacing w:after="0"/>
              <w:rPr>
                <w:sz w:val="20"/>
                <w:szCs w:val="20"/>
                <w:color w:val="auto"/>
              </w:rPr>
            </w:pPr>
            <w:r>
              <w:rPr>
                <w:rFonts w:ascii="Arial" w:cs="Arial" w:eastAsia="Arial" w:hAnsi="Arial"/>
                <w:sz w:val="17"/>
                <w:szCs w:val="17"/>
                <w:color w:val="0000FF"/>
              </w:rPr>
              <w:t>MA</w:t>
            </w:r>
          </w:p>
        </w:tc>
        <w:tc>
          <w:tcPr>
            <w:tcW w:w="1880" w:type="dxa"/>
            <w:vAlign w:val="bottom"/>
          </w:tcPr>
          <w:p>
            <w:pPr>
              <w:ind w:left="520"/>
              <w:spacing w:after="0"/>
              <w:rPr>
                <w:sz w:val="20"/>
                <w:szCs w:val="20"/>
                <w:color w:val="auto"/>
              </w:rPr>
            </w:pPr>
            <w:r>
              <w:rPr>
                <w:rFonts w:ascii="Arial" w:cs="Arial" w:eastAsia="Arial" w:hAnsi="Arial"/>
                <w:sz w:val="17"/>
                <w:szCs w:val="17"/>
                <w:color w:val="0000FF"/>
              </w:rPr>
              <w:t>02199-8069</w:t>
            </w:r>
          </w:p>
        </w:tc>
      </w:tr>
    </w:tbl>
    <w:p>
      <w:pPr>
        <w:spacing w:after="0" w:line="200" w:lineRule="exact"/>
        <w:rPr>
          <w:sz w:val="20"/>
          <w:szCs w:val="20"/>
          <w:color w:val="auto"/>
        </w:rPr>
      </w:pPr>
    </w:p>
    <w:p>
      <w:pPr>
        <w:sectPr>
          <w:pgSz w:w="11900" w:h="16838" w:orient="portrait"/>
          <w:cols w:equalWidth="0" w:num="1">
            <w:col w:w="9919"/>
          </w:cols>
          <w:pgMar w:left="540" w:top="131" w:right="1440" w:bottom="0" w:gutter="0" w:footer="0" w:header="0"/>
        </w:sectPr>
      </w:pPr>
    </w:p>
    <w:p>
      <w:pPr>
        <w:spacing w:after="0" w:line="120"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19"/>
          </w:cols>
          <w:pgMar w:left="540" w:top="131"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549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354965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AP AGT GP Limited Partnership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7"/>
                <w:szCs w:val="17"/>
                <w:color w:val="0000FF"/>
              </w:rPr>
              <w:t>PRUDENTIAL TOWER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74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360" w:type="dxa"/>
            <w:vAlign w:val="bottom"/>
          </w:tcPr>
          <w:p>
            <w:pPr>
              <w:spacing w:after="0"/>
              <w:rPr>
                <w:sz w:val="20"/>
                <w:szCs w:val="20"/>
                <w:color w:val="auto"/>
              </w:rPr>
            </w:pPr>
            <w:r>
              <w:rPr>
                <w:rFonts w:ascii="Arial" w:cs="Arial" w:eastAsia="Arial" w:hAnsi="Arial"/>
                <w:sz w:val="17"/>
                <w:szCs w:val="17"/>
                <w:color w:val="0000FF"/>
              </w:rPr>
              <w:t>02199-8069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3"/>
          </w:tcPr>
          <w:p>
            <w:pPr>
              <w:spacing w:after="0" w:line="221" w:lineRule="exact"/>
              <w:rPr>
                <w:rFonts w:ascii="Arial" w:cs="Arial" w:eastAsia="Arial" w:hAnsi="Arial"/>
                <w:sz w:val="21"/>
                <w:szCs w:val="21"/>
                <w:color w:val="0000EE"/>
                <w:w w:val="95"/>
              </w:rPr>
            </w:pPr>
            <w:hyperlink r:id="rId25">
              <w:r>
                <w:rPr>
                  <w:rFonts w:ascii="Arial" w:cs="Arial" w:eastAsia="Arial" w:hAnsi="Arial"/>
                  <w:sz w:val="21"/>
                  <w:szCs w:val="21"/>
                  <w:color w:val="0000EE"/>
                  <w:w w:val="95"/>
                </w:rPr>
                <w:t>Advent Global Technology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line="265" w:lineRule="auto"/>
        <w:rPr>
          <w:sz w:val="20"/>
          <w:szCs w:val="20"/>
          <w:color w:val="auto"/>
        </w:rPr>
      </w:pPr>
      <w:r>
        <w:rPr>
          <w:rFonts w:ascii="Arial" w:cs="Arial" w:eastAsia="Arial" w:hAnsi="Arial"/>
          <w:sz w:val="12"/>
          <w:szCs w:val="12"/>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4) and Exhibit 99.2 (Signatures and Joint Filer Information) are incorporated by reference. Form 4 of 5: This Form 4 is the fourth of five Forms 4 being filed relating to the same event. The Form 4 has been split into multiple filings because there are more than 10 Reporting Persons total, and the SEC's EDGAR filing system limits a single Form 4 to a maximum of 10 Reporting Persons. Each Form 4 will be filed by Designated Filer Advent International Corporation.</w:t>
      </w:r>
    </w:p>
    <w:p>
      <w:pPr>
        <w:spacing w:after="0" w:line="4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ADVENT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CORPORATION, By: /s/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Crawford, Name: Neil</w:t>
      </w:r>
      <w:r>
        <w:rPr>
          <w:sz w:val="20"/>
          <w:szCs w:val="20"/>
          <w:color w:val="auto"/>
        </w:rPr>
        <w:tab/>
      </w: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Crawford,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7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9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4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60"/>
          </w:cols>
          <w:pgMar w:left="480" w:top="110"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7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570,543 shares sold by Advent International GPE IX Limited Partnership (“GPE-IX LP”), (ii) 113,055 shares sold by Advent International GPE IX-B Limited Partnership (“GPE IX-B LP”), (iii) 46,933 shares sold by Advent International GPE IX-C Limited Partnership (“GPE IX-C LP”), (iv) 49,242 shares sold by Advent International GPE IX-F Limited Partnership (“GPE IX-F LP”), (v) 162,029 shares sold by Advent International GPE IX-G Limited Partnership (“GPE IX-G LP”), (vi) 182,680 shares sold by Advent International GPE IX-H Limited Partnership (“GPE IX-H LP”), (vii) 103,474 shares sold by Advent International GPE IX-I Limited Partnership (“GPE IX-I LP”), (viii) 167,771 shares sold by Advent International GPE IX-A SCSP (“GPE IX-A SCSP”), (ix) 35,710 shares sold by Advent International GPE IX-D SCSP (“GPE IX-D SCSP”), (x) 72,572 shares sold by Advent International GPE IX-E SCSP (“GPE IX-E SCSP”), (xi) 3,278 shares sold Advent International GPE IX Strategic Investors SCSP (“GPE IX Strategic Investors SCSP”), (xii) 1,872 shares sold by Advent Partners GPE IX Limited Partnership (“AP GPE IX LP”), (xiii) 4,330 shares sold by Advent Partners GPE IX-A Limited Partnership (“AP GPE IX-A LP”), (xiv) 10,804 shares sold by Advent Partners GPE IX Cayman Limited Partnership (“AP GPE IX Cayman LP”),</w:t>
      </w:r>
    </w:p>
    <w:p>
      <w:pPr>
        <w:spacing w:after="0" w:line="4" w:lineRule="exact"/>
        <w:rPr>
          <w:rFonts w:ascii="Arial" w:cs="Arial" w:eastAsia="Arial" w:hAnsi="Arial"/>
          <w:sz w:val="16"/>
          <w:szCs w:val="16"/>
          <w:color w:val="auto"/>
        </w:rPr>
      </w:pPr>
    </w:p>
    <w:p>
      <w:pPr>
        <w:ind w:left="320" w:right="60" w:firstLine="6"/>
        <w:spacing w:after="0" w:line="278"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1,821 shares sold by Advent Partners GPE IX-A Cayman Limited Partnership (“AP GPE IX-A Cayman LP”), (xvi) 30,234 shares sold by Advent Partners GPE IX-B Cayman Limited Partnership (“AP GPE IX-B Cayman LP”), (xvii) 128,499 shares sold by Advent Global Technology Limited Partnership (“Global Technology LP”), (xviii) 100,002 shares sold by Advent Global Technology-B Limited Partnership (“Global Technology-B LP”), (xix) 54,144 shares sold by Advent Global Technology-C Limited Partnership (“Global Technology-C LP”), (xx) 64,822 shares sold by Advent Global Technology-D Limited Partnership (“Global Technology-D LP”), (xxi) 63,431 by Advent Global Technology-A SCSP (“Global Technology-A SCSP”), (xxii) 202 shares sold by Advent Partners AGT Limited Partnership (“AGT LP”), (xxiii) 921 shares sold by Advent Partners AGT-A Limited Partnership (“AGT-A LP”), (xxiv) 11,538 shares sold by Advent Partners AGT Cayman Limited Partnership (“AGT Cayman LP”), (xxv) 1,028 shares sold by Advent Global Technology Strategic Investors Limited Partnership (“AGT Strategic Investors LP”) and</w:t>
      </w:r>
    </w:p>
    <w:p>
      <w:pPr>
        <w:ind w:left="320" w:right="100" w:firstLine="6"/>
        <w:spacing w:after="0" w:line="254" w:lineRule="auto"/>
        <w:tabs>
          <w:tab w:leader="none" w:pos="798" w:val="left"/>
        </w:tabs>
        <w:numPr>
          <w:ilvl w:val="1"/>
          <w:numId w:val="5"/>
        </w:numPr>
        <w:rPr>
          <w:rFonts w:ascii="Arial" w:cs="Arial" w:eastAsia="Arial" w:hAnsi="Arial"/>
          <w:sz w:val="18"/>
          <w:szCs w:val="18"/>
          <w:color w:val="auto"/>
        </w:rPr>
      </w:pPr>
      <w:r>
        <w:rPr>
          <w:rFonts w:ascii="Arial" w:cs="Arial" w:eastAsia="Arial" w:hAnsi="Arial"/>
          <w:sz w:val="18"/>
          <w:szCs w:val="18"/>
          <w:color w:val="auto"/>
        </w:rPr>
        <w:t>121,938 shares sold by Sunley House Master Fund Limited Partnership (“Sunley House Master Fund”). This transaction was approved by the board of directors of the Issuer for purposes of Rule 16b-3 of the Securities Exchange Act of 1934, as amended.</w:t>
      </w:r>
    </w:p>
    <w:p>
      <w:pPr>
        <w:spacing w:after="0" w:line="217" w:lineRule="exact"/>
        <w:rPr>
          <w:rFonts w:ascii="Arial" w:cs="Arial" w:eastAsia="Arial" w:hAnsi="Arial"/>
          <w:sz w:val="18"/>
          <w:szCs w:val="18"/>
          <w:color w:val="auto"/>
        </w:rPr>
      </w:pPr>
    </w:p>
    <w:p>
      <w:pPr>
        <w:ind w:left="320" w:right="40" w:hanging="313"/>
        <w:spacing w:after="0" w:line="279"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62,493,676 shares of Class A common stock of the Issuer, which are represented as follows: (i) 16,955,510 shares are held directly by GPE-IX LP, (ii) 3,359,809 shares are held directly GPE IX-B LP, (iii) 1,394,766 shares are held directly by GPE IX-C LP, (iv) 1,463,380 shares are held directly by GPE IX-F LP, (v) 4,815,226 shares are held directly by GPE IX-G LP, (vi) 5,428,915 shares are held directly by GPE IX-H LP, (vii) 3,075,053 shares are held directly by GPE IX-I LP, (viii) 4,985,850 shares are held directly by GPE IX-A SCSP, (ix) 1,061,241 shares are held directly by GPE IX-D SCSP, (x) 2,156,723 shares are held directly by GPE IX-E SCSP, (xi) 97,427 shares are held directly by GPE IX Strategic Investors SCSP, (xii) 55,642 shares are held directly by AP GPE IX LP, (xiii) 128,669 shares are held directly by AP GPE IX-A LP, (xiv) 321,070 shares are held directly by AP GPE IX Cayman LP, (xv) 54,121 shares are held directly by AP GPE IX-A Cayman LP, (xvi) 898,507 shares are held directly by AP GPE IX-B Cayman LP,</w:t>
      </w:r>
    </w:p>
    <w:p>
      <w:pPr>
        <w:spacing w:after="0" w:line="5" w:lineRule="exact"/>
        <w:rPr>
          <w:rFonts w:ascii="Arial" w:cs="Arial" w:eastAsia="Arial" w:hAnsi="Arial"/>
          <w:sz w:val="16"/>
          <w:szCs w:val="16"/>
          <w:color w:val="auto"/>
        </w:rPr>
      </w:pPr>
    </w:p>
    <w:p>
      <w:pPr>
        <w:ind w:left="320" w:right="160" w:firstLine="6"/>
        <w:spacing w:after="0" w:line="278" w:lineRule="auto"/>
        <w:tabs>
          <w:tab w:leader="none" w:pos="759" w:val="left"/>
        </w:tabs>
        <w:numPr>
          <w:ilvl w:val="1"/>
          <w:numId w:val="6"/>
        </w:numPr>
        <w:rPr>
          <w:rFonts w:ascii="Arial" w:cs="Arial" w:eastAsia="Arial" w:hAnsi="Arial"/>
          <w:sz w:val="16"/>
          <w:szCs w:val="16"/>
          <w:color w:val="auto"/>
        </w:rPr>
      </w:pPr>
      <w:r>
        <w:rPr>
          <w:rFonts w:ascii="Arial" w:cs="Arial" w:eastAsia="Arial" w:hAnsi="Arial"/>
          <w:sz w:val="16"/>
          <w:szCs w:val="16"/>
          <w:color w:val="auto"/>
        </w:rPr>
        <w:t>3,818,770 shares are held directly by Global Technology LP, (xviii) 2,971,879 shares are held directly by Global Technology-B LP, (xix) 1,609,070 shares are held directly by Global Technology-C LP, (xx) 1,926,387 shares are held directly by Global Technology-D LP, (xxi) 1,885,069 shares are held directly by Global Technology-A SCSP, (xxii) 5,990 shares are held directly by AGT LP, (xxiii) 27,373 shares are held directly by AGT-A LP, (xxiv) 342,900 shares are held directly by AGT Cayman LP, (xxv) 30,542 shares are held directly by AGT Strategic Investors LP and</w:t>
      </w:r>
    </w:p>
    <w:p>
      <w:pPr>
        <w:ind w:left="800" w:hanging="474"/>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3,623,787 shares are held directly by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69640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4" w:name="page5"/>
    <w:bookmarkEnd w:id="4"/>
    <w:p>
      <w:pPr>
        <w:ind w:left="313" w:hanging="313"/>
        <w:spacing w:after="0" w:line="281" w:lineRule="auto"/>
        <w:tabs>
          <w:tab w:leader="none" w:pos="313" w:val="left"/>
        </w:tabs>
        <w:numPr>
          <w:ilvl w:val="0"/>
          <w:numId w:val="8"/>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13" w:hanging="313"/>
        <w:spacing w:after="0" w:line="257" w:lineRule="auto"/>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9640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53"/>
          </w:cols>
          <w:pgMar w:left="467" w:top="127" w:right="47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1"/>
          <w:szCs w:val="21"/>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-240665</wp:posOffset>
            </wp:positionV>
            <wp:extent cx="696404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964045" cy="336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Prudential Tower, 800 Boylston Street, Suite 3300</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27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5220"/>
        <w:spacing w:after="0" w:line="256" w:lineRule="auto"/>
        <w:rPr>
          <w:sz w:val="20"/>
          <w:szCs w:val="20"/>
          <w:color w:val="auto"/>
        </w:rPr>
      </w:pPr>
      <w:r>
        <w:rPr>
          <w:rFonts w:ascii="Arial" w:cs="Arial" w:eastAsia="Arial" w:hAnsi="Arial"/>
          <w:sz w:val="20"/>
          <w:szCs w:val="20"/>
          <w:color w:val="auto"/>
        </w:rPr>
        <w:t>ADVENT INTERNATIONAL GPE IX LIMITED PARTNERSHIP By: GPE IX GP Limited Partnership, its General Partner By: Advent International GPE IX, LLC, its General Partner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IX-B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IX-B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IX-C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IX-C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IX-F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59"/>
        <w:spacing w:after="0" w:line="264" w:lineRule="auto"/>
        <w:rPr>
          <w:sz w:val="20"/>
          <w:szCs w:val="20"/>
          <w:color w:val="auto"/>
        </w:rPr>
      </w:pPr>
      <w:r>
        <w:rPr>
          <w:rFonts w:ascii="Arial" w:cs="Arial" w:eastAsia="Arial" w:hAnsi="Arial"/>
          <w:sz w:val="20"/>
          <w:szCs w:val="20"/>
          <w:color w:val="auto"/>
        </w:rPr>
        <w:t>ADVENT INTERNATIONAL GPE IX-F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IX-G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IX-G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2"/>
              </w:rPr>
              <w:t>Advent International GPE IX-H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IX-H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IX-I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99"/>
        <w:spacing w:after="0" w:line="264" w:lineRule="auto"/>
        <w:rPr>
          <w:sz w:val="20"/>
          <w:szCs w:val="20"/>
          <w:color w:val="auto"/>
        </w:rPr>
      </w:pPr>
      <w:r>
        <w:rPr>
          <w:rFonts w:ascii="Arial" w:cs="Arial" w:eastAsia="Arial" w:hAnsi="Arial"/>
          <w:sz w:val="20"/>
          <w:szCs w:val="20"/>
          <w:color w:val="auto"/>
        </w:rPr>
        <w:t>ADVENT INTERNATIONAL GPE IX-I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2" w:name="page13"/>
    <w:bookmarkEnd w:id="12"/>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IX-A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IX-A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3" w:name="page14"/>
    <w:bookmarkEnd w:id="13"/>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IX-D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IX-D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4" w:name="page15"/>
    <w:bookmarkEnd w:id="1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IX-E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IX-E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5" w:name="page16"/>
    <w:bookmarkEnd w:id="15"/>
    <w:p>
      <w:pPr>
        <w:ind w:left="4520"/>
        <w:spacing w:after="0"/>
        <w:rPr>
          <w:sz w:val="20"/>
          <w:szCs w:val="20"/>
          <w:color w:val="auto"/>
        </w:rPr>
      </w:pPr>
      <w:r>
        <w:rPr>
          <w:rFonts w:ascii="Arial" w:cs="Arial" w:eastAsia="Arial" w:hAnsi="Arial"/>
          <w:sz w:val="20"/>
          <w:szCs w:val="20"/>
          <w:u w:val="single" w:color="auto"/>
          <w:color w:val="auto"/>
        </w:rPr>
        <w:t>Joint Filer Information</w:t>
      </w:r>
    </w:p>
    <w:p>
      <w:pPr>
        <w:sectPr>
          <w:pgSz w:w="11900" w:h="16838" w:orient="portrait"/>
          <w:cols w:equalWidth="0" w:num="1">
            <w:col w:w="9999"/>
          </w:cols>
          <w:pgMar w:left="460" w:top="118" w:right="1440"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Issuer Name and Ticker or Trading Symbol:</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Required to be Reported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p>
      <w:pPr>
        <w:ind w:right="1960"/>
        <w:spacing w:after="0" w:line="268" w:lineRule="auto"/>
        <w:rPr>
          <w:sz w:val="20"/>
          <w:szCs w:val="20"/>
          <w:color w:val="auto"/>
        </w:rPr>
      </w:pPr>
      <w:r>
        <w:rPr>
          <w:rFonts w:ascii="Arial" w:cs="Arial" w:eastAsia="Arial" w:hAnsi="Arial"/>
          <w:sz w:val="17"/>
          <w:szCs w:val="17"/>
          <w:color w:val="auto"/>
        </w:rPr>
        <w:t>ADVENT INTERNATIONAL GPE IX STRATEGIC INVESTORS SCSP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GPE IX GP S.à r.l., its General Partner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By: Advent International GPE IX, LLC, its General Partner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Manager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579"/>
        <w:spacing w:after="0" w:line="253" w:lineRule="auto"/>
        <w:rPr>
          <w:sz w:val="20"/>
          <w:szCs w:val="20"/>
          <w:color w:val="auto"/>
        </w:rPr>
      </w:pPr>
      <w:r>
        <w:rPr>
          <w:rFonts w:ascii="Arial" w:cs="Arial" w:eastAsia="Arial" w:hAnsi="Arial"/>
          <w:sz w:val="18"/>
          <w:szCs w:val="18"/>
          <w:color w:val="auto"/>
        </w:rPr>
        <w:t>Advent International GPE IX Strategic Investors SCSP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Prudential Tower, 800 Boylston Street, Suite 3300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34778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1306195</wp:posOffset>
            </wp:positionV>
            <wp:extent cx="69640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2">
            <w:col w:w="4780" w:space="720"/>
            <w:col w:w="4499"/>
          </w:cols>
          <w:pgMar w:left="460" w:top="118" w:right="1440" w:bottom="1440" w:gutter="0" w:footer="0" w:header="0"/>
          <w:type w:val="continuous"/>
        </w:sectPr>
      </w:pPr>
    </w:p>
    <w:bookmarkStart w:id="16" w:name="page17"/>
    <w:bookmarkEnd w:id="1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GPE IX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879"/>
        <w:spacing w:after="0" w:line="264" w:lineRule="auto"/>
        <w:rPr>
          <w:sz w:val="20"/>
          <w:szCs w:val="20"/>
          <w:color w:val="auto"/>
        </w:rPr>
      </w:pPr>
      <w:r>
        <w:rPr>
          <w:rFonts w:ascii="Arial" w:cs="Arial" w:eastAsia="Arial" w:hAnsi="Arial"/>
          <w:sz w:val="20"/>
          <w:szCs w:val="20"/>
          <w:color w:val="auto"/>
        </w:rPr>
        <w:t>ADVENT PARTNERS GPE IX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17" w:name="page18"/>
    <w:bookmarkEnd w:id="17"/>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Advent Partners GPE IX-A Limited Partnership</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659"/>
        <w:spacing w:after="0" w:line="264" w:lineRule="auto"/>
        <w:rPr>
          <w:sz w:val="20"/>
          <w:szCs w:val="20"/>
          <w:color w:val="auto"/>
        </w:rPr>
      </w:pPr>
      <w:r>
        <w:rPr>
          <w:rFonts w:ascii="Arial" w:cs="Arial" w:eastAsia="Arial" w:hAnsi="Arial"/>
          <w:sz w:val="20"/>
          <w:szCs w:val="20"/>
          <w:color w:val="auto"/>
        </w:rPr>
        <w:t>ADVENT PARTNERS GPE IX-A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3"/>
        </w:trPr>
        <w:tc>
          <w:tcPr>
            <w:tcW w:w="4520" w:type="dxa"/>
            <w:vAlign w:val="bottom"/>
          </w:tcPr>
          <w:p>
            <w:pPr>
              <w:spacing w:after="0"/>
              <w:rPr>
                <w:sz w:val="18"/>
                <w:szCs w:val="18"/>
                <w:color w:val="auto"/>
              </w:rPr>
            </w:pP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899"/>
        <w:spacing w:after="0" w:line="248" w:lineRule="auto"/>
        <w:rPr>
          <w:sz w:val="20"/>
          <w:szCs w:val="20"/>
          <w:color w:val="auto"/>
        </w:rPr>
      </w:pPr>
      <w:r>
        <w:rPr>
          <w:rFonts w:ascii="Arial" w:cs="Arial" w:eastAsia="Arial" w:hAnsi="Arial"/>
          <w:sz w:val="21"/>
          <w:szCs w:val="21"/>
          <w:color w:val="auto"/>
        </w:rPr>
        <w:t>ADVENT PARTNERS GPE IX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IX-A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79"/>
        <w:spacing w:after="0" w:line="248" w:lineRule="auto"/>
        <w:rPr>
          <w:sz w:val="20"/>
          <w:szCs w:val="20"/>
          <w:color w:val="auto"/>
        </w:rPr>
      </w:pPr>
      <w:r>
        <w:rPr>
          <w:rFonts w:ascii="Arial" w:cs="Arial" w:eastAsia="Arial" w:hAnsi="Arial"/>
          <w:sz w:val="21"/>
          <w:szCs w:val="21"/>
          <w:color w:val="auto"/>
        </w:rPr>
        <w:t>ADVENT PARTNERS GPE IX-A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IX-B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99"/>
        <w:spacing w:after="0" w:line="248" w:lineRule="auto"/>
        <w:rPr>
          <w:sz w:val="20"/>
          <w:szCs w:val="20"/>
          <w:color w:val="auto"/>
        </w:rPr>
      </w:pPr>
      <w:r>
        <w:rPr>
          <w:rFonts w:ascii="Arial" w:cs="Arial" w:eastAsia="Arial" w:hAnsi="Arial"/>
          <w:sz w:val="21"/>
          <w:szCs w:val="21"/>
          <w:color w:val="auto"/>
        </w:rPr>
        <w:t>ADVENT PARTNERS GPE IX-B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GPE IX GP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6460" w:type="dxa"/>
            <w:vAlign w:val="bottom"/>
            <w:gridSpan w:val="4"/>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1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61"/>
        </w:trPr>
        <w:tc>
          <w:tcPr>
            <w:tcW w:w="4520" w:type="dxa"/>
            <w:vAlign w:val="bottom"/>
            <w:gridSpan w:val="2"/>
          </w:tcPr>
          <w:p>
            <w:pPr>
              <w:spacing w:after="0"/>
              <w:rPr>
                <w:sz w:val="20"/>
                <w:szCs w:val="20"/>
                <w:color w:val="auto"/>
              </w:rPr>
            </w:pPr>
            <w:r>
              <w:rPr>
                <w:rFonts w:ascii="Arial" w:cs="Arial" w:eastAsia="Arial" w:hAnsi="Arial"/>
                <w:sz w:val="18"/>
                <w:szCs w:val="18"/>
                <w:color w:val="auto"/>
              </w:rPr>
              <w:t>Name of Joint Filer:</w:t>
            </w:r>
          </w:p>
        </w:tc>
        <w:tc>
          <w:tcPr>
            <w:tcW w:w="98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GPE IX GP S.à.r.l.</w:t>
            </w: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Address of Joint Filer: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Relationship of Joint Filer to Issuer: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Issuer Name and Ticker or Trading Symbol:</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gridSpan w:val="2"/>
          </w:tcPr>
          <w:p>
            <w:pPr>
              <w:spacing w:after="0"/>
              <w:rPr>
                <w:sz w:val="20"/>
                <w:szCs w:val="20"/>
                <w:color w:val="auto"/>
              </w:rPr>
            </w:pPr>
            <w:r>
              <w:rPr>
                <w:rFonts w:ascii="Arial" w:cs="Arial" w:eastAsia="Arial" w:hAnsi="Arial"/>
                <w:sz w:val="21"/>
                <w:szCs w:val="21"/>
                <w:color w:val="auto"/>
              </w:rPr>
              <w:t>Date of Earliest Transaction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Required to be Reported (Month/Day/Year):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Designated Filer:</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520" w:type="dxa"/>
            <w:vAlign w:val="bottom"/>
            <w:gridSpan w:val="2"/>
          </w:tcPr>
          <w:p>
            <w:pPr>
              <w:spacing w:after="0"/>
              <w:rPr>
                <w:sz w:val="20"/>
                <w:szCs w:val="20"/>
                <w:color w:val="auto"/>
              </w:rPr>
            </w:pPr>
            <w:r>
              <w:rPr>
                <w:rFonts w:ascii="Arial" w:cs="Arial" w:eastAsia="Arial" w:hAnsi="Arial"/>
                <w:sz w:val="21"/>
                <w:szCs w:val="21"/>
                <w:b w:val="1"/>
                <w:bCs w:val="1"/>
                <w:color w:val="auto"/>
              </w:rPr>
              <w:t>Signature: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0"/>
        </w:trPr>
        <w:tc>
          <w:tcPr>
            <w:tcW w:w="4520" w:type="dxa"/>
            <w:vAlign w:val="bottom"/>
            <w:gridSpan w:val="2"/>
          </w:tcPr>
          <w:p>
            <w:pPr>
              <w:spacing w:after="0"/>
              <w:rPr>
                <w:sz w:val="20"/>
                <w:szCs w:val="20"/>
                <w:color w:val="auto"/>
              </w:rPr>
            </w:pPr>
            <w:r>
              <w:rPr>
                <w:rFonts w:ascii="Arial" w:cs="Arial" w:eastAsia="Arial" w:hAnsi="Arial"/>
                <w:sz w:val="18"/>
                <w:szCs w:val="18"/>
                <w:color w:val="auto"/>
              </w:rPr>
              <w:t>GPE IX GP S.À.R.L.</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2"/>
        </w:trPr>
        <w:tc>
          <w:tcPr>
            <w:tcW w:w="4520" w:type="dxa"/>
            <w:vAlign w:val="bottom"/>
            <w:gridSpan w:val="2"/>
          </w:tcPr>
          <w:p>
            <w:pPr>
              <w:spacing w:after="0"/>
              <w:rPr>
                <w:sz w:val="20"/>
                <w:szCs w:val="20"/>
                <w:color w:val="auto"/>
              </w:rPr>
            </w:pPr>
            <w:r>
              <w:rPr>
                <w:rFonts w:ascii="Arial" w:cs="Arial" w:eastAsia="Arial" w:hAnsi="Arial"/>
                <w:sz w:val="18"/>
                <w:szCs w:val="18"/>
                <w:color w:val="auto"/>
                <w:w w:val="97"/>
              </w:rPr>
              <w:t>By: Advent International GPE IX, LLC, its General Partner</w:t>
            </w:r>
          </w:p>
        </w:tc>
        <w:tc>
          <w:tcPr>
            <w:tcW w:w="980" w:type="dxa"/>
            <w:vAlign w:val="bottom"/>
          </w:tcPr>
          <w:p>
            <w:pPr>
              <w:spacing w:after="0"/>
              <w:rPr>
                <w:sz w:val="20"/>
                <w:szCs w:val="20"/>
                <w:color w:val="auto"/>
              </w:rPr>
            </w:pPr>
          </w:p>
        </w:tc>
        <w:tc>
          <w:tcPr>
            <w:tcW w:w="5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52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By: /s/ Neil Crawford</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1"/>
        </w:trPr>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Name: Neil Crawford</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441"/>
        </w:trPr>
        <w:tc>
          <w:tcPr>
            <w:tcW w:w="4520" w:type="dxa"/>
            <w:vAlign w:val="bottom"/>
            <w:gridSpan w:val="2"/>
          </w:tcPr>
          <w:p>
            <w:pPr>
              <w:spacing w:after="0"/>
              <w:rPr>
                <w:sz w:val="20"/>
                <w:szCs w:val="20"/>
                <w:color w:val="auto"/>
              </w:rPr>
            </w:pPr>
            <w:r>
              <w:rPr>
                <w:rFonts w:ascii="Arial" w:cs="Arial" w:eastAsia="Arial" w:hAnsi="Arial"/>
                <w:sz w:val="21"/>
                <w:szCs w:val="21"/>
                <w:color w:val="auto"/>
              </w:rPr>
              <w:t>November 24, 2021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71"/>
        </w:trPr>
        <w:tc>
          <w:tcPr>
            <w:tcW w:w="170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Date</w:t>
            </w:r>
          </w:p>
        </w:tc>
        <w:tc>
          <w:tcPr>
            <w:tcW w:w="2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520" w:type="dxa"/>
            <w:vAlign w:val="bottom"/>
          </w:tcPr>
          <w:p>
            <w:pPr>
              <w:spacing w:after="0"/>
              <w:rPr>
                <w:sz w:val="23"/>
                <w:szCs w:val="23"/>
                <w:color w:val="auto"/>
              </w:rPr>
            </w:pPr>
          </w:p>
        </w:tc>
      </w:tr>
      <w:tr>
        <w:trPr>
          <w:trHeight w:val="409"/>
        </w:trPr>
        <w:tc>
          <w:tcPr>
            <w:tcW w:w="1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98" w:right="459" w:bottom="1440" w:gutter="0" w:footer="0" w:header="0"/>
        </w:sectPr>
      </w:pPr>
    </w:p>
    <w:bookmarkStart w:id="23" w:name="page24"/>
    <w:bookmarkEnd w:id="23"/>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 GPE IX GP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GPE IX GP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GPE IX, LLC,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4" w:name="page25"/>
    <w:bookmarkEnd w:id="2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 LLC</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INTERNATIONAL GPE IX, LLC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Corporation, its Manager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5" w:name="page26"/>
    <w:bookmarkEnd w:id="2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Advent Global Technology Limited Partnership</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6" w:name="page27"/>
    <w:bookmarkEnd w:id="2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Technology-B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TECHNOLOGY-B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7" w:name="page28"/>
    <w:bookmarkEnd w:id="27"/>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Technology-C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TECHNOLOGY-C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8" w:name="page29"/>
    <w:bookmarkEnd w:id="28"/>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Technology-D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TECHNOLOGY-D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9" w:name="page30"/>
    <w:bookmarkEnd w:id="29"/>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Global Technology-A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GLOBAL TECHNOLOGY-A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GP S.à.r.l.,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30" w:name="page31"/>
    <w:bookmarkEnd w:id="30"/>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AGT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LIMITED PARTNERSHIP</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By: AP AGT GP Limited Partnership,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31" w:name="page32"/>
    <w:bookmarkEnd w:id="31"/>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AGT-A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919"/>
        <w:spacing w:after="0" w:line="264" w:lineRule="auto"/>
        <w:rPr>
          <w:sz w:val="20"/>
          <w:szCs w:val="20"/>
          <w:color w:val="auto"/>
        </w:rPr>
      </w:pPr>
      <w:r>
        <w:rPr>
          <w:rFonts w:ascii="Arial" w:cs="Arial" w:eastAsia="Arial" w:hAnsi="Arial"/>
          <w:sz w:val="20"/>
          <w:szCs w:val="20"/>
          <w:color w:val="auto"/>
        </w:rPr>
        <w:t>ADVENT PARTNERS AGT-A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AGT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64" w:lineRule="auto"/>
        <w:rPr>
          <w:sz w:val="20"/>
          <w:szCs w:val="20"/>
          <w:color w:val="auto"/>
        </w:rPr>
      </w:pPr>
      <w:r>
        <w:rPr>
          <w:rFonts w:ascii="Arial" w:cs="Arial" w:eastAsia="Arial" w:hAnsi="Arial"/>
          <w:sz w:val="20"/>
          <w:szCs w:val="20"/>
          <w:color w:val="auto"/>
        </w:rPr>
        <w:t>ADVENT PARTNERS AGT CAYMAN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w w:val="90"/>
              </w:rPr>
              <w:t>Advent Global Technology Strategic Investors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2140"/>
        <w:spacing w:after="0" w:line="244" w:lineRule="auto"/>
        <w:rPr>
          <w:sz w:val="20"/>
          <w:szCs w:val="20"/>
          <w:color w:val="auto"/>
        </w:rPr>
      </w:pPr>
      <w:r>
        <w:rPr>
          <w:rFonts w:ascii="Arial" w:cs="Arial" w:eastAsia="Arial" w:hAnsi="Arial"/>
          <w:sz w:val="21"/>
          <w:szCs w:val="21"/>
          <w:color w:val="auto"/>
        </w:rPr>
        <w:t>ADVENT GLOBAL TECHNOLOGY STRATEGIC INVESTORS LIMITED PARTNERSHIP By: AP AGT GP Limited Partnership, its General Partner By: Advent Global Technology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260"/>
          </w:cols>
          <w:pgMar w:left="460" w:top="98" w:right="11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0"/>
              </w:rPr>
              <w:t>Advent Global Technology GP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979"/>
        <w:spacing w:after="0" w:line="253" w:lineRule="auto"/>
        <w:rPr>
          <w:sz w:val="20"/>
          <w:szCs w:val="20"/>
          <w:color w:val="auto"/>
        </w:rPr>
      </w:pPr>
      <w:r>
        <w:rPr>
          <w:rFonts w:ascii="Arial" w:cs="Arial" w:eastAsia="Arial" w:hAnsi="Arial"/>
          <w:sz w:val="21"/>
          <w:szCs w:val="21"/>
          <w:color w:val="auto"/>
        </w:rPr>
        <w:t>ADVENT GLOBAL TECHNOLOGY GP LIMITED PARTNERSHIP By: Advent Global Technology LLC, its General Partner By: Advent International Corporation, its Manager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5" w:name="page36"/>
    <w:bookmarkEnd w:id="3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Global Technology GP S.à.r.l.</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GLOBAL TECHNOLOGY GP S.À.R.L.</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36" w:name="page37"/>
    <w:bookmarkEnd w:id="3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 AGT GP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35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AGT GP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LLC,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358"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Global Technology LLC</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8" w:name="page39"/>
    <w:bookmarkEnd w:id="38"/>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Sunley House Capital Master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35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44" w:lineRule="auto"/>
        <w:rPr>
          <w:sz w:val="20"/>
          <w:szCs w:val="20"/>
          <w:color w:val="auto"/>
        </w:rPr>
      </w:pPr>
      <w:r>
        <w:rPr>
          <w:rFonts w:ascii="Arial" w:cs="Arial" w:eastAsia="Arial" w:hAnsi="Arial"/>
          <w:sz w:val="21"/>
          <w:szCs w:val="21"/>
          <w:color w:val="auto"/>
        </w:rPr>
        <w:t>SUNLEY HOUSE CAPITAL MASTER LIMITED PARTNERSHIP By: Sunley House Capital GP LP, its General Partner By: Sunley House Capital GP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358" w:right="1440"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Sunley House Capital GP LP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GP LP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Sunley House Capital GP LLC, its General Partner</w:t>
      </w: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Sunley House Capital GP LLC</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GP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41" w:name="page42"/>
    <w:bookmarkEnd w:id="41"/>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Sunley House Capital Management LLC</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MANAGEMENT LLC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Corporation, its Sole Member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9640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5"/>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Roman"/>
      <w:start w:val="15"/>
    </w:lvl>
  </w:abstractNum>
  <w:abstractNum w:abstractNumId="4">
    <w:nsid w:val="2EB141F2"/>
    <w:multiLevelType w:val="hybridMultilevel"/>
    <w:lvl w:ilvl="0">
      <w:lvlJc w:val="left"/>
      <w:lvlText w:val="%1"/>
      <w:numFmt w:val="decimal"/>
      <w:start w:val="1"/>
    </w:lvl>
    <w:lvl w:ilvl="1">
      <w:lvlJc w:val="left"/>
      <w:lvlText w:val="(%2)"/>
      <w:numFmt w:val="lowerRoman"/>
      <w:start w:val="26"/>
    </w:lvl>
  </w:abstractNum>
  <w:abstractNum w:abstractNumId="5">
    <w:nsid w:val="41B71EFB"/>
    <w:multiLevelType w:val="hybridMultilevel"/>
    <w:lvl w:ilvl="0">
      <w:lvlJc w:val="left"/>
      <w:lvlText w:val="(%1)"/>
      <w:numFmt w:val="decimal"/>
      <w:start w:val="2"/>
    </w:lvl>
    <w:lvl w:ilvl="1">
      <w:lvlJc w:val="left"/>
      <w:lvlText w:val="(%2)"/>
      <w:numFmt w:val="lowerRoman"/>
      <w:start w:val="17"/>
    </w:lvl>
  </w:abstractNum>
  <w:abstractNum w:abstractNumId="6">
    <w:nsid w:val="79E2A9E3"/>
    <w:multiLevelType w:val="hybridMultilevel"/>
    <w:lvl w:ilvl="0">
      <w:lvlJc w:val="left"/>
      <w:lvlText w:val="%1"/>
      <w:numFmt w:val="decimal"/>
      <w:start w:val="1"/>
    </w:lvl>
    <w:lvl w:ilvl="1">
      <w:lvlJc w:val="left"/>
      <w:lvlText w:val="(%2)"/>
      <w:numFmt w:val="lowerRoman"/>
      <w:start w:val="26"/>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2" Type="http://schemas.openxmlformats.org/officeDocument/2006/relationships/hyperlink" Target="http://www.sec.gov/cgi-bin/browse-edgar?action=getcompany&amp;CIK=0001034196" TargetMode="External"/><Relationship Id="rId13" Type="http://schemas.openxmlformats.org/officeDocument/2006/relationships/hyperlink" Target="http://www.sec.gov/cgi-bin/browse-edgar?action=getcompany&amp;CIK=0001861795" TargetMode="External"/><Relationship Id="rId14" Type="http://schemas.openxmlformats.org/officeDocument/2006/relationships/hyperlink" Target="http://www.sec.gov/cgi-bin/browse-edgar?action=getcompany&amp;CIK=0001780382" TargetMode="External"/><Relationship Id="rId16" Type="http://schemas.openxmlformats.org/officeDocument/2006/relationships/hyperlink" Target="http://www.sec.gov/cgi-bin/browse-edgar?action=getcompany&amp;CIK=0001788647" TargetMode="External"/><Relationship Id="rId18" Type="http://schemas.openxmlformats.org/officeDocument/2006/relationships/hyperlink" Target="http://www.sec.gov/cgi-bin/browse-edgar?action=getcompany&amp;CIK=0001788658" TargetMode="External"/><Relationship Id="rId19" Type="http://schemas.openxmlformats.org/officeDocument/2006/relationships/hyperlink" Target="http://www.sec.gov/cgi-bin/browse-edgar?action=getcompany&amp;CIK=0001788540" TargetMode="External"/><Relationship Id="rId20" Type="http://schemas.openxmlformats.org/officeDocument/2006/relationships/hyperlink" Target="http://www.sec.gov/cgi-bin/browse-edgar?action=getcompany&amp;CIK=0001780669" TargetMode="External"/><Relationship Id="rId21" Type="http://schemas.openxmlformats.org/officeDocument/2006/relationships/hyperlink" Target="http://www.sec.gov/cgi-bin/browse-edgar?action=getcompany&amp;CIK=0001882380" TargetMode="External"/><Relationship Id="rId22" Type="http://schemas.openxmlformats.org/officeDocument/2006/relationships/hyperlink" Target="http://www.sec.gov/cgi-bin/browse-edgar?action=getcompany&amp;CIK=0001882259" TargetMode="External"/><Relationship Id="rId24" Type="http://schemas.openxmlformats.org/officeDocument/2006/relationships/hyperlink" Target="http://www.sec.gov/cgi-bin/browse-edgar?action=getcompany&amp;CIK=0001882493" TargetMode="External"/><Relationship Id="rId25" Type="http://schemas.openxmlformats.org/officeDocument/2006/relationships/hyperlink" Target="http://www.sec.gov/cgi-bin/browse-edgar?action=getcompany&amp;CIK=0001882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2021-11-24T16:13:13Z</dcterms:created>
  <dcterms:modified xsi:type="dcterms:W3CDTF">2021-11-24T16:13:13Z</dcterms:modified>
</cp:coreProperties>
</file>