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Graboske Benjamin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DEFINITIVE HEALTHCARE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492 OLD CONNECTICUT PATH, SUITE 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FRAMINGHAM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Definitive Healthcare Corp.</w:t>
              </w:r>
            </w:hyperlink>
            <w:r>
              <w:rPr/>
              <w:t xml:space="preserve"> [ </w:t>
            </w:r>
            <w:r>
              <w:rPr>
                <w:rFonts w:ascii="Times;serif" w:hAnsi="Times;serif"/>
                <w:color w:val="0000FF"/>
                <w:sz w:val="24"/>
                <w:shd w:fill="FFFFFF" w:val="clear"/>
              </w:rPr>
              <w:t>DH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Data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12/22/2025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1055"/>
        <w:gridCol w:w="451"/>
        <w:gridCol w:w="667"/>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12/22/2025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341,417</w:t>
            </w:r>
            <w:r>
              <w:rPr>
                <w:rFonts w:ascii="Times;serif" w:hAnsi="Times;serif"/>
                <w:color w:val="008000"/>
                <w:position w:val="7"/>
                <w:sz w:val="16"/>
                <w:sz w:val="20"/>
                <w:shd w:fill="FFFFFF" w:val="clear"/>
              </w:rPr>
              <w:t>(2)</w:t>
            </w:r>
            <w:r>
              <w:rPr/>
              <w:t xml:space="preserve"> </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2.53</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676,913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withholding of shares by the Issuer to satisfy the Reporting Person's tax withholding obligations in connection with the vesting and settlement of previously reported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RSUs granted under the Definitive Healthcare Corp. 2023 Inducement Plan. In December 2025, the Definitive Healthcare Corp. Human Capital Management and Compensation Committee and Board of Directors approved the acceleration of the unvested shares underlying this grant, resulting in the award becoming 100% vested as of December 22,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Paris,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dh-ex24.htm"/>
      <w:bookmarkStart w:id="3" w:name="ksdhex24"/>
      <w:bookmarkEnd w:id="2"/>
      <w:bookmarkEnd w:id="3"/>
      <w:r>
        <w:rPr/>
        <w:t> </w:t>
      </w:r>
      <w:r>
        <w:br w:type="page"/>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0" w:after="360"/>
        <w:jc w:val="center"/>
        <w:rPr>
          <w:rFonts w:ascii="Times New Roman" w:hAnsi="Times New Roman"/>
          <w:color w:val="000000"/>
          <w:sz w:val="20"/>
        </w:rPr>
      </w:pPr>
      <w:r>
        <w:rPr>
          <w:rFonts w:ascii="Times New Roman" w:hAnsi="Times New Roman"/>
          <w:color w:val="000000"/>
          <w:sz w:val="20"/>
        </w:rPr>
        <w:t>(For (For Executing Forms 3, 4, and 5))</w:t>
      </w:r>
    </w:p>
    <w:p>
      <w:pPr>
        <w:pStyle w:val="TextBody"/>
        <w:bidi w:val="0"/>
        <w:spacing w:before="0" w:after="240"/>
        <w:jc w:val="both"/>
        <w:rPr>
          <w:rFonts w:ascii="Times New Roman" w:hAnsi="Times New Roman"/>
          <w:sz w:val="20"/>
        </w:rPr>
      </w:pPr>
      <w:r>
        <w:rPr>
          <w:rFonts w:ascii="Times New Roman" w:hAnsi="Times New Roman"/>
          <w:color w:val="000000"/>
          <w:sz w:val="20"/>
        </w:rPr>
        <w:t>Know all by these presents, that the undersigned hereby constitutes and appoints each of Jonathan Paris, Maria Borda and Christina A. Kelleher of Definitive Healthcare Corp. (the “</w:t>
      </w:r>
      <w:r>
        <w:rPr>
          <w:rFonts w:ascii="Times New Roman" w:hAnsi="Times New Roman"/>
          <w:b/>
          <w:i/>
          <w:color w:val="000000"/>
          <w:sz w:val="20"/>
        </w:rPr>
        <w:t>Company</w:t>
      </w:r>
      <w:r>
        <w:rPr>
          <w:rFonts w:ascii="Times New Roman" w:hAnsi="Times New Roman"/>
          <w:color w:val="000000"/>
          <w:sz w:val="20"/>
        </w:rPr>
        <w:t>”), signing individually, the undersigned’s true and lawful attorneys-in-fact and agents to:</w:t>
      </w:r>
    </w:p>
    <w:p>
      <w:pPr>
        <w:pStyle w:val="TextBody"/>
        <w:bidi w:val="0"/>
        <w:spacing w:before="0" w:after="240"/>
        <w:jc w:val="both"/>
        <w:rPr>
          <w:rFonts w:ascii="Times New Roman" w:hAnsi="Times New Roman"/>
          <w:sz w:val="20"/>
        </w:rPr>
      </w:pPr>
      <w:r>
        <w:rPr>
          <w:rFonts w:ascii="Times New Roman" w:hAnsi="Times New Roman"/>
          <w:color w:val="000000"/>
          <w:sz w:val="20"/>
        </w:rPr>
        <w:t>(1) prepare, execute in the undersigned’s name and on the undersigned’s behalf, and submit to the Securities and Exchange Commission (the “</w:t>
      </w:r>
      <w:r>
        <w:rPr>
          <w:rFonts w:ascii="Times New Roman" w:hAnsi="Times New Roman"/>
          <w:b/>
          <w:i/>
          <w:color w:val="000000"/>
          <w:sz w:val="20"/>
        </w:rPr>
        <w:t>SEC</w:t>
      </w:r>
      <w:r>
        <w:rPr>
          <w:rFonts w:ascii="Times New Roman" w:hAnsi="Times New Roman"/>
          <w:color w:val="000000"/>
          <w:sz w:val="20"/>
        </w:rPr>
        <w:t>”) Forms 3, 4 and 5 (including any amendments thereto) in accordance with Section 16(a) of the Securities Exchange Act of 1934, as amended (the “</w:t>
      </w:r>
      <w:r>
        <w:rPr>
          <w:rFonts w:ascii="Times New Roman" w:hAnsi="Times New Roman"/>
          <w:b/>
          <w:i/>
          <w:color w:val="000000"/>
          <w:sz w:val="20"/>
        </w:rPr>
        <w:t>Exchange Act</w:t>
      </w:r>
      <w:r>
        <w:rPr>
          <w:rFonts w:ascii="Times New Roman" w:hAnsi="Times New Roman"/>
          <w:color w:val="000000"/>
          <w:sz w:val="20"/>
        </w:rPr>
        <w:t>”), and the rules thereunder in the undersigned’s capacity as an officer, director or beneficial owner of more than 10% of a registered class of securities of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do and perform any and all acts for and on behalf of the undersigned that may be necessary or desirable to execute such Forms 3, 4 or 5 (including amendments thereto) and timely file such forms with the SEC and any stock exchange or any similar authority;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the date written below.</w:t>
      </w:r>
    </w:p>
    <w:p>
      <w:pPr>
        <w:pStyle w:val="TextBody"/>
        <w:bidi w:val="0"/>
        <w:spacing w:before="360" w:after="283"/>
        <w:jc w:val="left"/>
        <w:rPr>
          <w:rFonts w:ascii="Times New Roman" w:hAnsi="Times New Roman"/>
          <w:sz w:val="20"/>
        </w:rPr>
      </w:pPr>
      <w:r>
        <w:rPr>
          <w:rFonts w:ascii="Times New Roman" w:hAnsi="Times New Roman"/>
          <w:color w:val="000000"/>
          <w:sz w:val="20"/>
        </w:rPr>
        <w:t xml:space="preserve">Date: </w:t>
      </w:r>
      <w:r>
        <w:rPr>
          <w:rFonts w:ascii="Times New Roman" w:hAnsi="Times New Roman"/>
          <w:color w:val="000000"/>
          <w:sz w:val="20"/>
          <w:u w:val="single"/>
        </w:rPr>
        <w:t>July 11, 2025</w:t>
      </w:r>
      <w:r>
        <w:rPr>
          <w:rFonts w:ascii="Times New Roman" w:hAnsi="Times New Roman"/>
          <w:color w:val="000000"/>
          <w:sz w:val="20"/>
        </w:rPr>
        <w:t xml:space="preserve"> </w:t>
      </w:r>
      <w:r>
        <w:rPr>
          <w:rFonts w:ascii="Times New Roman" w:hAnsi="Times New Roman"/>
          <w:color w:val="000000"/>
          <w:sz w:val="20"/>
          <w:u w:val="single"/>
        </w:rPr>
        <w:t>/s/ Benjamin Graboske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028" TargetMode="External"/><Relationship Id="rId5" Type="http://schemas.openxmlformats.org/officeDocument/2006/relationships/hyperlink" Target="http://www.sec.gov/cgi-bin/browse-edgar?action=getcompany&amp;CIK=00018617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1169</Words>
  <Characters>6242</Characters>
  <CharactersWithSpaces>7342</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